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Default ContentType="image/jpeg" Extension="jpeg"/>
  <Default ContentType="image/x-wmf" Extension="wmf"/>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eastAsia="华文新魏"/>
          <w:sz w:val="72"/>
          <w:szCs w:val="72"/>
        </w:rPr>
      </w:pPr>
      <w:r>
        <w:rPr>
          <w:rFonts w:eastAsia="黑体"/>
          <w:kern w:val="10"/>
          <w:sz w:val="72"/>
          <w:szCs w:val="72"/>
        </w:rPr>
        <w:t>长沙县</w:t>
      </w:r>
      <w:r>
        <w:rPr>
          <w:rFonts w:hint="eastAsia" w:eastAsia="黑体"/>
          <w:kern w:val="10"/>
          <w:sz w:val="72"/>
          <w:szCs w:val="72"/>
        </w:rPr>
        <w:t>城镇</w:t>
      </w:r>
      <w:r>
        <w:rPr>
          <w:rFonts w:eastAsia="黑体"/>
          <w:kern w:val="10"/>
          <w:sz w:val="72"/>
          <w:szCs w:val="72"/>
        </w:rPr>
        <w:t>基准地价更新</w:t>
      </w:r>
    </w:p>
    <w:p>
      <w:pPr>
        <w:tabs>
          <w:tab w:val="left" w:pos="2688"/>
        </w:tabs>
        <w:spacing w:line="1800" w:lineRule="exact"/>
        <w:jc w:val="center"/>
        <w:rPr>
          <w:rFonts w:eastAsia="华文新魏"/>
          <w:sz w:val="130"/>
          <w:szCs w:val="130"/>
        </w:rPr>
      </w:pPr>
      <w:r>
        <w:rPr>
          <w:rFonts w:eastAsia="华文新魏"/>
          <w:sz w:val="96"/>
          <w:szCs w:val="96"/>
        </w:rPr>
        <w:t>技术报告</w:t>
      </w:r>
    </w:p>
    <w:p>
      <w:pPr>
        <w:tabs>
          <w:tab w:val="left" w:pos="2688"/>
        </w:tabs>
        <w:spacing w:line="1800" w:lineRule="exact"/>
        <w:jc w:val="center"/>
        <w:rPr>
          <w:rFonts w:eastAsia="华文新魏"/>
          <w:sz w:val="130"/>
          <w:szCs w:val="130"/>
        </w:rPr>
      </w:pPr>
      <w:r>
        <w:rPr>
          <w:rFonts w:hint="eastAsia" w:ascii="Times New Roman" w:hAnsi="Times New Roman" w:eastAsia="华文新魏" w:cs="Times New Roman"/>
          <w:kern w:val="2"/>
          <w:sz w:val="130"/>
          <w:szCs w:val="130"/>
          <w:lang w:val="en-US" w:eastAsia="zh-CN" w:bidi="ar-SA"/>
        </w:rPr>
        <w:pict>
          <v:shape id="图片 87" o:spid="_x0000_s1032" type="#_x0000_t75" style="position:absolute;left:0;margin-left:-82.7pt;margin-top:50pt;height:302.4pt;width:578.3pt;mso-wrap-distance-bottom:0pt;mso-wrap-distance-top:0pt;rotation:0f;z-index:251710464;" o:ole="f" fillcolor="#FFFFFF" filled="f" o:preferrelative="t" stroked="f" coordorigin="0,0" coordsize="21600,21600">
            <v:fill on="f" color2="#FFFFFF" focus="0%"/>
            <v:imagedata gain="65536f" blacklevel="0f" gamma="0" o:title="" r:id="rId16"/>
            <o:lock v:ext="edit" position="f" selection="f" grouping="f" rotation="f" cropping="f" text="f" aspectratio="t"/>
            <w10:wrap type="topAndBottom"/>
          </v:shape>
        </w:pict>
      </w:r>
    </w:p>
    <w:p>
      <w:pPr>
        <w:spacing w:line="600" w:lineRule="exact"/>
        <w:jc w:val="center"/>
        <w:rPr>
          <w:rFonts w:eastAsia="黑体"/>
          <w:sz w:val="32"/>
          <w:szCs w:val="22"/>
        </w:rPr>
      </w:pPr>
      <w:r>
        <w:rPr>
          <w:rFonts w:eastAsia="黑体"/>
          <w:sz w:val="32"/>
          <w:szCs w:val="22"/>
        </w:rPr>
        <w:t>长 沙 县 国 土 资 源 局</w:t>
      </w:r>
    </w:p>
    <w:p>
      <w:pPr>
        <w:spacing w:line="600" w:lineRule="exact"/>
        <w:jc w:val="center"/>
        <w:rPr>
          <w:rFonts w:eastAsia="黑体"/>
          <w:sz w:val="32"/>
        </w:rPr>
      </w:pPr>
      <w:r>
        <w:rPr>
          <w:rFonts w:eastAsia="黑体"/>
          <w:sz w:val="32"/>
        </w:rPr>
        <w:t>长沙永信评估咨询有限责任公司</w:t>
      </w:r>
    </w:p>
    <w:p>
      <w:pPr>
        <w:spacing w:line="600" w:lineRule="exact"/>
        <w:jc w:val="center"/>
        <w:rPr>
          <w:rFonts w:eastAsia="黑体"/>
          <w:sz w:val="30"/>
        </w:rPr>
      </w:pPr>
      <w:r>
        <w:rPr>
          <w:rFonts w:eastAsia="黑体"/>
          <w:sz w:val="32"/>
        </w:rPr>
        <w:t>二Ο一八年</w:t>
      </w:r>
      <w:r>
        <w:rPr>
          <w:rFonts w:hint="eastAsia" w:eastAsia="黑体"/>
          <w:sz w:val="32"/>
        </w:rPr>
        <w:t>十一</w:t>
      </w:r>
      <w:r>
        <w:rPr>
          <w:rFonts w:eastAsia="黑体"/>
          <w:sz w:val="32"/>
        </w:rPr>
        <w:t>月</w:t>
      </w:r>
    </w:p>
    <w:p>
      <w:pPr>
        <w:pStyle w:val="26"/>
        <w:tabs>
          <w:tab w:val="right" w:leader="dot" w:pos="8306"/>
        </w:tabs>
        <w:jc w:val="center"/>
        <w:rPr>
          <w:b w:val="0"/>
          <w:sz w:val="36"/>
        </w:rPr>
        <w:sectPr>
          <w:footerReference r:id="rId7" w:type="first"/>
          <w:headerReference r:id="rId4" w:type="default"/>
          <w:footerReference r:id="rId5" w:type="default"/>
          <w:footerReference r:id="rId6" w:type="even"/>
          <w:type w:val="oddPage"/>
          <w:pgSz w:w="11906" w:h="16838"/>
          <w:pgMar w:top="1440" w:right="1800" w:bottom="1440" w:left="1800" w:header="851" w:footer="992" w:gutter="0"/>
          <w:pgNumType w:start="1"/>
          <w:cols w:space="720" w:num="1"/>
          <w:titlePg/>
          <w:docGrid w:type="lines" w:linePitch="312" w:charSpace="0"/>
        </w:sectPr>
      </w:pPr>
    </w:p>
    <w:p>
      <w:pPr>
        <w:pStyle w:val="26"/>
        <w:tabs>
          <w:tab w:val="right" w:leader="dot" w:pos="8845"/>
        </w:tabs>
        <w:jc w:val="center"/>
        <w:rPr>
          <w:rFonts w:eastAsia="黑体"/>
          <w:b w:val="0"/>
          <w:sz w:val="40"/>
        </w:rPr>
        <w:sectPr>
          <w:headerReference r:id="rId8" w:type="default"/>
          <w:footerReference r:id="rId9" w:type="default"/>
          <w:footerReference r:id="rId10" w:type="even"/>
          <w:type w:val="continuous"/>
          <w:pgSz w:w="11906" w:h="16838"/>
          <w:pgMar w:top="1440" w:right="1800" w:bottom="1440" w:left="1800" w:header="851" w:footer="992" w:gutter="0"/>
          <w:pgNumType w:start="1"/>
          <w:cols w:space="720" w:num="1"/>
          <w:docGrid w:type="lines" w:linePitch="312" w:charSpace="0"/>
        </w:sectPr>
      </w:pPr>
    </w:p>
    <w:p>
      <w:pPr>
        <w:pStyle w:val="26"/>
        <w:tabs>
          <w:tab w:val="right" w:leader="dot" w:pos="8845"/>
        </w:tabs>
        <w:jc w:val="center"/>
        <w:rPr>
          <w:rFonts w:eastAsia="黑体"/>
          <w:b w:val="0"/>
          <w:sz w:val="40"/>
        </w:rPr>
      </w:pPr>
      <w:r>
        <w:rPr>
          <w:rFonts w:eastAsia="黑体"/>
          <w:b w:val="0"/>
          <w:sz w:val="40"/>
        </w:rPr>
        <w:t>目  录</w:t>
      </w:r>
    </w:p>
    <w:p>
      <w:pPr>
        <w:pStyle w:val="26"/>
        <w:tabs>
          <w:tab w:val="right" w:leader="dot" w:pos="8306"/>
        </w:tabs>
        <w:rPr>
          <w:i w:val="0"/>
          <w:iCs w:val="0"/>
        </w:rPr>
      </w:pPr>
      <w:r>
        <w:rPr>
          <w:b w:val="0"/>
          <w:sz w:val="24"/>
          <w:szCs w:val="24"/>
        </w:rPr>
        <w:fldChar w:fldCharType="begin"/>
      </w:r>
      <w:r>
        <w:rPr>
          <w:b w:val="0"/>
          <w:sz w:val="24"/>
          <w:szCs w:val="24"/>
        </w:rPr>
        <w:instrText xml:space="preserve"> TOC \o "1-3" \h \z \u </w:instrText>
      </w:r>
      <w:r>
        <w:rPr>
          <w:b w:val="0"/>
          <w:sz w:val="24"/>
          <w:szCs w:val="24"/>
        </w:rPr>
        <w:fldChar w:fldCharType="separate"/>
      </w:r>
      <w:r>
        <w:rPr>
          <w:i w:val="0"/>
          <w:iCs w:val="0"/>
          <w:szCs w:val="24"/>
        </w:rPr>
        <w:fldChar w:fldCharType="begin"/>
      </w:r>
      <w:r>
        <w:rPr>
          <w:i w:val="0"/>
          <w:iCs w:val="0"/>
          <w:szCs w:val="24"/>
        </w:rPr>
        <w:instrText xml:space="preserve"> HYPERLINK \l _Toc11190 </w:instrText>
      </w:r>
      <w:r>
        <w:rPr>
          <w:i w:val="0"/>
          <w:iCs w:val="0"/>
          <w:szCs w:val="24"/>
        </w:rPr>
        <w:fldChar w:fldCharType="separate"/>
      </w:r>
      <w:r>
        <w:rPr>
          <w:rFonts w:eastAsia="黑体"/>
          <w:i w:val="0"/>
          <w:iCs w:val="0"/>
          <w:szCs w:val="44"/>
        </w:rPr>
        <w:t>第一篇  概述</w:t>
      </w:r>
      <w:r>
        <w:rPr>
          <w:i w:val="0"/>
          <w:iCs w:val="0"/>
        </w:rPr>
        <w:tab/>
      </w:r>
      <w:r>
        <w:rPr>
          <w:i w:val="0"/>
          <w:iCs w:val="0"/>
        </w:rPr>
        <w:fldChar w:fldCharType="begin"/>
      </w:r>
      <w:r>
        <w:rPr>
          <w:i w:val="0"/>
          <w:iCs w:val="0"/>
        </w:rPr>
        <w:instrText xml:space="preserve"> PAGEREF _Toc11190 </w:instrText>
      </w:r>
      <w:r>
        <w:rPr>
          <w:i w:val="0"/>
          <w:iCs w:val="0"/>
        </w:rPr>
        <w:fldChar w:fldCharType="separate"/>
      </w:r>
      <w:r>
        <w:rPr>
          <w:i w:val="0"/>
          <w:iCs w:val="0"/>
        </w:rPr>
        <w:t>1</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_Toc13096 </w:instrText>
      </w:r>
      <w:r>
        <w:rPr>
          <w:i w:val="0"/>
          <w:iCs w:val="0"/>
          <w:szCs w:val="24"/>
        </w:rPr>
        <w:fldChar w:fldCharType="separate"/>
      </w:r>
      <w:r>
        <w:rPr>
          <w:rFonts w:eastAsia="黑体"/>
          <w:i w:val="0"/>
          <w:iCs w:val="0"/>
          <w:szCs w:val="32"/>
        </w:rPr>
        <w:t>第一章  长沙县概述</w:t>
      </w:r>
      <w:r>
        <w:rPr>
          <w:i w:val="0"/>
          <w:iCs w:val="0"/>
        </w:rPr>
        <w:tab/>
      </w:r>
      <w:r>
        <w:rPr>
          <w:i w:val="0"/>
          <w:iCs w:val="0"/>
        </w:rPr>
        <w:fldChar w:fldCharType="begin"/>
      </w:r>
      <w:r>
        <w:rPr>
          <w:i w:val="0"/>
          <w:iCs w:val="0"/>
        </w:rPr>
        <w:instrText xml:space="preserve"> PAGEREF _Toc13096 </w:instrText>
      </w:r>
      <w:r>
        <w:rPr>
          <w:i w:val="0"/>
          <w:iCs w:val="0"/>
        </w:rPr>
        <w:fldChar w:fldCharType="separate"/>
      </w:r>
      <w:r>
        <w:rPr>
          <w:i w:val="0"/>
          <w:iCs w:val="0"/>
        </w:rPr>
        <w:t>1</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_Toc5986 </w:instrText>
      </w:r>
      <w:r>
        <w:rPr>
          <w:i w:val="0"/>
          <w:iCs w:val="0"/>
          <w:szCs w:val="24"/>
        </w:rPr>
        <w:fldChar w:fldCharType="separate"/>
      </w:r>
      <w:r>
        <w:rPr>
          <w:rFonts w:eastAsia="黑体"/>
          <w:i w:val="0"/>
          <w:iCs w:val="0"/>
          <w:szCs w:val="28"/>
        </w:rPr>
        <w:t>一、区位条件</w:t>
      </w:r>
      <w:r>
        <w:rPr>
          <w:i w:val="0"/>
          <w:iCs w:val="0"/>
        </w:rPr>
        <w:tab/>
      </w:r>
      <w:r>
        <w:rPr>
          <w:i w:val="0"/>
          <w:iCs w:val="0"/>
        </w:rPr>
        <w:fldChar w:fldCharType="begin"/>
      </w:r>
      <w:r>
        <w:rPr>
          <w:i w:val="0"/>
          <w:iCs w:val="0"/>
        </w:rPr>
        <w:instrText xml:space="preserve"> PAGEREF _Toc5986 </w:instrText>
      </w:r>
      <w:r>
        <w:rPr>
          <w:i w:val="0"/>
          <w:iCs w:val="0"/>
        </w:rPr>
        <w:fldChar w:fldCharType="separate"/>
      </w:r>
      <w:r>
        <w:rPr>
          <w:i w:val="0"/>
          <w:iCs w:val="0"/>
        </w:rPr>
        <w:t>1</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_Toc21111 </w:instrText>
      </w:r>
      <w:r>
        <w:rPr>
          <w:i w:val="0"/>
          <w:iCs w:val="0"/>
          <w:szCs w:val="24"/>
        </w:rPr>
        <w:fldChar w:fldCharType="separate"/>
      </w:r>
      <w:r>
        <w:rPr>
          <w:rFonts w:eastAsia="黑体"/>
          <w:i w:val="0"/>
          <w:iCs w:val="0"/>
          <w:szCs w:val="28"/>
        </w:rPr>
        <w:t>二、自然地理条件</w:t>
      </w:r>
      <w:r>
        <w:rPr>
          <w:i w:val="0"/>
          <w:iCs w:val="0"/>
        </w:rPr>
        <w:tab/>
      </w:r>
      <w:r>
        <w:rPr>
          <w:i w:val="0"/>
          <w:iCs w:val="0"/>
        </w:rPr>
        <w:fldChar w:fldCharType="begin"/>
      </w:r>
      <w:r>
        <w:rPr>
          <w:i w:val="0"/>
          <w:iCs w:val="0"/>
        </w:rPr>
        <w:instrText xml:space="preserve"> PAGEREF _Toc21111 </w:instrText>
      </w:r>
      <w:r>
        <w:rPr>
          <w:i w:val="0"/>
          <w:iCs w:val="0"/>
        </w:rPr>
        <w:fldChar w:fldCharType="separate"/>
      </w:r>
      <w:r>
        <w:rPr>
          <w:i w:val="0"/>
          <w:iCs w:val="0"/>
        </w:rPr>
        <w:t>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_Toc9119 </w:instrText>
      </w:r>
      <w:r>
        <w:rPr>
          <w:i w:val="0"/>
          <w:iCs w:val="0"/>
          <w:szCs w:val="24"/>
        </w:rPr>
        <w:fldChar w:fldCharType="separate"/>
      </w:r>
      <w:r>
        <w:rPr>
          <w:rFonts w:eastAsia="黑体"/>
          <w:bCs/>
          <w:i w:val="0"/>
          <w:iCs w:val="0"/>
          <w:szCs w:val="28"/>
        </w:rPr>
        <w:t>三、行政区划及人口</w:t>
      </w:r>
      <w:r>
        <w:rPr>
          <w:i w:val="0"/>
          <w:iCs w:val="0"/>
        </w:rPr>
        <w:tab/>
      </w:r>
      <w:r>
        <w:rPr>
          <w:i w:val="0"/>
          <w:iCs w:val="0"/>
        </w:rPr>
        <w:fldChar w:fldCharType="begin"/>
      </w:r>
      <w:r>
        <w:rPr>
          <w:i w:val="0"/>
          <w:iCs w:val="0"/>
        </w:rPr>
        <w:instrText xml:space="preserve"> PAGEREF _Toc9119 </w:instrText>
      </w:r>
      <w:r>
        <w:rPr>
          <w:i w:val="0"/>
          <w:iCs w:val="0"/>
        </w:rPr>
        <w:fldChar w:fldCharType="separate"/>
      </w:r>
      <w:r>
        <w:rPr>
          <w:i w:val="0"/>
          <w:iCs w:val="0"/>
        </w:rPr>
        <w:t>3</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_Toc15326 </w:instrText>
      </w:r>
      <w:r>
        <w:rPr>
          <w:i w:val="0"/>
          <w:iCs w:val="0"/>
          <w:szCs w:val="24"/>
        </w:rPr>
        <w:fldChar w:fldCharType="separate"/>
      </w:r>
      <w:r>
        <w:rPr>
          <w:rFonts w:eastAsia="黑体"/>
          <w:i w:val="0"/>
          <w:iCs w:val="0"/>
          <w:szCs w:val="28"/>
        </w:rPr>
        <w:t>四、国民经济与社会发展</w:t>
      </w:r>
      <w:r>
        <w:rPr>
          <w:i w:val="0"/>
          <w:iCs w:val="0"/>
        </w:rPr>
        <w:tab/>
      </w:r>
      <w:r>
        <w:rPr>
          <w:i w:val="0"/>
          <w:iCs w:val="0"/>
        </w:rPr>
        <w:fldChar w:fldCharType="begin"/>
      </w:r>
      <w:r>
        <w:rPr>
          <w:i w:val="0"/>
          <w:iCs w:val="0"/>
        </w:rPr>
        <w:instrText xml:space="preserve"> PAGEREF _Toc15326 </w:instrText>
      </w:r>
      <w:r>
        <w:rPr>
          <w:i w:val="0"/>
          <w:iCs w:val="0"/>
        </w:rPr>
        <w:fldChar w:fldCharType="separate"/>
      </w:r>
      <w:r>
        <w:rPr>
          <w:i w:val="0"/>
          <w:iCs w:val="0"/>
        </w:rPr>
        <w:t>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_Toc22315 </w:instrText>
      </w:r>
      <w:r>
        <w:rPr>
          <w:i w:val="0"/>
          <w:iCs w:val="0"/>
          <w:szCs w:val="24"/>
        </w:rPr>
        <w:fldChar w:fldCharType="separate"/>
      </w:r>
      <w:r>
        <w:rPr>
          <w:rFonts w:eastAsia="黑体"/>
          <w:i w:val="0"/>
          <w:iCs w:val="0"/>
          <w:szCs w:val="28"/>
        </w:rPr>
        <w:t>五、土地利用现状</w:t>
      </w:r>
      <w:r>
        <w:rPr>
          <w:i w:val="0"/>
          <w:iCs w:val="0"/>
        </w:rPr>
        <w:tab/>
      </w:r>
      <w:r>
        <w:rPr>
          <w:i w:val="0"/>
          <w:iCs w:val="0"/>
        </w:rPr>
        <w:fldChar w:fldCharType="begin"/>
      </w:r>
      <w:r>
        <w:rPr>
          <w:i w:val="0"/>
          <w:iCs w:val="0"/>
        </w:rPr>
        <w:instrText xml:space="preserve"> PAGEREF _Toc22315 </w:instrText>
      </w:r>
      <w:r>
        <w:rPr>
          <w:i w:val="0"/>
          <w:iCs w:val="0"/>
        </w:rPr>
        <w:fldChar w:fldCharType="separate"/>
      </w:r>
      <w:r>
        <w:rPr>
          <w:i w:val="0"/>
          <w:iCs w:val="0"/>
        </w:rPr>
        <w:t>7</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_Toc924 </w:instrText>
      </w:r>
      <w:r>
        <w:rPr>
          <w:i w:val="0"/>
          <w:iCs w:val="0"/>
          <w:szCs w:val="24"/>
        </w:rPr>
        <w:fldChar w:fldCharType="separate"/>
      </w:r>
      <w:r>
        <w:rPr>
          <w:rFonts w:eastAsia="黑体"/>
          <w:i w:val="0"/>
          <w:iCs w:val="0"/>
          <w:szCs w:val="28"/>
        </w:rPr>
        <w:t>六、长沙县“十三五”发展规划</w:t>
      </w:r>
      <w:r>
        <w:rPr>
          <w:i w:val="0"/>
          <w:iCs w:val="0"/>
        </w:rPr>
        <w:tab/>
      </w:r>
      <w:r>
        <w:rPr>
          <w:i w:val="0"/>
          <w:iCs w:val="0"/>
        </w:rPr>
        <w:fldChar w:fldCharType="begin"/>
      </w:r>
      <w:r>
        <w:rPr>
          <w:i w:val="0"/>
          <w:iCs w:val="0"/>
        </w:rPr>
        <w:instrText xml:space="preserve"> PAGEREF _Toc924 </w:instrText>
      </w:r>
      <w:r>
        <w:rPr>
          <w:i w:val="0"/>
          <w:iCs w:val="0"/>
        </w:rPr>
        <w:fldChar w:fldCharType="separate"/>
      </w:r>
      <w:r>
        <w:rPr>
          <w:i w:val="0"/>
          <w:iCs w:val="0"/>
        </w:rPr>
        <w:t>8</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_Toc17391 </w:instrText>
      </w:r>
      <w:r>
        <w:rPr>
          <w:i w:val="0"/>
          <w:iCs w:val="0"/>
          <w:szCs w:val="24"/>
        </w:rPr>
        <w:fldChar w:fldCharType="separate"/>
      </w:r>
      <w:r>
        <w:rPr>
          <w:rFonts w:eastAsia="黑体"/>
          <w:i w:val="0"/>
          <w:iCs w:val="0"/>
          <w:szCs w:val="32"/>
        </w:rPr>
        <w:t>第二章  长沙县房地产市场情况分析</w:t>
      </w:r>
      <w:r>
        <w:rPr>
          <w:i w:val="0"/>
          <w:iCs w:val="0"/>
        </w:rPr>
        <w:tab/>
      </w:r>
      <w:r>
        <w:rPr>
          <w:i w:val="0"/>
          <w:iCs w:val="0"/>
        </w:rPr>
        <w:fldChar w:fldCharType="begin"/>
      </w:r>
      <w:r>
        <w:rPr>
          <w:i w:val="0"/>
          <w:iCs w:val="0"/>
        </w:rPr>
        <w:instrText xml:space="preserve"> PAGEREF _Toc17391 </w:instrText>
      </w:r>
      <w:r>
        <w:rPr>
          <w:i w:val="0"/>
          <w:iCs w:val="0"/>
        </w:rPr>
        <w:fldChar w:fldCharType="separate"/>
      </w:r>
      <w:r>
        <w:rPr>
          <w:i w:val="0"/>
          <w:iCs w:val="0"/>
        </w:rPr>
        <w:t>12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_Toc12275 </w:instrText>
      </w:r>
      <w:r>
        <w:rPr>
          <w:i w:val="0"/>
          <w:iCs w:val="0"/>
          <w:szCs w:val="24"/>
        </w:rPr>
        <w:fldChar w:fldCharType="separate"/>
      </w:r>
      <w:r>
        <w:rPr>
          <w:rFonts w:eastAsia="黑体"/>
          <w:i w:val="0"/>
          <w:iCs w:val="0"/>
          <w:szCs w:val="28"/>
        </w:rPr>
        <w:t>一、近几年土地供应总量及结构</w:t>
      </w:r>
      <w:r>
        <w:rPr>
          <w:i w:val="0"/>
          <w:iCs w:val="0"/>
        </w:rPr>
        <w:tab/>
      </w:r>
      <w:r>
        <w:rPr>
          <w:i w:val="0"/>
          <w:iCs w:val="0"/>
        </w:rPr>
        <w:fldChar w:fldCharType="begin"/>
      </w:r>
      <w:r>
        <w:rPr>
          <w:i w:val="0"/>
          <w:iCs w:val="0"/>
        </w:rPr>
        <w:instrText xml:space="preserve"> PAGEREF _Toc12275 </w:instrText>
      </w:r>
      <w:r>
        <w:rPr>
          <w:i w:val="0"/>
          <w:iCs w:val="0"/>
        </w:rPr>
        <w:fldChar w:fldCharType="separate"/>
      </w:r>
      <w:r>
        <w:rPr>
          <w:i w:val="0"/>
          <w:iCs w:val="0"/>
        </w:rPr>
        <w:t>12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_Toc11043 </w:instrText>
      </w:r>
      <w:r>
        <w:rPr>
          <w:i w:val="0"/>
          <w:iCs w:val="0"/>
          <w:szCs w:val="24"/>
        </w:rPr>
        <w:fldChar w:fldCharType="separate"/>
      </w:r>
      <w:r>
        <w:rPr>
          <w:rFonts w:eastAsia="黑体"/>
          <w:i w:val="0"/>
          <w:iCs w:val="0"/>
          <w:szCs w:val="28"/>
        </w:rPr>
        <w:t>二、房地市场状况分析</w:t>
      </w:r>
      <w:r>
        <w:rPr>
          <w:i w:val="0"/>
          <w:iCs w:val="0"/>
        </w:rPr>
        <w:tab/>
      </w:r>
      <w:r>
        <w:rPr>
          <w:i w:val="0"/>
          <w:iCs w:val="0"/>
        </w:rPr>
        <w:fldChar w:fldCharType="begin"/>
      </w:r>
      <w:r>
        <w:rPr>
          <w:i w:val="0"/>
          <w:iCs w:val="0"/>
        </w:rPr>
        <w:instrText xml:space="preserve"> PAGEREF _Toc11043 </w:instrText>
      </w:r>
      <w:r>
        <w:rPr>
          <w:i w:val="0"/>
          <w:iCs w:val="0"/>
        </w:rPr>
        <w:fldChar w:fldCharType="separate"/>
      </w:r>
      <w:r>
        <w:rPr>
          <w:i w:val="0"/>
          <w:iCs w:val="0"/>
        </w:rPr>
        <w:t>13</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_Toc26956 </w:instrText>
      </w:r>
      <w:r>
        <w:rPr>
          <w:i w:val="0"/>
          <w:iCs w:val="0"/>
          <w:szCs w:val="24"/>
        </w:rPr>
        <w:fldChar w:fldCharType="separate"/>
      </w:r>
      <w:r>
        <w:rPr>
          <w:rFonts w:eastAsia="黑体"/>
          <w:i w:val="0"/>
          <w:iCs w:val="0"/>
          <w:szCs w:val="32"/>
        </w:rPr>
        <w:t>第三章  工作概况</w:t>
      </w:r>
      <w:r>
        <w:rPr>
          <w:i w:val="0"/>
          <w:iCs w:val="0"/>
        </w:rPr>
        <w:tab/>
      </w:r>
      <w:r>
        <w:rPr>
          <w:i w:val="0"/>
          <w:iCs w:val="0"/>
        </w:rPr>
        <w:fldChar w:fldCharType="begin"/>
      </w:r>
      <w:r>
        <w:rPr>
          <w:i w:val="0"/>
          <w:iCs w:val="0"/>
        </w:rPr>
        <w:instrText xml:space="preserve"> PAGEREF _Toc26956 </w:instrText>
      </w:r>
      <w:r>
        <w:rPr>
          <w:i w:val="0"/>
          <w:iCs w:val="0"/>
        </w:rPr>
        <w:fldChar w:fldCharType="separate"/>
      </w:r>
      <w:r>
        <w:rPr>
          <w:i w:val="0"/>
          <w:iCs w:val="0"/>
        </w:rPr>
        <w:t>16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_Toc5971 </w:instrText>
      </w:r>
      <w:r>
        <w:rPr>
          <w:i w:val="0"/>
          <w:iCs w:val="0"/>
          <w:szCs w:val="24"/>
        </w:rPr>
        <w:fldChar w:fldCharType="separate"/>
      </w:r>
      <w:r>
        <w:rPr>
          <w:rFonts w:eastAsia="黑体"/>
          <w:i w:val="0"/>
          <w:iCs w:val="0"/>
          <w:szCs w:val="28"/>
        </w:rPr>
        <w:t>一、基准地价更新必要性</w:t>
      </w:r>
      <w:r>
        <w:rPr>
          <w:i w:val="0"/>
          <w:iCs w:val="0"/>
        </w:rPr>
        <w:tab/>
      </w:r>
      <w:r>
        <w:rPr>
          <w:i w:val="0"/>
          <w:iCs w:val="0"/>
        </w:rPr>
        <w:fldChar w:fldCharType="begin"/>
      </w:r>
      <w:r>
        <w:rPr>
          <w:i w:val="0"/>
          <w:iCs w:val="0"/>
        </w:rPr>
        <w:instrText xml:space="preserve"> PAGEREF _Toc5971 </w:instrText>
      </w:r>
      <w:r>
        <w:rPr>
          <w:i w:val="0"/>
          <w:iCs w:val="0"/>
        </w:rPr>
        <w:fldChar w:fldCharType="separate"/>
      </w:r>
      <w:r>
        <w:rPr>
          <w:i w:val="0"/>
          <w:iCs w:val="0"/>
        </w:rPr>
        <w:t>16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_Toc11434 </w:instrText>
      </w:r>
      <w:r>
        <w:rPr>
          <w:i w:val="0"/>
          <w:iCs w:val="0"/>
          <w:szCs w:val="24"/>
        </w:rPr>
        <w:fldChar w:fldCharType="separate"/>
      </w:r>
      <w:r>
        <w:rPr>
          <w:rFonts w:eastAsia="黑体"/>
          <w:i w:val="0"/>
          <w:iCs w:val="0"/>
          <w:szCs w:val="28"/>
        </w:rPr>
        <w:t>二、上一轮基准地价实施情况评价</w:t>
      </w:r>
      <w:r>
        <w:rPr>
          <w:i w:val="0"/>
          <w:iCs w:val="0"/>
        </w:rPr>
        <w:tab/>
      </w:r>
      <w:r>
        <w:rPr>
          <w:i w:val="0"/>
          <w:iCs w:val="0"/>
        </w:rPr>
        <w:fldChar w:fldCharType="begin"/>
      </w:r>
      <w:r>
        <w:rPr>
          <w:i w:val="0"/>
          <w:iCs w:val="0"/>
        </w:rPr>
        <w:instrText xml:space="preserve"> PAGEREF _Toc11434 </w:instrText>
      </w:r>
      <w:r>
        <w:rPr>
          <w:i w:val="0"/>
          <w:iCs w:val="0"/>
        </w:rPr>
        <w:fldChar w:fldCharType="separate"/>
      </w:r>
      <w:r>
        <w:rPr>
          <w:i w:val="0"/>
          <w:iCs w:val="0"/>
        </w:rPr>
        <w:t>17</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_Toc17299 </w:instrText>
      </w:r>
      <w:r>
        <w:rPr>
          <w:i w:val="0"/>
          <w:iCs w:val="0"/>
          <w:szCs w:val="24"/>
        </w:rPr>
        <w:fldChar w:fldCharType="separate"/>
      </w:r>
      <w:r>
        <w:rPr>
          <w:rFonts w:eastAsia="黑体"/>
          <w:i w:val="0"/>
          <w:iCs w:val="0"/>
          <w:szCs w:val="28"/>
        </w:rPr>
        <w:t>三、工作目标和任务</w:t>
      </w:r>
      <w:r>
        <w:rPr>
          <w:i w:val="0"/>
          <w:iCs w:val="0"/>
        </w:rPr>
        <w:tab/>
      </w:r>
      <w:r>
        <w:rPr>
          <w:i w:val="0"/>
          <w:iCs w:val="0"/>
        </w:rPr>
        <w:fldChar w:fldCharType="begin"/>
      </w:r>
      <w:r>
        <w:rPr>
          <w:i w:val="0"/>
          <w:iCs w:val="0"/>
        </w:rPr>
        <w:instrText xml:space="preserve"> PAGEREF _Toc17299 </w:instrText>
      </w:r>
      <w:r>
        <w:rPr>
          <w:i w:val="0"/>
          <w:iCs w:val="0"/>
        </w:rPr>
        <w:fldChar w:fldCharType="separate"/>
      </w:r>
      <w:r>
        <w:rPr>
          <w:i w:val="0"/>
          <w:iCs w:val="0"/>
        </w:rPr>
        <w:t>21</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_Toc6783 </w:instrText>
      </w:r>
      <w:r>
        <w:rPr>
          <w:i w:val="0"/>
          <w:iCs w:val="0"/>
          <w:szCs w:val="24"/>
        </w:rPr>
        <w:fldChar w:fldCharType="separate"/>
      </w:r>
      <w:r>
        <w:rPr>
          <w:rFonts w:eastAsia="黑体"/>
          <w:i w:val="0"/>
          <w:iCs w:val="0"/>
          <w:szCs w:val="28"/>
        </w:rPr>
        <w:t>四、工作依据</w:t>
      </w:r>
      <w:r>
        <w:rPr>
          <w:i w:val="0"/>
          <w:iCs w:val="0"/>
        </w:rPr>
        <w:tab/>
      </w:r>
      <w:r>
        <w:rPr>
          <w:i w:val="0"/>
          <w:iCs w:val="0"/>
        </w:rPr>
        <w:fldChar w:fldCharType="begin"/>
      </w:r>
      <w:r>
        <w:rPr>
          <w:i w:val="0"/>
          <w:iCs w:val="0"/>
        </w:rPr>
        <w:instrText xml:space="preserve"> PAGEREF _Toc6783 </w:instrText>
      </w:r>
      <w:r>
        <w:rPr>
          <w:i w:val="0"/>
          <w:iCs w:val="0"/>
        </w:rPr>
        <w:fldChar w:fldCharType="separate"/>
      </w:r>
      <w:r>
        <w:rPr>
          <w:i w:val="0"/>
          <w:iCs w:val="0"/>
        </w:rPr>
        <w:t>22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_Toc8562 </w:instrText>
      </w:r>
      <w:r>
        <w:rPr>
          <w:i w:val="0"/>
          <w:iCs w:val="0"/>
          <w:szCs w:val="24"/>
        </w:rPr>
        <w:fldChar w:fldCharType="separate"/>
      </w:r>
      <w:r>
        <w:rPr>
          <w:rFonts w:eastAsia="黑体"/>
          <w:i w:val="0"/>
          <w:iCs w:val="0"/>
          <w:szCs w:val="28"/>
        </w:rPr>
        <w:t>五、技术路线</w:t>
      </w:r>
      <w:r>
        <w:rPr>
          <w:i w:val="0"/>
          <w:iCs w:val="0"/>
        </w:rPr>
        <w:tab/>
      </w:r>
      <w:r>
        <w:rPr>
          <w:i w:val="0"/>
          <w:iCs w:val="0"/>
        </w:rPr>
        <w:fldChar w:fldCharType="begin"/>
      </w:r>
      <w:r>
        <w:rPr>
          <w:i w:val="0"/>
          <w:iCs w:val="0"/>
        </w:rPr>
        <w:instrText xml:space="preserve"> PAGEREF _Toc8562 </w:instrText>
      </w:r>
      <w:r>
        <w:rPr>
          <w:i w:val="0"/>
          <w:iCs w:val="0"/>
        </w:rPr>
        <w:fldChar w:fldCharType="separate"/>
      </w:r>
      <w:r>
        <w:rPr>
          <w:i w:val="0"/>
          <w:iCs w:val="0"/>
        </w:rPr>
        <w:t>24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_Toc3427 </w:instrText>
      </w:r>
      <w:r>
        <w:rPr>
          <w:i w:val="0"/>
          <w:iCs w:val="0"/>
          <w:szCs w:val="24"/>
        </w:rPr>
        <w:fldChar w:fldCharType="separate"/>
      </w:r>
      <w:r>
        <w:rPr>
          <w:rFonts w:hint="eastAsia" w:eastAsia="黑体"/>
          <w:i w:val="0"/>
          <w:iCs w:val="0"/>
          <w:szCs w:val="28"/>
        </w:rPr>
        <w:t>六</w:t>
      </w:r>
      <w:r>
        <w:rPr>
          <w:rFonts w:eastAsia="黑体"/>
          <w:i w:val="0"/>
          <w:iCs w:val="0"/>
          <w:szCs w:val="28"/>
        </w:rPr>
        <w:t>、工作范围</w:t>
      </w:r>
      <w:r>
        <w:rPr>
          <w:i w:val="0"/>
          <w:iCs w:val="0"/>
        </w:rPr>
        <w:tab/>
      </w:r>
      <w:r>
        <w:rPr>
          <w:i w:val="0"/>
          <w:iCs w:val="0"/>
        </w:rPr>
        <w:fldChar w:fldCharType="begin"/>
      </w:r>
      <w:r>
        <w:rPr>
          <w:i w:val="0"/>
          <w:iCs w:val="0"/>
        </w:rPr>
        <w:instrText xml:space="preserve"> PAGEREF _Toc3427 </w:instrText>
      </w:r>
      <w:r>
        <w:rPr>
          <w:i w:val="0"/>
          <w:iCs w:val="0"/>
        </w:rPr>
        <w:fldChar w:fldCharType="separate"/>
      </w:r>
      <w:r>
        <w:rPr>
          <w:i w:val="0"/>
          <w:iCs w:val="0"/>
        </w:rPr>
        <w:t>26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_Toc7017 </w:instrText>
      </w:r>
      <w:r>
        <w:rPr>
          <w:i w:val="0"/>
          <w:iCs w:val="0"/>
          <w:szCs w:val="24"/>
        </w:rPr>
        <w:fldChar w:fldCharType="separate"/>
      </w:r>
      <w:r>
        <w:rPr>
          <w:rFonts w:hint="eastAsia" w:eastAsia="黑体"/>
          <w:i w:val="0"/>
          <w:iCs w:val="0"/>
          <w:szCs w:val="28"/>
        </w:rPr>
        <w:t>七</w:t>
      </w:r>
      <w:r>
        <w:rPr>
          <w:rFonts w:eastAsia="黑体"/>
          <w:i w:val="0"/>
          <w:iCs w:val="0"/>
          <w:szCs w:val="28"/>
        </w:rPr>
        <w:t>、工作开展状况</w:t>
      </w:r>
      <w:r>
        <w:rPr>
          <w:i w:val="0"/>
          <w:iCs w:val="0"/>
        </w:rPr>
        <w:tab/>
      </w:r>
      <w:r>
        <w:rPr>
          <w:i w:val="0"/>
          <w:iCs w:val="0"/>
        </w:rPr>
        <w:fldChar w:fldCharType="begin"/>
      </w:r>
      <w:r>
        <w:rPr>
          <w:i w:val="0"/>
          <w:iCs w:val="0"/>
        </w:rPr>
        <w:instrText xml:space="preserve"> PAGEREF _Toc7017 </w:instrText>
      </w:r>
      <w:r>
        <w:rPr>
          <w:i w:val="0"/>
          <w:iCs w:val="0"/>
        </w:rPr>
        <w:fldChar w:fldCharType="separate"/>
      </w:r>
      <w:r>
        <w:rPr>
          <w:i w:val="0"/>
          <w:iCs w:val="0"/>
        </w:rPr>
        <w:t>28</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_Toc16183 </w:instrText>
      </w:r>
      <w:r>
        <w:rPr>
          <w:i w:val="0"/>
          <w:iCs w:val="0"/>
          <w:szCs w:val="24"/>
        </w:rPr>
        <w:fldChar w:fldCharType="separate"/>
      </w:r>
      <w:r>
        <w:rPr>
          <w:rFonts w:eastAsia="黑体"/>
          <w:i w:val="0"/>
          <w:iCs w:val="0"/>
          <w:szCs w:val="32"/>
        </w:rPr>
        <w:t>第四章  资料调查收集与整理</w:t>
      </w:r>
      <w:r>
        <w:rPr>
          <w:i w:val="0"/>
          <w:iCs w:val="0"/>
        </w:rPr>
        <w:tab/>
      </w:r>
      <w:r>
        <w:rPr>
          <w:i w:val="0"/>
          <w:iCs w:val="0"/>
        </w:rPr>
        <w:fldChar w:fldCharType="begin"/>
      </w:r>
      <w:r>
        <w:rPr>
          <w:i w:val="0"/>
          <w:iCs w:val="0"/>
        </w:rPr>
        <w:instrText xml:space="preserve"> PAGEREF _Toc16183 </w:instrText>
      </w:r>
      <w:r>
        <w:rPr>
          <w:i w:val="0"/>
          <w:iCs w:val="0"/>
        </w:rPr>
        <w:fldChar w:fldCharType="separate"/>
      </w:r>
      <w:r>
        <w:rPr>
          <w:i w:val="0"/>
          <w:iCs w:val="0"/>
        </w:rPr>
        <w:t>31</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_Toc24538 </w:instrText>
      </w:r>
      <w:r>
        <w:rPr>
          <w:i w:val="0"/>
          <w:iCs w:val="0"/>
          <w:szCs w:val="24"/>
        </w:rPr>
        <w:fldChar w:fldCharType="separate"/>
      </w:r>
      <w:r>
        <w:rPr>
          <w:rFonts w:eastAsia="黑体"/>
          <w:i w:val="0"/>
          <w:iCs w:val="0"/>
          <w:szCs w:val="28"/>
        </w:rPr>
        <w:t>一、资料收集的原则</w:t>
      </w:r>
      <w:r>
        <w:rPr>
          <w:i w:val="0"/>
          <w:iCs w:val="0"/>
        </w:rPr>
        <w:tab/>
      </w:r>
      <w:r>
        <w:rPr>
          <w:i w:val="0"/>
          <w:iCs w:val="0"/>
        </w:rPr>
        <w:fldChar w:fldCharType="begin"/>
      </w:r>
      <w:r>
        <w:rPr>
          <w:i w:val="0"/>
          <w:iCs w:val="0"/>
        </w:rPr>
        <w:instrText xml:space="preserve"> PAGEREF _Toc24538 </w:instrText>
      </w:r>
      <w:r>
        <w:rPr>
          <w:i w:val="0"/>
          <w:iCs w:val="0"/>
        </w:rPr>
        <w:fldChar w:fldCharType="separate"/>
      </w:r>
      <w:r>
        <w:rPr>
          <w:i w:val="0"/>
          <w:iCs w:val="0"/>
        </w:rPr>
        <w:t>31</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_Toc14527 </w:instrText>
      </w:r>
      <w:r>
        <w:rPr>
          <w:i w:val="0"/>
          <w:iCs w:val="0"/>
          <w:szCs w:val="24"/>
        </w:rPr>
        <w:fldChar w:fldCharType="separate"/>
      </w:r>
      <w:r>
        <w:rPr>
          <w:rFonts w:eastAsia="黑体"/>
          <w:i w:val="0"/>
          <w:iCs w:val="0"/>
          <w:szCs w:val="28"/>
        </w:rPr>
        <w:t>二、资料收集的内容</w:t>
      </w:r>
      <w:r>
        <w:rPr>
          <w:i w:val="0"/>
          <w:iCs w:val="0"/>
        </w:rPr>
        <w:tab/>
      </w:r>
      <w:r>
        <w:rPr>
          <w:i w:val="0"/>
          <w:iCs w:val="0"/>
        </w:rPr>
        <w:fldChar w:fldCharType="begin"/>
      </w:r>
      <w:r>
        <w:rPr>
          <w:i w:val="0"/>
          <w:iCs w:val="0"/>
        </w:rPr>
        <w:instrText xml:space="preserve"> PAGEREF _Toc14527 </w:instrText>
      </w:r>
      <w:r>
        <w:rPr>
          <w:i w:val="0"/>
          <w:iCs w:val="0"/>
        </w:rPr>
        <w:fldChar w:fldCharType="separate"/>
      </w:r>
      <w:r>
        <w:rPr>
          <w:i w:val="0"/>
          <w:iCs w:val="0"/>
        </w:rPr>
        <w:t>31</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_Toc8403 </w:instrText>
      </w:r>
      <w:r>
        <w:rPr>
          <w:i w:val="0"/>
          <w:iCs w:val="0"/>
          <w:szCs w:val="24"/>
        </w:rPr>
        <w:fldChar w:fldCharType="separate"/>
      </w:r>
      <w:r>
        <w:rPr>
          <w:rFonts w:eastAsia="黑体"/>
          <w:i w:val="0"/>
          <w:iCs w:val="0"/>
          <w:szCs w:val="28"/>
        </w:rPr>
        <w:t>三、资料收集的要求、程序和工作组织</w:t>
      </w:r>
      <w:r>
        <w:rPr>
          <w:i w:val="0"/>
          <w:iCs w:val="0"/>
        </w:rPr>
        <w:tab/>
      </w:r>
      <w:r>
        <w:rPr>
          <w:i w:val="0"/>
          <w:iCs w:val="0"/>
        </w:rPr>
        <w:fldChar w:fldCharType="begin"/>
      </w:r>
      <w:r>
        <w:rPr>
          <w:i w:val="0"/>
          <w:iCs w:val="0"/>
        </w:rPr>
        <w:instrText xml:space="preserve"> PAGEREF _Toc8403 </w:instrText>
      </w:r>
      <w:r>
        <w:rPr>
          <w:i w:val="0"/>
          <w:iCs w:val="0"/>
        </w:rPr>
        <w:fldChar w:fldCharType="separate"/>
      </w:r>
      <w:r>
        <w:rPr>
          <w:i w:val="0"/>
          <w:iCs w:val="0"/>
        </w:rPr>
        <w:t>34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_Toc26301 </w:instrText>
      </w:r>
      <w:r>
        <w:rPr>
          <w:i w:val="0"/>
          <w:iCs w:val="0"/>
          <w:szCs w:val="24"/>
        </w:rPr>
        <w:fldChar w:fldCharType="separate"/>
      </w:r>
      <w:r>
        <w:rPr>
          <w:rFonts w:eastAsia="黑体"/>
          <w:i w:val="0"/>
          <w:iCs w:val="0"/>
          <w:szCs w:val="28"/>
        </w:rPr>
        <w:t>四、资料收集结果</w:t>
      </w:r>
      <w:r>
        <w:rPr>
          <w:i w:val="0"/>
          <w:iCs w:val="0"/>
        </w:rPr>
        <w:tab/>
      </w:r>
      <w:r>
        <w:rPr>
          <w:i w:val="0"/>
          <w:iCs w:val="0"/>
        </w:rPr>
        <w:fldChar w:fldCharType="begin"/>
      </w:r>
      <w:r>
        <w:rPr>
          <w:i w:val="0"/>
          <w:iCs w:val="0"/>
        </w:rPr>
        <w:instrText xml:space="preserve"> PAGEREF _Toc26301 </w:instrText>
      </w:r>
      <w:r>
        <w:rPr>
          <w:i w:val="0"/>
          <w:iCs w:val="0"/>
        </w:rPr>
        <w:fldChar w:fldCharType="separate"/>
      </w:r>
      <w:r>
        <w:rPr>
          <w:i w:val="0"/>
          <w:iCs w:val="0"/>
        </w:rPr>
        <w:t>36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_Toc22330 </w:instrText>
      </w:r>
      <w:r>
        <w:rPr>
          <w:i w:val="0"/>
          <w:iCs w:val="0"/>
          <w:szCs w:val="24"/>
        </w:rPr>
        <w:fldChar w:fldCharType="separate"/>
      </w:r>
      <w:r>
        <w:rPr>
          <w:rFonts w:eastAsia="黑体"/>
          <w:i w:val="0"/>
          <w:iCs w:val="0"/>
          <w:szCs w:val="28"/>
        </w:rPr>
        <w:t>五、样点资料整理</w:t>
      </w:r>
      <w:r>
        <w:rPr>
          <w:i w:val="0"/>
          <w:iCs w:val="0"/>
        </w:rPr>
        <w:tab/>
      </w:r>
      <w:r>
        <w:rPr>
          <w:i w:val="0"/>
          <w:iCs w:val="0"/>
        </w:rPr>
        <w:fldChar w:fldCharType="begin"/>
      </w:r>
      <w:r>
        <w:rPr>
          <w:i w:val="0"/>
          <w:iCs w:val="0"/>
        </w:rPr>
        <w:instrText xml:space="preserve"> PAGEREF _Toc22330 </w:instrText>
      </w:r>
      <w:r>
        <w:rPr>
          <w:i w:val="0"/>
          <w:iCs w:val="0"/>
        </w:rPr>
        <w:fldChar w:fldCharType="separate"/>
      </w:r>
      <w:r>
        <w:rPr>
          <w:i w:val="0"/>
          <w:iCs w:val="0"/>
        </w:rPr>
        <w:t>38</w:t>
      </w:r>
      <w:r>
        <w:rPr>
          <w:i w:val="0"/>
          <w:iCs w:val="0"/>
        </w:rPr>
        <w:fldChar w:fldCharType="end"/>
      </w:r>
      <w:r>
        <w:rPr>
          <w:i w:val="0"/>
          <w:iCs w:val="0"/>
          <w:szCs w:val="24"/>
        </w:rPr>
        <w:fldChar w:fldCharType="end"/>
      </w:r>
    </w:p>
    <w:p>
      <w:pPr>
        <w:pStyle w:val="26"/>
        <w:tabs>
          <w:tab w:val="right" w:leader="dot" w:pos="8306"/>
        </w:tabs>
        <w:rPr>
          <w:i w:val="0"/>
          <w:iCs w:val="0"/>
        </w:rPr>
      </w:pPr>
      <w:r>
        <w:rPr>
          <w:i w:val="0"/>
          <w:iCs w:val="0"/>
          <w:szCs w:val="24"/>
        </w:rPr>
        <w:fldChar w:fldCharType="begin"/>
      </w:r>
      <w:r>
        <w:rPr>
          <w:i w:val="0"/>
          <w:iCs w:val="0"/>
          <w:szCs w:val="24"/>
        </w:rPr>
        <w:instrText xml:space="preserve"> HYPERLINK \l _Toc18693 </w:instrText>
      </w:r>
      <w:r>
        <w:rPr>
          <w:i w:val="0"/>
          <w:iCs w:val="0"/>
          <w:szCs w:val="24"/>
        </w:rPr>
        <w:fldChar w:fldCharType="separate"/>
      </w:r>
      <w:r>
        <w:rPr>
          <w:rFonts w:eastAsia="黑体"/>
          <w:i w:val="0"/>
          <w:iCs w:val="0"/>
          <w:szCs w:val="44"/>
        </w:rPr>
        <w:t>第二篇  城区土地定级</w:t>
      </w:r>
      <w:r>
        <w:rPr>
          <w:i w:val="0"/>
          <w:iCs w:val="0"/>
        </w:rPr>
        <w:tab/>
      </w:r>
      <w:r>
        <w:rPr>
          <w:i w:val="0"/>
          <w:iCs w:val="0"/>
        </w:rPr>
        <w:fldChar w:fldCharType="begin"/>
      </w:r>
      <w:r>
        <w:rPr>
          <w:i w:val="0"/>
          <w:iCs w:val="0"/>
        </w:rPr>
        <w:instrText xml:space="preserve"> PAGEREF _Toc18693 </w:instrText>
      </w:r>
      <w:r>
        <w:rPr>
          <w:i w:val="0"/>
          <w:iCs w:val="0"/>
        </w:rPr>
        <w:fldChar w:fldCharType="separate"/>
      </w:r>
      <w:r>
        <w:rPr>
          <w:i w:val="0"/>
          <w:iCs w:val="0"/>
        </w:rPr>
        <w:t>41</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_Toc19469 </w:instrText>
      </w:r>
      <w:r>
        <w:rPr>
          <w:i w:val="0"/>
          <w:iCs w:val="0"/>
          <w:szCs w:val="24"/>
        </w:rPr>
        <w:fldChar w:fldCharType="separate"/>
      </w:r>
      <w:r>
        <w:rPr>
          <w:rFonts w:eastAsia="黑体"/>
          <w:i w:val="0"/>
          <w:iCs w:val="0"/>
          <w:szCs w:val="32"/>
        </w:rPr>
        <w:t>第一章  土地定级技术路线和方法</w:t>
      </w:r>
      <w:r>
        <w:rPr>
          <w:i w:val="0"/>
          <w:iCs w:val="0"/>
        </w:rPr>
        <w:tab/>
      </w:r>
      <w:r>
        <w:rPr>
          <w:i w:val="0"/>
          <w:iCs w:val="0"/>
        </w:rPr>
        <w:fldChar w:fldCharType="begin"/>
      </w:r>
      <w:r>
        <w:rPr>
          <w:i w:val="0"/>
          <w:iCs w:val="0"/>
        </w:rPr>
        <w:instrText xml:space="preserve"> PAGEREF _Toc19469 </w:instrText>
      </w:r>
      <w:r>
        <w:rPr>
          <w:i w:val="0"/>
          <w:iCs w:val="0"/>
        </w:rPr>
        <w:fldChar w:fldCharType="separate"/>
      </w:r>
      <w:r>
        <w:rPr>
          <w:i w:val="0"/>
          <w:iCs w:val="0"/>
        </w:rPr>
        <w:t>41</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_Toc4909 </w:instrText>
      </w:r>
      <w:r>
        <w:rPr>
          <w:i w:val="0"/>
          <w:iCs w:val="0"/>
          <w:szCs w:val="24"/>
        </w:rPr>
        <w:fldChar w:fldCharType="separate"/>
      </w:r>
      <w:r>
        <w:rPr>
          <w:rFonts w:eastAsia="黑体"/>
          <w:i w:val="0"/>
          <w:iCs w:val="0"/>
          <w:szCs w:val="28"/>
        </w:rPr>
        <w:t>一、土地定级原则</w:t>
      </w:r>
      <w:r>
        <w:rPr>
          <w:i w:val="0"/>
          <w:iCs w:val="0"/>
        </w:rPr>
        <w:tab/>
      </w:r>
      <w:r>
        <w:rPr>
          <w:i w:val="0"/>
          <w:iCs w:val="0"/>
        </w:rPr>
        <w:fldChar w:fldCharType="begin"/>
      </w:r>
      <w:r>
        <w:rPr>
          <w:i w:val="0"/>
          <w:iCs w:val="0"/>
        </w:rPr>
        <w:instrText xml:space="preserve"> PAGEREF _Toc4909 </w:instrText>
      </w:r>
      <w:r>
        <w:rPr>
          <w:i w:val="0"/>
          <w:iCs w:val="0"/>
        </w:rPr>
        <w:fldChar w:fldCharType="separate"/>
      </w:r>
      <w:r>
        <w:rPr>
          <w:i w:val="0"/>
          <w:iCs w:val="0"/>
        </w:rPr>
        <w:t>41</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_Toc211 </w:instrText>
      </w:r>
      <w:r>
        <w:rPr>
          <w:i w:val="0"/>
          <w:iCs w:val="0"/>
          <w:szCs w:val="24"/>
        </w:rPr>
        <w:fldChar w:fldCharType="separate"/>
      </w:r>
      <w:r>
        <w:rPr>
          <w:rFonts w:eastAsia="黑体"/>
          <w:i w:val="0"/>
          <w:iCs w:val="0"/>
          <w:szCs w:val="28"/>
        </w:rPr>
        <w:t>二、土地定级的技术路线</w:t>
      </w:r>
      <w:r>
        <w:rPr>
          <w:i w:val="0"/>
          <w:iCs w:val="0"/>
        </w:rPr>
        <w:tab/>
      </w:r>
      <w:r>
        <w:rPr>
          <w:i w:val="0"/>
          <w:iCs w:val="0"/>
        </w:rPr>
        <w:fldChar w:fldCharType="begin"/>
      </w:r>
      <w:r>
        <w:rPr>
          <w:i w:val="0"/>
          <w:iCs w:val="0"/>
        </w:rPr>
        <w:instrText xml:space="preserve"> PAGEREF _Toc211 </w:instrText>
      </w:r>
      <w:r>
        <w:rPr>
          <w:i w:val="0"/>
          <w:iCs w:val="0"/>
        </w:rPr>
        <w:fldChar w:fldCharType="separate"/>
      </w:r>
      <w:r>
        <w:rPr>
          <w:i w:val="0"/>
          <w:iCs w:val="0"/>
        </w:rPr>
        <w:t>42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_Toc5060 </w:instrText>
      </w:r>
      <w:r>
        <w:rPr>
          <w:i w:val="0"/>
          <w:iCs w:val="0"/>
          <w:szCs w:val="24"/>
        </w:rPr>
        <w:fldChar w:fldCharType="separate"/>
      </w:r>
      <w:r>
        <w:rPr>
          <w:rFonts w:eastAsia="黑体"/>
          <w:i w:val="0"/>
          <w:iCs w:val="0"/>
          <w:szCs w:val="28"/>
        </w:rPr>
        <w:t>三、土地定级的工作步骤</w:t>
      </w:r>
      <w:r>
        <w:rPr>
          <w:i w:val="0"/>
          <w:iCs w:val="0"/>
        </w:rPr>
        <w:tab/>
      </w:r>
      <w:r>
        <w:rPr>
          <w:i w:val="0"/>
          <w:iCs w:val="0"/>
        </w:rPr>
        <w:fldChar w:fldCharType="begin"/>
      </w:r>
      <w:r>
        <w:rPr>
          <w:i w:val="0"/>
          <w:iCs w:val="0"/>
        </w:rPr>
        <w:instrText xml:space="preserve"> PAGEREF _Toc5060 </w:instrText>
      </w:r>
      <w:r>
        <w:rPr>
          <w:i w:val="0"/>
          <w:iCs w:val="0"/>
        </w:rPr>
        <w:fldChar w:fldCharType="separate"/>
      </w:r>
      <w:r>
        <w:rPr>
          <w:i w:val="0"/>
          <w:iCs w:val="0"/>
        </w:rPr>
        <w:t>44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_Toc6264 </w:instrText>
      </w:r>
      <w:r>
        <w:rPr>
          <w:i w:val="0"/>
          <w:iCs w:val="0"/>
          <w:szCs w:val="24"/>
        </w:rPr>
        <w:fldChar w:fldCharType="separate"/>
      </w:r>
      <w:r>
        <w:rPr>
          <w:rFonts w:eastAsia="黑体"/>
          <w:i w:val="0"/>
          <w:iCs w:val="0"/>
          <w:szCs w:val="28"/>
        </w:rPr>
        <w:t>四、土地定级的技术方法</w:t>
      </w:r>
      <w:r>
        <w:rPr>
          <w:i w:val="0"/>
          <w:iCs w:val="0"/>
        </w:rPr>
        <w:tab/>
      </w:r>
      <w:r>
        <w:rPr>
          <w:i w:val="0"/>
          <w:iCs w:val="0"/>
        </w:rPr>
        <w:fldChar w:fldCharType="begin"/>
      </w:r>
      <w:r>
        <w:rPr>
          <w:i w:val="0"/>
          <w:iCs w:val="0"/>
        </w:rPr>
        <w:instrText xml:space="preserve"> PAGEREF _Toc6264 </w:instrText>
      </w:r>
      <w:r>
        <w:rPr>
          <w:i w:val="0"/>
          <w:iCs w:val="0"/>
        </w:rPr>
        <w:fldChar w:fldCharType="separate"/>
      </w:r>
      <w:r>
        <w:rPr>
          <w:i w:val="0"/>
          <w:iCs w:val="0"/>
        </w:rPr>
        <w:t>45</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_Toc7732 </w:instrText>
      </w:r>
      <w:r>
        <w:rPr>
          <w:i w:val="0"/>
          <w:iCs w:val="0"/>
          <w:szCs w:val="24"/>
        </w:rPr>
        <w:fldChar w:fldCharType="separate"/>
      </w:r>
      <w:r>
        <w:rPr>
          <w:rFonts w:eastAsia="黑体"/>
          <w:i w:val="0"/>
          <w:iCs w:val="0"/>
          <w:szCs w:val="32"/>
        </w:rPr>
        <w:t>第二章  土地定级因素选择和权重确定</w:t>
      </w:r>
      <w:r>
        <w:rPr>
          <w:i w:val="0"/>
          <w:iCs w:val="0"/>
        </w:rPr>
        <w:tab/>
      </w:r>
      <w:r>
        <w:rPr>
          <w:i w:val="0"/>
          <w:iCs w:val="0"/>
        </w:rPr>
        <w:fldChar w:fldCharType="begin"/>
      </w:r>
      <w:r>
        <w:rPr>
          <w:i w:val="0"/>
          <w:iCs w:val="0"/>
        </w:rPr>
        <w:instrText xml:space="preserve"> PAGEREF _Toc7732 </w:instrText>
      </w:r>
      <w:r>
        <w:rPr>
          <w:i w:val="0"/>
          <w:iCs w:val="0"/>
        </w:rPr>
        <w:fldChar w:fldCharType="separate"/>
      </w:r>
      <w:r>
        <w:rPr>
          <w:i w:val="0"/>
          <w:iCs w:val="0"/>
        </w:rPr>
        <w:t>46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_Toc11305 </w:instrText>
      </w:r>
      <w:r>
        <w:rPr>
          <w:i w:val="0"/>
          <w:iCs w:val="0"/>
          <w:szCs w:val="24"/>
        </w:rPr>
        <w:fldChar w:fldCharType="separate"/>
      </w:r>
      <w:r>
        <w:rPr>
          <w:rFonts w:eastAsia="黑体"/>
          <w:i w:val="0"/>
          <w:iCs w:val="0"/>
          <w:szCs w:val="28"/>
        </w:rPr>
        <w:t>一、土地定级因素选择</w:t>
      </w:r>
      <w:r>
        <w:rPr>
          <w:i w:val="0"/>
          <w:iCs w:val="0"/>
        </w:rPr>
        <w:tab/>
      </w:r>
      <w:r>
        <w:rPr>
          <w:i w:val="0"/>
          <w:iCs w:val="0"/>
        </w:rPr>
        <w:fldChar w:fldCharType="begin"/>
      </w:r>
      <w:r>
        <w:rPr>
          <w:i w:val="0"/>
          <w:iCs w:val="0"/>
        </w:rPr>
        <w:instrText xml:space="preserve"> PAGEREF _Toc11305 </w:instrText>
      </w:r>
      <w:r>
        <w:rPr>
          <w:i w:val="0"/>
          <w:iCs w:val="0"/>
        </w:rPr>
        <w:fldChar w:fldCharType="separate"/>
      </w:r>
      <w:r>
        <w:rPr>
          <w:i w:val="0"/>
          <w:iCs w:val="0"/>
        </w:rPr>
        <w:t>46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_Toc21690 </w:instrText>
      </w:r>
      <w:r>
        <w:rPr>
          <w:i w:val="0"/>
          <w:iCs w:val="0"/>
          <w:szCs w:val="24"/>
        </w:rPr>
        <w:fldChar w:fldCharType="separate"/>
      </w:r>
      <w:r>
        <w:rPr>
          <w:rFonts w:eastAsia="黑体"/>
          <w:i w:val="0"/>
          <w:iCs w:val="0"/>
          <w:szCs w:val="28"/>
        </w:rPr>
        <w:t>二、土地定级因素</w:t>
      </w:r>
      <w:r>
        <w:rPr>
          <w:rFonts w:hint="eastAsia" w:eastAsia="黑体"/>
          <w:i w:val="0"/>
          <w:iCs w:val="0"/>
          <w:szCs w:val="28"/>
        </w:rPr>
        <w:t>、因子</w:t>
      </w:r>
      <w:r>
        <w:rPr>
          <w:rFonts w:eastAsia="黑体"/>
          <w:i w:val="0"/>
          <w:iCs w:val="0"/>
          <w:szCs w:val="28"/>
        </w:rPr>
        <w:t>权重确定</w:t>
      </w:r>
      <w:r>
        <w:rPr>
          <w:i w:val="0"/>
          <w:iCs w:val="0"/>
        </w:rPr>
        <w:tab/>
      </w:r>
      <w:r>
        <w:rPr>
          <w:i w:val="0"/>
          <w:iCs w:val="0"/>
        </w:rPr>
        <w:fldChar w:fldCharType="begin"/>
      </w:r>
      <w:r>
        <w:rPr>
          <w:i w:val="0"/>
          <w:iCs w:val="0"/>
        </w:rPr>
        <w:instrText xml:space="preserve"> PAGEREF _Toc21690 </w:instrText>
      </w:r>
      <w:r>
        <w:rPr>
          <w:i w:val="0"/>
          <w:iCs w:val="0"/>
        </w:rPr>
        <w:fldChar w:fldCharType="separate"/>
      </w:r>
      <w:r>
        <w:rPr>
          <w:i w:val="0"/>
          <w:iCs w:val="0"/>
        </w:rPr>
        <w:t>50</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_Toc5099 </w:instrText>
      </w:r>
      <w:r>
        <w:rPr>
          <w:i w:val="0"/>
          <w:iCs w:val="0"/>
          <w:szCs w:val="24"/>
        </w:rPr>
        <w:fldChar w:fldCharType="separate"/>
      </w:r>
      <w:r>
        <w:rPr>
          <w:rFonts w:eastAsia="黑体"/>
          <w:i w:val="0"/>
          <w:iCs w:val="0"/>
          <w:szCs w:val="32"/>
        </w:rPr>
        <w:t>第三章  土地定级因素量化及作用分值计算</w:t>
      </w:r>
      <w:r>
        <w:rPr>
          <w:i w:val="0"/>
          <w:iCs w:val="0"/>
        </w:rPr>
        <w:tab/>
      </w:r>
      <w:r>
        <w:rPr>
          <w:i w:val="0"/>
          <w:iCs w:val="0"/>
        </w:rPr>
        <w:fldChar w:fldCharType="begin"/>
      </w:r>
      <w:r>
        <w:rPr>
          <w:i w:val="0"/>
          <w:iCs w:val="0"/>
        </w:rPr>
        <w:instrText xml:space="preserve"> PAGEREF _Toc5099 </w:instrText>
      </w:r>
      <w:r>
        <w:rPr>
          <w:i w:val="0"/>
          <w:iCs w:val="0"/>
        </w:rPr>
        <w:fldChar w:fldCharType="separate"/>
      </w:r>
      <w:r>
        <w:rPr>
          <w:i w:val="0"/>
          <w:iCs w:val="0"/>
        </w:rPr>
        <w:t>56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_Toc23321 </w:instrText>
      </w:r>
      <w:r>
        <w:rPr>
          <w:i w:val="0"/>
          <w:iCs w:val="0"/>
          <w:szCs w:val="24"/>
        </w:rPr>
        <w:fldChar w:fldCharType="separate"/>
      </w:r>
      <w:r>
        <w:rPr>
          <w:rFonts w:eastAsia="黑体"/>
          <w:i w:val="0"/>
          <w:iCs w:val="0"/>
          <w:szCs w:val="28"/>
        </w:rPr>
        <w:t>一、土地定级资料量化的一般要求</w:t>
      </w:r>
      <w:r>
        <w:rPr>
          <w:i w:val="0"/>
          <w:iCs w:val="0"/>
        </w:rPr>
        <w:tab/>
      </w:r>
      <w:r>
        <w:rPr>
          <w:i w:val="0"/>
          <w:iCs w:val="0"/>
        </w:rPr>
        <w:fldChar w:fldCharType="begin"/>
      </w:r>
      <w:r>
        <w:rPr>
          <w:i w:val="0"/>
          <w:iCs w:val="0"/>
        </w:rPr>
        <w:instrText xml:space="preserve"> PAGEREF _Toc23321 </w:instrText>
      </w:r>
      <w:r>
        <w:rPr>
          <w:i w:val="0"/>
          <w:iCs w:val="0"/>
        </w:rPr>
        <w:fldChar w:fldCharType="separate"/>
      </w:r>
      <w:r>
        <w:rPr>
          <w:i w:val="0"/>
          <w:iCs w:val="0"/>
        </w:rPr>
        <w:t>56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_Toc10494 </w:instrText>
      </w:r>
      <w:r>
        <w:rPr>
          <w:i w:val="0"/>
          <w:iCs w:val="0"/>
          <w:szCs w:val="24"/>
        </w:rPr>
        <w:fldChar w:fldCharType="separate"/>
      </w:r>
      <w:r>
        <w:rPr>
          <w:rFonts w:eastAsia="黑体"/>
          <w:i w:val="0"/>
          <w:iCs w:val="0"/>
          <w:szCs w:val="28"/>
        </w:rPr>
        <w:t>二、商服繁华影响度量化</w:t>
      </w:r>
      <w:r>
        <w:rPr>
          <w:i w:val="0"/>
          <w:iCs w:val="0"/>
        </w:rPr>
        <w:tab/>
      </w:r>
      <w:r>
        <w:rPr>
          <w:i w:val="0"/>
          <w:iCs w:val="0"/>
        </w:rPr>
        <w:fldChar w:fldCharType="begin"/>
      </w:r>
      <w:r>
        <w:rPr>
          <w:i w:val="0"/>
          <w:iCs w:val="0"/>
        </w:rPr>
        <w:instrText xml:space="preserve"> PAGEREF _Toc10494 </w:instrText>
      </w:r>
      <w:r>
        <w:rPr>
          <w:i w:val="0"/>
          <w:iCs w:val="0"/>
        </w:rPr>
        <w:fldChar w:fldCharType="separate"/>
      </w:r>
      <w:r>
        <w:rPr>
          <w:i w:val="0"/>
          <w:iCs w:val="0"/>
        </w:rPr>
        <w:t>56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_Toc32757 </w:instrText>
      </w:r>
      <w:r>
        <w:rPr>
          <w:i w:val="0"/>
          <w:iCs w:val="0"/>
          <w:szCs w:val="24"/>
        </w:rPr>
        <w:fldChar w:fldCharType="separate"/>
      </w:r>
      <w:r>
        <w:rPr>
          <w:rFonts w:eastAsia="黑体"/>
          <w:i w:val="0"/>
          <w:iCs w:val="0"/>
          <w:szCs w:val="28"/>
        </w:rPr>
        <w:t>三、交通条件的量化</w:t>
      </w:r>
      <w:r>
        <w:rPr>
          <w:i w:val="0"/>
          <w:iCs w:val="0"/>
        </w:rPr>
        <w:tab/>
      </w:r>
      <w:r>
        <w:rPr>
          <w:i w:val="0"/>
          <w:iCs w:val="0"/>
        </w:rPr>
        <w:fldChar w:fldCharType="begin"/>
      </w:r>
      <w:r>
        <w:rPr>
          <w:i w:val="0"/>
          <w:iCs w:val="0"/>
        </w:rPr>
        <w:instrText xml:space="preserve"> PAGEREF _Toc32757 </w:instrText>
      </w:r>
      <w:r>
        <w:rPr>
          <w:i w:val="0"/>
          <w:iCs w:val="0"/>
        </w:rPr>
        <w:fldChar w:fldCharType="separate"/>
      </w:r>
      <w:r>
        <w:rPr>
          <w:i w:val="0"/>
          <w:iCs w:val="0"/>
        </w:rPr>
        <w:t>58</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_Toc30797 </w:instrText>
      </w:r>
      <w:r>
        <w:rPr>
          <w:i w:val="0"/>
          <w:iCs w:val="0"/>
          <w:szCs w:val="24"/>
        </w:rPr>
        <w:fldChar w:fldCharType="separate"/>
      </w:r>
      <w:r>
        <w:rPr>
          <w:rFonts w:eastAsia="黑体"/>
          <w:i w:val="0"/>
          <w:iCs w:val="0"/>
          <w:szCs w:val="28"/>
        </w:rPr>
        <w:t>四、基本设施状况的量化</w:t>
      </w:r>
      <w:r>
        <w:rPr>
          <w:i w:val="0"/>
          <w:iCs w:val="0"/>
        </w:rPr>
        <w:tab/>
      </w:r>
      <w:r>
        <w:rPr>
          <w:i w:val="0"/>
          <w:iCs w:val="0"/>
        </w:rPr>
        <w:fldChar w:fldCharType="begin"/>
      </w:r>
      <w:r>
        <w:rPr>
          <w:i w:val="0"/>
          <w:iCs w:val="0"/>
        </w:rPr>
        <w:instrText xml:space="preserve"> PAGEREF _Toc30797 </w:instrText>
      </w:r>
      <w:r>
        <w:rPr>
          <w:i w:val="0"/>
          <w:iCs w:val="0"/>
        </w:rPr>
        <w:fldChar w:fldCharType="separate"/>
      </w:r>
      <w:r>
        <w:rPr>
          <w:i w:val="0"/>
          <w:iCs w:val="0"/>
        </w:rPr>
        <w:t>61</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_Toc6650 </w:instrText>
      </w:r>
      <w:r>
        <w:rPr>
          <w:i w:val="0"/>
          <w:iCs w:val="0"/>
          <w:szCs w:val="24"/>
        </w:rPr>
        <w:fldChar w:fldCharType="separate"/>
      </w:r>
      <w:r>
        <w:rPr>
          <w:rFonts w:eastAsia="黑体"/>
          <w:i w:val="0"/>
          <w:iCs w:val="0"/>
          <w:szCs w:val="28"/>
        </w:rPr>
        <w:t>五、环境条件量化</w:t>
      </w:r>
      <w:r>
        <w:rPr>
          <w:i w:val="0"/>
          <w:iCs w:val="0"/>
        </w:rPr>
        <w:tab/>
      </w:r>
      <w:r>
        <w:rPr>
          <w:i w:val="0"/>
          <w:iCs w:val="0"/>
        </w:rPr>
        <w:fldChar w:fldCharType="begin"/>
      </w:r>
      <w:r>
        <w:rPr>
          <w:i w:val="0"/>
          <w:iCs w:val="0"/>
        </w:rPr>
        <w:instrText xml:space="preserve"> PAGEREF _Toc6650 </w:instrText>
      </w:r>
      <w:r>
        <w:rPr>
          <w:i w:val="0"/>
          <w:iCs w:val="0"/>
        </w:rPr>
        <w:fldChar w:fldCharType="separate"/>
      </w:r>
      <w:r>
        <w:rPr>
          <w:i w:val="0"/>
          <w:iCs w:val="0"/>
        </w:rPr>
        <w:t>66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_Toc19840 </w:instrText>
      </w:r>
      <w:r>
        <w:rPr>
          <w:i w:val="0"/>
          <w:iCs w:val="0"/>
          <w:szCs w:val="24"/>
        </w:rPr>
        <w:fldChar w:fldCharType="separate"/>
      </w:r>
      <w:r>
        <w:rPr>
          <w:rFonts w:ascii="黑体" w:hAnsi="宋体" w:eastAsia="黑体"/>
          <w:i w:val="0"/>
          <w:iCs w:val="0"/>
          <w:szCs w:val="28"/>
        </w:rPr>
        <w:t>六、人口状况</w:t>
      </w:r>
      <w:r>
        <w:rPr>
          <w:i w:val="0"/>
          <w:iCs w:val="0"/>
        </w:rPr>
        <w:tab/>
      </w:r>
      <w:r>
        <w:rPr>
          <w:i w:val="0"/>
          <w:iCs w:val="0"/>
        </w:rPr>
        <w:fldChar w:fldCharType="begin"/>
      </w:r>
      <w:r>
        <w:rPr>
          <w:i w:val="0"/>
          <w:iCs w:val="0"/>
        </w:rPr>
        <w:instrText xml:space="preserve"> PAGEREF _Toc19840 </w:instrText>
      </w:r>
      <w:r>
        <w:rPr>
          <w:i w:val="0"/>
          <w:iCs w:val="0"/>
        </w:rPr>
        <w:fldChar w:fldCharType="separate"/>
      </w:r>
      <w:r>
        <w:rPr>
          <w:i w:val="0"/>
          <w:iCs w:val="0"/>
        </w:rPr>
        <w:t>67</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_Toc32568 </w:instrText>
      </w:r>
      <w:r>
        <w:rPr>
          <w:i w:val="0"/>
          <w:iCs w:val="0"/>
          <w:szCs w:val="24"/>
        </w:rPr>
        <w:fldChar w:fldCharType="separate"/>
      </w:r>
      <w:r>
        <w:rPr>
          <w:rFonts w:hint="eastAsia" w:ascii="黑体" w:hAnsi="宋体" w:eastAsia="黑体"/>
          <w:i w:val="0"/>
          <w:iCs w:val="0"/>
          <w:szCs w:val="28"/>
        </w:rPr>
        <w:t>七</w:t>
      </w:r>
      <w:r>
        <w:rPr>
          <w:rFonts w:ascii="黑体" w:hAnsi="宋体" w:eastAsia="黑体"/>
          <w:i w:val="0"/>
          <w:iCs w:val="0"/>
          <w:szCs w:val="28"/>
        </w:rPr>
        <w:t>、产业集聚</w:t>
      </w:r>
      <w:r>
        <w:rPr>
          <w:rFonts w:hint="eastAsia" w:ascii="黑体" w:hAnsi="宋体" w:eastAsia="黑体"/>
          <w:i w:val="0"/>
          <w:iCs w:val="0"/>
          <w:szCs w:val="28"/>
        </w:rPr>
        <w:t>方面的因素</w:t>
      </w:r>
      <w:r>
        <w:rPr>
          <w:i w:val="0"/>
          <w:iCs w:val="0"/>
        </w:rPr>
        <w:tab/>
      </w:r>
      <w:r>
        <w:rPr>
          <w:i w:val="0"/>
          <w:iCs w:val="0"/>
        </w:rPr>
        <w:fldChar w:fldCharType="begin"/>
      </w:r>
      <w:r>
        <w:rPr>
          <w:i w:val="0"/>
          <w:iCs w:val="0"/>
        </w:rPr>
        <w:instrText xml:space="preserve"> PAGEREF _Toc32568 </w:instrText>
      </w:r>
      <w:r>
        <w:rPr>
          <w:i w:val="0"/>
          <w:iCs w:val="0"/>
        </w:rPr>
        <w:fldChar w:fldCharType="separate"/>
      </w:r>
      <w:r>
        <w:rPr>
          <w:i w:val="0"/>
          <w:iCs w:val="0"/>
        </w:rPr>
        <w:t>68</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_Toc868 </w:instrText>
      </w:r>
      <w:r>
        <w:rPr>
          <w:i w:val="0"/>
          <w:iCs w:val="0"/>
          <w:szCs w:val="24"/>
        </w:rPr>
        <w:fldChar w:fldCharType="separate"/>
      </w:r>
      <w:r>
        <w:rPr>
          <w:rFonts w:hint="eastAsia" w:ascii="黑体" w:hAnsi="宋体" w:eastAsia="黑体"/>
          <w:i w:val="0"/>
          <w:iCs w:val="0"/>
          <w:szCs w:val="28"/>
          <w:lang w:val="zh-CN"/>
        </w:rPr>
        <w:t>八、城市规划的量化</w:t>
      </w:r>
      <w:r>
        <w:rPr>
          <w:i w:val="0"/>
          <w:iCs w:val="0"/>
        </w:rPr>
        <w:tab/>
      </w:r>
      <w:r>
        <w:rPr>
          <w:i w:val="0"/>
          <w:iCs w:val="0"/>
        </w:rPr>
        <w:fldChar w:fldCharType="begin"/>
      </w:r>
      <w:r>
        <w:rPr>
          <w:i w:val="0"/>
          <w:iCs w:val="0"/>
        </w:rPr>
        <w:instrText xml:space="preserve"> PAGEREF _Toc868 </w:instrText>
      </w:r>
      <w:r>
        <w:rPr>
          <w:i w:val="0"/>
          <w:iCs w:val="0"/>
        </w:rPr>
        <w:fldChar w:fldCharType="separate"/>
      </w:r>
      <w:r>
        <w:rPr>
          <w:i w:val="0"/>
          <w:iCs w:val="0"/>
        </w:rPr>
        <w:t>69</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_Toc28761 </w:instrText>
      </w:r>
      <w:r>
        <w:rPr>
          <w:i w:val="0"/>
          <w:iCs w:val="0"/>
          <w:szCs w:val="24"/>
        </w:rPr>
        <w:fldChar w:fldCharType="separate"/>
      </w:r>
      <w:r>
        <w:rPr>
          <w:rFonts w:hint="eastAsia" w:eastAsia="黑体"/>
          <w:i w:val="0"/>
          <w:iCs w:val="0"/>
          <w:szCs w:val="28"/>
        </w:rPr>
        <w:t>九</w:t>
      </w:r>
      <w:r>
        <w:rPr>
          <w:rFonts w:eastAsia="黑体"/>
          <w:i w:val="0"/>
          <w:iCs w:val="0"/>
          <w:szCs w:val="28"/>
        </w:rPr>
        <w:t>、综合定级因素因子分布图</w:t>
      </w:r>
      <w:r>
        <w:rPr>
          <w:i w:val="0"/>
          <w:iCs w:val="0"/>
        </w:rPr>
        <w:tab/>
      </w:r>
      <w:r>
        <w:rPr>
          <w:i w:val="0"/>
          <w:iCs w:val="0"/>
        </w:rPr>
        <w:fldChar w:fldCharType="begin"/>
      </w:r>
      <w:r>
        <w:rPr>
          <w:i w:val="0"/>
          <w:iCs w:val="0"/>
        </w:rPr>
        <w:instrText xml:space="preserve"> PAGEREF _Toc28761 </w:instrText>
      </w:r>
      <w:r>
        <w:rPr>
          <w:i w:val="0"/>
          <w:iCs w:val="0"/>
        </w:rPr>
        <w:fldChar w:fldCharType="separate"/>
      </w:r>
      <w:r>
        <w:rPr>
          <w:i w:val="0"/>
          <w:iCs w:val="0"/>
        </w:rPr>
        <w:t>70</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_Toc11458 </w:instrText>
      </w:r>
      <w:r>
        <w:rPr>
          <w:i w:val="0"/>
          <w:iCs w:val="0"/>
          <w:szCs w:val="24"/>
        </w:rPr>
        <w:fldChar w:fldCharType="separate"/>
      </w:r>
      <w:r>
        <w:rPr>
          <w:rFonts w:hint="eastAsia" w:eastAsia="黑体"/>
          <w:i w:val="0"/>
          <w:iCs w:val="0"/>
          <w:szCs w:val="28"/>
        </w:rPr>
        <w:t>十</w:t>
      </w:r>
      <w:r>
        <w:rPr>
          <w:rFonts w:eastAsia="黑体"/>
          <w:i w:val="0"/>
          <w:iCs w:val="0"/>
          <w:szCs w:val="28"/>
        </w:rPr>
        <w:t>、定级单元因素分值计算</w:t>
      </w:r>
      <w:r>
        <w:rPr>
          <w:i w:val="0"/>
          <w:iCs w:val="0"/>
        </w:rPr>
        <w:tab/>
      </w:r>
      <w:r>
        <w:rPr>
          <w:i w:val="0"/>
          <w:iCs w:val="0"/>
        </w:rPr>
        <w:fldChar w:fldCharType="begin"/>
      </w:r>
      <w:r>
        <w:rPr>
          <w:i w:val="0"/>
          <w:iCs w:val="0"/>
        </w:rPr>
        <w:instrText xml:space="preserve"> PAGEREF _Toc11458 </w:instrText>
      </w:r>
      <w:r>
        <w:rPr>
          <w:i w:val="0"/>
          <w:iCs w:val="0"/>
        </w:rPr>
        <w:fldChar w:fldCharType="separate"/>
      </w:r>
      <w:r>
        <w:rPr>
          <w:i w:val="0"/>
          <w:iCs w:val="0"/>
        </w:rPr>
        <w:t>71</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_Toc24224 </w:instrText>
      </w:r>
      <w:r>
        <w:rPr>
          <w:i w:val="0"/>
          <w:iCs w:val="0"/>
          <w:szCs w:val="24"/>
        </w:rPr>
        <w:fldChar w:fldCharType="separate"/>
      </w:r>
      <w:r>
        <w:rPr>
          <w:rFonts w:eastAsia="黑体"/>
          <w:i w:val="0"/>
          <w:iCs w:val="0"/>
          <w:szCs w:val="32"/>
        </w:rPr>
        <w:t>第四章  土地级别的确定</w:t>
      </w:r>
      <w:r>
        <w:rPr>
          <w:i w:val="0"/>
          <w:iCs w:val="0"/>
        </w:rPr>
        <w:tab/>
      </w:r>
      <w:r>
        <w:rPr>
          <w:i w:val="0"/>
          <w:iCs w:val="0"/>
        </w:rPr>
        <w:fldChar w:fldCharType="begin"/>
      </w:r>
      <w:r>
        <w:rPr>
          <w:i w:val="0"/>
          <w:iCs w:val="0"/>
        </w:rPr>
        <w:instrText xml:space="preserve"> PAGEREF _Toc24224 </w:instrText>
      </w:r>
      <w:r>
        <w:rPr>
          <w:i w:val="0"/>
          <w:iCs w:val="0"/>
        </w:rPr>
        <w:fldChar w:fldCharType="separate"/>
      </w:r>
      <w:r>
        <w:rPr>
          <w:i w:val="0"/>
          <w:iCs w:val="0"/>
        </w:rPr>
        <w:t>74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_Toc232 </w:instrText>
      </w:r>
      <w:r>
        <w:rPr>
          <w:i w:val="0"/>
          <w:iCs w:val="0"/>
          <w:szCs w:val="24"/>
        </w:rPr>
        <w:fldChar w:fldCharType="separate"/>
      </w:r>
      <w:r>
        <w:rPr>
          <w:rFonts w:eastAsia="黑体"/>
          <w:i w:val="0"/>
          <w:iCs w:val="0"/>
          <w:szCs w:val="28"/>
        </w:rPr>
        <w:t>一、定级单元总分值的计算</w:t>
      </w:r>
      <w:r>
        <w:rPr>
          <w:i w:val="0"/>
          <w:iCs w:val="0"/>
        </w:rPr>
        <w:tab/>
      </w:r>
      <w:r>
        <w:rPr>
          <w:i w:val="0"/>
          <w:iCs w:val="0"/>
        </w:rPr>
        <w:fldChar w:fldCharType="begin"/>
      </w:r>
      <w:r>
        <w:rPr>
          <w:i w:val="0"/>
          <w:iCs w:val="0"/>
        </w:rPr>
        <w:instrText xml:space="preserve"> PAGEREF _Toc232 </w:instrText>
      </w:r>
      <w:r>
        <w:rPr>
          <w:i w:val="0"/>
          <w:iCs w:val="0"/>
        </w:rPr>
        <w:fldChar w:fldCharType="separate"/>
      </w:r>
      <w:r>
        <w:rPr>
          <w:i w:val="0"/>
          <w:iCs w:val="0"/>
        </w:rPr>
        <w:t>74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_Toc27351 </w:instrText>
      </w:r>
      <w:r>
        <w:rPr>
          <w:i w:val="0"/>
          <w:iCs w:val="0"/>
          <w:szCs w:val="24"/>
        </w:rPr>
        <w:fldChar w:fldCharType="separate"/>
      </w:r>
      <w:r>
        <w:rPr>
          <w:rFonts w:eastAsia="黑体"/>
          <w:i w:val="0"/>
          <w:iCs w:val="0"/>
          <w:szCs w:val="28"/>
        </w:rPr>
        <w:t>二、土地级别总分值图级别界线的划定</w:t>
      </w:r>
      <w:r>
        <w:rPr>
          <w:i w:val="0"/>
          <w:iCs w:val="0"/>
        </w:rPr>
        <w:tab/>
      </w:r>
      <w:r>
        <w:rPr>
          <w:i w:val="0"/>
          <w:iCs w:val="0"/>
        </w:rPr>
        <w:fldChar w:fldCharType="begin"/>
      </w:r>
      <w:r>
        <w:rPr>
          <w:i w:val="0"/>
          <w:iCs w:val="0"/>
        </w:rPr>
        <w:instrText xml:space="preserve"> PAGEREF _Toc27351 </w:instrText>
      </w:r>
      <w:r>
        <w:rPr>
          <w:i w:val="0"/>
          <w:iCs w:val="0"/>
        </w:rPr>
        <w:fldChar w:fldCharType="separate"/>
      </w:r>
      <w:r>
        <w:rPr>
          <w:i w:val="0"/>
          <w:iCs w:val="0"/>
        </w:rPr>
        <w:t>75</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_Toc4457 </w:instrText>
      </w:r>
      <w:r>
        <w:rPr>
          <w:i w:val="0"/>
          <w:iCs w:val="0"/>
          <w:szCs w:val="24"/>
        </w:rPr>
        <w:fldChar w:fldCharType="separate"/>
      </w:r>
      <w:r>
        <w:rPr>
          <w:rFonts w:eastAsia="黑体"/>
          <w:i w:val="0"/>
          <w:iCs w:val="0"/>
          <w:szCs w:val="28"/>
        </w:rPr>
        <w:t>三、土地级别的初步划定</w:t>
      </w:r>
      <w:r>
        <w:rPr>
          <w:i w:val="0"/>
          <w:iCs w:val="0"/>
        </w:rPr>
        <w:tab/>
      </w:r>
      <w:r>
        <w:rPr>
          <w:i w:val="0"/>
          <w:iCs w:val="0"/>
        </w:rPr>
        <w:fldChar w:fldCharType="begin"/>
      </w:r>
      <w:r>
        <w:rPr>
          <w:i w:val="0"/>
          <w:iCs w:val="0"/>
        </w:rPr>
        <w:instrText xml:space="preserve"> PAGEREF _Toc4457 </w:instrText>
      </w:r>
      <w:r>
        <w:rPr>
          <w:i w:val="0"/>
          <w:iCs w:val="0"/>
        </w:rPr>
        <w:fldChar w:fldCharType="separate"/>
      </w:r>
      <w:r>
        <w:rPr>
          <w:i w:val="0"/>
          <w:iCs w:val="0"/>
        </w:rPr>
        <w:t>76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_Toc11399 </w:instrText>
      </w:r>
      <w:r>
        <w:rPr>
          <w:i w:val="0"/>
          <w:iCs w:val="0"/>
          <w:szCs w:val="24"/>
        </w:rPr>
        <w:fldChar w:fldCharType="separate"/>
      </w:r>
      <w:r>
        <w:rPr>
          <w:rFonts w:hint="eastAsia" w:eastAsia="黑体"/>
          <w:i w:val="0"/>
          <w:iCs w:val="0"/>
          <w:szCs w:val="28"/>
        </w:rPr>
        <w:t>四、</w:t>
      </w:r>
      <w:r>
        <w:rPr>
          <w:rFonts w:eastAsia="黑体"/>
          <w:i w:val="0"/>
          <w:iCs w:val="0"/>
          <w:szCs w:val="28"/>
        </w:rPr>
        <w:t>土地级别</w:t>
      </w:r>
      <w:r>
        <w:rPr>
          <w:rFonts w:hint="eastAsia" w:eastAsia="黑体"/>
          <w:i w:val="0"/>
          <w:iCs w:val="0"/>
          <w:szCs w:val="28"/>
        </w:rPr>
        <w:t>初步定级成果</w:t>
      </w:r>
      <w:r>
        <w:rPr>
          <w:i w:val="0"/>
          <w:iCs w:val="0"/>
        </w:rPr>
        <w:tab/>
      </w:r>
      <w:r>
        <w:rPr>
          <w:i w:val="0"/>
          <w:iCs w:val="0"/>
        </w:rPr>
        <w:fldChar w:fldCharType="begin"/>
      </w:r>
      <w:r>
        <w:rPr>
          <w:i w:val="0"/>
          <w:iCs w:val="0"/>
        </w:rPr>
        <w:instrText xml:space="preserve"> PAGEREF _Toc11399 </w:instrText>
      </w:r>
      <w:r>
        <w:rPr>
          <w:i w:val="0"/>
          <w:iCs w:val="0"/>
        </w:rPr>
        <w:fldChar w:fldCharType="separate"/>
      </w:r>
      <w:r>
        <w:rPr>
          <w:i w:val="0"/>
          <w:iCs w:val="0"/>
        </w:rPr>
        <w:t>77</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_Toc15068 </w:instrText>
      </w:r>
      <w:r>
        <w:rPr>
          <w:i w:val="0"/>
          <w:iCs w:val="0"/>
          <w:szCs w:val="24"/>
        </w:rPr>
        <w:fldChar w:fldCharType="separate"/>
      </w:r>
      <w:r>
        <w:rPr>
          <w:rFonts w:hint="eastAsia" w:eastAsia="黑体"/>
          <w:i w:val="0"/>
          <w:iCs w:val="0"/>
          <w:szCs w:val="28"/>
        </w:rPr>
        <w:t>五</w:t>
      </w:r>
      <w:r>
        <w:rPr>
          <w:rFonts w:eastAsia="黑体"/>
          <w:i w:val="0"/>
          <w:iCs w:val="0"/>
          <w:szCs w:val="28"/>
        </w:rPr>
        <w:t>、土地级别的检验及调整</w:t>
      </w:r>
      <w:r>
        <w:rPr>
          <w:i w:val="0"/>
          <w:iCs w:val="0"/>
        </w:rPr>
        <w:tab/>
      </w:r>
      <w:r>
        <w:rPr>
          <w:i w:val="0"/>
          <w:iCs w:val="0"/>
        </w:rPr>
        <w:fldChar w:fldCharType="begin"/>
      </w:r>
      <w:r>
        <w:rPr>
          <w:i w:val="0"/>
          <w:iCs w:val="0"/>
        </w:rPr>
        <w:instrText xml:space="preserve"> PAGEREF _Toc15068 </w:instrText>
      </w:r>
      <w:r>
        <w:rPr>
          <w:i w:val="0"/>
          <w:iCs w:val="0"/>
        </w:rPr>
        <w:fldChar w:fldCharType="separate"/>
      </w:r>
      <w:r>
        <w:rPr>
          <w:i w:val="0"/>
          <w:iCs w:val="0"/>
        </w:rPr>
        <w:t>78</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_Toc3134 </w:instrText>
      </w:r>
      <w:r>
        <w:rPr>
          <w:i w:val="0"/>
          <w:iCs w:val="0"/>
          <w:szCs w:val="24"/>
        </w:rPr>
        <w:fldChar w:fldCharType="separate"/>
      </w:r>
      <w:r>
        <w:rPr>
          <w:rFonts w:hint="eastAsia" w:eastAsia="黑体"/>
          <w:i w:val="0"/>
          <w:iCs w:val="0"/>
          <w:szCs w:val="28"/>
        </w:rPr>
        <w:t>六</w:t>
      </w:r>
      <w:r>
        <w:rPr>
          <w:rFonts w:eastAsia="黑体"/>
          <w:i w:val="0"/>
          <w:iCs w:val="0"/>
          <w:szCs w:val="28"/>
        </w:rPr>
        <w:t>、土地级别的最终确定</w:t>
      </w:r>
      <w:r>
        <w:rPr>
          <w:i w:val="0"/>
          <w:iCs w:val="0"/>
        </w:rPr>
        <w:tab/>
      </w:r>
      <w:r>
        <w:rPr>
          <w:i w:val="0"/>
          <w:iCs w:val="0"/>
        </w:rPr>
        <w:fldChar w:fldCharType="begin"/>
      </w:r>
      <w:r>
        <w:rPr>
          <w:i w:val="0"/>
          <w:iCs w:val="0"/>
        </w:rPr>
        <w:instrText xml:space="preserve"> PAGEREF _Toc3134 </w:instrText>
      </w:r>
      <w:r>
        <w:rPr>
          <w:i w:val="0"/>
          <w:iCs w:val="0"/>
        </w:rPr>
        <w:fldChar w:fldCharType="separate"/>
      </w:r>
      <w:r>
        <w:rPr>
          <w:i w:val="0"/>
          <w:iCs w:val="0"/>
        </w:rPr>
        <w:t>79</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_Toc4264 </w:instrText>
      </w:r>
      <w:r>
        <w:rPr>
          <w:i w:val="0"/>
          <w:iCs w:val="0"/>
          <w:szCs w:val="24"/>
        </w:rPr>
        <w:fldChar w:fldCharType="separate"/>
      </w:r>
      <w:r>
        <w:rPr>
          <w:rFonts w:eastAsia="黑体"/>
          <w:i w:val="0"/>
          <w:iCs w:val="0"/>
          <w:szCs w:val="32"/>
        </w:rPr>
        <w:t>第五章  均质区域划分</w:t>
      </w:r>
      <w:r>
        <w:rPr>
          <w:i w:val="0"/>
          <w:iCs w:val="0"/>
        </w:rPr>
        <w:tab/>
      </w:r>
      <w:r>
        <w:rPr>
          <w:i w:val="0"/>
          <w:iCs w:val="0"/>
        </w:rPr>
        <w:fldChar w:fldCharType="begin"/>
      </w:r>
      <w:r>
        <w:rPr>
          <w:i w:val="0"/>
          <w:iCs w:val="0"/>
        </w:rPr>
        <w:instrText xml:space="preserve"> PAGEREF _Toc4264 </w:instrText>
      </w:r>
      <w:r>
        <w:rPr>
          <w:i w:val="0"/>
          <w:iCs w:val="0"/>
        </w:rPr>
        <w:fldChar w:fldCharType="separate"/>
      </w:r>
      <w:r>
        <w:rPr>
          <w:i w:val="0"/>
          <w:iCs w:val="0"/>
        </w:rPr>
        <w:t>83</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_Toc4265 </w:instrText>
      </w:r>
      <w:r>
        <w:rPr>
          <w:i w:val="0"/>
          <w:iCs w:val="0"/>
          <w:szCs w:val="24"/>
        </w:rPr>
        <w:fldChar w:fldCharType="separate"/>
      </w:r>
      <w:r>
        <w:rPr>
          <w:rFonts w:eastAsia="黑体"/>
          <w:i w:val="0"/>
          <w:iCs w:val="0"/>
          <w:szCs w:val="28"/>
        </w:rPr>
        <w:t>一、均质地域划分的原则</w:t>
      </w:r>
      <w:r>
        <w:rPr>
          <w:i w:val="0"/>
          <w:iCs w:val="0"/>
        </w:rPr>
        <w:tab/>
      </w:r>
      <w:r>
        <w:rPr>
          <w:i w:val="0"/>
          <w:iCs w:val="0"/>
        </w:rPr>
        <w:fldChar w:fldCharType="begin"/>
      </w:r>
      <w:r>
        <w:rPr>
          <w:i w:val="0"/>
          <w:iCs w:val="0"/>
        </w:rPr>
        <w:instrText xml:space="preserve"> PAGEREF _Toc4265 </w:instrText>
      </w:r>
      <w:r>
        <w:rPr>
          <w:i w:val="0"/>
          <w:iCs w:val="0"/>
        </w:rPr>
        <w:fldChar w:fldCharType="separate"/>
      </w:r>
      <w:r>
        <w:rPr>
          <w:i w:val="0"/>
          <w:iCs w:val="0"/>
        </w:rPr>
        <w:t>83</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_Toc17438 </w:instrText>
      </w:r>
      <w:r>
        <w:rPr>
          <w:i w:val="0"/>
          <w:iCs w:val="0"/>
          <w:szCs w:val="24"/>
        </w:rPr>
        <w:fldChar w:fldCharType="separate"/>
      </w:r>
      <w:r>
        <w:rPr>
          <w:rFonts w:eastAsia="黑体"/>
          <w:i w:val="0"/>
          <w:iCs w:val="0"/>
          <w:szCs w:val="28"/>
        </w:rPr>
        <w:t>二、均质地域划分技术流程</w:t>
      </w:r>
      <w:r>
        <w:rPr>
          <w:i w:val="0"/>
          <w:iCs w:val="0"/>
        </w:rPr>
        <w:tab/>
      </w:r>
      <w:r>
        <w:rPr>
          <w:i w:val="0"/>
          <w:iCs w:val="0"/>
        </w:rPr>
        <w:fldChar w:fldCharType="begin"/>
      </w:r>
      <w:r>
        <w:rPr>
          <w:i w:val="0"/>
          <w:iCs w:val="0"/>
        </w:rPr>
        <w:instrText xml:space="preserve"> PAGEREF _Toc17438 </w:instrText>
      </w:r>
      <w:r>
        <w:rPr>
          <w:i w:val="0"/>
          <w:iCs w:val="0"/>
        </w:rPr>
        <w:fldChar w:fldCharType="separate"/>
      </w:r>
      <w:r>
        <w:rPr>
          <w:i w:val="0"/>
          <w:iCs w:val="0"/>
        </w:rPr>
        <w:t>83</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_Toc15813 </w:instrText>
      </w:r>
      <w:r>
        <w:rPr>
          <w:i w:val="0"/>
          <w:iCs w:val="0"/>
          <w:szCs w:val="24"/>
        </w:rPr>
        <w:fldChar w:fldCharType="separate"/>
      </w:r>
      <w:r>
        <w:rPr>
          <w:rFonts w:eastAsia="黑体"/>
          <w:i w:val="0"/>
          <w:iCs w:val="0"/>
          <w:szCs w:val="28"/>
        </w:rPr>
        <w:t>三、商服用地、住宅用地</w:t>
      </w:r>
      <w:r>
        <w:rPr>
          <w:rFonts w:hint="eastAsia" w:eastAsia="黑体"/>
          <w:i w:val="0"/>
          <w:iCs w:val="0"/>
          <w:szCs w:val="28"/>
        </w:rPr>
        <w:t>和公共管理与公共服务用地</w:t>
      </w:r>
      <w:r>
        <w:rPr>
          <w:rFonts w:eastAsia="黑体"/>
          <w:i w:val="0"/>
          <w:iCs w:val="0"/>
          <w:szCs w:val="28"/>
        </w:rPr>
        <w:t>均质区域作用分值测算过程和结果</w:t>
      </w:r>
      <w:r>
        <w:rPr>
          <w:i w:val="0"/>
          <w:iCs w:val="0"/>
        </w:rPr>
        <w:tab/>
      </w:r>
      <w:r>
        <w:rPr>
          <w:i w:val="0"/>
          <w:iCs w:val="0"/>
        </w:rPr>
        <w:fldChar w:fldCharType="begin"/>
      </w:r>
      <w:r>
        <w:rPr>
          <w:i w:val="0"/>
          <w:iCs w:val="0"/>
        </w:rPr>
        <w:instrText xml:space="preserve"> PAGEREF _Toc15813 </w:instrText>
      </w:r>
      <w:r>
        <w:rPr>
          <w:i w:val="0"/>
          <w:iCs w:val="0"/>
        </w:rPr>
        <w:fldChar w:fldCharType="separate"/>
      </w:r>
      <w:r>
        <w:rPr>
          <w:i w:val="0"/>
          <w:iCs w:val="0"/>
        </w:rPr>
        <w:t>84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_Toc18798 </w:instrText>
      </w:r>
      <w:r>
        <w:rPr>
          <w:i w:val="0"/>
          <w:iCs w:val="0"/>
          <w:szCs w:val="24"/>
        </w:rPr>
        <w:fldChar w:fldCharType="separate"/>
      </w:r>
      <w:r>
        <w:rPr>
          <w:rFonts w:hint="eastAsia" w:eastAsia="黑体"/>
          <w:i w:val="0"/>
          <w:iCs w:val="0"/>
          <w:szCs w:val="28"/>
        </w:rPr>
        <w:t>四</w:t>
      </w:r>
      <w:r>
        <w:rPr>
          <w:rFonts w:eastAsia="黑体"/>
          <w:i w:val="0"/>
          <w:iCs w:val="0"/>
          <w:szCs w:val="28"/>
        </w:rPr>
        <w:t>、</w:t>
      </w:r>
      <w:r>
        <w:rPr>
          <w:rFonts w:hint="eastAsia" w:eastAsia="黑体"/>
          <w:i w:val="0"/>
          <w:iCs w:val="0"/>
          <w:szCs w:val="28"/>
        </w:rPr>
        <w:t>工矿仓储用地</w:t>
      </w:r>
      <w:r>
        <w:rPr>
          <w:rFonts w:eastAsia="黑体"/>
          <w:i w:val="0"/>
          <w:iCs w:val="0"/>
          <w:szCs w:val="28"/>
        </w:rPr>
        <w:t>均质区域作用分值测算过程和结果</w:t>
      </w:r>
      <w:r>
        <w:rPr>
          <w:i w:val="0"/>
          <w:iCs w:val="0"/>
        </w:rPr>
        <w:tab/>
      </w:r>
      <w:r>
        <w:rPr>
          <w:i w:val="0"/>
          <w:iCs w:val="0"/>
        </w:rPr>
        <w:fldChar w:fldCharType="begin"/>
      </w:r>
      <w:r>
        <w:rPr>
          <w:i w:val="0"/>
          <w:iCs w:val="0"/>
        </w:rPr>
        <w:instrText xml:space="preserve"> PAGEREF _Toc18798 </w:instrText>
      </w:r>
      <w:r>
        <w:rPr>
          <w:i w:val="0"/>
          <w:iCs w:val="0"/>
        </w:rPr>
        <w:fldChar w:fldCharType="separate"/>
      </w:r>
      <w:r>
        <w:rPr>
          <w:i w:val="0"/>
          <w:iCs w:val="0"/>
        </w:rPr>
        <w:t>88</w:t>
      </w:r>
      <w:r>
        <w:rPr>
          <w:i w:val="0"/>
          <w:iCs w:val="0"/>
        </w:rPr>
        <w:fldChar w:fldCharType="end"/>
      </w:r>
      <w:r>
        <w:rPr>
          <w:i w:val="0"/>
          <w:iCs w:val="0"/>
          <w:szCs w:val="24"/>
        </w:rPr>
        <w:fldChar w:fldCharType="end"/>
      </w:r>
    </w:p>
    <w:p>
      <w:pPr>
        <w:pStyle w:val="26"/>
        <w:tabs>
          <w:tab w:val="right" w:leader="dot" w:pos="8306"/>
        </w:tabs>
        <w:rPr>
          <w:i w:val="0"/>
          <w:iCs w:val="0"/>
        </w:rPr>
      </w:pPr>
      <w:r>
        <w:rPr>
          <w:i w:val="0"/>
          <w:iCs w:val="0"/>
          <w:szCs w:val="24"/>
        </w:rPr>
        <w:fldChar w:fldCharType="begin"/>
      </w:r>
      <w:r>
        <w:rPr>
          <w:i w:val="0"/>
          <w:iCs w:val="0"/>
          <w:szCs w:val="24"/>
        </w:rPr>
        <w:instrText xml:space="preserve"> HYPERLINK \l _Toc24197 </w:instrText>
      </w:r>
      <w:r>
        <w:rPr>
          <w:i w:val="0"/>
          <w:iCs w:val="0"/>
          <w:szCs w:val="24"/>
        </w:rPr>
        <w:fldChar w:fldCharType="separate"/>
      </w:r>
      <w:r>
        <w:rPr>
          <w:rFonts w:eastAsia="黑体"/>
          <w:i w:val="0"/>
          <w:iCs w:val="0"/>
          <w:szCs w:val="44"/>
        </w:rPr>
        <w:t>第三篇   城区基准地价评估</w:t>
      </w:r>
      <w:r>
        <w:rPr>
          <w:i w:val="0"/>
          <w:iCs w:val="0"/>
        </w:rPr>
        <w:tab/>
      </w:r>
      <w:r>
        <w:rPr>
          <w:i w:val="0"/>
          <w:iCs w:val="0"/>
        </w:rPr>
        <w:fldChar w:fldCharType="begin"/>
      </w:r>
      <w:r>
        <w:rPr>
          <w:i w:val="0"/>
          <w:iCs w:val="0"/>
        </w:rPr>
        <w:instrText xml:space="preserve"> PAGEREF _Toc24197 </w:instrText>
      </w:r>
      <w:r>
        <w:rPr>
          <w:i w:val="0"/>
          <w:iCs w:val="0"/>
        </w:rPr>
        <w:fldChar w:fldCharType="separate"/>
      </w:r>
      <w:r>
        <w:rPr>
          <w:i w:val="0"/>
          <w:iCs w:val="0"/>
        </w:rPr>
        <w:t>92</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_Toc20796 </w:instrText>
      </w:r>
      <w:r>
        <w:rPr>
          <w:i w:val="0"/>
          <w:iCs w:val="0"/>
          <w:szCs w:val="24"/>
        </w:rPr>
        <w:fldChar w:fldCharType="separate"/>
      </w:r>
      <w:r>
        <w:rPr>
          <w:rFonts w:eastAsia="黑体"/>
          <w:i w:val="0"/>
          <w:iCs w:val="0"/>
          <w:szCs w:val="32"/>
        </w:rPr>
        <w:t>第一章  基准地价评估概述</w:t>
      </w:r>
      <w:r>
        <w:rPr>
          <w:i w:val="0"/>
          <w:iCs w:val="0"/>
        </w:rPr>
        <w:tab/>
      </w:r>
      <w:r>
        <w:rPr>
          <w:i w:val="0"/>
          <w:iCs w:val="0"/>
        </w:rPr>
        <w:fldChar w:fldCharType="begin"/>
      </w:r>
      <w:r>
        <w:rPr>
          <w:i w:val="0"/>
          <w:iCs w:val="0"/>
        </w:rPr>
        <w:instrText xml:space="preserve"> PAGEREF _Toc20796 </w:instrText>
      </w:r>
      <w:r>
        <w:rPr>
          <w:i w:val="0"/>
          <w:iCs w:val="0"/>
        </w:rPr>
        <w:fldChar w:fldCharType="separate"/>
      </w:r>
      <w:r>
        <w:rPr>
          <w:i w:val="0"/>
          <w:iCs w:val="0"/>
        </w:rPr>
        <w:t>92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_Toc5264 </w:instrText>
      </w:r>
      <w:r>
        <w:rPr>
          <w:i w:val="0"/>
          <w:iCs w:val="0"/>
          <w:szCs w:val="24"/>
        </w:rPr>
        <w:fldChar w:fldCharType="separate"/>
      </w:r>
      <w:r>
        <w:rPr>
          <w:rFonts w:eastAsia="黑体"/>
          <w:i w:val="0"/>
          <w:iCs w:val="0"/>
          <w:szCs w:val="28"/>
        </w:rPr>
        <w:t>一、基准地价的概念</w:t>
      </w:r>
      <w:r>
        <w:rPr>
          <w:i w:val="0"/>
          <w:iCs w:val="0"/>
        </w:rPr>
        <w:tab/>
      </w:r>
      <w:r>
        <w:rPr>
          <w:i w:val="0"/>
          <w:iCs w:val="0"/>
        </w:rPr>
        <w:fldChar w:fldCharType="begin"/>
      </w:r>
      <w:r>
        <w:rPr>
          <w:i w:val="0"/>
          <w:iCs w:val="0"/>
        </w:rPr>
        <w:instrText xml:space="preserve"> PAGEREF _Toc5264 </w:instrText>
      </w:r>
      <w:r>
        <w:rPr>
          <w:i w:val="0"/>
          <w:iCs w:val="0"/>
        </w:rPr>
        <w:fldChar w:fldCharType="separate"/>
      </w:r>
      <w:r>
        <w:rPr>
          <w:i w:val="0"/>
          <w:iCs w:val="0"/>
        </w:rPr>
        <w:t>92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_Toc9181 </w:instrText>
      </w:r>
      <w:r>
        <w:rPr>
          <w:i w:val="0"/>
          <w:iCs w:val="0"/>
          <w:szCs w:val="24"/>
        </w:rPr>
        <w:fldChar w:fldCharType="separate"/>
      </w:r>
      <w:r>
        <w:rPr>
          <w:rFonts w:eastAsia="黑体"/>
          <w:i w:val="0"/>
          <w:iCs w:val="0"/>
          <w:szCs w:val="28"/>
        </w:rPr>
        <w:t>二、基准地价评估理论基础</w:t>
      </w:r>
      <w:r>
        <w:rPr>
          <w:i w:val="0"/>
          <w:iCs w:val="0"/>
        </w:rPr>
        <w:tab/>
      </w:r>
      <w:r>
        <w:rPr>
          <w:i w:val="0"/>
          <w:iCs w:val="0"/>
        </w:rPr>
        <w:fldChar w:fldCharType="begin"/>
      </w:r>
      <w:r>
        <w:rPr>
          <w:i w:val="0"/>
          <w:iCs w:val="0"/>
        </w:rPr>
        <w:instrText xml:space="preserve"> PAGEREF _Toc9181 </w:instrText>
      </w:r>
      <w:r>
        <w:rPr>
          <w:i w:val="0"/>
          <w:iCs w:val="0"/>
        </w:rPr>
        <w:fldChar w:fldCharType="separate"/>
      </w:r>
      <w:r>
        <w:rPr>
          <w:i w:val="0"/>
          <w:iCs w:val="0"/>
        </w:rPr>
        <w:t>92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_Toc9991 </w:instrText>
      </w:r>
      <w:r>
        <w:rPr>
          <w:i w:val="0"/>
          <w:iCs w:val="0"/>
          <w:szCs w:val="24"/>
        </w:rPr>
        <w:fldChar w:fldCharType="separate"/>
      </w:r>
      <w:r>
        <w:rPr>
          <w:rFonts w:eastAsia="黑体"/>
          <w:i w:val="0"/>
          <w:iCs w:val="0"/>
          <w:szCs w:val="28"/>
        </w:rPr>
        <w:t>三、基准地价评估原则</w:t>
      </w:r>
      <w:r>
        <w:rPr>
          <w:i w:val="0"/>
          <w:iCs w:val="0"/>
        </w:rPr>
        <w:tab/>
      </w:r>
      <w:r>
        <w:rPr>
          <w:i w:val="0"/>
          <w:iCs w:val="0"/>
        </w:rPr>
        <w:fldChar w:fldCharType="begin"/>
      </w:r>
      <w:r>
        <w:rPr>
          <w:i w:val="0"/>
          <w:iCs w:val="0"/>
        </w:rPr>
        <w:instrText xml:space="preserve"> PAGEREF _Toc9991 </w:instrText>
      </w:r>
      <w:r>
        <w:rPr>
          <w:i w:val="0"/>
          <w:iCs w:val="0"/>
        </w:rPr>
        <w:fldChar w:fldCharType="separate"/>
      </w:r>
      <w:r>
        <w:rPr>
          <w:i w:val="0"/>
          <w:iCs w:val="0"/>
        </w:rPr>
        <w:t>93</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_Toc5001 </w:instrText>
      </w:r>
      <w:r>
        <w:rPr>
          <w:i w:val="0"/>
          <w:iCs w:val="0"/>
          <w:szCs w:val="24"/>
        </w:rPr>
        <w:fldChar w:fldCharType="separate"/>
      </w:r>
      <w:r>
        <w:rPr>
          <w:rFonts w:eastAsia="黑体"/>
          <w:i w:val="0"/>
          <w:iCs w:val="0"/>
          <w:szCs w:val="28"/>
        </w:rPr>
        <w:t>四、基准地价评估技术路线</w:t>
      </w:r>
      <w:r>
        <w:rPr>
          <w:i w:val="0"/>
          <w:iCs w:val="0"/>
        </w:rPr>
        <w:tab/>
      </w:r>
      <w:r>
        <w:rPr>
          <w:i w:val="0"/>
          <w:iCs w:val="0"/>
        </w:rPr>
        <w:fldChar w:fldCharType="begin"/>
      </w:r>
      <w:r>
        <w:rPr>
          <w:i w:val="0"/>
          <w:iCs w:val="0"/>
        </w:rPr>
        <w:instrText xml:space="preserve"> PAGEREF _Toc5001 </w:instrText>
      </w:r>
      <w:r>
        <w:rPr>
          <w:i w:val="0"/>
          <w:iCs w:val="0"/>
        </w:rPr>
        <w:fldChar w:fldCharType="separate"/>
      </w:r>
      <w:r>
        <w:rPr>
          <w:i w:val="0"/>
          <w:iCs w:val="0"/>
        </w:rPr>
        <w:t>96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_Toc4215 </w:instrText>
      </w:r>
      <w:r>
        <w:rPr>
          <w:i w:val="0"/>
          <w:iCs w:val="0"/>
          <w:szCs w:val="24"/>
        </w:rPr>
        <w:fldChar w:fldCharType="separate"/>
      </w:r>
      <w:r>
        <w:rPr>
          <w:rFonts w:eastAsia="黑体"/>
          <w:i w:val="0"/>
          <w:iCs w:val="0"/>
          <w:szCs w:val="28"/>
        </w:rPr>
        <w:t>五、基准地价更新步骤</w:t>
      </w:r>
      <w:r>
        <w:rPr>
          <w:i w:val="0"/>
          <w:iCs w:val="0"/>
        </w:rPr>
        <w:tab/>
      </w:r>
      <w:r>
        <w:rPr>
          <w:i w:val="0"/>
          <w:iCs w:val="0"/>
        </w:rPr>
        <w:fldChar w:fldCharType="begin"/>
      </w:r>
      <w:r>
        <w:rPr>
          <w:i w:val="0"/>
          <w:iCs w:val="0"/>
        </w:rPr>
        <w:instrText xml:space="preserve"> PAGEREF _Toc4215 </w:instrText>
      </w:r>
      <w:r>
        <w:rPr>
          <w:i w:val="0"/>
          <w:iCs w:val="0"/>
        </w:rPr>
        <w:fldChar w:fldCharType="separate"/>
      </w:r>
      <w:r>
        <w:rPr>
          <w:i w:val="0"/>
          <w:iCs w:val="0"/>
        </w:rPr>
        <w:t>98</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_Toc9471 </w:instrText>
      </w:r>
      <w:r>
        <w:rPr>
          <w:i w:val="0"/>
          <w:iCs w:val="0"/>
          <w:szCs w:val="24"/>
        </w:rPr>
        <w:fldChar w:fldCharType="separate"/>
      </w:r>
      <w:r>
        <w:rPr>
          <w:rFonts w:eastAsia="黑体"/>
          <w:i w:val="0"/>
          <w:iCs w:val="0"/>
          <w:szCs w:val="28"/>
        </w:rPr>
        <w:t>六、基准地价内涵</w:t>
      </w:r>
      <w:r>
        <w:rPr>
          <w:i w:val="0"/>
          <w:iCs w:val="0"/>
        </w:rPr>
        <w:tab/>
      </w:r>
      <w:r>
        <w:rPr>
          <w:i w:val="0"/>
          <w:iCs w:val="0"/>
        </w:rPr>
        <w:fldChar w:fldCharType="begin"/>
      </w:r>
      <w:r>
        <w:rPr>
          <w:i w:val="0"/>
          <w:iCs w:val="0"/>
        </w:rPr>
        <w:instrText xml:space="preserve"> PAGEREF _Toc9471 </w:instrText>
      </w:r>
      <w:r>
        <w:rPr>
          <w:i w:val="0"/>
          <w:iCs w:val="0"/>
        </w:rPr>
        <w:fldChar w:fldCharType="separate"/>
      </w:r>
      <w:r>
        <w:rPr>
          <w:i w:val="0"/>
          <w:iCs w:val="0"/>
        </w:rPr>
        <w:t>98</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_Toc19056 </w:instrText>
      </w:r>
      <w:r>
        <w:rPr>
          <w:i w:val="0"/>
          <w:iCs w:val="0"/>
          <w:szCs w:val="24"/>
        </w:rPr>
        <w:fldChar w:fldCharType="separate"/>
      </w:r>
      <w:r>
        <w:rPr>
          <w:rFonts w:eastAsia="黑体"/>
          <w:i w:val="0"/>
          <w:iCs w:val="0"/>
          <w:szCs w:val="28"/>
        </w:rPr>
        <w:t>七、基准地价表达方式</w:t>
      </w:r>
      <w:r>
        <w:rPr>
          <w:i w:val="0"/>
          <w:iCs w:val="0"/>
        </w:rPr>
        <w:tab/>
      </w:r>
      <w:r>
        <w:rPr>
          <w:i w:val="0"/>
          <w:iCs w:val="0"/>
        </w:rPr>
        <w:fldChar w:fldCharType="begin"/>
      </w:r>
      <w:r>
        <w:rPr>
          <w:i w:val="0"/>
          <w:iCs w:val="0"/>
        </w:rPr>
        <w:instrText xml:space="preserve"> PAGEREF _Toc19056 </w:instrText>
      </w:r>
      <w:r>
        <w:rPr>
          <w:i w:val="0"/>
          <w:iCs w:val="0"/>
        </w:rPr>
        <w:fldChar w:fldCharType="separate"/>
      </w:r>
      <w:r>
        <w:rPr>
          <w:i w:val="0"/>
          <w:iCs w:val="0"/>
        </w:rPr>
        <w:t>100</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_Toc14344 </w:instrText>
      </w:r>
      <w:r>
        <w:rPr>
          <w:i w:val="0"/>
          <w:iCs w:val="0"/>
          <w:szCs w:val="24"/>
        </w:rPr>
        <w:fldChar w:fldCharType="separate"/>
      </w:r>
      <w:r>
        <w:rPr>
          <w:rFonts w:eastAsia="黑体"/>
          <w:i w:val="0"/>
          <w:iCs w:val="0"/>
          <w:szCs w:val="32"/>
        </w:rPr>
        <w:t>第二章  样点地价测算</w:t>
      </w:r>
      <w:r>
        <w:rPr>
          <w:i w:val="0"/>
          <w:iCs w:val="0"/>
        </w:rPr>
        <w:tab/>
      </w:r>
      <w:r>
        <w:rPr>
          <w:i w:val="0"/>
          <w:iCs w:val="0"/>
        </w:rPr>
        <w:fldChar w:fldCharType="begin"/>
      </w:r>
      <w:r>
        <w:rPr>
          <w:i w:val="0"/>
          <w:iCs w:val="0"/>
        </w:rPr>
        <w:instrText xml:space="preserve"> PAGEREF _Toc14344 </w:instrText>
      </w:r>
      <w:r>
        <w:rPr>
          <w:i w:val="0"/>
          <w:iCs w:val="0"/>
        </w:rPr>
        <w:fldChar w:fldCharType="separate"/>
      </w:r>
      <w:r>
        <w:rPr>
          <w:i w:val="0"/>
          <w:iCs w:val="0"/>
        </w:rPr>
        <w:t>102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_Toc10932 </w:instrText>
      </w:r>
      <w:r>
        <w:rPr>
          <w:i w:val="0"/>
          <w:iCs w:val="0"/>
          <w:szCs w:val="24"/>
        </w:rPr>
        <w:fldChar w:fldCharType="separate"/>
      </w:r>
      <w:r>
        <w:rPr>
          <w:rFonts w:eastAsia="黑体"/>
          <w:i w:val="0"/>
          <w:iCs w:val="0"/>
          <w:szCs w:val="28"/>
        </w:rPr>
        <w:t>一、土地估价相关参数的确定</w:t>
      </w:r>
      <w:r>
        <w:rPr>
          <w:i w:val="0"/>
          <w:iCs w:val="0"/>
        </w:rPr>
        <w:tab/>
      </w:r>
      <w:r>
        <w:rPr>
          <w:i w:val="0"/>
          <w:iCs w:val="0"/>
        </w:rPr>
        <w:fldChar w:fldCharType="begin"/>
      </w:r>
      <w:r>
        <w:rPr>
          <w:i w:val="0"/>
          <w:iCs w:val="0"/>
        </w:rPr>
        <w:instrText xml:space="preserve"> PAGEREF _Toc10932 </w:instrText>
      </w:r>
      <w:r>
        <w:rPr>
          <w:i w:val="0"/>
          <w:iCs w:val="0"/>
        </w:rPr>
        <w:fldChar w:fldCharType="separate"/>
      </w:r>
      <w:r>
        <w:rPr>
          <w:i w:val="0"/>
          <w:iCs w:val="0"/>
        </w:rPr>
        <w:t>102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_Toc25412 </w:instrText>
      </w:r>
      <w:r>
        <w:rPr>
          <w:i w:val="0"/>
          <w:iCs w:val="0"/>
          <w:szCs w:val="24"/>
        </w:rPr>
        <w:fldChar w:fldCharType="separate"/>
      </w:r>
      <w:r>
        <w:rPr>
          <w:rFonts w:eastAsia="黑体"/>
          <w:i w:val="0"/>
          <w:iCs w:val="0"/>
          <w:szCs w:val="28"/>
        </w:rPr>
        <w:t>二、不同类型样点地价的测算</w:t>
      </w:r>
      <w:r>
        <w:rPr>
          <w:i w:val="0"/>
          <w:iCs w:val="0"/>
        </w:rPr>
        <w:tab/>
      </w:r>
      <w:r>
        <w:rPr>
          <w:i w:val="0"/>
          <w:iCs w:val="0"/>
        </w:rPr>
        <w:fldChar w:fldCharType="begin"/>
      </w:r>
      <w:r>
        <w:rPr>
          <w:i w:val="0"/>
          <w:iCs w:val="0"/>
        </w:rPr>
        <w:instrText xml:space="preserve"> PAGEREF _Toc25412 </w:instrText>
      </w:r>
      <w:r>
        <w:rPr>
          <w:i w:val="0"/>
          <w:iCs w:val="0"/>
        </w:rPr>
        <w:fldChar w:fldCharType="separate"/>
      </w:r>
      <w:r>
        <w:rPr>
          <w:i w:val="0"/>
          <w:iCs w:val="0"/>
        </w:rPr>
        <w:t>113</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_Toc32521 </w:instrText>
      </w:r>
      <w:r>
        <w:rPr>
          <w:i w:val="0"/>
          <w:iCs w:val="0"/>
          <w:szCs w:val="24"/>
        </w:rPr>
        <w:fldChar w:fldCharType="separate"/>
      </w:r>
      <w:r>
        <w:rPr>
          <w:rFonts w:eastAsia="黑体"/>
          <w:i w:val="0"/>
          <w:iCs w:val="0"/>
          <w:szCs w:val="28"/>
        </w:rPr>
        <w:t>三、样点地价修正</w:t>
      </w:r>
      <w:r>
        <w:rPr>
          <w:i w:val="0"/>
          <w:iCs w:val="0"/>
        </w:rPr>
        <w:tab/>
      </w:r>
      <w:r>
        <w:rPr>
          <w:i w:val="0"/>
          <w:iCs w:val="0"/>
        </w:rPr>
        <w:fldChar w:fldCharType="begin"/>
      </w:r>
      <w:r>
        <w:rPr>
          <w:i w:val="0"/>
          <w:iCs w:val="0"/>
        </w:rPr>
        <w:instrText xml:space="preserve"> PAGEREF _Toc32521 </w:instrText>
      </w:r>
      <w:r>
        <w:rPr>
          <w:i w:val="0"/>
          <w:iCs w:val="0"/>
        </w:rPr>
        <w:fldChar w:fldCharType="separate"/>
      </w:r>
      <w:r>
        <w:rPr>
          <w:i w:val="0"/>
          <w:iCs w:val="0"/>
        </w:rPr>
        <w:t>116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_Toc13775 </w:instrText>
      </w:r>
      <w:r>
        <w:rPr>
          <w:i w:val="0"/>
          <w:iCs w:val="0"/>
          <w:szCs w:val="24"/>
        </w:rPr>
        <w:fldChar w:fldCharType="separate"/>
      </w:r>
      <w:r>
        <w:rPr>
          <w:rFonts w:eastAsia="黑体"/>
          <w:i w:val="0"/>
          <w:iCs w:val="0"/>
          <w:szCs w:val="28"/>
        </w:rPr>
        <w:t>四、样点地价的检验</w:t>
      </w:r>
      <w:r>
        <w:rPr>
          <w:i w:val="0"/>
          <w:iCs w:val="0"/>
        </w:rPr>
        <w:tab/>
      </w:r>
      <w:r>
        <w:rPr>
          <w:i w:val="0"/>
          <w:iCs w:val="0"/>
        </w:rPr>
        <w:fldChar w:fldCharType="begin"/>
      </w:r>
      <w:r>
        <w:rPr>
          <w:i w:val="0"/>
          <w:iCs w:val="0"/>
        </w:rPr>
        <w:instrText xml:space="preserve"> PAGEREF _Toc13775 </w:instrText>
      </w:r>
      <w:r>
        <w:rPr>
          <w:i w:val="0"/>
          <w:iCs w:val="0"/>
        </w:rPr>
        <w:fldChar w:fldCharType="separate"/>
      </w:r>
      <w:r>
        <w:rPr>
          <w:i w:val="0"/>
          <w:iCs w:val="0"/>
        </w:rPr>
        <w:t>121</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_Toc9199 </w:instrText>
      </w:r>
      <w:r>
        <w:rPr>
          <w:i w:val="0"/>
          <w:iCs w:val="0"/>
          <w:szCs w:val="24"/>
        </w:rPr>
        <w:fldChar w:fldCharType="separate"/>
      </w:r>
      <w:r>
        <w:rPr>
          <w:rFonts w:eastAsia="黑体"/>
          <w:i w:val="0"/>
          <w:iCs w:val="0"/>
          <w:szCs w:val="32"/>
        </w:rPr>
        <w:t xml:space="preserve">第三章  </w:t>
      </w:r>
      <w:r>
        <w:rPr>
          <w:rFonts w:hint="eastAsia" w:eastAsia="黑体"/>
          <w:i w:val="0"/>
          <w:iCs w:val="0"/>
          <w:szCs w:val="32"/>
        </w:rPr>
        <w:t>长沙县城区商服用地、住宅用地</w:t>
      </w:r>
      <w:r>
        <w:rPr>
          <w:rFonts w:eastAsia="黑体"/>
          <w:i w:val="0"/>
          <w:iCs w:val="0"/>
          <w:szCs w:val="32"/>
        </w:rPr>
        <w:t>基准地价评估</w:t>
      </w:r>
      <w:r>
        <w:rPr>
          <w:i w:val="0"/>
          <w:iCs w:val="0"/>
        </w:rPr>
        <w:tab/>
      </w:r>
      <w:r>
        <w:rPr>
          <w:i w:val="0"/>
          <w:iCs w:val="0"/>
        </w:rPr>
        <w:fldChar w:fldCharType="begin"/>
      </w:r>
      <w:r>
        <w:rPr>
          <w:i w:val="0"/>
          <w:iCs w:val="0"/>
        </w:rPr>
        <w:instrText xml:space="preserve"> PAGEREF _Toc9199 </w:instrText>
      </w:r>
      <w:r>
        <w:rPr>
          <w:i w:val="0"/>
          <w:iCs w:val="0"/>
        </w:rPr>
        <w:fldChar w:fldCharType="separate"/>
      </w:r>
      <w:r>
        <w:rPr>
          <w:i w:val="0"/>
          <w:iCs w:val="0"/>
        </w:rPr>
        <w:t>125</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_Toc20518 </w:instrText>
      </w:r>
      <w:r>
        <w:rPr>
          <w:i w:val="0"/>
          <w:iCs w:val="0"/>
          <w:szCs w:val="24"/>
        </w:rPr>
        <w:fldChar w:fldCharType="separate"/>
      </w:r>
      <w:r>
        <w:rPr>
          <w:rFonts w:eastAsia="黑体"/>
          <w:i w:val="0"/>
          <w:iCs w:val="0"/>
          <w:szCs w:val="28"/>
        </w:rPr>
        <w:t>一、商服用地基准地价</w:t>
      </w:r>
      <w:r>
        <w:rPr>
          <w:rFonts w:hint="eastAsia" w:eastAsia="黑体"/>
          <w:i w:val="0"/>
          <w:iCs w:val="0"/>
          <w:szCs w:val="28"/>
        </w:rPr>
        <w:t>评估</w:t>
      </w:r>
      <w:r>
        <w:rPr>
          <w:i w:val="0"/>
          <w:iCs w:val="0"/>
        </w:rPr>
        <w:tab/>
      </w:r>
      <w:r>
        <w:rPr>
          <w:i w:val="0"/>
          <w:iCs w:val="0"/>
        </w:rPr>
        <w:fldChar w:fldCharType="begin"/>
      </w:r>
      <w:r>
        <w:rPr>
          <w:i w:val="0"/>
          <w:iCs w:val="0"/>
        </w:rPr>
        <w:instrText xml:space="preserve"> PAGEREF _Toc20518 </w:instrText>
      </w:r>
      <w:r>
        <w:rPr>
          <w:i w:val="0"/>
          <w:iCs w:val="0"/>
        </w:rPr>
        <w:fldChar w:fldCharType="separate"/>
      </w:r>
      <w:r>
        <w:rPr>
          <w:i w:val="0"/>
          <w:iCs w:val="0"/>
        </w:rPr>
        <w:t>125</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_Toc7658 </w:instrText>
      </w:r>
      <w:r>
        <w:rPr>
          <w:i w:val="0"/>
          <w:iCs w:val="0"/>
          <w:szCs w:val="24"/>
        </w:rPr>
        <w:fldChar w:fldCharType="separate"/>
      </w:r>
      <w:r>
        <w:rPr>
          <w:rFonts w:eastAsia="黑体"/>
          <w:i w:val="0"/>
          <w:iCs w:val="0"/>
          <w:szCs w:val="28"/>
        </w:rPr>
        <w:t>二、住宅用地均质区域基准地价测算</w:t>
      </w:r>
      <w:r>
        <w:rPr>
          <w:i w:val="0"/>
          <w:iCs w:val="0"/>
        </w:rPr>
        <w:tab/>
      </w:r>
      <w:r>
        <w:rPr>
          <w:i w:val="0"/>
          <w:iCs w:val="0"/>
        </w:rPr>
        <w:fldChar w:fldCharType="begin"/>
      </w:r>
      <w:r>
        <w:rPr>
          <w:i w:val="0"/>
          <w:iCs w:val="0"/>
        </w:rPr>
        <w:instrText xml:space="preserve"> PAGEREF _Toc7658 </w:instrText>
      </w:r>
      <w:r>
        <w:rPr>
          <w:i w:val="0"/>
          <w:iCs w:val="0"/>
        </w:rPr>
        <w:fldChar w:fldCharType="separate"/>
      </w:r>
      <w:r>
        <w:rPr>
          <w:i w:val="0"/>
          <w:iCs w:val="0"/>
        </w:rPr>
        <w:t>127</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_Toc23253 </w:instrText>
      </w:r>
      <w:r>
        <w:rPr>
          <w:i w:val="0"/>
          <w:iCs w:val="0"/>
          <w:szCs w:val="24"/>
        </w:rPr>
        <w:fldChar w:fldCharType="separate"/>
      </w:r>
      <w:r>
        <w:rPr>
          <w:rFonts w:hint="eastAsia" w:eastAsia="黑体"/>
          <w:i w:val="0"/>
          <w:iCs w:val="0"/>
          <w:szCs w:val="28"/>
          <w:lang w:eastAsia="zh-CN"/>
        </w:rPr>
        <w:t>三</w:t>
      </w:r>
      <w:r>
        <w:rPr>
          <w:rFonts w:hint="eastAsia" w:eastAsia="黑体"/>
          <w:i w:val="0"/>
          <w:iCs w:val="0"/>
          <w:szCs w:val="28"/>
        </w:rPr>
        <w:t>、结果整理</w:t>
      </w:r>
      <w:r>
        <w:rPr>
          <w:i w:val="0"/>
          <w:iCs w:val="0"/>
        </w:rPr>
        <w:tab/>
      </w:r>
      <w:r>
        <w:rPr>
          <w:i w:val="0"/>
          <w:iCs w:val="0"/>
        </w:rPr>
        <w:fldChar w:fldCharType="begin"/>
      </w:r>
      <w:r>
        <w:rPr>
          <w:i w:val="0"/>
          <w:iCs w:val="0"/>
        </w:rPr>
        <w:instrText xml:space="preserve"> PAGEREF _Toc23253 </w:instrText>
      </w:r>
      <w:r>
        <w:rPr>
          <w:i w:val="0"/>
          <w:iCs w:val="0"/>
        </w:rPr>
        <w:fldChar w:fldCharType="separate"/>
      </w:r>
      <w:r>
        <w:rPr>
          <w:i w:val="0"/>
          <w:iCs w:val="0"/>
        </w:rPr>
        <w:t>130</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_Toc6434 </w:instrText>
      </w:r>
      <w:r>
        <w:rPr>
          <w:i w:val="0"/>
          <w:iCs w:val="0"/>
          <w:szCs w:val="24"/>
        </w:rPr>
        <w:fldChar w:fldCharType="separate"/>
      </w:r>
      <w:r>
        <w:rPr>
          <w:rFonts w:eastAsia="黑体"/>
          <w:i w:val="0"/>
          <w:iCs w:val="0"/>
          <w:szCs w:val="32"/>
        </w:rPr>
        <w:t xml:space="preserve">第四章  </w:t>
      </w:r>
      <w:r>
        <w:rPr>
          <w:rFonts w:hint="eastAsia" w:eastAsia="黑体"/>
          <w:i w:val="0"/>
          <w:iCs w:val="0"/>
          <w:szCs w:val="32"/>
        </w:rPr>
        <w:t>长沙县城区工矿仓储用地</w:t>
      </w:r>
      <w:r>
        <w:rPr>
          <w:rFonts w:eastAsia="黑体"/>
          <w:i w:val="0"/>
          <w:iCs w:val="0"/>
          <w:szCs w:val="32"/>
        </w:rPr>
        <w:t>基准地价评估</w:t>
      </w:r>
      <w:r>
        <w:rPr>
          <w:i w:val="0"/>
          <w:iCs w:val="0"/>
        </w:rPr>
        <w:tab/>
      </w:r>
      <w:r>
        <w:rPr>
          <w:i w:val="0"/>
          <w:iCs w:val="0"/>
        </w:rPr>
        <w:fldChar w:fldCharType="begin"/>
      </w:r>
      <w:r>
        <w:rPr>
          <w:i w:val="0"/>
          <w:iCs w:val="0"/>
        </w:rPr>
        <w:instrText xml:space="preserve"> PAGEREF _Toc6434 </w:instrText>
      </w:r>
      <w:r>
        <w:rPr>
          <w:i w:val="0"/>
          <w:iCs w:val="0"/>
        </w:rPr>
        <w:fldChar w:fldCharType="separate"/>
      </w:r>
      <w:r>
        <w:rPr>
          <w:i w:val="0"/>
          <w:iCs w:val="0"/>
        </w:rPr>
        <w:t>132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_Toc2048 </w:instrText>
      </w:r>
      <w:r>
        <w:rPr>
          <w:i w:val="0"/>
          <w:iCs w:val="0"/>
          <w:szCs w:val="24"/>
        </w:rPr>
        <w:fldChar w:fldCharType="separate"/>
      </w:r>
      <w:r>
        <w:rPr>
          <w:rFonts w:hint="eastAsia" w:eastAsia="黑体"/>
          <w:i w:val="0"/>
          <w:iCs w:val="0"/>
          <w:szCs w:val="28"/>
        </w:rPr>
        <w:t>一、城区边缘区工矿仓储用地基准地价成本测算</w:t>
      </w:r>
      <w:r>
        <w:rPr>
          <w:i w:val="0"/>
          <w:iCs w:val="0"/>
        </w:rPr>
        <w:tab/>
      </w:r>
      <w:r>
        <w:rPr>
          <w:i w:val="0"/>
          <w:iCs w:val="0"/>
        </w:rPr>
        <w:fldChar w:fldCharType="begin"/>
      </w:r>
      <w:r>
        <w:rPr>
          <w:i w:val="0"/>
          <w:iCs w:val="0"/>
        </w:rPr>
        <w:instrText xml:space="preserve"> PAGEREF _Toc2048 </w:instrText>
      </w:r>
      <w:r>
        <w:rPr>
          <w:i w:val="0"/>
          <w:iCs w:val="0"/>
        </w:rPr>
        <w:fldChar w:fldCharType="separate"/>
      </w:r>
      <w:r>
        <w:rPr>
          <w:i w:val="0"/>
          <w:iCs w:val="0"/>
        </w:rPr>
        <w:t>132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_Toc25408 </w:instrText>
      </w:r>
      <w:r>
        <w:rPr>
          <w:i w:val="0"/>
          <w:iCs w:val="0"/>
          <w:szCs w:val="24"/>
        </w:rPr>
        <w:fldChar w:fldCharType="separate"/>
      </w:r>
      <w:r>
        <w:rPr>
          <w:rFonts w:hint="eastAsia" w:eastAsia="黑体"/>
          <w:i w:val="0"/>
          <w:iCs w:val="0"/>
          <w:szCs w:val="28"/>
        </w:rPr>
        <w:t>二、指数模型测算工矿仓储用地基准地价</w:t>
      </w:r>
      <w:r>
        <w:rPr>
          <w:i w:val="0"/>
          <w:iCs w:val="0"/>
        </w:rPr>
        <w:tab/>
      </w:r>
      <w:r>
        <w:rPr>
          <w:i w:val="0"/>
          <w:iCs w:val="0"/>
        </w:rPr>
        <w:fldChar w:fldCharType="begin"/>
      </w:r>
      <w:r>
        <w:rPr>
          <w:i w:val="0"/>
          <w:iCs w:val="0"/>
        </w:rPr>
        <w:instrText xml:space="preserve"> PAGEREF _Toc25408 </w:instrText>
      </w:r>
      <w:r>
        <w:rPr>
          <w:i w:val="0"/>
          <w:iCs w:val="0"/>
        </w:rPr>
        <w:fldChar w:fldCharType="separate"/>
      </w:r>
      <w:r>
        <w:rPr>
          <w:i w:val="0"/>
          <w:iCs w:val="0"/>
        </w:rPr>
        <w:t>133</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_Toc10854 </w:instrText>
      </w:r>
      <w:r>
        <w:rPr>
          <w:i w:val="0"/>
          <w:iCs w:val="0"/>
          <w:szCs w:val="24"/>
        </w:rPr>
        <w:fldChar w:fldCharType="separate"/>
      </w:r>
      <w:r>
        <w:rPr>
          <w:rFonts w:eastAsia="黑体"/>
          <w:i w:val="0"/>
          <w:iCs w:val="0"/>
          <w:szCs w:val="28"/>
        </w:rPr>
        <w:t>三、级别基准地价计算的结果</w:t>
      </w:r>
      <w:r>
        <w:rPr>
          <w:i w:val="0"/>
          <w:iCs w:val="0"/>
        </w:rPr>
        <w:tab/>
      </w:r>
      <w:r>
        <w:rPr>
          <w:i w:val="0"/>
          <w:iCs w:val="0"/>
        </w:rPr>
        <w:fldChar w:fldCharType="begin"/>
      </w:r>
      <w:r>
        <w:rPr>
          <w:i w:val="0"/>
          <w:iCs w:val="0"/>
        </w:rPr>
        <w:instrText xml:space="preserve"> PAGEREF _Toc10854 </w:instrText>
      </w:r>
      <w:r>
        <w:rPr>
          <w:i w:val="0"/>
          <w:iCs w:val="0"/>
        </w:rPr>
        <w:fldChar w:fldCharType="separate"/>
      </w:r>
      <w:r>
        <w:rPr>
          <w:i w:val="0"/>
          <w:iCs w:val="0"/>
        </w:rPr>
        <w:t>134</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_Toc6391 </w:instrText>
      </w:r>
      <w:r>
        <w:rPr>
          <w:i w:val="0"/>
          <w:iCs w:val="0"/>
          <w:szCs w:val="24"/>
        </w:rPr>
        <w:fldChar w:fldCharType="separate"/>
      </w:r>
      <w:r>
        <w:rPr>
          <w:rFonts w:eastAsia="黑体"/>
          <w:i w:val="0"/>
          <w:iCs w:val="0"/>
          <w:szCs w:val="32"/>
        </w:rPr>
        <w:t>第五章  商服用地路线价评估</w:t>
      </w:r>
      <w:r>
        <w:rPr>
          <w:i w:val="0"/>
          <w:iCs w:val="0"/>
        </w:rPr>
        <w:tab/>
      </w:r>
      <w:r>
        <w:rPr>
          <w:i w:val="0"/>
          <w:iCs w:val="0"/>
        </w:rPr>
        <w:fldChar w:fldCharType="begin"/>
      </w:r>
      <w:r>
        <w:rPr>
          <w:i w:val="0"/>
          <w:iCs w:val="0"/>
        </w:rPr>
        <w:instrText xml:space="preserve"> PAGEREF _Toc6391 </w:instrText>
      </w:r>
      <w:r>
        <w:rPr>
          <w:i w:val="0"/>
          <w:iCs w:val="0"/>
        </w:rPr>
        <w:fldChar w:fldCharType="separate"/>
      </w:r>
      <w:r>
        <w:rPr>
          <w:i w:val="0"/>
          <w:iCs w:val="0"/>
        </w:rPr>
        <w:t>136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_Toc21799 </w:instrText>
      </w:r>
      <w:r>
        <w:rPr>
          <w:i w:val="0"/>
          <w:iCs w:val="0"/>
          <w:szCs w:val="24"/>
        </w:rPr>
        <w:fldChar w:fldCharType="separate"/>
      </w:r>
      <w:r>
        <w:rPr>
          <w:rFonts w:eastAsia="黑体"/>
          <w:i w:val="0"/>
          <w:iCs w:val="0"/>
          <w:szCs w:val="28"/>
        </w:rPr>
        <w:t>一、路线价概述</w:t>
      </w:r>
      <w:r>
        <w:rPr>
          <w:i w:val="0"/>
          <w:iCs w:val="0"/>
        </w:rPr>
        <w:tab/>
      </w:r>
      <w:r>
        <w:rPr>
          <w:i w:val="0"/>
          <w:iCs w:val="0"/>
        </w:rPr>
        <w:fldChar w:fldCharType="begin"/>
      </w:r>
      <w:r>
        <w:rPr>
          <w:i w:val="0"/>
          <w:iCs w:val="0"/>
        </w:rPr>
        <w:instrText xml:space="preserve"> PAGEREF _Toc21799 </w:instrText>
      </w:r>
      <w:r>
        <w:rPr>
          <w:i w:val="0"/>
          <w:iCs w:val="0"/>
        </w:rPr>
        <w:fldChar w:fldCharType="separate"/>
      </w:r>
      <w:r>
        <w:rPr>
          <w:i w:val="0"/>
          <w:iCs w:val="0"/>
        </w:rPr>
        <w:t>136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_Toc19742 </w:instrText>
      </w:r>
      <w:r>
        <w:rPr>
          <w:i w:val="0"/>
          <w:iCs w:val="0"/>
          <w:szCs w:val="24"/>
        </w:rPr>
        <w:fldChar w:fldCharType="separate"/>
      </w:r>
      <w:r>
        <w:rPr>
          <w:rFonts w:eastAsia="黑体"/>
          <w:i w:val="0"/>
          <w:iCs w:val="0"/>
          <w:szCs w:val="28"/>
        </w:rPr>
        <w:t>二、路线价评估</w:t>
      </w:r>
      <w:r>
        <w:rPr>
          <w:i w:val="0"/>
          <w:iCs w:val="0"/>
        </w:rPr>
        <w:tab/>
      </w:r>
      <w:r>
        <w:rPr>
          <w:i w:val="0"/>
          <w:iCs w:val="0"/>
        </w:rPr>
        <w:fldChar w:fldCharType="begin"/>
      </w:r>
      <w:r>
        <w:rPr>
          <w:i w:val="0"/>
          <w:iCs w:val="0"/>
        </w:rPr>
        <w:instrText xml:space="preserve"> PAGEREF _Toc19742 </w:instrText>
      </w:r>
      <w:r>
        <w:rPr>
          <w:i w:val="0"/>
          <w:iCs w:val="0"/>
        </w:rPr>
        <w:fldChar w:fldCharType="separate"/>
      </w:r>
      <w:r>
        <w:rPr>
          <w:i w:val="0"/>
          <w:iCs w:val="0"/>
        </w:rPr>
        <w:t>136</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_Toc21271 </w:instrText>
      </w:r>
      <w:r>
        <w:rPr>
          <w:i w:val="0"/>
          <w:iCs w:val="0"/>
          <w:szCs w:val="24"/>
        </w:rPr>
        <w:fldChar w:fldCharType="separate"/>
      </w:r>
      <w:r>
        <w:rPr>
          <w:rFonts w:eastAsia="黑体"/>
          <w:i w:val="0"/>
          <w:iCs w:val="0"/>
          <w:szCs w:val="32"/>
        </w:rPr>
        <w:t>第六章  商服用地、住宅用地楼面基准地价评估</w:t>
      </w:r>
      <w:r>
        <w:rPr>
          <w:i w:val="0"/>
          <w:iCs w:val="0"/>
        </w:rPr>
        <w:tab/>
      </w:r>
      <w:r>
        <w:rPr>
          <w:i w:val="0"/>
          <w:iCs w:val="0"/>
        </w:rPr>
        <w:fldChar w:fldCharType="begin"/>
      </w:r>
      <w:r>
        <w:rPr>
          <w:i w:val="0"/>
          <w:iCs w:val="0"/>
        </w:rPr>
        <w:instrText xml:space="preserve"> PAGEREF _Toc21271 </w:instrText>
      </w:r>
      <w:r>
        <w:rPr>
          <w:i w:val="0"/>
          <w:iCs w:val="0"/>
        </w:rPr>
        <w:fldChar w:fldCharType="separate"/>
      </w:r>
      <w:r>
        <w:rPr>
          <w:i w:val="0"/>
          <w:iCs w:val="0"/>
        </w:rPr>
        <w:t>139</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_Toc23873 </w:instrText>
      </w:r>
      <w:r>
        <w:rPr>
          <w:i w:val="0"/>
          <w:iCs w:val="0"/>
          <w:szCs w:val="24"/>
        </w:rPr>
        <w:fldChar w:fldCharType="separate"/>
      </w:r>
      <w:r>
        <w:rPr>
          <w:rFonts w:eastAsia="黑体"/>
          <w:i w:val="0"/>
          <w:iCs w:val="0"/>
          <w:szCs w:val="28"/>
          <w:lang w:val="zh-CN"/>
        </w:rPr>
        <w:t>一、楼面基准地价的概况</w:t>
      </w:r>
      <w:r>
        <w:rPr>
          <w:i w:val="0"/>
          <w:iCs w:val="0"/>
        </w:rPr>
        <w:tab/>
      </w:r>
      <w:r>
        <w:rPr>
          <w:i w:val="0"/>
          <w:iCs w:val="0"/>
        </w:rPr>
        <w:fldChar w:fldCharType="begin"/>
      </w:r>
      <w:r>
        <w:rPr>
          <w:i w:val="0"/>
          <w:iCs w:val="0"/>
        </w:rPr>
        <w:instrText xml:space="preserve"> PAGEREF _Toc23873 </w:instrText>
      </w:r>
      <w:r>
        <w:rPr>
          <w:i w:val="0"/>
          <w:iCs w:val="0"/>
        </w:rPr>
        <w:fldChar w:fldCharType="separate"/>
      </w:r>
      <w:r>
        <w:rPr>
          <w:i w:val="0"/>
          <w:iCs w:val="0"/>
        </w:rPr>
        <w:t>139</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_Toc31087 </w:instrText>
      </w:r>
      <w:r>
        <w:rPr>
          <w:i w:val="0"/>
          <w:iCs w:val="0"/>
          <w:szCs w:val="24"/>
        </w:rPr>
        <w:fldChar w:fldCharType="separate"/>
      </w:r>
      <w:r>
        <w:rPr>
          <w:rFonts w:eastAsia="黑体"/>
          <w:i w:val="0"/>
          <w:iCs w:val="0"/>
          <w:szCs w:val="28"/>
          <w:lang w:val="zh-CN"/>
        </w:rPr>
        <w:t>二、楼面基准地价评估的技术路线</w:t>
      </w:r>
      <w:r>
        <w:rPr>
          <w:i w:val="0"/>
          <w:iCs w:val="0"/>
        </w:rPr>
        <w:tab/>
      </w:r>
      <w:r>
        <w:rPr>
          <w:i w:val="0"/>
          <w:iCs w:val="0"/>
        </w:rPr>
        <w:fldChar w:fldCharType="begin"/>
      </w:r>
      <w:r>
        <w:rPr>
          <w:i w:val="0"/>
          <w:iCs w:val="0"/>
        </w:rPr>
        <w:instrText xml:space="preserve"> PAGEREF _Toc31087 </w:instrText>
      </w:r>
      <w:r>
        <w:rPr>
          <w:i w:val="0"/>
          <w:iCs w:val="0"/>
        </w:rPr>
        <w:fldChar w:fldCharType="separate"/>
      </w:r>
      <w:r>
        <w:rPr>
          <w:i w:val="0"/>
          <w:iCs w:val="0"/>
        </w:rPr>
        <w:t>141</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_Toc2068 </w:instrText>
      </w:r>
      <w:r>
        <w:rPr>
          <w:i w:val="0"/>
          <w:iCs w:val="0"/>
          <w:szCs w:val="24"/>
        </w:rPr>
        <w:fldChar w:fldCharType="separate"/>
      </w:r>
      <w:r>
        <w:rPr>
          <w:rFonts w:eastAsia="黑体"/>
          <w:i w:val="0"/>
          <w:iCs w:val="0"/>
          <w:szCs w:val="28"/>
          <w:lang w:val="zh-CN"/>
        </w:rPr>
        <w:t>三、样点楼面地价的计算</w:t>
      </w:r>
      <w:r>
        <w:rPr>
          <w:i w:val="0"/>
          <w:iCs w:val="0"/>
        </w:rPr>
        <w:tab/>
      </w:r>
      <w:r>
        <w:rPr>
          <w:i w:val="0"/>
          <w:iCs w:val="0"/>
        </w:rPr>
        <w:fldChar w:fldCharType="begin"/>
      </w:r>
      <w:r>
        <w:rPr>
          <w:i w:val="0"/>
          <w:iCs w:val="0"/>
        </w:rPr>
        <w:instrText xml:space="preserve"> PAGEREF _Toc2068 </w:instrText>
      </w:r>
      <w:r>
        <w:rPr>
          <w:i w:val="0"/>
          <w:iCs w:val="0"/>
        </w:rPr>
        <w:fldChar w:fldCharType="separate"/>
      </w:r>
      <w:r>
        <w:rPr>
          <w:i w:val="0"/>
          <w:iCs w:val="0"/>
        </w:rPr>
        <w:t>141</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_Toc14600 </w:instrText>
      </w:r>
      <w:r>
        <w:rPr>
          <w:i w:val="0"/>
          <w:iCs w:val="0"/>
          <w:szCs w:val="24"/>
        </w:rPr>
        <w:fldChar w:fldCharType="separate"/>
      </w:r>
      <w:r>
        <w:rPr>
          <w:rFonts w:eastAsia="黑体"/>
          <w:i w:val="0"/>
          <w:iCs w:val="0"/>
          <w:szCs w:val="28"/>
          <w:lang w:val="zh-CN"/>
        </w:rPr>
        <w:t>四、样点楼面地价的修正</w:t>
      </w:r>
      <w:r>
        <w:rPr>
          <w:i w:val="0"/>
          <w:iCs w:val="0"/>
        </w:rPr>
        <w:tab/>
      </w:r>
      <w:r>
        <w:rPr>
          <w:i w:val="0"/>
          <w:iCs w:val="0"/>
        </w:rPr>
        <w:fldChar w:fldCharType="begin"/>
      </w:r>
      <w:r>
        <w:rPr>
          <w:i w:val="0"/>
          <w:iCs w:val="0"/>
        </w:rPr>
        <w:instrText xml:space="preserve"> PAGEREF _Toc14600 </w:instrText>
      </w:r>
      <w:r>
        <w:rPr>
          <w:i w:val="0"/>
          <w:iCs w:val="0"/>
        </w:rPr>
        <w:fldChar w:fldCharType="separate"/>
      </w:r>
      <w:r>
        <w:rPr>
          <w:i w:val="0"/>
          <w:iCs w:val="0"/>
        </w:rPr>
        <w:t>143</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_Toc15410 </w:instrText>
      </w:r>
      <w:r>
        <w:rPr>
          <w:i w:val="0"/>
          <w:iCs w:val="0"/>
          <w:szCs w:val="24"/>
        </w:rPr>
        <w:fldChar w:fldCharType="separate"/>
      </w:r>
      <w:r>
        <w:rPr>
          <w:rFonts w:eastAsia="黑体"/>
          <w:i w:val="0"/>
          <w:iCs w:val="0"/>
          <w:szCs w:val="28"/>
          <w:lang w:val="zh-CN"/>
        </w:rPr>
        <w:t>五、楼面地价换算系数测算</w:t>
      </w:r>
      <w:r>
        <w:rPr>
          <w:i w:val="0"/>
          <w:iCs w:val="0"/>
        </w:rPr>
        <w:tab/>
      </w:r>
      <w:r>
        <w:rPr>
          <w:i w:val="0"/>
          <w:iCs w:val="0"/>
        </w:rPr>
        <w:fldChar w:fldCharType="begin"/>
      </w:r>
      <w:r>
        <w:rPr>
          <w:i w:val="0"/>
          <w:iCs w:val="0"/>
        </w:rPr>
        <w:instrText xml:space="preserve"> PAGEREF _Toc15410 </w:instrText>
      </w:r>
      <w:r>
        <w:rPr>
          <w:i w:val="0"/>
          <w:iCs w:val="0"/>
        </w:rPr>
        <w:fldChar w:fldCharType="separate"/>
      </w:r>
      <w:r>
        <w:rPr>
          <w:i w:val="0"/>
          <w:iCs w:val="0"/>
        </w:rPr>
        <w:t>153</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_Toc10899 </w:instrText>
      </w:r>
      <w:r>
        <w:rPr>
          <w:i w:val="0"/>
          <w:iCs w:val="0"/>
          <w:szCs w:val="24"/>
        </w:rPr>
        <w:fldChar w:fldCharType="separate"/>
      </w:r>
      <w:r>
        <w:rPr>
          <w:rFonts w:eastAsia="黑体"/>
          <w:i w:val="0"/>
          <w:iCs w:val="0"/>
          <w:szCs w:val="28"/>
          <w:lang w:val="zh-CN"/>
        </w:rPr>
        <w:t>六、楼面基准地价的确定</w:t>
      </w:r>
      <w:r>
        <w:rPr>
          <w:i w:val="0"/>
          <w:iCs w:val="0"/>
        </w:rPr>
        <w:tab/>
      </w:r>
      <w:r>
        <w:rPr>
          <w:i w:val="0"/>
          <w:iCs w:val="0"/>
        </w:rPr>
        <w:fldChar w:fldCharType="begin"/>
      </w:r>
      <w:r>
        <w:rPr>
          <w:i w:val="0"/>
          <w:iCs w:val="0"/>
        </w:rPr>
        <w:instrText xml:space="preserve"> PAGEREF _Toc10899 </w:instrText>
      </w:r>
      <w:r>
        <w:rPr>
          <w:i w:val="0"/>
          <w:iCs w:val="0"/>
        </w:rPr>
        <w:fldChar w:fldCharType="separate"/>
      </w:r>
      <w:r>
        <w:rPr>
          <w:i w:val="0"/>
          <w:iCs w:val="0"/>
        </w:rPr>
        <w:t>159</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_Toc2564 </w:instrText>
      </w:r>
      <w:r>
        <w:rPr>
          <w:i w:val="0"/>
          <w:iCs w:val="0"/>
          <w:szCs w:val="24"/>
        </w:rPr>
        <w:fldChar w:fldCharType="separate"/>
      </w:r>
      <w:r>
        <w:rPr>
          <w:rFonts w:eastAsia="黑体"/>
          <w:i w:val="0"/>
          <w:iCs w:val="0"/>
          <w:szCs w:val="32"/>
        </w:rPr>
        <w:t xml:space="preserve">第七章  </w:t>
      </w:r>
      <w:r>
        <w:rPr>
          <w:rFonts w:hint="eastAsia" w:eastAsia="黑体"/>
          <w:i w:val="0"/>
          <w:iCs w:val="0"/>
          <w:szCs w:val="32"/>
        </w:rPr>
        <w:t>公共管理与公共服务用地</w:t>
      </w:r>
      <w:r>
        <w:rPr>
          <w:rFonts w:eastAsia="黑体"/>
          <w:i w:val="0"/>
          <w:iCs w:val="0"/>
          <w:szCs w:val="32"/>
        </w:rPr>
        <w:t>基准地价评估</w:t>
      </w:r>
      <w:r>
        <w:rPr>
          <w:i w:val="0"/>
          <w:iCs w:val="0"/>
        </w:rPr>
        <w:tab/>
      </w:r>
      <w:r>
        <w:rPr>
          <w:i w:val="0"/>
          <w:iCs w:val="0"/>
        </w:rPr>
        <w:fldChar w:fldCharType="begin"/>
      </w:r>
      <w:r>
        <w:rPr>
          <w:i w:val="0"/>
          <w:iCs w:val="0"/>
        </w:rPr>
        <w:instrText xml:space="preserve"> PAGEREF _Toc2564 </w:instrText>
      </w:r>
      <w:r>
        <w:rPr>
          <w:i w:val="0"/>
          <w:iCs w:val="0"/>
        </w:rPr>
        <w:fldChar w:fldCharType="separate"/>
      </w:r>
      <w:r>
        <w:rPr>
          <w:i w:val="0"/>
          <w:iCs w:val="0"/>
        </w:rPr>
        <w:t>164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_Toc30055 </w:instrText>
      </w:r>
      <w:r>
        <w:rPr>
          <w:i w:val="0"/>
          <w:iCs w:val="0"/>
          <w:szCs w:val="24"/>
        </w:rPr>
        <w:fldChar w:fldCharType="separate"/>
      </w:r>
      <w:r>
        <w:rPr>
          <w:rFonts w:eastAsia="黑体"/>
          <w:i w:val="0"/>
          <w:iCs w:val="0"/>
          <w:szCs w:val="28"/>
        </w:rPr>
        <w:t>一、</w:t>
      </w:r>
      <w:r>
        <w:rPr>
          <w:rFonts w:hint="eastAsia" w:eastAsia="黑体"/>
          <w:i w:val="0"/>
          <w:iCs w:val="0"/>
          <w:szCs w:val="28"/>
        </w:rPr>
        <w:t>公共管理与公共服务用地</w:t>
      </w:r>
      <w:r>
        <w:rPr>
          <w:rFonts w:eastAsia="黑体"/>
          <w:i w:val="0"/>
          <w:iCs w:val="0"/>
          <w:szCs w:val="28"/>
        </w:rPr>
        <w:t>基准地价评估概述</w:t>
      </w:r>
      <w:r>
        <w:rPr>
          <w:i w:val="0"/>
          <w:iCs w:val="0"/>
        </w:rPr>
        <w:tab/>
      </w:r>
      <w:r>
        <w:rPr>
          <w:i w:val="0"/>
          <w:iCs w:val="0"/>
        </w:rPr>
        <w:fldChar w:fldCharType="begin"/>
      </w:r>
      <w:r>
        <w:rPr>
          <w:i w:val="0"/>
          <w:iCs w:val="0"/>
        </w:rPr>
        <w:instrText xml:space="preserve"> PAGEREF _Toc30055 </w:instrText>
      </w:r>
      <w:r>
        <w:rPr>
          <w:i w:val="0"/>
          <w:iCs w:val="0"/>
        </w:rPr>
        <w:fldChar w:fldCharType="separate"/>
      </w:r>
      <w:r>
        <w:rPr>
          <w:i w:val="0"/>
          <w:iCs w:val="0"/>
        </w:rPr>
        <w:t>164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_Toc14798 </w:instrText>
      </w:r>
      <w:r>
        <w:rPr>
          <w:i w:val="0"/>
          <w:iCs w:val="0"/>
          <w:szCs w:val="24"/>
        </w:rPr>
        <w:fldChar w:fldCharType="separate"/>
      </w:r>
      <w:r>
        <w:rPr>
          <w:rFonts w:eastAsia="黑体"/>
          <w:i w:val="0"/>
          <w:iCs w:val="0"/>
          <w:szCs w:val="28"/>
        </w:rPr>
        <w:t>二、</w:t>
      </w:r>
      <w:r>
        <w:rPr>
          <w:rFonts w:hint="eastAsia" w:eastAsia="黑体"/>
          <w:i w:val="0"/>
          <w:iCs w:val="0"/>
          <w:szCs w:val="28"/>
        </w:rPr>
        <w:t>公共管理与公共服务用地</w:t>
      </w:r>
      <w:r>
        <w:rPr>
          <w:rFonts w:eastAsia="黑体"/>
          <w:i w:val="0"/>
          <w:iCs w:val="0"/>
          <w:szCs w:val="28"/>
        </w:rPr>
        <w:t>基准地价评估</w:t>
      </w:r>
      <w:r>
        <w:rPr>
          <w:i w:val="0"/>
          <w:iCs w:val="0"/>
        </w:rPr>
        <w:tab/>
      </w:r>
      <w:r>
        <w:rPr>
          <w:i w:val="0"/>
          <w:iCs w:val="0"/>
        </w:rPr>
        <w:fldChar w:fldCharType="begin"/>
      </w:r>
      <w:r>
        <w:rPr>
          <w:i w:val="0"/>
          <w:iCs w:val="0"/>
        </w:rPr>
        <w:instrText xml:space="preserve"> PAGEREF _Toc14798 </w:instrText>
      </w:r>
      <w:r>
        <w:rPr>
          <w:i w:val="0"/>
          <w:iCs w:val="0"/>
        </w:rPr>
        <w:fldChar w:fldCharType="separate"/>
      </w:r>
      <w:r>
        <w:rPr>
          <w:i w:val="0"/>
          <w:iCs w:val="0"/>
        </w:rPr>
        <w:t>167</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_Toc11735 </w:instrText>
      </w:r>
      <w:r>
        <w:rPr>
          <w:i w:val="0"/>
          <w:iCs w:val="0"/>
          <w:szCs w:val="24"/>
        </w:rPr>
        <w:fldChar w:fldCharType="separate"/>
      </w:r>
      <w:r>
        <w:rPr>
          <w:rFonts w:eastAsia="黑体"/>
          <w:i w:val="0"/>
          <w:iCs w:val="0"/>
          <w:szCs w:val="32"/>
        </w:rPr>
        <w:t>第八章  城市地下空间土地使用权基准地价评估</w:t>
      </w:r>
      <w:r>
        <w:rPr>
          <w:i w:val="0"/>
          <w:iCs w:val="0"/>
        </w:rPr>
        <w:tab/>
      </w:r>
      <w:r>
        <w:rPr>
          <w:i w:val="0"/>
          <w:iCs w:val="0"/>
        </w:rPr>
        <w:fldChar w:fldCharType="begin"/>
      </w:r>
      <w:r>
        <w:rPr>
          <w:i w:val="0"/>
          <w:iCs w:val="0"/>
        </w:rPr>
        <w:instrText xml:space="preserve"> PAGEREF _Toc11735 </w:instrText>
      </w:r>
      <w:r>
        <w:rPr>
          <w:i w:val="0"/>
          <w:iCs w:val="0"/>
        </w:rPr>
        <w:fldChar w:fldCharType="separate"/>
      </w:r>
      <w:r>
        <w:rPr>
          <w:i w:val="0"/>
          <w:iCs w:val="0"/>
        </w:rPr>
        <w:t>178</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_Toc20273 </w:instrText>
      </w:r>
      <w:r>
        <w:rPr>
          <w:i w:val="0"/>
          <w:iCs w:val="0"/>
          <w:szCs w:val="24"/>
        </w:rPr>
        <w:fldChar w:fldCharType="separate"/>
      </w:r>
      <w:r>
        <w:rPr>
          <w:rFonts w:eastAsia="黑体"/>
          <w:i w:val="0"/>
          <w:iCs w:val="0"/>
          <w:szCs w:val="28"/>
        </w:rPr>
        <w:t>一、城市地下空间评估的背景及意义</w:t>
      </w:r>
      <w:r>
        <w:rPr>
          <w:i w:val="0"/>
          <w:iCs w:val="0"/>
        </w:rPr>
        <w:tab/>
      </w:r>
      <w:r>
        <w:rPr>
          <w:i w:val="0"/>
          <w:iCs w:val="0"/>
        </w:rPr>
        <w:fldChar w:fldCharType="begin"/>
      </w:r>
      <w:r>
        <w:rPr>
          <w:i w:val="0"/>
          <w:iCs w:val="0"/>
        </w:rPr>
        <w:instrText xml:space="preserve"> PAGEREF _Toc20273 </w:instrText>
      </w:r>
      <w:r>
        <w:rPr>
          <w:i w:val="0"/>
          <w:iCs w:val="0"/>
        </w:rPr>
        <w:fldChar w:fldCharType="separate"/>
      </w:r>
      <w:r>
        <w:rPr>
          <w:i w:val="0"/>
          <w:iCs w:val="0"/>
        </w:rPr>
        <w:t>178</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_Toc28469 </w:instrText>
      </w:r>
      <w:r>
        <w:rPr>
          <w:i w:val="0"/>
          <w:iCs w:val="0"/>
          <w:szCs w:val="24"/>
        </w:rPr>
        <w:fldChar w:fldCharType="separate"/>
      </w:r>
      <w:r>
        <w:rPr>
          <w:rFonts w:eastAsia="黑体"/>
          <w:i w:val="0"/>
          <w:iCs w:val="0"/>
          <w:szCs w:val="28"/>
        </w:rPr>
        <w:t>二、地下空间及使用权价格以及理论基础</w:t>
      </w:r>
      <w:r>
        <w:rPr>
          <w:i w:val="0"/>
          <w:iCs w:val="0"/>
        </w:rPr>
        <w:tab/>
      </w:r>
      <w:r>
        <w:rPr>
          <w:i w:val="0"/>
          <w:iCs w:val="0"/>
        </w:rPr>
        <w:fldChar w:fldCharType="begin"/>
      </w:r>
      <w:r>
        <w:rPr>
          <w:i w:val="0"/>
          <w:iCs w:val="0"/>
        </w:rPr>
        <w:instrText xml:space="preserve"> PAGEREF _Toc28469 </w:instrText>
      </w:r>
      <w:r>
        <w:rPr>
          <w:i w:val="0"/>
          <w:iCs w:val="0"/>
        </w:rPr>
        <w:fldChar w:fldCharType="separate"/>
      </w:r>
      <w:r>
        <w:rPr>
          <w:i w:val="0"/>
          <w:iCs w:val="0"/>
        </w:rPr>
        <w:t>178</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_Toc19871 </w:instrText>
      </w:r>
      <w:r>
        <w:rPr>
          <w:i w:val="0"/>
          <w:iCs w:val="0"/>
          <w:szCs w:val="24"/>
        </w:rPr>
        <w:fldChar w:fldCharType="separate"/>
      </w:r>
      <w:r>
        <w:rPr>
          <w:rFonts w:eastAsia="黑体"/>
          <w:i w:val="0"/>
          <w:iCs w:val="0"/>
          <w:szCs w:val="28"/>
        </w:rPr>
        <w:t>三、影响城市地下空间土地使用权基准地价的因素</w:t>
      </w:r>
      <w:r>
        <w:rPr>
          <w:i w:val="0"/>
          <w:iCs w:val="0"/>
        </w:rPr>
        <w:tab/>
      </w:r>
      <w:r>
        <w:rPr>
          <w:i w:val="0"/>
          <w:iCs w:val="0"/>
        </w:rPr>
        <w:fldChar w:fldCharType="begin"/>
      </w:r>
      <w:r>
        <w:rPr>
          <w:i w:val="0"/>
          <w:iCs w:val="0"/>
        </w:rPr>
        <w:instrText xml:space="preserve"> PAGEREF _Toc19871 </w:instrText>
      </w:r>
      <w:r>
        <w:rPr>
          <w:i w:val="0"/>
          <w:iCs w:val="0"/>
        </w:rPr>
        <w:fldChar w:fldCharType="separate"/>
      </w:r>
      <w:r>
        <w:rPr>
          <w:i w:val="0"/>
          <w:iCs w:val="0"/>
        </w:rPr>
        <w:t>179</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_Toc22251 </w:instrText>
      </w:r>
      <w:r>
        <w:rPr>
          <w:i w:val="0"/>
          <w:iCs w:val="0"/>
          <w:szCs w:val="24"/>
        </w:rPr>
        <w:fldChar w:fldCharType="separate"/>
      </w:r>
      <w:r>
        <w:rPr>
          <w:rFonts w:eastAsia="黑体"/>
          <w:i w:val="0"/>
          <w:iCs w:val="0"/>
          <w:szCs w:val="28"/>
        </w:rPr>
        <w:t>四、地下空间土地使用权基准地价测算方法</w:t>
      </w:r>
      <w:r>
        <w:rPr>
          <w:i w:val="0"/>
          <w:iCs w:val="0"/>
        </w:rPr>
        <w:tab/>
      </w:r>
      <w:r>
        <w:rPr>
          <w:i w:val="0"/>
          <w:iCs w:val="0"/>
        </w:rPr>
        <w:fldChar w:fldCharType="begin"/>
      </w:r>
      <w:r>
        <w:rPr>
          <w:i w:val="0"/>
          <w:iCs w:val="0"/>
        </w:rPr>
        <w:instrText xml:space="preserve"> PAGEREF _Toc22251 </w:instrText>
      </w:r>
      <w:r>
        <w:rPr>
          <w:i w:val="0"/>
          <w:iCs w:val="0"/>
        </w:rPr>
        <w:fldChar w:fldCharType="separate"/>
      </w:r>
      <w:r>
        <w:rPr>
          <w:i w:val="0"/>
          <w:iCs w:val="0"/>
        </w:rPr>
        <w:t>179</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_Toc28057 </w:instrText>
      </w:r>
      <w:r>
        <w:rPr>
          <w:i w:val="0"/>
          <w:iCs w:val="0"/>
          <w:szCs w:val="24"/>
        </w:rPr>
        <w:fldChar w:fldCharType="separate"/>
      </w:r>
      <w:r>
        <w:rPr>
          <w:rFonts w:eastAsia="黑体"/>
          <w:i w:val="0"/>
          <w:iCs w:val="0"/>
          <w:szCs w:val="28"/>
        </w:rPr>
        <w:t>五、地下空间土地使用权基准地价测算</w:t>
      </w:r>
      <w:r>
        <w:rPr>
          <w:i w:val="0"/>
          <w:iCs w:val="0"/>
        </w:rPr>
        <w:tab/>
      </w:r>
      <w:r>
        <w:rPr>
          <w:i w:val="0"/>
          <w:iCs w:val="0"/>
        </w:rPr>
        <w:fldChar w:fldCharType="begin"/>
      </w:r>
      <w:r>
        <w:rPr>
          <w:i w:val="0"/>
          <w:iCs w:val="0"/>
        </w:rPr>
        <w:instrText xml:space="preserve"> PAGEREF _Toc28057 </w:instrText>
      </w:r>
      <w:r>
        <w:rPr>
          <w:i w:val="0"/>
          <w:iCs w:val="0"/>
        </w:rPr>
        <w:fldChar w:fldCharType="separate"/>
      </w:r>
      <w:r>
        <w:rPr>
          <w:i w:val="0"/>
          <w:iCs w:val="0"/>
        </w:rPr>
        <w:t>180</w:t>
      </w:r>
      <w:r>
        <w:rPr>
          <w:i w:val="0"/>
          <w:iCs w:val="0"/>
        </w:rPr>
        <w:fldChar w:fldCharType="end"/>
      </w:r>
      <w:r>
        <w:rPr>
          <w:i w:val="0"/>
          <w:iCs w:val="0"/>
          <w:szCs w:val="24"/>
        </w:rPr>
        <w:fldChar w:fldCharType="end"/>
      </w:r>
    </w:p>
    <w:p>
      <w:pPr>
        <w:pStyle w:val="26"/>
        <w:tabs>
          <w:tab w:val="right" w:leader="dot" w:pos="8306"/>
        </w:tabs>
        <w:rPr>
          <w:i w:val="0"/>
          <w:iCs w:val="0"/>
        </w:rPr>
      </w:pPr>
      <w:r>
        <w:rPr>
          <w:i w:val="0"/>
          <w:iCs w:val="0"/>
          <w:szCs w:val="24"/>
        </w:rPr>
        <w:fldChar w:fldCharType="begin"/>
      </w:r>
      <w:r>
        <w:rPr>
          <w:i w:val="0"/>
          <w:iCs w:val="0"/>
          <w:szCs w:val="24"/>
        </w:rPr>
        <w:instrText xml:space="preserve"> HYPERLINK \l _Toc29005 </w:instrText>
      </w:r>
      <w:r>
        <w:rPr>
          <w:i w:val="0"/>
          <w:iCs w:val="0"/>
          <w:szCs w:val="24"/>
        </w:rPr>
        <w:fldChar w:fldCharType="separate"/>
      </w:r>
      <w:r>
        <w:rPr>
          <w:rFonts w:eastAsia="黑体"/>
          <w:i w:val="0"/>
          <w:iCs w:val="0"/>
          <w:szCs w:val="36"/>
        </w:rPr>
        <w:t>第四篇  城区宗地地价修正体系的编制</w:t>
      </w:r>
      <w:r>
        <w:rPr>
          <w:i w:val="0"/>
          <w:iCs w:val="0"/>
        </w:rPr>
        <w:tab/>
      </w:r>
      <w:r>
        <w:rPr>
          <w:i w:val="0"/>
          <w:iCs w:val="0"/>
        </w:rPr>
        <w:fldChar w:fldCharType="begin"/>
      </w:r>
      <w:r>
        <w:rPr>
          <w:i w:val="0"/>
          <w:iCs w:val="0"/>
        </w:rPr>
        <w:instrText xml:space="preserve"> PAGEREF _Toc29005 </w:instrText>
      </w:r>
      <w:r>
        <w:rPr>
          <w:i w:val="0"/>
          <w:iCs w:val="0"/>
        </w:rPr>
        <w:fldChar w:fldCharType="separate"/>
      </w:r>
      <w:r>
        <w:rPr>
          <w:i w:val="0"/>
          <w:iCs w:val="0"/>
        </w:rPr>
        <w:t>185</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_Toc12459 </w:instrText>
      </w:r>
      <w:r>
        <w:rPr>
          <w:i w:val="0"/>
          <w:iCs w:val="0"/>
          <w:szCs w:val="24"/>
        </w:rPr>
        <w:fldChar w:fldCharType="separate"/>
      </w:r>
      <w:r>
        <w:rPr>
          <w:rFonts w:eastAsia="黑体"/>
          <w:i w:val="0"/>
          <w:iCs w:val="0"/>
          <w:szCs w:val="32"/>
        </w:rPr>
        <w:t>第一章  体系设计</w:t>
      </w:r>
      <w:r>
        <w:rPr>
          <w:i w:val="0"/>
          <w:iCs w:val="0"/>
        </w:rPr>
        <w:tab/>
      </w:r>
      <w:r>
        <w:rPr>
          <w:i w:val="0"/>
          <w:iCs w:val="0"/>
        </w:rPr>
        <w:fldChar w:fldCharType="begin"/>
      </w:r>
      <w:r>
        <w:rPr>
          <w:i w:val="0"/>
          <w:iCs w:val="0"/>
        </w:rPr>
        <w:instrText xml:space="preserve"> PAGEREF _Toc12459 </w:instrText>
      </w:r>
      <w:r>
        <w:rPr>
          <w:i w:val="0"/>
          <w:iCs w:val="0"/>
        </w:rPr>
        <w:fldChar w:fldCharType="separate"/>
      </w:r>
      <w:r>
        <w:rPr>
          <w:i w:val="0"/>
          <w:iCs w:val="0"/>
        </w:rPr>
        <w:t>185</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_Toc28179 </w:instrText>
      </w:r>
      <w:r>
        <w:rPr>
          <w:i w:val="0"/>
          <w:iCs w:val="0"/>
          <w:szCs w:val="24"/>
        </w:rPr>
        <w:fldChar w:fldCharType="separate"/>
      </w:r>
      <w:r>
        <w:rPr>
          <w:rFonts w:eastAsia="黑体"/>
          <w:i w:val="0"/>
          <w:iCs w:val="0"/>
          <w:szCs w:val="28"/>
        </w:rPr>
        <w:t>一、编制原理</w:t>
      </w:r>
      <w:r>
        <w:rPr>
          <w:i w:val="0"/>
          <w:iCs w:val="0"/>
        </w:rPr>
        <w:tab/>
      </w:r>
      <w:r>
        <w:rPr>
          <w:i w:val="0"/>
          <w:iCs w:val="0"/>
        </w:rPr>
        <w:fldChar w:fldCharType="begin"/>
      </w:r>
      <w:r>
        <w:rPr>
          <w:i w:val="0"/>
          <w:iCs w:val="0"/>
        </w:rPr>
        <w:instrText xml:space="preserve"> PAGEREF _Toc28179 </w:instrText>
      </w:r>
      <w:r>
        <w:rPr>
          <w:i w:val="0"/>
          <w:iCs w:val="0"/>
        </w:rPr>
        <w:fldChar w:fldCharType="separate"/>
      </w:r>
      <w:r>
        <w:rPr>
          <w:i w:val="0"/>
          <w:iCs w:val="0"/>
        </w:rPr>
        <w:t>185</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_Toc29317 </w:instrText>
      </w:r>
      <w:r>
        <w:rPr>
          <w:i w:val="0"/>
          <w:iCs w:val="0"/>
          <w:szCs w:val="24"/>
        </w:rPr>
        <w:fldChar w:fldCharType="separate"/>
      </w:r>
      <w:r>
        <w:rPr>
          <w:rFonts w:eastAsia="黑体"/>
          <w:i w:val="0"/>
          <w:iCs w:val="0"/>
          <w:szCs w:val="28"/>
        </w:rPr>
        <w:t>二、编制方法</w:t>
      </w:r>
      <w:r>
        <w:rPr>
          <w:i w:val="0"/>
          <w:iCs w:val="0"/>
        </w:rPr>
        <w:tab/>
      </w:r>
      <w:r>
        <w:rPr>
          <w:i w:val="0"/>
          <w:iCs w:val="0"/>
        </w:rPr>
        <w:fldChar w:fldCharType="begin"/>
      </w:r>
      <w:r>
        <w:rPr>
          <w:i w:val="0"/>
          <w:iCs w:val="0"/>
        </w:rPr>
        <w:instrText xml:space="preserve"> PAGEREF _Toc29317 </w:instrText>
      </w:r>
      <w:r>
        <w:rPr>
          <w:i w:val="0"/>
          <w:iCs w:val="0"/>
        </w:rPr>
        <w:fldChar w:fldCharType="separate"/>
      </w:r>
      <w:r>
        <w:rPr>
          <w:i w:val="0"/>
          <w:iCs w:val="0"/>
        </w:rPr>
        <w:t>185</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_Toc24994 </w:instrText>
      </w:r>
      <w:r>
        <w:rPr>
          <w:i w:val="0"/>
          <w:iCs w:val="0"/>
          <w:szCs w:val="24"/>
        </w:rPr>
        <w:fldChar w:fldCharType="separate"/>
      </w:r>
      <w:r>
        <w:rPr>
          <w:rFonts w:eastAsia="黑体"/>
          <w:i w:val="0"/>
          <w:iCs w:val="0"/>
          <w:szCs w:val="28"/>
        </w:rPr>
        <w:t>三、体系设计</w:t>
      </w:r>
      <w:r>
        <w:rPr>
          <w:i w:val="0"/>
          <w:iCs w:val="0"/>
        </w:rPr>
        <w:tab/>
      </w:r>
      <w:r>
        <w:rPr>
          <w:i w:val="0"/>
          <w:iCs w:val="0"/>
        </w:rPr>
        <w:fldChar w:fldCharType="begin"/>
      </w:r>
      <w:r>
        <w:rPr>
          <w:i w:val="0"/>
          <w:iCs w:val="0"/>
        </w:rPr>
        <w:instrText xml:space="preserve"> PAGEREF _Toc24994 </w:instrText>
      </w:r>
      <w:r>
        <w:rPr>
          <w:i w:val="0"/>
          <w:iCs w:val="0"/>
        </w:rPr>
        <w:fldChar w:fldCharType="separate"/>
      </w:r>
      <w:r>
        <w:rPr>
          <w:i w:val="0"/>
          <w:iCs w:val="0"/>
        </w:rPr>
        <w:t>186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_Toc18339 </w:instrText>
      </w:r>
      <w:r>
        <w:rPr>
          <w:i w:val="0"/>
          <w:iCs w:val="0"/>
          <w:szCs w:val="24"/>
        </w:rPr>
        <w:fldChar w:fldCharType="separate"/>
      </w:r>
      <w:r>
        <w:rPr>
          <w:rFonts w:eastAsia="黑体"/>
          <w:i w:val="0"/>
          <w:iCs w:val="0"/>
          <w:szCs w:val="28"/>
        </w:rPr>
        <w:t>四、宗地地价影响因素分析</w:t>
      </w:r>
      <w:r>
        <w:rPr>
          <w:i w:val="0"/>
          <w:iCs w:val="0"/>
        </w:rPr>
        <w:tab/>
      </w:r>
      <w:r>
        <w:rPr>
          <w:i w:val="0"/>
          <w:iCs w:val="0"/>
        </w:rPr>
        <w:fldChar w:fldCharType="begin"/>
      </w:r>
      <w:r>
        <w:rPr>
          <w:i w:val="0"/>
          <w:iCs w:val="0"/>
        </w:rPr>
        <w:instrText xml:space="preserve"> PAGEREF _Toc18339 </w:instrText>
      </w:r>
      <w:r>
        <w:rPr>
          <w:i w:val="0"/>
          <w:iCs w:val="0"/>
        </w:rPr>
        <w:fldChar w:fldCharType="separate"/>
      </w:r>
      <w:r>
        <w:rPr>
          <w:i w:val="0"/>
          <w:iCs w:val="0"/>
        </w:rPr>
        <w:t>186</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_Toc16773 </w:instrText>
      </w:r>
      <w:r>
        <w:rPr>
          <w:i w:val="0"/>
          <w:iCs w:val="0"/>
          <w:szCs w:val="24"/>
        </w:rPr>
        <w:fldChar w:fldCharType="separate"/>
      </w:r>
      <w:r>
        <w:rPr>
          <w:rFonts w:eastAsia="黑体"/>
          <w:i w:val="0"/>
          <w:iCs w:val="0"/>
          <w:szCs w:val="32"/>
        </w:rPr>
        <w:t>第二章　宗地地价修正系数表的编制</w:t>
      </w:r>
      <w:r>
        <w:rPr>
          <w:i w:val="0"/>
          <w:iCs w:val="0"/>
        </w:rPr>
        <w:tab/>
      </w:r>
      <w:r>
        <w:rPr>
          <w:i w:val="0"/>
          <w:iCs w:val="0"/>
        </w:rPr>
        <w:fldChar w:fldCharType="begin"/>
      </w:r>
      <w:r>
        <w:rPr>
          <w:i w:val="0"/>
          <w:iCs w:val="0"/>
        </w:rPr>
        <w:instrText xml:space="preserve"> PAGEREF _Toc16773 </w:instrText>
      </w:r>
      <w:r>
        <w:rPr>
          <w:i w:val="0"/>
          <w:iCs w:val="0"/>
        </w:rPr>
        <w:fldChar w:fldCharType="separate"/>
      </w:r>
      <w:r>
        <w:rPr>
          <w:i w:val="0"/>
          <w:iCs w:val="0"/>
        </w:rPr>
        <w:t>188</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_Toc15966 </w:instrText>
      </w:r>
      <w:r>
        <w:rPr>
          <w:i w:val="0"/>
          <w:iCs w:val="0"/>
          <w:szCs w:val="24"/>
        </w:rPr>
        <w:fldChar w:fldCharType="separate"/>
      </w:r>
      <w:r>
        <w:rPr>
          <w:rFonts w:eastAsia="黑体"/>
          <w:i w:val="0"/>
          <w:iCs w:val="0"/>
          <w:szCs w:val="28"/>
        </w:rPr>
        <w:t>一、宗地地价区域因素修正体系的编制</w:t>
      </w:r>
      <w:r>
        <w:rPr>
          <w:i w:val="0"/>
          <w:iCs w:val="0"/>
        </w:rPr>
        <w:tab/>
      </w:r>
      <w:r>
        <w:rPr>
          <w:i w:val="0"/>
          <w:iCs w:val="0"/>
        </w:rPr>
        <w:fldChar w:fldCharType="begin"/>
      </w:r>
      <w:r>
        <w:rPr>
          <w:i w:val="0"/>
          <w:iCs w:val="0"/>
        </w:rPr>
        <w:instrText xml:space="preserve"> PAGEREF _Toc15966 </w:instrText>
      </w:r>
      <w:r>
        <w:rPr>
          <w:i w:val="0"/>
          <w:iCs w:val="0"/>
        </w:rPr>
        <w:fldChar w:fldCharType="separate"/>
      </w:r>
      <w:r>
        <w:rPr>
          <w:i w:val="0"/>
          <w:iCs w:val="0"/>
        </w:rPr>
        <w:t>188</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_Toc32200 </w:instrText>
      </w:r>
      <w:r>
        <w:rPr>
          <w:i w:val="0"/>
          <w:iCs w:val="0"/>
          <w:szCs w:val="24"/>
        </w:rPr>
        <w:fldChar w:fldCharType="separate"/>
      </w:r>
      <w:r>
        <w:rPr>
          <w:rFonts w:eastAsia="黑体"/>
          <w:i w:val="0"/>
          <w:iCs w:val="0"/>
          <w:szCs w:val="28"/>
        </w:rPr>
        <w:t>二、宗地地价个别因素修正体系的编制</w:t>
      </w:r>
      <w:r>
        <w:rPr>
          <w:i w:val="0"/>
          <w:iCs w:val="0"/>
        </w:rPr>
        <w:tab/>
      </w:r>
      <w:r>
        <w:rPr>
          <w:i w:val="0"/>
          <w:iCs w:val="0"/>
        </w:rPr>
        <w:fldChar w:fldCharType="begin"/>
      </w:r>
      <w:r>
        <w:rPr>
          <w:i w:val="0"/>
          <w:iCs w:val="0"/>
        </w:rPr>
        <w:instrText xml:space="preserve"> PAGEREF _Toc32200 </w:instrText>
      </w:r>
      <w:r>
        <w:rPr>
          <w:i w:val="0"/>
          <w:iCs w:val="0"/>
        </w:rPr>
        <w:fldChar w:fldCharType="separate"/>
      </w:r>
      <w:r>
        <w:rPr>
          <w:i w:val="0"/>
          <w:iCs w:val="0"/>
        </w:rPr>
        <w:t>192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_Toc32093 </w:instrText>
      </w:r>
      <w:r>
        <w:rPr>
          <w:i w:val="0"/>
          <w:iCs w:val="0"/>
          <w:szCs w:val="24"/>
        </w:rPr>
        <w:fldChar w:fldCharType="separate"/>
      </w:r>
      <w:r>
        <w:rPr>
          <w:rFonts w:eastAsia="黑体"/>
          <w:i w:val="0"/>
          <w:iCs w:val="0"/>
          <w:szCs w:val="28"/>
        </w:rPr>
        <w:t>三、商服用地临街宗地特别因素修正体系的编制</w:t>
      </w:r>
      <w:r>
        <w:rPr>
          <w:i w:val="0"/>
          <w:iCs w:val="0"/>
        </w:rPr>
        <w:tab/>
      </w:r>
      <w:r>
        <w:rPr>
          <w:i w:val="0"/>
          <w:iCs w:val="0"/>
        </w:rPr>
        <w:fldChar w:fldCharType="begin"/>
      </w:r>
      <w:r>
        <w:rPr>
          <w:i w:val="0"/>
          <w:iCs w:val="0"/>
        </w:rPr>
        <w:instrText xml:space="preserve"> PAGEREF _Toc32093 </w:instrText>
      </w:r>
      <w:r>
        <w:rPr>
          <w:i w:val="0"/>
          <w:iCs w:val="0"/>
        </w:rPr>
        <w:fldChar w:fldCharType="separate"/>
      </w:r>
      <w:r>
        <w:rPr>
          <w:i w:val="0"/>
          <w:iCs w:val="0"/>
        </w:rPr>
        <w:t>194</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_Toc26130 </w:instrText>
      </w:r>
      <w:r>
        <w:rPr>
          <w:i w:val="0"/>
          <w:iCs w:val="0"/>
          <w:szCs w:val="24"/>
        </w:rPr>
        <w:fldChar w:fldCharType="separate"/>
      </w:r>
      <w:r>
        <w:rPr>
          <w:rFonts w:eastAsia="黑体"/>
          <w:i w:val="0"/>
          <w:iCs w:val="0"/>
        </w:rPr>
        <w:t>第三章　商服用地修正体系</w:t>
      </w:r>
      <w:r>
        <w:rPr>
          <w:i w:val="0"/>
          <w:iCs w:val="0"/>
        </w:rPr>
        <w:tab/>
      </w:r>
      <w:r>
        <w:rPr>
          <w:i w:val="0"/>
          <w:iCs w:val="0"/>
        </w:rPr>
        <w:fldChar w:fldCharType="begin"/>
      </w:r>
      <w:r>
        <w:rPr>
          <w:i w:val="0"/>
          <w:iCs w:val="0"/>
        </w:rPr>
        <w:instrText xml:space="preserve"> PAGEREF _Toc26130 </w:instrText>
      </w:r>
      <w:r>
        <w:rPr>
          <w:i w:val="0"/>
          <w:iCs w:val="0"/>
        </w:rPr>
        <w:fldChar w:fldCharType="separate"/>
      </w:r>
      <w:r>
        <w:rPr>
          <w:i w:val="0"/>
          <w:iCs w:val="0"/>
        </w:rPr>
        <w:t>196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_Toc21186 </w:instrText>
      </w:r>
      <w:r>
        <w:rPr>
          <w:i w:val="0"/>
          <w:iCs w:val="0"/>
          <w:szCs w:val="24"/>
        </w:rPr>
        <w:fldChar w:fldCharType="separate"/>
      </w:r>
      <w:r>
        <w:rPr>
          <w:rFonts w:eastAsia="黑体"/>
          <w:i w:val="0"/>
          <w:iCs w:val="0"/>
          <w:szCs w:val="28"/>
        </w:rPr>
        <w:t>一、宗地地价区域因素修正</w:t>
      </w:r>
      <w:r>
        <w:rPr>
          <w:i w:val="0"/>
          <w:iCs w:val="0"/>
        </w:rPr>
        <w:tab/>
      </w:r>
      <w:r>
        <w:rPr>
          <w:i w:val="0"/>
          <w:iCs w:val="0"/>
        </w:rPr>
        <w:fldChar w:fldCharType="begin"/>
      </w:r>
      <w:r>
        <w:rPr>
          <w:i w:val="0"/>
          <w:iCs w:val="0"/>
        </w:rPr>
        <w:instrText xml:space="preserve"> PAGEREF _Toc21186 </w:instrText>
      </w:r>
      <w:r>
        <w:rPr>
          <w:i w:val="0"/>
          <w:iCs w:val="0"/>
        </w:rPr>
        <w:fldChar w:fldCharType="separate"/>
      </w:r>
      <w:r>
        <w:rPr>
          <w:i w:val="0"/>
          <w:iCs w:val="0"/>
        </w:rPr>
        <w:t>196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_Toc16566 </w:instrText>
      </w:r>
      <w:r>
        <w:rPr>
          <w:i w:val="0"/>
          <w:iCs w:val="0"/>
          <w:szCs w:val="24"/>
        </w:rPr>
        <w:fldChar w:fldCharType="separate"/>
      </w:r>
      <w:r>
        <w:rPr>
          <w:rFonts w:eastAsia="黑体"/>
          <w:i w:val="0"/>
          <w:iCs w:val="0"/>
          <w:szCs w:val="28"/>
        </w:rPr>
        <w:t>二、宗地地价个别因素修正</w:t>
      </w:r>
      <w:r>
        <w:rPr>
          <w:i w:val="0"/>
          <w:iCs w:val="0"/>
        </w:rPr>
        <w:tab/>
      </w:r>
      <w:r>
        <w:rPr>
          <w:i w:val="0"/>
          <w:iCs w:val="0"/>
        </w:rPr>
        <w:fldChar w:fldCharType="begin"/>
      </w:r>
      <w:r>
        <w:rPr>
          <w:i w:val="0"/>
          <w:iCs w:val="0"/>
        </w:rPr>
        <w:instrText xml:space="preserve"> PAGEREF _Toc16566 </w:instrText>
      </w:r>
      <w:r>
        <w:rPr>
          <w:i w:val="0"/>
          <w:iCs w:val="0"/>
        </w:rPr>
        <w:fldChar w:fldCharType="separate"/>
      </w:r>
      <w:r>
        <w:rPr>
          <w:i w:val="0"/>
          <w:iCs w:val="0"/>
        </w:rPr>
        <w:t>200</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_Toc8580 </w:instrText>
      </w:r>
      <w:r>
        <w:rPr>
          <w:i w:val="0"/>
          <w:iCs w:val="0"/>
          <w:szCs w:val="24"/>
        </w:rPr>
        <w:fldChar w:fldCharType="separate"/>
      </w:r>
      <w:r>
        <w:rPr>
          <w:rFonts w:eastAsia="黑体"/>
          <w:i w:val="0"/>
          <w:iCs w:val="0"/>
          <w:szCs w:val="28"/>
        </w:rPr>
        <w:t>三、宗地地价特别因素修正</w:t>
      </w:r>
      <w:r>
        <w:rPr>
          <w:i w:val="0"/>
          <w:iCs w:val="0"/>
        </w:rPr>
        <w:tab/>
      </w:r>
      <w:r>
        <w:rPr>
          <w:i w:val="0"/>
          <w:iCs w:val="0"/>
        </w:rPr>
        <w:fldChar w:fldCharType="begin"/>
      </w:r>
      <w:r>
        <w:rPr>
          <w:i w:val="0"/>
          <w:iCs w:val="0"/>
        </w:rPr>
        <w:instrText xml:space="preserve"> PAGEREF _Toc8580 </w:instrText>
      </w:r>
      <w:r>
        <w:rPr>
          <w:i w:val="0"/>
          <w:iCs w:val="0"/>
        </w:rPr>
        <w:fldChar w:fldCharType="separate"/>
      </w:r>
      <w:r>
        <w:rPr>
          <w:i w:val="0"/>
          <w:iCs w:val="0"/>
        </w:rPr>
        <w:t>202</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_Toc27401 </w:instrText>
      </w:r>
      <w:r>
        <w:rPr>
          <w:i w:val="0"/>
          <w:iCs w:val="0"/>
          <w:szCs w:val="24"/>
        </w:rPr>
        <w:fldChar w:fldCharType="separate"/>
      </w:r>
      <w:r>
        <w:rPr>
          <w:rFonts w:eastAsia="黑体"/>
          <w:i w:val="0"/>
          <w:iCs w:val="0"/>
        </w:rPr>
        <w:t>第四章　住宅用地修正体系</w:t>
      </w:r>
      <w:r>
        <w:rPr>
          <w:i w:val="0"/>
          <w:iCs w:val="0"/>
        </w:rPr>
        <w:tab/>
      </w:r>
      <w:r>
        <w:rPr>
          <w:i w:val="0"/>
          <w:iCs w:val="0"/>
        </w:rPr>
        <w:fldChar w:fldCharType="begin"/>
      </w:r>
      <w:r>
        <w:rPr>
          <w:i w:val="0"/>
          <w:iCs w:val="0"/>
        </w:rPr>
        <w:instrText xml:space="preserve"> PAGEREF _Toc27401 </w:instrText>
      </w:r>
      <w:r>
        <w:rPr>
          <w:i w:val="0"/>
          <w:iCs w:val="0"/>
        </w:rPr>
        <w:fldChar w:fldCharType="separate"/>
      </w:r>
      <w:r>
        <w:rPr>
          <w:i w:val="0"/>
          <w:iCs w:val="0"/>
        </w:rPr>
        <w:t>204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_Toc18135 </w:instrText>
      </w:r>
      <w:r>
        <w:rPr>
          <w:i w:val="0"/>
          <w:iCs w:val="0"/>
          <w:szCs w:val="24"/>
        </w:rPr>
        <w:fldChar w:fldCharType="separate"/>
      </w:r>
      <w:r>
        <w:rPr>
          <w:rFonts w:eastAsia="黑体"/>
          <w:i w:val="0"/>
          <w:iCs w:val="0"/>
          <w:szCs w:val="28"/>
        </w:rPr>
        <w:t>一、宗地地价区域因素修正</w:t>
      </w:r>
      <w:r>
        <w:rPr>
          <w:i w:val="0"/>
          <w:iCs w:val="0"/>
        </w:rPr>
        <w:tab/>
      </w:r>
      <w:r>
        <w:rPr>
          <w:i w:val="0"/>
          <w:iCs w:val="0"/>
        </w:rPr>
        <w:fldChar w:fldCharType="begin"/>
      </w:r>
      <w:r>
        <w:rPr>
          <w:i w:val="0"/>
          <w:iCs w:val="0"/>
        </w:rPr>
        <w:instrText xml:space="preserve"> PAGEREF _Toc18135 </w:instrText>
      </w:r>
      <w:r>
        <w:rPr>
          <w:i w:val="0"/>
          <w:iCs w:val="0"/>
        </w:rPr>
        <w:fldChar w:fldCharType="separate"/>
      </w:r>
      <w:r>
        <w:rPr>
          <w:i w:val="0"/>
          <w:iCs w:val="0"/>
        </w:rPr>
        <w:t>204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_Toc21962 </w:instrText>
      </w:r>
      <w:r>
        <w:rPr>
          <w:i w:val="0"/>
          <w:iCs w:val="0"/>
          <w:szCs w:val="24"/>
        </w:rPr>
        <w:fldChar w:fldCharType="separate"/>
      </w:r>
      <w:r>
        <w:rPr>
          <w:rFonts w:eastAsia="黑体"/>
          <w:i w:val="0"/>
          <w:iCs w:val="0"/>
          <w:szCs w:val="28"/>
        </w:rPr>
        <w:t>二、宗地地价个别因素修正</w:t>
      </w:r>
      <w:r>
        <w:rPr>
          <w:i w:val="0"/>
          <w:iCs w:val="0"/>
        </w:rPr>
        <w:tab/>
      </w:r>
      <w:r>
        <w:rPr>
          <w:i w:val="0"/>
          <w:iCs w:val="0"/>
        </w:rPr>
        <w:fldChar w:fldCharType="begin"/>
      </w:r>
      <w:r>
        <w:rPr>
          <w:i w:val="0"/>
          <w:iCs w:val="0"/>
        </w:rPr>
        <w:instrText xml:space="preserve"> PAGEREF _Toc21962 </w:instrText>
      </w:r>
      <w:r>
        <w:rPr>
          <w:i w:val="0"/>
          <w:iCs w:val="0"/>
        </w:rPr>
        <w:fldChar w:fldCharType="separate"/>
      </w:r>
      <w:r>
        <w:rPr>
          <w:i w:val="0"/>
          <w:iCs w:val="0"/>
        </w:rPr>
        <w:t>214</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_Toc8079 </w:instrText>
      </w:r>
      <w:r>
        <w:rPr>
          <w:i w:val="0"/>
          <w:iCs w:val="0"/>
          <w:szCs w:val="24"/>
        </w:rPr>
        <w:fldChar w:fldCharType="separate"/>
      </w:r>
      <w:r>
        <w:rPr>
          <w:rFonts w:eastAsia="黑体"/>
          <w:i w:val="0"/>
          <w:iCs w:val="0"/>
        </w:rPr>
        <w:t>第五章　工矿仓储用地修正体系</w:t>
      </w:r>
      <w:r>
        <w:rPr>
          <w:i w:val="0"/>
          <w:iCs w:val="0"/>
        </w:rPr>
        <w:tab/>
      </w:r>
      <w:r>
        <w:rPr>
          <w:i w:val="0"/>
          <w:iCs w:val="0"/>
        </w:rPr>
        <w:fldChar w:fldCharType="begin"/>
      </w:r>
      <w:r>
        <w:rPr>
          <w:i w:val="0"/>
          <w:iCs w:val="0"/>
        </w:rPr>
        <w:instrText xml:space="preserve"> PAGEREF _Toc8079 </w:instrText>
      </w:r>
      <w:r>
        <w:rPr>
          <w:i w:val="0"/>
          <w:iCs w:val="0"/>
        </w:rPr>
        <w:fldChar w:fldCharType="separate"/>
      </w:r>
      <w:r>
        <w:rPr>
          <w:i w:val="0"/>
          <w:iCs w:val="0"/>
        </w:rPr>
        <w:t>216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_Toc1369 </w:instrText>
      </w:r>
      <w:r>
        <w:rPr>
          <w:i w:val="0"/>
          <w:iCs w:val="0"/>
          <w:szCs w:val="24"/>
        </w:rPr>
        <w:fldChar w:fldCharType="separate"/>
      </w:r>
      <w:r>
        <w:rPr>
          <w:rFonts w:eastAsia="黑体"/>
          <w:i w:val="0"/>
          <w:iCs w:val="0"/>
          <w:szCs w:val="28"/>
        </w:rPr>
        <w:t>一、宗地地价区域因素修正</w:t>
      </w:r>
      <w:r>
        <w:rPr>
          <w:i w:val="0"/>
          <w:iCs w:val="0"/>
        </w:rPr>
        <w:tab/>
      </w:r>
      <w:r>
        <w:rPr>
          <w:i w:val="0"/>
          <w:iCs w:val="0"/>
        </w:rPr>
        <w:fldChar w:fldCharType="begin"/>
      </w:r>
      <w:r>
        <w:rPr>
          <w:i w:val="0"/>
          <w:iCs w:val="0"/>
        </w:rPr>
        <w:instrText xml:space="preserve"> PAGEREF _Toc1369 </w:instrText>
      </w:r>
      <w:r>
        <w:rPr>
          <w:i w:val="0"/>
          <w:iCs w:val="0"/>
        </w:rPr>
        <w:fldChar w:fldCharType="separate"/>
      </w:r>
      <w:r>
        <w:rPr>
          <w:i w:val="0"/>
          <w:iCs w:val="0"/>
        </w:rPr>
        <w:t>216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_Toc21983 </w:instrText>
      </w:r>
      <w:r>
        <w:rPr>
          <w:i w:val="0"/>
          <w:iCs w:val="0"/>
          <w:szCs w:val="24"/>
        </w:rPr>
        <w:fldChar w:fldCharType="separate"/>
      </w:r>
      <w:r>
        <w:rPr>
          <w:rFonts w:eastAsia="黑体"/>
          <w:i w:val="0"/>
          <w:iCs w:val="0"/>
          <w:szCs w:val="28"/>
        </w:rPr>
        <w:t>二、宗地地价个别因素修正</w:t>
      </w:r>
      <w:r>
        <w:rPr>
          <w:i w:val="0"/>
          <w:iCs w:val="0"/>
        </w:rPr>
        <w:tab/>
      </w:r>
      <w:r>
        <w:rPr>
          <w:i w:val="0"/>
          <w:iCs w:val="0"/>
        </w:rPr>
        <w:fldChar w:fldCharType="begin"/>
      </w:r>
      <w:r>
        <w:rPr>
          <w:i w:val="0"/>
          <w:iCs w:val="0"/>
        </w:rPr>
        <w:instrText xml:space="preserve"> PAGEREF _Toc21983 </w:instrText>
      </w:r>
      <w:r>
        <w:rPr>
          <w:i w:val="0"/>
          <w:iCs w:val="0"/>
        </w:rPr>
        <w:fldChar w:fldCharType="separate"/>
      </w:r>
      <w:r>
        <w:rPr>
          <w:i w:val="0"/>
          <w:iCs w:val="0"/>
        </w:rPr>
        <w:t>221</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_Toc15629 </w:instrText>
      </w:r>
      <w:r>
        <w:rPr>
          <w:i w:val="0"/>
          <w:iCs w:val="0"/>
          <w:szCs w:val="24"/>
        </w:rPr>
        <w:fldChar w:fldCharType="separate"/>
      </w:r>
      <w:r>
        <w:rPr>
          <w:rFonts w:eastAsia="黑体"/>
          <w:i w:val="0"/>
          <w:iCs w:val="0"/>
          <w:szCs w:val="22"/>
        </w:rPr>
        <w:t>第六章  公共管理与公共服务用地地价修正体系</w:t>
      </w:r>
      <w:r>
        <w:rPr>
          <w:i w:val="0"/>
          <w:iCs w:val="0"/>
        </w:rPr>
        <w:tab/>
      </w:r>
      <w:r>
        <w:rPr>
          <w:i w:val="0"/>
          <w:iCs w:val="0"/>
        </w:rPr>
        <w:fldChar w:fldCharType="begin"/>
      </w:r>
      <w:r>
        <w:rPr>
          <w:i w:val="0"/>
          <w:iCs w:val="0"/>
        </w:rPr>
        <w:instrText xml:space="preserve"> PAGEREF _Toc15629 </w:instrText>
      </w:r>
      <w:r>
        <w:rPr>
          <w:i w:val="0"/>
          <w:iCs w:val="0"/>
        </w:rPr>
        <w:fldChar w:fldCharType="separate"/>
      </w:r>
      <w:r>
        <w:rPr>
          <w:i w:val="0"/>
          <w:iCs w:val="0"/>
        </w:rPr>
        <w:t>223</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_Toc8687 </w:instrText>
      </w:r>
      <w:r>
        <w:rPr>
          <w:i w:val="0"/>
          <w:iCs w:val="0"/>
          <w:szCs w:val="24"/>
        </w:rPr>
        <w:fldChar w:fldCharType="separate"/>
      </w:r>
      <w:r>
        <w:rPr>
          <w:rFonts w:eastAsia="黑体"/>
          <w:i w:val="0"/>
          <w:iCs w:val="0"/>
          <w:szCs w:val="28"/>
          <w:lang w:val="zh-CN"/>
        </w:rPr>
        <w:t>一、宗地地价区域因素修正</w:t>
      </w:r>
      <w:r>
        <w:rPr>
          <w:i w:val="0"/>
          <w:iCs w:val="0"/>
        </w:rPr>
        <w:tab/>
      </w:r>
      <w:r>
        <w:rPr>
          <w:i w:val="0"/>
          <w:iCs w:val="0"/>
        </w:rPr>
        <w:fldChar w:fldCharType="begin"/>
      </w:r>
      <w:r>
        <w:rPr>
          <w:i w:val="0"/>
          <w:iCs w:val="0"/>
        </w:rPr>
        <w:instrText xml:space="preserve"> PAGEREF _Toc8687 </w:instrText>
      </w:r>
      <w:r>
        <w:rPr>
          <w:i w:val="0"/>
          <w:iCs w:val="0"/>
        </w:rPr>
        <w:fldChar w:fldCharType="separate"/>
      </w:r>
      <w:r>
        <w:rPr>
          <w:i w:val="0"/>
          <w:iCs w:val="0"/>
        </w:rPr>
        <w:t>223</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_Toc30197 </w:instrText>
      </w:r>
      <w:r>
        <w:rPr>
          <w:i w:val="0"/>
          <w:iCs w:val="0"/>
          <w:szCs w:val="24"/>
        </w:rPr>
        <w:fldChar w:fldCharType="separate"/>
      </w:r>
      <w:r>
        <w:rPr>
          <w:rFonts w:eastAsia="黑体"/>
          <w:i w:val="0"/>
          <w:iCs w:val="0"/>
          <w:szCs w:val="28"/>
          <w:lang w:val="zh-CN"/>
        </w:rPr>
        <w:t>二、宗地地价个别因素修正</w:t>
      </w:r>
      <w:r>
        <w:rPr>
          <w:i w:val="0"/>
          <w:iCs w:val="0"/>
        </w:rPr>
        <w:tab/>
      </w:r>
      <w:r>
        <w:rPr>
          <w:i w:val="0"/>
          <w:iCs w:val="0"/>
        </w:rPr>
        <w:fldChar w:fldCharType="begin"/>
      </w:r>
      <w:r>
        <w:rPr>
          <w:i w:val="0"/>
          <w:iCs w:val="0"/>
        </w:rPr>
        <w:instrText xml:space="preserve"> PAGEREF _Toc30197 </w:instrText>
      </w:r>
      <w:r>
        <w:rPr>
          <w:i w:val="0"/>
          <w:iCs w:val="0"/>
        </w:rPr>
        <w:fldChar w:fldCharType="separate"/>
      </w:r>
      <w:r>
        <w:rPr>
          <w:i w:val="0"/>
          <w:iCs w:val="0"/>
        </w:rPr>
        <w:t>236</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_Toc15373 </w:instrText>
      </w:r>
      <w:r>
        <w:rPr>
          <w:i w:val="0"/>
          <w:iCs w:val="0"/>
          <w:szCs w:val="24"/>
        </w:rPr>
        <w:fldChar w:fldCharType="separate"/>
      </w:r>
      <w:r>
        <w:rPr>
          <w:rFonts w:eastAsia="黑体"/>
          <w:i w:val="0"/>
          <w:iCs w:val="0"/>
        </w:rPr>
        <w:t>第七章  宗地地价修正体系的应用</w:t>
      </w:r>
      <w:r>
        <w:rPr>
          <w:i w:val="0"/>
          <w:iCs w:val="0"/>
        </w:rPr>
        <w:tab/>
      </w:r>
      <w:r>
        <w:rPr>
          <w:i w:val="0"/>
          <w:iCs w:val="0"/>
        </w:rPr>
        <w:fldChar w:fldCharType="begin"/>
      </w:r>
      <w:r>
        <w:rPr>
          <w:i w:val="0"/>
          <w:iCs w:val="0"/>
        </w:rPr>
        <w:instrText xml:space="preserve"> PAGEREF _Toc15373 </w:instrText>
      </w:r>
      <w:r>
        <w:rPr>
          <w:i w:val="0"/>
          <w:iCs w:val="0"/>
        </w:rPr>
        <w:fldChar w:fldCharType="separate"/>
      </w:r>
      <w:r>
        <w:rPr>
          <w:i w:val="0"/>
          <w:iCs w:val="0"/>
        </w:rPr>
        <w:t>239</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_Toc1209 </w:instrText>
      </w:r>
      <w:r>
        <w:rPr>
          <w:i w:val="0"/>
          <w:iCs w:val="0"/>
          <w:szCs w:val="24"/>
        </w:rPr>
        <w:fldChar w:fldCharType="separate"/>
      </w:r>
      <w:r>
        <w:rPr>
          <w:rFonts w:eastAsia="黑体"/>
          <w:i w:val="0"/>
          <w:iCs w:val="0"/>
          <w:szCs w:val="28"/>
        </w:rPr>
        <w:t>一、基准地价系数修正法评估宗地地价</w:t>
      </w:r>
      <w:r>
        <w:rPr>
          <w:i w:val="0"/>
          <w:iCs w:val="0"/>
        </w:rPr>
        <w:tab/>
      </w:r>
      <w:r>
        <w:rPr>
          <w:i w:val="0"/>
          <w:iCs w:val="0"/>
        </w:rPr>
        <w:fldChar w:fldCharType="begin"/>
      </w:r>
      <w:r>
        <w:rPr>
          <w:i w:val="0"/>
          <w:iCs w:val="0"/>
        </w:rPr>
        <w:instrText xml:space="preserve"> PAGEREF _Toc1209 </w:instrText>
      </w:r>
      <w:r>
        <w:rPr>
          <w:i w:val="0"/>
          <w:iCs w:val="0"/>
        </w:rPr>
        <w:fldChar w:fldCharType="separate"/>
      </w:r>
      <w:r>
        <w:rPr>
          <w:i w:val="0"/>
          <w:iCs w:val="0"/>
        </w:rPr>
        <w:t>239</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_Toc30093 </w:instrText>
      </w:r>
      <w:r>
        <w:rPr>
          <w:i w:val="0"/>
          <w:iCs w:val="0"/>
          <w:szCs w:val="24"/>
        </w:rPr>
        <w:fldChar w:fldCharType="separate"/>
      </w:r>
      <w:r>
        <w:rPr>
          <w:rFonts w:eastAsia="黑体"/>
          <w:i w:val="0"/>
          <w:iCs w:val="0"/>
          <w:szCs w:val="28"/>
        </w:rPr>
        <w:t>二、市场比较法评估宗地地价</w:t>
      </w:r>
      <w:r>
        <w:rPr>
          <w:i w:val="0"/>
          <w:iCs w:val="0"/>
        </w:rPr>
        <w:tab/>
      </w:r>
      <w:r>
        <w:rPr>
          <w:i w:val="0"/>
          <w:iCs w:val="0"/>
        </w:rPr>
        <w:fldChar w:fldCharType="begin"/>
      </w:r>
      <w:r>
        <w:rPr>
          <w:i w:val="0"/>
          <w:iCs w:val="0"/>
        </w:rPr>
        <w:instrText xml:space="preserve"> PAGEREF _Toc30093 </w:instrText>
      </w:r>
      <w:r>
        <w:rPr>
          <w:i w:val="0"/>
          <w:iCs w:val="0"/>
        </w:rPr>
        <w:fldChar w:fldCharType="separate"/>
      </w:r>
      <w:r>
        <w:rPr>
          <w:i w:val="0"/>
          <w:iCs w:val="0"/>
        </w:rPr>
        <w:t>240</w:t>
      </w:r>
      <w:r>
        <w:rPr>
          <w:i w:val="0"/>
          <w:iCs w:val="0"/>
        </w:rPr>
        <w:fldChar w:fldCharType="end"/>
      </w:r>
      <w:r>
        <w:rPr>
          <w:i w:val="0"/>
          <w:iCs w:val="0"/>
          <w:szCs w:val="24"/>
        </w:rPr>
        <w:fldChar w:fldCharType="end"/>
      </w:r>
    </w:p>
    <w:p>
      <w:pPr>
        <w:pStyle w:val="26"/>
        <w:tabs>
          <w:tab w:val="right" w:leader="dot" w:pos="8306"/>
        </w:tabs>
        <w:rPr>
          <w:i w:val="0"/>
          <w:iCs w:val="0"/>
        </w:rPr>
      </w:pPr>
      <w:r>
        <w:rPr>
          <w:i w:val="0"/>
          <w:iCs w:val="0"/>
          <w:szCs w:val="24"/>
        </w:rPr>
        <w:fldChar w:fldCharType="begin"/>
      </w:r>
      <w:r>
        <w:rPr>
          <w:i w:val="0"/>
          <w:iCs w:val="0"/>
          <w:szCs w:val="24"/>
        </w:rPr>
        <w:instrText xml:space="preserve"> HYPERLINK \l _Toc12157 </w:instrText>
      </w:r>
      <w:r>
        <w:rPr>
          <w:i w:val="0"/>
          <w:iCs w:val="0"/>
          <w:szCs w:val="24"/>
        </w:rPr>
        <w:fldChar w:fldCharType="separate"/>
      </w:r>
      <w:r>
        <w:rPr>
          <w:rFonts w:eastAsia="黑体"/>
          <w:i w:val="0"/>
          <w:iCs w:val="0"/>
          <w:szCs w:val="36"/>
        </w:rPr>
        <w:t>第五篇  乡镇基准地价更新</w:t>
      </w:r>
      <w:r>
        <w:rPr>
          <w:i w:val="0"/>
          <w:iCs w:val="0"/>
        </w:rPr>
        <w:tab/>
      </w:r>
      <w:r>
        <w:rPr>
          <w:i w:val="0"/>
          <w:iCs w:val="0"/>
        </w:rPr>
        <w:fldChar w:fldCharType="begin"/>
      </w:r>
      <w:r>
        <w:rPr>
          <w:i w:val="0"/>
          <w:iCs w:val="0"/>
        </w:rPr>
        <w:instrText xml:space="preserve"> PAGEREF _Toc12157 </w:instrText>
      </w:r>
      <w:r>
        <w:rPr>
          <w:i w:val="0"/>
          <w:iCs w:val="0"/>
        </w:rPr>
        <w:fldChar w:fldCharType="separate"/>
      </w:r>
      <w:r>
        <w:rPr>
          <w:i w:val="0"/>
          <w:iCs w:val="0"/>
        </w:rPr>
        <w:t>242</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_Toc21911 </w:instrText>
      </w:r>
      <w:r>
        <w:rPr>
          <w:i w:val="0"/>
          <w:iCs w:val="0"/>
          <w:szCs w:val="24"/>
        </w:rPr>
        <w:fldChar w:fldCharType="separate"/>
      </w:r>
      <w:r>
        <w:rPr>
          <w:rFonts w:eastAsia="黑体"/>
          <w:i w:val="0"/>
          <w:iCs w:val="0"/>
          <w:szCs w:val="22"/>
        </w:rPr>
        <w:t>第一章 乡镇情况简介</w:t>
      </w:r>
      <w:r>
        <w:rPr>
          <w:i w:val="0"/>
          <w:iCs w:val="0"/>
        </w:rPr>
        <w:tab/>
      </w:r>
      <w:r>
        <w:rPr>
          <w:i w:val="0"/>
          <w:iCs w:val="0"/>
        </w:rPr>
        <w:fldChar w:fldCharType="begin"/>
      </w:r>
      <w:r>
        <w:rPr>
          <w:i w:val="0"/>
          <w:iCs w:val="0"/>
        </w:rPr>
        <w:instrText xml:space="preserve"> PAGEREF _Toc21911 </w:instrText>
      </w:r>
      <w:r>
        <w:rPr>
          <w:i w:val="0"/>
          <w:iCs w:val="0"/>
        </w:rPr>
        <w:fldChar w:fldCharType="separate"/>
      </w:r>
      <w:r>
        <w:rPr>
          <w:i w:val="0"/>
          <w:iCs w:val="0"/>
        </w:rPr>
        <w:t>242</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_Toc15352 </w:instrText>
      </w:r>
      <w:r>
        <w:rPr>
          <w:i w:val="0"/>
          <w:iCs w:val="0"/>
          <w:szCs w:val="24"/>
        </w:rPr>
        <w:fldChar w:fldCharType="separate"/>
      </w:r>
      <w:r>
        <w:rPr>
          <w:rFonts w:eastAsia="黑体"/>
          <w:i w:val="0"/>
          <w:iCs w:val="0"/>
          <w:szCs w:val="22"/>
        </w:rPr>
        <w:t>第二章 乡镇分等</w:t>
      </w:r>
      <w:r>
        <w:rPr>
          <w:i w:val="0"/>
          <w:iCs w:val="0"/>
        </w:rPr>
        <w:tab/>
      </w:r>
      <w:r>
        <w:rPr>
          <w:i w:val="0"/>
          <w:iCs w:val="0"/>
        </w:rPr>
        <w:fldChar w:fldCharType="begin"/>
      </w:r>
      <w:r>
        <w:rPr>
          <w:i w:val="0"/>
          <w:iCs w:val="0"/>
        </w:rPr>
        <w:instrText xml:space="preserve"> PAGEREF _Toc15352 </w:instrText>
      </w:r>
      <w:r>
        <w:rPr>
          <w:i w:val="0"/>
          <w:iCs w:val="0"/>
        </w:rPr>
        <w:fldChar w:fldCharType="separate"/>
      </w:r>
      <w:r>
        <w:rPr>
          <w:i w:val="0"/>
          <w:iCs w:val="0"/>
        </w:rPr>
        <w:t>247</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_Toc16755 </w:instrText>
      </w:r>
      <w:r>
        <w:rPr>
          <w:i w:val="0"/>
          <w:iCs w:val="0"/>
          <w:szCs w:val="24"/>
        </w:rPr>
        <w:fldChar w:fldCharType="separate"/>
      </w:r>
      <w:r>
        <w:rPr>
          <w:rFonts w:eastAsia="黑体"/>
          <w:i w:val="0"/>
          <w:iCs w:val="0"/>
          <w:szCs w:val="28"/>
        </w:rPr>
        <w:t>一、技术路线和技术方法</w:t>
      </w:r>
      <w:r>
        <w:rPr>
          <w:i w:val="0"/>
          <w:iCs w:val="0"/>
        </w:rPr>
        <w:tab/>
      </w:r>
      <w:r>
        <w:rPr>
          <w:i w:val="0"/>
          <w:iCs w:val="0"/>
        </w:rPr>
        <w:fldChar w:fldCharType="begin"/>
      </w:r>
      <w:r>
        <w:rPr>
          <w:i w:val="0"/>
          <w:iCs w:val="0"/>
        </w:rPr>
        <w:instrText xml:space="preserve"> PAGEREF _Toc16755 </w:instrText>
      </w:r>
      <w:r>
        <w:rPr>
          <w:i w:val="0"/>
          <w:iCs w:val="0"/>
        </w:rPr>
        <w:fldChar w:fldCharType="separate"/>
      </w:r>
      <w:r>
        <w:rPr>
          <w:i w:val="0"/>
          <w:iCs w:val="0"/>
        </w:rPr>
        <w:t>247</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_Toc32538 </w:instrText>
      </w:r>
      <w:r>
        <w:rPr>
          <w:i w:val="0"/>
          <w:iCs w:val="0"/>
          <w:szCs w:val="24"/>
        </w:rPr>
        <w:fldChar w:fldCharType="separate"/>
      </w:r>
      <w:r>
        <w:rPr>
          <w:rFonts w:eastAsia="黑体"/>
          <w:i w:val="0"/>
          <w:iCs w:val="0"/>
          <w:szCs w:val="28"/>
        </w:rPr>
        <w:t>二、分等因素选取及权重的确定</w:t>
      </w:r>
      <w:r>
        <w:rPr>
          <w:i w:val="0"/>
          <w:iCs w:val="0"/>
        </w:rPr>
        <w:tab/>
      </w:r>
      <w:r>
        <w:rPr>
          <w:i w:val="0"/>
          <w:iCs w:val="0"/>
        </w:rPr>
        <w:fldChar w:fldCharType="begin"/>
      </w:r>
      <w:r>
        <w:rPr>
          <w:i w:val="0"/>
          <w:iCs w:val="0"/>
        </w:rPr>
        <w:instrText xml:space="preserve"> PAGEREF _Toc32538 </w:instrText>
      </w:r>
      <w:r>
        <w:rPr>
          <w:i w:val="0"/>
          <w:iCs w:val="0"/>
        </w:rPr>
        <w:fldChar w:fldCharType="separate"/>
      </w:r>
      <w:r>
        <w:rPr>
          <w:i w:val="0"/>
          <w:iCs w:val="0"/>
        </w:rPr>
        <w:t>247</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_Toc13325 </w:instrText>
      </w:r>
      <w:r>
        <w:rPr>
          <w:i w:val="0"/>
          <w:iCs w:val="0"/>
          <w:szCs w:val="24"/>
        </w:rPr>
        <w:fldChar w:fldCharType="separate"/>
      </w:r>
      <w:r>
        <w:rPr>
          <w:rFonts w:eastAsia="黑体"/>
          <w:i w:val="0"/>
          <w:iCs w:val="0"/>
          <w:szCs w:val="28"/>
        </w:rPr>
        <w:t>三、乡镇分等结果</w:t>
      </w:r>
      <w:r>
        <w:rPr>
          <w:i w:val="0"/>
          <w:iCs w:val="0"/>
        </w:rPr>
        <w:tab/>
      </w:r>
      <w:r>
        <w:rPr>
          <w:i w:val="0"/>
          <w:iCs w:val="0"/>
        </w:rPr>
        <w:fldChar w:fldCharType="begin"/>
      </w:r>
      <w:r>
        <w:rPr>
          <w:i w:val="0"/>
          <w:iCs w:val="0"/>
        </w:rPr>
        <w:instrText xml:space="preserve"> PAGEREF _Toc13325 </w:instrText>
      </w:r>
      <w:r>
        <w:rPr>
          <w:i w:val="0"/>
          <w:iCs w:val="0"/>
        </w:rPr>
        <w:fldChar w:fldCharType="separate"/>
      </w:r>
      <w:r>
        <w:rPr>
          <w:i w:val="0"/>
          <w:iCs w:val="0"/>
        </w:rPr>
        <w:t>250</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_Toc751 </w:instrText>
      </w:r>
      <w:r>
        <w:rPr>
          <w:i w:val="0"/>
          <w:iCs w:val="0"/>
          <w:szCs w:val="24"/>
        </w:rPr>
        <w:fldChar w:fldCharType="separate"/>
      </w:r>
      <w:r>
        <w:rPr>
          <w:rFonts w:eastAsia="黑体"/>
          <w:i w:val="0"/>
          <w:iCs w:val="0"/>
          <w:szCs w:val="28"/>
        </w:rPr>
        <w:t>第三章 乡镇土地级别调整</w:t>
      </w:r>
      <w:r>
        <w:rPr>
          <w:i w:val="0"/>
          <w:iCs w:val="0"/>
        </w:rPr>
        <w:tab/>
      </w:r>
      <w:r>
        <w:rPr>
          <w:i w:val="0"/>
          <w:iCs w:val="0"/>
        </w:rPr>
        <w:fldChar w:fldCharType="begin"/>
      </w:r>
      <w:r>
        <w:rPr>
          <w:i w:val="0"/>
          <w:iCs w:val="0"/>
        </w:rPr>
        <w:instrText xml:space="preserve"> PAGEREF _Toc751 </w:instrText>
      </w:r>
      <w:r>
        <w:rPr>
          <w:i w:val="0"/>
          <w:iCs w:val="0"/>
        </w:rPr>
        <w:fldChar w:fldCharType="separate"/>
      </w:r>
      <w:r>
        <w:rPr>
          <w:i w:val="0"/>
          <w:iCs w:val="0"/>
        </w:rPr>
        <w:t>251</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_Toc26313 </w:instrText>
      </w:r>
      <w:r>
        <w:rPr>
          <w:i w:val="0"/>
          <w:iCs w:val="0"/>
          <w:szCs w:val="24"/>
        </w:rPr>
        <w:fldChar w:fldCharType="separate"/>
      </w:r>
      <w:r>
        <w:rPr>
          <w:rFonts w:eastAsia="黑体"/>
          <w:i w:val="0"/>
          <w:iCs w:val="0"/>
          <w:szCs w:val="28"/>
        </w:rPr>
        <w:t>一、土地级别调整的要求</w:t>
      </w:r>
      <w:r>
        <w:rPr>
          <w:i w:val="0"/>
          <w:iCs w:val="0"/>
        </w:rPr>
        <w:tab/>
      </w:r>
      <w:r>
        <w:rPr>
          <w:i w:val="0"/>
          <w:iCs w:val="0"/>
        </w:rPr>
        <w:fldChar w:fldCharType="begin"/>
      </w:r>
      <w:r>
        <w:rPr>
          <w:i w:val="0"/>
          <w:iCs w:val="0"/>
        </w:rPr>
        <w:instrText xml:space="preserve"> PAGEREF _Toc26313 </w:instrText>
      </w:r>
      <w:r>
        <w:rPr>
          <w:i w:val="0"/>
          <w:iCs w:val="0"/>
        </w:rPr>
        <w:fldChar w:fldCharType="separate"/>
      </w:r>
      <w:r>
        <w:rPr>
          <w:i w:val="0"/>
          <w:iCs w:val="0"/>
        </w:rPr>
        <w:t>251</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_Toc15530 </w:instrText>
      </w:r>
      <w:r>
        <w:rPr>
          <w:i w:val="0"/>
          <w:iCs w:val="0"/>
          <w:szCs w:val="24"/>
        </w:rPr>
        <w:fldChar w:fldCharType="separate"/>
      </w:r>
      <w:r>
        <w:rPr>
          <w:rFonts w:eastAsia="黑体"/>
          <w:i w:val="0"/>
          <w:iCs w:val="0"/>
          <w:szCs w:val="28"/>
        </w:rPr>
        <w:t>二、土地级别调整的原则</w:t>
      </w:r>
      <w:r>
        <w:rPr>
          <w:i w:val="0"/>
          <w:iCs w:val="0"/>
        </w:rPr>
        <w:tab/>
      </w:r>
      <w:r>
        <w:rPr>
          <w:i w:val="0"/>
          <w:iCs w:val="0"/>
        </w:rPr>
        <w:fldChar w:fldCharType="begin"/>
      </w:r>
      <w:r>
        <w:rPr>
          <w:i w:val="0"/>
          <w:iCs w:val="0"/>
        </w:rPr>
        <w:instrText xml:space="preserve"> PAGEREF _Toc15530 </w:instrText>
      </w:r>
      <w:r>
        <w:rPr>
          <w:i w:val="0"/>
          <w:iCs w:val="0"/>
        </w:rPr>
        <w:fldChar w:fldCharType="separate"/>
      </w:r>
      <w:r>
        <w:rPr>
          <w:i w:val="0"/>
          <w:iCs w:val="0"/>
        </w:rPr>
        <w:t>251</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_Toc7657 </w:instrText>
      </w:r>
      <w:r>
        <w:rPr>
          <w:i w:val="0"/>
          <w:iCs w:val="0"/>
          <w:szCs w:val="24"/>
        </w:rPr>
        <w:fldChar w:fldCharType="separate"/>
      </w:r>
      <w:r>
        <w:rPr>
          <w:rFonts w:eastAsia="黑体"/>
          <w:i w:val="0"/>
          <w:iCs w:val="0"/>
          <w:szCs w:val="28"/>
        </w:rPr>
        <w:t>三、土地级别调整的基本思路</w:t>
      </w:r>
      <w:r>
        <w:rPr>
          <w:i w:val="0"/>
          <w:iCs w:val="0"/>
        </w:rPr>
        <w:tab/>
      </w:r>
      <w:r>
        <w:rPr>
          <w:i w:val="0"/>
          <w:iCs w:val="0"/>
        </w:rPr>
        <w:fldChar w:fldCharType="begin"/>
      </w:r>
      <w:r>
        <w:rPr>
          <w:i w:val="0"/>
          <w:iCs w:val="0"/>
        </w:rPr>
        <w:instrText xml:space="preserve"> PAGEREF _Toc7657 </w:instrText>
      </w:r>
      <w:r>
        <w:rPr>
          <w:i w:val="0"/>
          <w:iCs w:val="0"/>
        </w:rPr>
        <w:fldChar w:fldCharType="separate"/>
      </w:r>
      <w:r>
        <w:rPr>
          <w:i w:val="0"/>
          <w:iCs w:val="0"/>
        </w:rPr>
        <w:t>252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_Toc23547 </w:instrText>
      </w:r>
      <w:r>
        <w:rPr>
          <w:i w:val="0"/>
          <w:iCs w:val="0"/>
          <w:szCs w:val="24"/>
        </w:rPr>
        <w:fldChar w:fldCharType="separate"/>
      </w:r>
      <w:r>
        <w:rPr>
          <w:rFonts w:eastAsia="黑体"/>
          <w:i w:val="0"/>
          <w:iCs w:val="0"/>
          <w:szCs w:val="28"/>
        </w:rPr>
        <w:t>四、土地级别调整过程</w:t>
      </w:r>
      <w:r>
        <w:rPr>
          <w:i w:val="0"/>
          <w:iCs w:val="0"/>
        </w:rPr>
        <w:tab/>
      </w:r>
      <w:r>
        <w:rPr>
          <w:i w:val="0"/>
          <w:iCs w:val="0"/>
        </w:rPr>
        <w:fldChar w:fldCharType="begin"/>
      </w:r>
      <w:r>
        <w:rPr>
          <w:i w:val="0"/>
          <w:iCs w:val="0"/>
        </w:rPr>
        <w:instrText xml:space="preserve"> PAGEREF _Toc23547 </w:instrText>
      </w:r>
      <w:r>
        <w:rPr>
          <w:i w:val="0"/>
          <w:iCs w:val="0"/>
        </w:rPr>
        <w:fldChar w:fldCharType="separate"/>
      </w:r>
      <w:r>
        <w:rPr>
          <w:i w:val="0"/>
          <w:iCs w:val="0"/>
        </w:rPr>
        <w:t>252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_Toc7428 </w:instrText>
      </w:r>
      <w:r>
        <w:rPr>
          <w:i w:val="0"/>
          <w:iCs w:val="0"/>
          <w:szCs w:val="24"/>
        </w:rPr>
        <w:fldChar w:fldCharType="separate"/>
      </w:r>
      <w:r>
        <w:rPr>
          <w:rFonts w:eastAsia="黑体"/>
          <w:i w:val="0"/>
          <w:iCs w:val="0"/>
          <w:szCs w:val="28"/>
        </w:rPr>
        <w:t>五、土地级别调整结果</w:t>
      </w:r>
      <w:r>
        <w:rPr>
          <w:i w:val="0"/>
          <w:iCs w:val="0"/>
        </w:rPr>
        <w:tab/>
      </w:r>
      <w:r>
        <w:rPr>
          <w:i w:val="0"/>
          <w:iCs w:val="0"/>
        </w:rPr>
        <w:fldChar w:fldCharType="begin"/>
      </w:r>
      <w:r>
        <w:rPr>
          <w:i w:val="0"/>
          <w:iCs w:val="0"/>
        </w:rPr>
        <w:instrText xml:space="preserve"> PAGEREF _Toc7428 </w:instrText>
      </w:r>
      <w:r>
        <w:rPr>
          <w:i w:val="0"/>
          <w:iCs w:val="0"/>
        </w:rPr>
        <w:fldChar w:fldCharType="separate"/>
      </w:r>
      <w:r>
        <w:rPr>
          <w:i w:val="0"/>
          <w:iCs w:val="0"/>
        </w:rPr>
        <w:t>252</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_Toc17949 </w:instrText>
      </w:r>
      <w:r>
        <w:rPr>
          <w:i w:val="0"/>
          <w:iCs w:val="0"/>
          <w:szCs w:val="24"/>
        </w:rPr>
        <w:fldChar w:fldCharType="separate"/>
      </w:r>
      <w:r>
        <w:rPr>
          <w:rFonts w:eastAsia="黑体"/>
          <w:i w:val="0"/>
          <w:iCs w:val="0"/>
          <w:szCs w:val="28"/>
        </w:rPr>
        <w:t>第四章 乡镇基准地价评估</w:t>
      </w:r>
      <w:r>
        <w:rPr>
          <w:i w:val="0"/>
          <w:iCs w:val="0"/>
        </w:rPr>
        <w:tab/>
      </w:r>
      <w:r>
        <w:rPr>
          <w:i w:val="0"/>
          <w:iCs w:val="0"/>
        </w:rPr>
        <w:fldChar w:fldCharType="begin"/>
      </w:r>
      <w:r>
        <w:rPr>
          <w:i w:val="0"/>
          <w:iCs w:val="0"/>
        </w:rPr>
        <w:instrText xml:space="preserve"> PAGEREF _Toc17949 </w:instrText>
      </w:r>
      <w:r>
        <w:rPr>
          <w:i w:val="0"/>
          <w:iCs w:val="0"/>
        </w:rPr>
        <w:fldChar w:fldCharType="separate"/>
      </w:r>
      <w:r>
        <w:rPr>
          <w:i w:val="0"/>
          <w:iCs w:val="0"/>
        </w:rPr>
        <w:t>255</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_Toc11367 </w:instrText>
      </w:r>
      <w:r>
        <w:rPr>
          <w:i w:val="0"/>
          <w:iCs w:val="0"/>
          <w:szCs w:val="24"/>
        </w:rPr>
        <w:fldChar w:fldCharType="separate"/>
      </w:r>
      <w:r>
        <w:rPr>
          <w:rFonts w:eastAsia="黑体"/>
          <w:i w:val="0"/>
          <w:iCs w:val="0"/>
          <w:szCs w:val="28"/>
        </w:rPr>
        <w:t>一、乡镇基准地价评估技术路线</w:t>
      </w:r>
      <w:r>
        <w:rPr>
          <w:i w:val="0"/>
          <w:iCs w:val="0"/>
        </w:rPr>
        <w:tab/>
      </w:r>
      <w:r>
        <w:rPr>
          <w:i w:val="0"/>
          <w:iCs w:val="0"/>
        </w:rPr>
        <w:fldChar w:fldCharType="begin"/>
      </w:r>
      <w:r>
        <w:rPr>
          <w:i w:val="0"/>
          <w:iCs w:val="0"/>
        </w:rPr>
        <w:instrText xml:space="preserve"> PAGEREF _Toc11367 </w:instrText>
      </w:r>
      <w:r>
        <w:rPr>
          <w:i w:val="0"/>
          <w:iCs w:val="0"/>
        </w:rPr>
        <w:fldChar w:fldCharType="separate"/>
      </w:r>
      <w:r>
        <w:rPr>
          <w:i w:val="0"/>
          <w:iCs w:val="0"/>
        </w:rPr>
        <w:t>255</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_Toc8762 </w:instrText>
      </w:r>
      <w:r>
        <w:rPr>
          <w:i w:val="0"/>
          <w:iCs w:val="0"/>
          <w:szCs w:val="24"/>
        </w:rPr>
        <w:fldChar w:fldCharType="separate"/>
      </w:r>
      <w:r>
        <w:rPr>
          <w:rFonts w:eastAsia="黑体"/>
          <w:i w:val="0"/>
          <w:iCs w:val="0"/>
          <w:szCs w:val="28"/>
        </w:rPr>
        <w:t>二、乡镇基准地价内涵</w:t>
      </w:r>
      <w:r>
        <w:rPr>
          <w:i w:val="0"/>
          <w:iCs w:val="0"/>
        </w:rPr>
        <w:tab/>
      </w:r>
      <w:r>
        <w:rPr>
          <w:i w:val="0"/>
          <w:iCs w:val="0"/>
        </w:rPr>
        <w:fldChar w:fldCharType="begin"/>
      </w:r>
      <w:r>
        <w:rPr>
          <w:i w:val="0"/>
          <w:iCs w:val="0"/>
        </w:rPr>
        <w:instrText xml:space="preserve"> PAGEREF _Toc8762 </w:instrText>
      </w:r>
      <w:r>
        <w:rPr>
          <w:i w:val="0"/>
          <w:iCs w:val="0"/>
        </w:rPr>
        <w:fldChar w:fldCharType="separate"/>
      </w:r>
      <w:r>
        <w:rPr>
          <w:i w:val="0"/>
          <w:iCs w:val="0"/>
        </w:rPr>
        <w:t>255</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_Toc7770 </w:instrText>
      </w:r>
      <w:r>
        <w:rPr>
          <w:i w:val="0"/>
          <w:iCs w:val="0"/>
          <w:szCs w:val="24"/>
        </w:rPr>
        <w:fldChar w:fldCharType="separate"/>
      </w:r>
      <w:r>
        <w:rPr>
          <w:rFonts w:eastAsia="黑体"/>
          <w:i w:val="0"/>
          <w:iCs w:val="0"/>
          <w:szCs w:val="28"/>
        </w:rPr>
        <w:t>三、乡镇基准地价评估结果</w:t>
      </w:r>
      <w:r>
        <w:rPr>
          <w:i w:val="0"/>
          <w:iCs w:val="0"/>
        </w:rPr>
        <w:tab/>
      </w:r>
      <w:r>
        <w:rPr>
          <w:i w:val="0"/>
          <w:iCs w:val="0"/>
        </w:rPr>
        <w:fldChar w:fldCharType="begin"/>
      </w:r>
      <w:r>
        <w:rPr>
          <w:i w:val="0"/>
          <w:iCs w:val="0"/>
        </w:rPr>
        <w:instrText xml:space="preserve"> PAGEREF _Toc7770 </w:instrText>
      </w:r>
      <w:r>
        <w:rPr>
          <w:i w:val="0"/>
          <w:iCs w:val="0"/>
        </w:rPr>
        <w:fldChar w:fldCharType="separate"/>
      </w:r>
      <w:r>
        <w:rPr>
          <w:i w:val="0"/>
          <w:iCs w:val="0"/>
        </w:rPr>
        <w:t>256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_Toc18974 </w:instrText>
      </w:r>
      <w:r>
        <w:rPr>
          <w:i w:val="0"/>
          <w:iCs w:val="0"/>
          <w:szCs w:val="24"/>
        </w:rPr>
        <w:fldChar w:fldCharType="separate"/>
      </w:r>
      <w:r>
        <w:rPr>
          <w:rFonts w:hint="eastAsia" w:eastAsia="黑体"/>
          <w:i w:val="0"/>
          <w:iCs w:val="0"/>
          <w:szCs w:val="28"/>
        </w:rPr>
        <w:t>四</w:t>
      </w:r>
      <w:r>
        <w:rPr>
          <w:rFonts w:eastAsia="黑体"/>
          <w:i w:val="0"/>
          <w:iCs w:val="0"/>
          <w:szCs w:val="28"/>
        </w:rPr>
        <w:t>、乡镇宗地地价修正体系</w:t>
      </w:r>
      <w:r>
        <w:rPr>
          <w:i w:val="0"/>
          <w:iCs w:val="0"/>
        </w:rPr>
        <w:tab/>
      </w:r>
      <w:r>
        <w:rPr>
          <w:i w:val="0"/>
          <w:iCs w:val="0"/>
        </w:rPr>
        <w:fldChar w:fldCharType="begin"/>
      </w:r>
      <w:r>
        <w:rPr>
          <w:i w:val="0"/>
          <w:iCs w:val="0"/>
        </w:rPr>
        <w:instrText xml:space="preserve"> PAGEREF _Toc18974 </w:instrText>
      </w:r>
      <w:r>
        <w:rPr>
          <w:i w:val="0"/>
          <w:iCs w:val="0"/>
        </w:rPr>
        <w:fldChar w:fldCharType="separate"/>
      </w:r>
      <w:r>
        <w:rPr>
          <w:i w:val="0"/>
          <w:iCs w:val="0"/>
        </w:rPr>
        <w:t>258</w:t>
      </w:r>
      <w:r>
        <w:rPr>
          <w:i w:val="0"/>
          <w:iCs w:val="0"/>
        </w:rPr>
        <w:fldChar w:fldCharType="end"/>
      </w:r>
      <w:r>
        <w:rPr>
          <w:i w:val="0"/>
          <w:iCs w:val="0"/>
          <w:szCs w:val="24"/>
        </w:rPr>
        <w:fldChar w:fldCharType="end"/>
      </w:r>
    </w:p>
    <w:p>
      <w:pPr>
        <w:pStyle w:val="26"/>
        <w:tabs>
          <w:tab w:val="right" w:leader="dot" w:pos="8306"/>
        </w:tabs>
        <w:rPr>
          <w:i w:val="0"/>
          <w:iCs w:val="0"/>
        </w:rPr>
      </w:pPr>
      <w:r>
        <w:rPr>
          <w:i w:val="0"/>
          <w:iCs w:val="0"/>
          <w:szCs w:val="24"/>
        </w:rPr>
        <w:fldChar w:fldCharType="begin"/>
      </w:r>
      <w:r>
        <w:rPr>
          <w:i w:val="0"/>
          <w:iCs w:val="0"/>
          <w:szCs w:val="24"/>
        </w:rPr>
        <w:instrText xml:space="preserve"> HYPERLINK \l _Toc31639 </w:instrText>
      </w:r>
      <w:r>
        <w:rPr>
          <w:i w:val="0"/>
          <w:iCs w:val="0"/>
          <w:szCs w:val="24"/>
        </w:rPr>
        <w:fldChar w:fldCharType="separate"/>
      </w:r>
      <w:r>
        <w:rPr>
          <w:rFonts w:eastAsia="黑体"/>
          <w:i w:val="0"/>
          <w:iCs w:val="0"/>
          <w:szCs w:val="36"/>
        </w:rPr>
        <w:t>第六篇  基准地价更新成果分析与应用</w:t>
      </w:r>
      <w:r>
        <w:rPr>
          <w:i w:val="0"/>
          <w:iCs w:val="0"/>
        </w:rPr>
        <w:tab/>
      </w:r>
      <w:r>
        <w:rPr>
          <w:i w:val="0"/>
          <w:iCs w:val="0"/>
        </w:rPr>
        <w:fldChar w:fldCharType="begin"/>
      </w:r>
      <w:r>
        <w:rPr>
          <w:i w:val="0"/>
          <w:iCs w:val="0"/>
        </w:rPr>
        <w:instrText xml:space="preserve"> PAGEREF _Toc31639 </w:instrText>
      </w:r>
      <w:r>
        <w:rPr>
          <w:i w:val="0"/>
          <w:iCs w:val="0"/>
        </w:rPr>
        <w:fldChar w:fldCharType="separate"/>
      </w:r>
      <w:r>
        <w:rPr>
          <w:i w:val="0"/>
          <w:iCs w:val="0"/>
        </w:rPr>
        <w:t>272</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_Toc18766 </w:instrText>
      </w:r>
      <w:r>
        <w:rPr>
          <w:i w:val="0"/>
          <w:iCs w:val="0"/>
          <w:szCs w:val="24"/>
        </w:rPr>
        <w:fldChar w:fldCharType="separate"/>
      </w:r>
      <w:r>
        <w:rPr>
          <w:rFonts w:eastAsia="黑体"/>
          <w:i w:val="0"/>
          <w:iCs w:val="0"/>
          <w:szCs w:val="32"/>
        </w:rPr>
        <w:t>第</w:t>
      </w:r>
      <w:r>
        <w:rPr>
          <w:rFonts w:hint="eastAsia" w:eastAsia="黑体"/>
          <w:i w:val="0"/>
          <w:iCs w:val="0"/>
          <w:szCs w:val="32"/>
        </w:rPr>
        <w:t>一</w:t>
      </w:r>
      <w:r>
        <w:rPr>
          <w:rFonts w:eastAsia="黑体"/>
          <w:i w:val="0"/>
          <w:iCs w:val="0"/>
          <w:szCs w:val="32"/>
        </w:rPr>
        <w:t>章  基准地价结果分析</w:t>
      </w:r>
      <w:r>
        <w:rPr>
          <w:i w:val="0"/>
          <w:iCs w:val="0"/>
        </w:rPr>
        <w:tab/>
      </w:r>
      <w:r>
        <w:rPr>
          <w:i w:val="0"/>
          <w:iCs w:val="0"/>
        </w:rPr>
        <w:fldChar w:fldCharType="begin"/>
      </w:r>
      <w:r>
        <w:rPr>
          <w:i w:val="0"/>
          <w:iCs w:val="0"/>
        </w:rPr>
        <w:instrText xml:space="preserve"> PAGEREF _Toc18766 </w:instrText>
      </w:r>
      <w:r>
        <w:rPr>
          <w:i w:val="0"/>
          <w:iCs w:val="0"/>
        </w:rPr>
        <w:fldChar w:fldCharType="separate"/>
      </w:r>
      <w:r>
        <w:rPr>
          <w:i w:val="0"/>
          <w:iCs w:val="0"/>
        </w:rPr>
        <w:t>272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_Toc30841 </w:instrText>
      </w:r>
      <w:r>
        <w:rPr>
          <w:i w:val="0"/>
          <w:iCs w:val="0"/>
          <w:szCs w:val="24"/>
        </w:rPr>
        <w:fldChar w:fldCharType="separate"/>
      </w:r>
      <w:r>
        <w:rPr>
          <w:rFonts w:hint="eastAsia" w:eastAsia="黑体"/>
          <w:i w:val="0"/>
          <w:iCs w:val="0"/>
          <w:szCs w:val="28"/>
        </w:rPr>
        <w:t>一、</w:t>
      </w:r>
      <w:r>
        <w:rPr>
          <w:rFonts w:eastAsia="黑体"/>
          <w:i w:val="0"/>
          <w:iCs w:val="0"/>
          <w:szCs w:val="28"/>
        </w:rPr>
        <w:t>级别基准地价结果</w:t>
      </w:r>
      <w:r>
        <w:rPr>
          <w:rFonts w:hint="eastAsia" w:eastAsia="黑体"/>
          <w:i w:val="0"/>
          <w:iCs w:val="0"/>
          <w:szCs w:val="28"/>
        </w:rPr>
        <w:t>分析</w:t>
      </w:r>
      <w:r>
        <w:rPr>
          <w:i w:val="0"/>
          <w:iCs w:val="0"/>
        </w:rPr>
        <w:tab/>
      </w:r>
      <w:r>
        <w:rPr>
          <w:i w:val="0"/>
          <w:iCs w:val="0"/>
        </w:rPr>
        <w:fldChar w:fldCharType="begin"/>
      </w:r>
      <w:r>
        <w:rPr>
          <w:i w:val="0"/>
          <w:iCs w:val="0"/>
        </w:rPr>
        <w:instrText xml:space="preserve"> PAGEREF _Toc30841 </w:instrText>
      </w:r>
      <w:r>
        <w:rPr>
          <w:i w:val="0"/>
          <w:iCs w:val="0"/>
        </w:rPr>
        <w:fldChar w:fldCharType="separate"/>
      </w:r>
      <w:r>
        <w:rPr>
          <w:i w:val="0"/>
          <w:iCs w:val="0"/>
        </w:rPr>
        <w:t>272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_Toc9718 </w:instrText>
      </w:r>
      <w:r>
        <w:rPr>
          <w:i w:val="0"/>
          <w:iCs w:val="0"/>
          <w:szCs w:val="24"/>
        </w:rPr>
        <w:fldChar w:fldCharType="separate"/>
      </w:r>
      <w:r>
        <w:rPr>
          <w:rFonts w:hint="eastAsia" w:eastAsia="黑体"/>
          <w:i w:val="0"/>
          <w:iCs w:val="0"/>
          <w:szCs w:val="28"/>
        </w:rPr>
        <w:t>二</w:t>
      </w:r>
      <w:r>
        <w:rPr>
          <w:rFonts w:eastAsia="黑体"/>
          <w:i w:val="0"/>
          <w:iCs w:val="0"/>
          <w:szCs w:val="28"/>
        </w:rPr>
        <w:t>、基准地价更新成果主要变化</w:t>
      </w:r>
      <w:r>
        <w:rPr>
          <w:i w:val="0"/>
          <w:iCs w:val="0"/>
        </w:rPr>
        <w:tab/>
      </w:r>
      <w:r>
        <w:rPr>
          <w:i w:val="0"/>
          <w:iCs w:val="0"/>
        </w:rPr>
        <w:fldChar w:fldCharType="begin"/>
      </w:r>
      <w:r>
        <w:rPr>
          <w:i w:val="0"/>
          <w:iCs w:val="0"/>
        </w:rPr>
        <w:instrText xml:space="preserve"> PAGEREF _Toc9718 </w:instrText>
      </w:r>
      <w:r>
        <w:rPr>
          <w:i w:val="0"/>
          <w:iCs w:val="0"/>
        </w:rPr>
        <w:fldChar w:fldCharType="separate"/>
      </w:r>
      <w:r>
        <w:rPr>
          <w:i w:val="0"/>
          <w:iCs w:val="0"/>
        </w:rPr>
        <w:t>272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_Toc8368 </w:instrText>
      </w:r>
      <w:r>
        <w:rPr>
          <w:i w:val="0"/>
          <w:iCs w:val="0"/>
          <w:szCs w:val="24"/>
        </w:rPr>
        <w:fldChar w:fldCharType="separate"/>
      </w:r>
      <w:r>
        <w:rPr>
          <w:rFonts w:hint="eastAsia" w:eastAsia="黑体"/>
          <w:i w:val="0"/>
          <w:iCs w:val="0"/>
          <w:szCs w:val="28"/>
        </w:rPr>
        <w:t>三</w:t>
      </w:r>
      <w:r>
        <w:rPr>
          <w:rFonts w:eastAsia="黑体"/>
          <w:i w:val="0"/>
          <w:iCs w:val="0"/>
          <w:szCs w:val="28"/>
        </w:rPr>
        <w:t>、基准地价水平纵向变化分析</w:t>
      </w:r>
      <w:r>
        <w:rPr>
          <w:i w:val="0"/>
          <w:iCs w:val="0"/>
        </w:rPr>
        <w:tab/>
      </w:r>
      <w:r>
        <w:rPr>
          <w:i w:val="0"/>
          <w:iCs w:val="0"/>
        </w:rPr>
        <w:fldChar w:fldCharType="begin"/>
      </w:r>
      <w:r>
        <w:rPr>
          <w:i w:val="0"/>
          <w:iCs w:val="0"/>
        </w:rPr>
        <w:instrText xml:space="preserve"> PAGEREF _Toc8368 </w:instrText>
      </w:r>
      <w:r>
        <w:rPr>
          <w:i w:val="0"/>
          <w:iCs w:val="0"/>
        </w:rPr>
        <w:fldChar w:fldCharType="separate"/>
      </w:r>
      <w:r>
        <w:rPr>
          <w:i w:val="0"/>
          <w:iCs w:val="0"/>
        </w:rPr>
        <w:t>274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_Toc19037 </w:instrText>
      </w:r>
      <w:r>
        <w:rPr>
          <w:i w:val="0"/>
          <w:iCs w:val="0"/>
          <w:szCs w:val="24"/>
        </w:rPr>
        <w:fldChar w:fldCharType="separate"/>
      </w:r>
      <w:r>
        <w:rPr>
          <w:rFonts w:hint="eastAsia" w:eastAsia="黑体"/>
          <w:i w:val="0"/>
          <w:iCs w:val="0"/>
          <w:szCs w:val="28"/>
        </w:rPr>
        <w:t>四</w:t>
      </w:r>
      <w:r>
        <w:rPr>
          <w:rFonts w:eastAsia="黑体"/>
          <w:i w:val="0"/>
          <w:iCs w:val="0"/>
          <w:szCs w:val="28"/>
        </w:rPr>
        <w:t>、基准地价横向对比分析</w:t>
      </w:r>
      <w:r>
        <w:rPr>
          <w:i w:val="0"/>
          <w:iCs w:val="0"/>
        </w:rPr>
        <w:tab/>
      </w:r>
      <w:r>
        <w:rPr>
          <w:i w:val="0"/>
          <w:iCs w:val="0"/>
        </w:rPr>
        <w:fldChar w:fldCharType="begin"/>
      </w:r>
      <w:r>
        <w:rPr>
          <w:i w:val="0"/>
          <w:iCs w:val="0"/>
        </w:rPr>
        <w:instrText xml:space="preserve"> PAGEREF _Toc19037 </w:instrText>
      </w:r>
      <w:r>
        <w:rPr>
          <w:i w:val="0"/>
          <w:iCs w:val="0"/>
        </w:rPr>
        <w:fldChar w:fldCharType="separate"/>
      </w:r>
      <w:r>
        <w:rPr>
          <w:i w:val="0"/>
          <w:iCs w:val="0"/>
        </w:rPr>
        <w:t>274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_Toc21880 </w:instrText>
      </w:r>
      <w:r>
        <w:rPr>
          <w:i w:val="0"/>
          <w:iCs w:val="0"/>
          <w:szCs w:val="24"/>
        </w:rPr>
        <w:fldChar w:fldCharType="separate"/>
      </w:r>
      <w:r>
        <w:rPr>
          <w:rFonts w:eastAsia="黑体"/>
          <w:i w:val="0"/>
          <w:iCs w:val="0"/>
          <w:szCs w:val="28"/>
        </w:rPr>
        <w:t>四、乡镇基准地价主要变化情况</w:t>
      </w:r>
      <w:r>
        <w:rPr>
          <w:i w:val="0"/>
          <w:iCs w:val="0"/>
        </w:rPr>
        <w:tab/>
      </w:r>
      <w:r>
        <w:rPr>
          <w:i w:val="0"/>
          <w:iCs w:val="0"/>
        </w:rPr>
        <w:fldChar w:fldCharType="begin"/>
      </w:r>
      <w:r>
        <w:rPr>
          <w:i w:val="0"/>
          <w:iCs w:val="0"/>
        </w:rPr>
        <w:instrText xml:space="preserve"> PAGEREF _Toc21880 </w:instrText>
      </w:r>
      <w:r>
        <w:rPr>
          <w:i w:val="0"/>
          <w:iCs w:val="0"/>
        </w:rPr>
        <w:fldChar w:fldCharType="separate"/>
      </w:r>
      <w:r>
        <w:rPr>
          <w:i w:val="0"/>
          <w:iCs w:val="0"/>
        </w:rPr>
        <w:t>277</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_Toc23214 </w:instrText>
      </w:r>
      <w:r>
        <w:rPr>
          <w:i w:val="0"/>
          <w:iCs w:val="0"/>
          <w:szCs w:val="24"/>
        </w:rPr>
        <w:fldChar w:fldCharType="separate"/>
      </w:r>
      <w:r>
        <w:rPr>
          <w:rFonts w:eastAsia="黑体"/>
          <w:i w:val="0"/>
          <w:iCs w:val="0"/>
          <w:szCs w:val="30"/>
        </w:rPr>
        <w:t>第</w:t>
      </w:r>
      <w:r>
        <w:rPr>
          <w:rFonts w:hint="eastAsia" w:eastAsia="黑体"/>
          <w:i w:val="0"/>
          <w:iCs w:val="0"/>
          <w:szCs w:val="30"/>
        </w:rPr>
        <w:t>二</w:t>
      </w:r>
      <w:r>
        <w:rPr>
          <w:rFonts w:eastAsia="黑体"/>
          <w:i w:val="0"/>
          <w:iCs w:val="0"/>
          <w:szCs w:val="30"/>
        </w:rPr>
        <w:t>章  基准地价专题地图编制</w:t>
      </w:r>
      <w:r>
        <w:rPr>
          <w:i w:val="0"/>
          <w:iCs w:val="0"/>
        </w:rPr>
        <w:tab/>
      </w:r>
      <w:r>
        <w:rPr>
          <w:i w:val="0"/>
          <w:iCs w:val="0"/>
        </w:rPr>
        <w:fldChar w:fldCharType="begin"/>
      </w:r>
      <w:r>
        <w:rPr>
          <w:i w:val="0"/>
          <w:iCs w:val="0"/>
        </w:rPr>
        <w:instrText xml:space="preserve"> PAGEREF _Toc23214 </w:instrText>
      </w:r>
      <w:r>
        <w:rPr>
          <w:i w:val="0"/>
          <w:iCs w:val="0"/>
        </w:rPr>
        <w:fldChar w:fldCharType="separate"/>
      </w:r>
      <w:r>
        <w:rPr>
          <w:i w:val="0"/>
          <w:iCs w:val="0"/>
        </w:rPr>
        <w:t>279</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_Toc23207 </w:instrText>
      </w:r>
      <w:r>
        <w:rPr>
          <w:i w:val="0"/>
          <w:iCs w:val="0"/>
          <w:szCs w:val="24"/>
        </w:rPr>
        <w:fldChar w:fldCharType="separate"/>
      </w:r>
      <w:r>
        <w:rPr>
          <w:rFonts w:eastAsia="黑体"/>
          <w:i w:val="0"/>
          <w:iCs w:val="0"/>
          <w:szCs w:val="28"/>
        </w:rPr>
        <w:t>一、基准地价专题地图编制的特点</w:t>
      </w:r>
      <w:r>
        <w:rPr>
          <w:i w:val="0"/>
          <w:iCs w:val="0"/>
        </w:rPr>
        <w:tab/>
      </w:r>
      <w:r>
        <w:rPr>
          <w:i w:val="0"/>
          <w:iCs w:val="0"/>
        </w:rPr>
        <w:fldChar w:fldCharType="begin"/>
      </w:r>
      <w:r>
        <w:rPr>
          <w:i w:val="0"/>
          <w:iCs w:val="0"/>
        </w:rPr>
        <w:instrText xml:space="preserve"> PAGEREF _Toc23207 </w:instrText>
      </w:r>
      <w:r>
        <w:rPr>
          <w:i w:val="0"/>
          <w:iCs w:val="0"/>
        </w:rPr>
        <w:fldChar w:fldCharType="separate"/>
      </w:r>
      <w:r>
        <w:rPr>
          <w:i w:val="0"/>
          <w:iCs w:val="0"/>
        </w:rPr>
        <w:t>279</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_Toc25180 </w:instrText>
      </w:r>
      <w:r>
        <w:rPr>
          <w:i w:val="0"/>
          <w:iCs w:val="0"/>
          <w:szCs w:val="24"/>
        </w:rPr>
        <w:fldChar w:fldCharType="separate"/>
      </w:r>
      <w:r>
        <w:rPr>
          <w:rFonts w:eastAsia="黑体"/>
          <w:i w:val="0"/>
          <w:iCs w:val="0"/>
          <w:szCs w:val="28"/>
        </w:rPr>
        <w:t>二、基准地价专题地图编制的基本原则</w:t>
      </w:r>
      <w:r>
        <w:rPr>
          <w:i w:val="0"/>
          <w:iCs w:val="0"/>
        </w:rPr>
        <w:tab/>
      </w:r>
      <w:r>
        <w:rPr>
          <w:i w:val="0"/>
          <w:iCs w:val="0"/>
        </w:rPr>
        <w:fldChar w:fldCharType="begin"/>
      </w:r>
      <w:r>
        <w:rPr>
          <w:i w:val="0"/>
          <w:iCs w:val="0"/>
        </w:rPr>
        <w:instrText xml:space="preserve"> PAGEREF _Toc25180 </w:instrText>
      </w:r>
      <w:r>
        <w:rPr>
          <w:i w:val="0"/>
          <w:iCs w:val="0"/>
        </w:rPr>
        <w:fldChar w:fldCharType="separate"/>
      </w:r>
      <w:r>
        <w:rPr>
          <w:i w:val="0"/>
          <w:iCs w:val="0"/>
        </w:rPr>
        <w:t>279</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_Toc20750 </w:instrText>
      </w:r>
      <w:r>
        <w:rPr>
          <w:i w:val="0"/>
          <w:iCs w:val="0"/>
          <w:szCs w:val="24"/>
        </w:rPr>
        <w:fldChar w:fldCharType="separate"/>
      </w:r>
      <w:r>
        <w:rPr>
          <w:rFonts w:eastAsia="黑体"/>
          <w:i w:val="0"/>
          <w:iCs w:val="0"/>
          <w:szCs w:val="28"/>
        </w:rPr>
        <w:t>三、基准地价专题地图编制的基本要求</w:t>
      </w:r>
      <w:r>
        <w:rPr>
          <w:i w:val="0"/>
          <w:iCs w:val="0"/>
        </w:rPr>
        <w:tab/>
      </w:r>
      <w:r>
        <w:rPr>
          <w:i w:val="0"/>
          <w:iCs w:val="0"/>
        </w:rPr>
        <w:fldChar w:fldCharType="begin"/>
      </w:r>
      <w:r>
        <w:rPr>
          <w:i w:val="0"/>
          <w:iCs w:val="0"/>
        </w:rPr>
        <w:instrText xml:space="preserve"> PAGEREF _Toc20750 </w:instrText>
      </w:r>
      <w:r>
        <w:rPr>
          <w:i w:val="0"/>
          <w:iCs w:val="0"/>
        </w:rPr>
        <w:fldChar w:fldCharType="separate"/>
      </w:r>
      <w:r>
        <w:rPr>
          <w:i w:val="0"/>
          <w:iCs w:val="0"/>
        </w:rPr>
        <w:t>280</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_Toc23924 </w:instrText>
      </w:r>
      <w:r>
        <w:rPr>
          <w:i w:val="0"/>
          <w:iCs w:val="0"/>
          <w:szCs w:val="24"/>
        </w:rPr>
        <w:fldChar w:fldCharType="separate"/>
      </w:r>
      <w:r>
        <w:rPr>
          <w:rFonts w:eastAsia="黑体"/>
          <w:i w:val="0"/>
          <w:iCs w:val="0"/>
          <w:szCs w:val="28"/>
        </w:rPr>
        <w:t>四、基准地价专题地图的编制</w:t>
      </w:r>
      <w:r>
        <w:rPr>
          <w:i w:val="0"/>
          <w:iCs w:val="0"/>
        </w:rPr>
        <w:tab/>
      </w:r>
      <w:r>
        <w:rPr>
          <w:i w:val="0"/>
          <w:iCs w:val="0"/>
        </w:rPr>
        <w:fldChar w:fldCharType="begin"/>
      </w:r>
      <w:r>
        <w:rPr>
          <w:i w:val="0"/>
          <w:iCs w:val="0"/>
        </w:rPr>
        <w:instrText xml:space="preserve"> PAGEREF _Toc23924 </w:instrText>
      </w:r>
      <w:r>
        <w:rPr>
          <w:i w:val="0"/>
          <w:iCs w:val="0"/>
        </w:rPr>
        <w:fldChar w:fldCharType="separate"/>
      </w:r>
      <w:r>
        <w:rPr>
          <w:i w:val="0"/>
          <w:iCs w:val="0"/>
        </w:rPr>
        <w:t>281</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_Toc12544 </w:instrText>
      </w:r>
      <w:r>
        <w:rPr>
          <w:i w:val="0"/>
          <w:iCs w:val="0"/>
          <w:szCs w:val="24"/>
        </w:rPr>
        <w:fldChar w:fldCharType="separate"/>
      </w:r>
      <w:r>
        <w:rPr>
          <w:rFonts w:eastAsia="黑体"/>
          <w:i w:val="0"/>
          <w:iCs w:val="0"/>
          <w:szCs w:val="28"/>
        </w:rPr>
        <w:t>五、基准地价专题地图输出</w:t>
      </w:r>
      <w:r>
        <w:rPr>
          <w:i w:val="0"/>
          <w:iCs w:val="0"/>
        </w:rPr>
        <w:tab/>
      </w:r>
      <w:r>
        <w:rPr>
          <w:i w:val="0"/>
          <w:iCs w:val="0"/>
        </w:rPr>
        <w:fldChar w:fldCharType="begin"/>
      </w:r>
      <w:r>
        <w:rPr>
          <w:i w:val="0"/>
          <w:iCs w:val="0"/>
        </w:rPr>
        <w:instrText xml:space="preserve"> PAGEREF _Toc12544 </w:instrText>
      </w:r>
      <w:r>
        <w:rPr>
          <w:i w:val="0"/>
          <w:iCs w:val="0"/>
        </w:rPr>
        <w:fldChar w:fldCharType="separate"/>
      </w:r>
      <w:r>
        <w:rPr>
          <w:i w:val="0"/>
          <w:iCs w:val="0"/>
        </w:rPr>
        <w:t>282</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_Toc1422 </w:instrText>
      </w:r>
      <w:r>
        <w:rPr>
          <w:i w:val="0"/>
          <w:iCs w:val="0"/>
          <w:szCs w:val="24"/>
        </w:rPr>
        <w:fldChar w:fldCharType="separate"/>
      </w:r>
      <w:r>
        <w:rPr>
          <w:rFonts w:eastAsia="黑体"/>
          <w:i w:val="0"/>
          <w:iCs w:val="0"/>
          <w:szCs w:val="30"/>
        </w:rPr>
        <w:t>第</w:t>
      </w:r>
      <w:r>
        <w:rPr>
          <w:rFonts w:hint="eastAsia" w:eastAsia="黑体"/>
          <w:i w:val="0"/>
          <w:iCs w:val="0"/>
          <w:szCs w:val="30"/>
        </w:rPr>
        <w:t>三</w:t>
      </w:r>
      <w:r>
        <w:rPr>
          <w:rFonts w:eastAsia="黑体"/>
          <w:i w:val="0"/>
          <w:iCs w:val="0"/>
          <w:szCs w:val="30"/>
        </w:rPr>
        <w:t>章  成果的内容及特点</w:t>
      </w:r>
      <w:r>
        <w:rPr>
          <w:i w:val="0"/>
          <w:iCs w:val="0"/>
        </w:rPr>
        <w:tab/>
      </w:r>
      <w:r>
        <w:rPr>
          <w:i w:val="0"/>
          <w:iCs w:val="0"/>
        </w:rPr>
        <w:fldChar w:fldCharType="begin"/>
      </w:r>
      <w:r>
        <w:rPr>
          <w:i w:val="0"/>
          <w:iCs w:val="0"/>
        </w:rPr>
        <w:instrText xml:space="preserve"> PAGEREF _Toc1422 </w:instrText>
      </w:r>
      <w:r>
        <w:rPr>
          <w:i w:val="0"/>
          <w:iCs w:val="0"/>
        </w:rPr>
        <w:fldChar w:fldCharType="separate"/>
      </w:r>
      <w:r>
        <w:rPr>
          <w:i w:val="0"/>
          <w:iCs w:val="0"/>
        </w:rPr>
        <w:t>283</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_Toc11778 </w:instrText>
      </w:r>
      <w:r>
        <w:rPr>
          <w:i w:val="0"/>
          <w:iCs w:val="0"/>
          <w:szCs w:val="24"/>
        </w:rPr>
        <w:fldChar w:fldCharType="separate"/>
      </w:r>
      <w:r>
        <w:rPr>
          <w:rFonts w:eastAsia="黑体"/>
          <w:i w:val="0"/>
          <w:iCs w:val="0"/>
          <w:szCs w:val="28"/>
        </w:rPr>
        <w:t>一、成果内容</w:t>
      </w:r>
      <w:r>
        <w:rPr>
          <w:i w:val="0"/>
          <w:iCs w:val="0"/>
        </w:rPr>
        <w:tab/>
      </w:r>
      <w:r>
        <w:rPr>
          <w:i w:val="0"/>
          <w:iCs w:val="0"/>
        </w:rPr>
        <w:fldChar w:fldCharType="begin"/>
      </w:r>
      <w:r>
        <w:rPr>
          <w:i w:val="0"/>
          <w:iCs w:val="0"/>
        </w:rPr>
        <w:instrText xml:space="preserve"> PAGEREF _Toc11778 </w:instrText>
      </w:r>
      <w:r>
        <w:rPr>
          <w:i w:val="0"/>
          <w:iCs w:val="0"/>
        </w:rPr>
        <w:fldChar w:fldCharType="separate"/>
      </w:r>
      <w:r>
        <w:rPr>
          <w:i w:val="0"/>
          <w:iCs w:val="0"/>
        </w:rPr>
        <w:t>283</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_Toc18241 </w:instrText>
      </w:r>
      <w:r>
        <w:rPr>
          <w:i w:val="0"/>
          <w:iCs w:val="0"/>
          <w:szCs w:val="24"/>
        </w:rPr>
        <w:fldChar w:fldCharType="separate"/>
      </w:r>
      <w:r>
        <w:rPr>
          <w:rFonts w:eastAsia="黑体"/>
          <w:i w:val="0"/>
          <w:iCs w:val="0"/>
          <w:szCs w:val="28"/>
        </w:rPr>
        <w:t>二、成果特点</w:t>
      </w:r>
      <w:r>
        <w:rPr>
          <w:i w:val="0"/>
          <w:iCs w:val="0"/>
        </w:rPr>
        <w:tab/>
      </w:r>
      <w:r>
        <w:rPr>
          <w:i w:val="0"/>
          <w:iCs w:val="0"/>
        </w:rPr>
        <w:fldChar w:fldCharType="begin"/>
      </w:r>
      <w:r>
        <w:rPr>
          <w:i w:val="0"/>
          <w:iCs w:val="0"/>
        </w:rPr>
        <w:instrText xml:space="preserve"> PAGEREF _Toc18241 </w:instrText>
      </w:r>
      <w:r>
        <w:rPr>
          <w:i w:val="0"/>
          <w:iCs w:val="0"/>
        </w:rPr>
        <w:fldChar w:fldCharType="separate"/>
      </w:r>
      <w:r>
        <w:rPr>
          <w:i w:val="0"/>
          <w:iCs w:val="0"/>
        </w:rPr>
        <w:t>283</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_Toc29925 </w:instrText>
      </w:r>
      <w:r>
        <w:rPr>
          <w:i w:val="0"/>
          <w:iCs w:val="0"/>
          <w:szCs w:val="24"/>
        </w:rPr>
        <w:fldChar w:fldCharType="separate"/>
      </w:r>
      <w:r>
        <w:rPr>
          <w:rFonts w:eastAsia="黑体"/>
          <w:i w:val="0"/>
          <w:iCs w:val="0"/>
          <w:szCs w:val="30"/>
        </w:rPr>
        <w:t>第</w:t>
      </w:r>
      <w:r>
        <w:rPr>
          <w:rFonts w:hint="eastAsia" w:eastAsia="黑体"/>
          <w:i w:val="0"/>
          <w:iCs w:val="0"/>
          <w:szCs w:val="30"/>
        </w:rPr>
        <w:t>四</w:t>
      </w:r>
      <w:r>
        <w:rPr>
          <w:rFonts w:eastAsia="黑体"/>
          <w:i w:val="0"/>
          <w:iCs w:val="0"/>
          <w:szCs w:val="30"/>
        </w:rPr>
        <w:t>章  成果的应用范围及说明</w:t>
      </w:r>
      <w:r>
        <w:rPr>
          <w:i w:val="0"/>
          <w:iCs w:val="0"/>
        </w:rPr>
        <w:tab/>
      </w:r>
      <w:r>
        <w:rPr>
          <w:i w:val="0"/>
          <w:iCs w:val="0"/>
        </w:rPr>
        <w:fldChar w:fldCharType="begin"/>
      </w:r>
      <w:r>
        <w:rPr>
          <w:i w:val="0"/>
          <w:iCs w:val="0"/>
        </w:rPr>
        <w:instrText xml:space="preserve"> PAGEREF _Toc29925 </w:instrText>
      </w:r>
      <w:r>
        <w:rPr>
          <w:i w:val="0"/>
          <w:iCs w:val="0"/>
        </w:rPr>
        <w:fldChar w:fldCharType="separate"/>
      </w:r>
      <w:r>
        <w:rPr>
          <w:i w:val="0"/>
          <w:iCs w:val="0"/>
        </w:rPr>
        <w:t>286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_Toc11335 </w:instrText>
      </w:r>
      <w:r>
        <w:rPr>
          <w:i w:val="0"/>
          <w:iCs w:val="0"/>
          <w:szCs w:val="24"/>
        </w:rPr>
        <w:fldChar w:fldCharType="separate"/>
      </w:r>
      <w:r>
        <w:rPr>
          <w:rFonts w:eastAsia="黑体"/>
          <w:i w:val="0"/>
          <w:iCs w:val="0"/>
          <w:szCs w:val="28"/>
        </w:rPr>
        <w:t>一、成果应用范围</w:t>
      </w:r>
      <w:r>
        <w:rPr>
          <w:i w:val="0"/>
          <w:iCs w:val="0"/>
        </w:rPr>
        <w:tab/>
      </w:r>
      <w:r>
        <w:rPr>
          <w:i w:val="0"/>
          <w:iCs w:val="0"/>
        </w:rPr>
        <w:fldChar w:fldCharType="begin"/>
      </w:r>
      <w:r>
        <w:rPr>
          <w:i w:val="0"/>
          <w:iCs w:val="0"/>
        </w:rPr>
        <w:instrText xml:space="preserve"> PAGEREF _Toc11335 </w:instrText>
      </w:r>
      <w:r>
        <w:rPr>
          <w:i w:val="0"/>
          <w:iCs w:val="0"/>
        </w:rPr>
        <w:fldChar w:fldCharType="separate"/>
      </w:r>
      <w:r>
        <w:rPr>
          <w:i w:val="0"/>
          <w:iCs w:val="0"/>
        </w:rPr>
        <w:t>286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_Toc32738 </w:instrText>
      </w:r>
      <w:r>
        <w:rPr>
          <w:i w:val="0"/>
          <w:iCs w:val="0"/>
          <w:szCs w:val="24"/>
        </w:rPr>
        <w:fldChar w:fldCharType="separate"/>
      </w:r>
      <w:r>
        <w:rPr>
          <w:rFonts w:eastAsia="黑体"/>
          <w:i w:val="0"/>
          <w:iCs w:val="0"/>
          <w:szCs w:val="28"/>
        </w:rPr>
        <w:t>二、成果应用说明</w:t>
      </w:r>
      <w:r>
        <w:rPr>
          <w:i w:val="0"/>
          <w:iCs w:val="0"/>
        </w:rPr>
        <w:tab/>
      </w:r>
      <w:r>
        <w:rPr>
          <w:i w:val="0"/>
          <w:iCs w:val="0"/>
        </w:rPr>
        <w:fldChar w:fldCharType="begin"/>
      </w:r>
      <w:r>
        <w:rPr>
          <w:i w:val="0"/>
          <w:iCs w:val="0"/>
        </w:rPr>
        <w:instrText xml:space="preserve"> PAGEREF _Toc32738 </w:instrText>
      </w:r>
      <w:r>
        <w:rPr>
          <w:i w:val="0"/>
          <w:iCs w:val="0"/>
        </w:rPr>
        <w:fldChar w:fldCharType="separate"/>
      </w:r>
      <w:r>
        <w:rPr>
          <w:i w:val="0"/>
          <w:iCs w:val="0"/>
        </w:rPr>
        <w:t>288</w:t>
      </w:r>
      <w:r>
        <w:rPr>
          <w:i w:val="0"/>
          <w:iCs w:val="0"/>
        </w:rPr>
        <w:fldChar w:fldCharType="end"/>
      </w:r>
      <w:r>
        <w:rPr>
          <w:i w:val="0"/>
          <w:iCs w:val="0"/>
          <w:szCs w:val="24"/>
        </w:rPr>
        <w:fldChar w:fldCharType="end"/>
      </w:r>
    </w:p>
    <w:p>
      <w:pPr>
        <w:pStyle w:val="26"/>
        <w:tabs>
          <w:tab w:val="right" w:leader="dot" w:pos="8306"/>
        </w:tabs>
        <w:rPr>
          <w:i w:val="0"/>
          <w:iCs w:val="0"/>
        </w:rPr>
      </w:pPr>
      <w:r>
        <w:rPr>
          <w:i w:val="0"/>
          <w:iCs w:val="0"/>
          <w:szCs w:val="24"/>
        </w:rPr>
        <w:fldChar w:fldCharType="begin"/>
      </w:r>
      <w:r>
        <w:rPr>
          <w:i w:val="0"/>
          <w:iCs w:val="0"/>
          <w:szCs w:val="24"/>
        </w:rPr>
        <w:instrText xml:space="preserve"> HYPERLINK \l _Toc10168 </w:instrText>
      </w:r>
      <w:r>
        <w:rPr>
          <w:i w:val="0"/>
          <w:iCs w:val="0"/>
          <w:szCs w:val="24"/>
        </w:rPr>
        <w:fldChar w:fldCharType="separate"/>
      </w:r>
      <w:r>
        <w:rPr>
          <w:rFonts w:eastAsia="黑体"/>
          <w:i w:val="0"/>
          <w:iCs w:val="0"/>
          <w:szCs w:val="36"/>
        </w:rPr>
        <w:t>长沙县基准地价更新项目表格成果</w:t>
      </w:r>
      <w:r>
        <w:rPr>
          <w:i w:val="0"/>
          <w:iCs w:val="0"/>
        </w:rPr>
        <w:tab/>
      </w:r>
      <w:r>
        <w:rPr>
          <w:i w:val="0"/>
          <w:iCs w:val="0"/>
        </w:rPr>
        <w:fldChar w:fldCharType="begin"/>
      </w:r>
      <w:r>
        <w:rPr>
          <w:i w:val="0"/>
          <w:iCs w:val="0"/>
        </w:rPr>
        <w:instrText xml:space="preserve"> PAGEREF _Toc10168 </w:instrText>
      </w:r>
      <w:r>
        <w:rPr>
          <w:i w:val="0"/>
          <w:iCs w:val="0"/>
        </w:rPr>
        <w:fldChar w:fldCharType="separate"/>
      </w:r>
      <w:r>
        <w:rPr>
          <w:i w:val="0"/>
          <w:iCs w:val="0"/>
        </w:rPr>
        <w:t>290</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_Toc22645 </w:instrText>
      </w:r>
      <w:r>
        <w:rPr>
          <w:i w:val="0"/>
          <w:iCs w:val="0"/>
          <w:szCs w:val="24"/>
        </w:rPr>
        <w:fldChar w:fldCharType="separate"/>
      </w:r>
      <w:r>
        <w:rPr>
          <w:rFonts w:eastAsia="黑体"/>
          <w:i w:val="0"/>
          <w:iCs w:val="0"/>
          <w:szCs w:val="28"/>
        </w:rPr>
        <w:t>一、土地定级成果表格</w:t>
      </w:r>
      <w:r>
        <w:rPr>
          <w:i w:val="0"/>
          <w:iCs w:val="0"/>
        </w:rPr>
        <w:tab/>
      </w:r>
      <w:r>
        <w:rPr>
          <w:i w:val="0"/>
          <w:iCs w:val="0"/>
        </w:rPr>
        <w:fldChar w:fldCharType="begin"/>
      </w:r>
      <w:r>
        <w:rPr>
          <w:i w:val="0"/>
          <w:iCs w:val="0"/>
        </w:rPr>
        <w:instrText xml:space="preserve"> PAGEREF _Toc22645 </w:instrText>
      </w:r>
      <w:r>
        <w:rPr>
          <w:i w:val="0"/>
          <w:iCs w:val="0"/>
        </w:rPr>
        <w:fldChar w:fldCharType="separate"/>
      </w:r>
      <w:r>
        <w:rPr>
          <w:i w:val="0"/>
          <w:iCs w:val="0"/>
        </w:rPr>
        <w:t>290</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_Toc7416 </w:instrText>
      </w:r>
      <w:r>
        <w:rPr>
          <w:i w:val="0"/>
          <w:iCs w:val="0"/>
          <w:szCs w:val="24"/>
        </w:rPr>
        <w:fldChar w:fldCharType="separate"/>
      </w:r>
      <w:r>
        <w:rPr>
          <w:i w:val="0"/>
          <w:iCs w:val="0"/>
          <w:szCs w:val="24"/>
        </w:rPr>
        <w:t>1、长沙县城区土地综合定级边界描述表</w:t>
      </w:r>
      <w:r>
        <w:rPr>
          <w:i w:val="0"/>
          <w:iCs w:val="0"/>
        </w:rPr>
        <w:tab/>
      </w:r>
      <w:r>
        <w:rPr>
          <w:i w:val="0"/>
          <w:iCs w:val="0"/>
        </w:rPr>
        <w:fldChar w:fldCharType="begin"/>
      </w:r>
      <w:r>
        <w:rPr>
          <w:i w:val="0"/>
          <w:iCs w:val="0"/>
        </w:rPr>
        <w:instrText xml:space="preserve"> PAGEREF _Toc7416 </w:instrText>
      </w:r>
      <w:r>
        <w:rPr>
          <w:i w:val="0"/>
          <w:iCs w:val="0"/>
        </w:rPr>
        <w:fldChar w:fldCharType="separate"/>
      </w:r>
      <w:r>
        <w:rPr>
          <w:i w:val="0"/>
          <w:iCs w:val="0"/>
        </w:rPr>
        <w:t>290</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_Toc32592 </w:instrText>
      </w:r>
      <w:r>
        <w:rPr>
          <w:i w:val="0"/>
          <w:iCs w:val="0"/>
          <w:szCs w:val="24"/>
        </w:rPr>
        <w:fldChar w:fldCharType="separate"/>
      </w:r>
      <w:r>
        <w:rPr>
          <w:i w:val="0"/>
          <w:iCs w:val="0"/>
          <w:szCs w:val="24"/>
        </w:rPr>
        <w:t>2、长沙县乡镇土地级别边界描述表</w:t>
      </w:r>
      <w:r>
        <w:rPr>
          <w:i w:val="0"/>
          <w:iCs w:val="0"/>
        </w:rPr>
        <w:tab/>
      </w:r>
      <w:r>
        <w:rPr>
          <w:i w:val="0"/>
          <w:iCs w:val="0"/>
        </w:rPr>
        <w:fldChar w:fldCharType="begin"/>
      </w:r>
      <w:r>
        <w:rPr>
          <w:i w:val="0"/>
          <w:iCs w:val="0"/>
        </w:rPr>
        <w:instrText xml:space="preserve"> PAGEREF _Toc32592 </w:instrText>
      </w:r>
      <w:r>
        <w:rPr>
          <w:i w:val="0"/>
          <w:iCs w:val="0"/>
        </w:rPr>
        <w:fldChar w:fldCharType="separate"/>
      </w:r>
      <w:r>
        <w:rPr>
          <w:i w:val="0"/>
          <w:iCs w:val="0"/>
        </w:rPr>
        <w:t>291</w:t>
      </w:r>
      <w:r>
        <w:rPr>
          <w:i w:val="0"/>
          <w:iCs w:val="0"/>
        </w:rPr>
        <w:fldChar w:fldCharType="end"/>
      </w:r>
      <w:r>
        <w:rPr>
          <w:i w:val="0"/>
          <w:iCs w:val="0"/>
          <w:szCs w:val="24"/>
        </w:rPr>
        <w:fldChar w:fldCharType="end"/>
      </w:r>
    </w:p>
    <w:p>
      <w:pPr>
        <w:pStyle w:val="35"/>
        <w:tabs>
          <w:tab w:val="right" w:leader="dot" w:pos="8306"/>
        </w:tabs>
        <w:rPr>
          <w:i w:val="0"/>
          <w:iCs w:val="0"/>
        </w:rPr>
      </w:pPr>
      <w:r>
        <w:rPr>
          <w:i w:val="0"/>
          <w:iCs w:val="0"/>
          <w:szCs w:val="24"/>
        </w:rPr>
        <w:fldChar w:fldCharType="begin"/>
      </w:r>
      <w:r>
        <w:rPr>
          <w:i w:val="0"/>
          <w:iCs w:val="0"/>
          <w:szCs w:val="24"/>
        </w:rPr>
        <w:instrText xml:space="preserve"> HYPERLINK \l _Toc4190 </w:instrText>
      </w:r>
      <w:r>
        <w:rPr>
          <w:i w:val="0"/>
          <w:iCs w:val="0"/>
          <w:szCs w:val="24"/>
        </w:rPr>
        <w:fldChar w:fldCharType="separate"/>
      </w:r>
      <w:r>
        <w:rPr>
          <w:rFonts w:eastAsia="黑体"/>
          <w:i w:val="0"/>
          <w:iCs w:val="0"/>
          <w:szCs w:val="28"/>
        </w:rPr>
        <w:t>二、基准地价更新成果表格</w:t>
      </w:r>
      <w:r>
        <w:rPr>
          <w:i w:val="0"/>
          <w:iCs w:val="0"/>
        </w:rPr>
        <w:tab/>
      </w:r>
      <w:r>
        <w:rPr>
          <w:i w:val="0"/>
          <w:iCs w:val="0"/>
        </w:rPr>
        <w:fldChar w:fldCharType="begin"/>
      </w:r>
      <w:r>
        <w:rPr>
          <w:i w:val="0"/>
          <w:iCs w:val="0"/>
        </w:rPr>
        <w:instrText xml:space="preserve"> PAGEREF _Toc4190 </w:instrText>
      </w:r>
      <w:r>
        <w:rPr>
          <w:i w:val="0"/>
          <w:iCs w:val="0"/>
        </w:rPr>
        <w:fldChar w:fldCharType="separate"/>
      </w:r>
      <w:r>
        <w:rPr>
          <w:i w:val="0"/>
          <w:iCs w:val="0"/>
        </w:rPr>
        <w:t>294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_Toc27770 </w:instrText>
      </w:r>
      <w:r>
        <w:rPr>
          <w:i w:val="0"/>
          <w:iCs w:val="0"/>
          <w:szCs w:val="24"/>
        </w:rPr>
        <w:fldChar w:fldCharType="separate"/>
      </w:r>
      <w:r>
        <w:rPr>
          <w:i w:val="0"/>
          <w:iCs w:val="0"/>
          <w:szCs w:val="24"/>
        </w:rPr>
        <w:t>1、长沙县城区基准地价内涵表</w:t>
      </w:r>
      <w:r>
        <w:rPr>
          <w:i w:val="0"/>
          <w:iCs w:val="0"/>
        </w:rPr>
        <w:tab/>
      </w:r>
      <w:r>
        <w:rPr>
          <w:i w:val="0"/>
          <w:iCs w:val="0"/>
        </w:rPr>
        <w:fldChar w:fldCharType="begin"/>
      </w:r>
      <w:r>
        <w:rPr>
          <w:i w:val="0"/>
          <w:iCs w:val="0"/>
        </w:rPr>
        <w:instrText xml:space="preserve"> PAGEREF _Toc27770 </w:instrText>
      </w:r>
      <w:r>
        <w:rPr>
          <w:i w:val="0"/>
          <w:iCs w:val="0"/>
        </w:rPr>
        <w:fldChar w:fldCharType="separate"/>
      </w:r>
      <w:r>
        <w:rPr>
          <w:i w:val="0"/>
          <w:iCs w:val="0"/>
        </w:rPr>
        <w:t>294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_Toc13230 </w:instrText>
      </w:r>
      <w:r>
        <w:rPr>
          <w:i w:val="0"/>
          <w:iCs w:val="0"/>
          <w:szCs w:val="24"/>
        </w:rPr>
        <w:fldChar w:fldCharType="separate"/>
      </w:r>
      <w:r>
        <w:rPr>
          <w:i w:val="0"/>
          <w:iCs w:val="0"/>
          <w:szCs w:val="24"/>
        </w:rPr>
        <w:t>2、长沙县各级别地面基准地价表</w:t>
      </w:r>
      <w:r>
        <w:rPr>
          <w:i w:val="0"/>
          <w:iCs w:val="0"/>
        </w:rPr>
        <w:tab/>
      </w:r>
      <w:r>
        <w:rPr>
          <w:i w:val="0"/>
          <w:iCs w:val="0"/>
        </w:rPr>
        <w:fldChar w:fldCharType="begin"/>
      </w:r>
      <w:r>
        <w:rPr>
          <w:i w:val="0"/>
          <w:iCs w:val="0"/>
        </w:rPr>
        <w:instrText xml:space="preserve"> PAGEREF _Toc13230 </w:instrText>
      </w:r>
      <w:r>
        <w:rPr>
          <w:i w:val="0"/>
          <w:iCs w:val="0"/>
        </w:rPr>
        <w:fldChar w:fldCharType="separate"/>
      </w:r>
      <w:r>
        <w:rPr>
          <w:i w:val="0"/>
          <w:iCs w:val="0"/>
        </w:rPr>
        <w:t>294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_Toc1332 </w:instrText>
      </w:r>
      <w:r>
        <w:rPr>
          <w:i w:val="0"/>
          <w:iCs w:val="0"/>
          <w:szCs w:val="24"/>
        </w:rPr>
        <w:fldChar w:fldCharType="separate"/>
      </w:r>
      <w:r>
        <w:rPr>
          <w:i w:val="0"/>
          <w:iCs w:val="0"/>
          <w:szCs w:val="24"/>
        </w:rPr>
        <w:t>3、长沙县城区商服用地和住宅用地均质区域地面基准地价表</w:t>
      </w:r>
      <w:r>
        <w:rPr>
          <w:i w:val="0"/>
          <w:iCs w:val="0"/>
        </w:rPr>
        <w:tab/>
      </w:r>
      <w:r>
        <w:rPr>
          <w:i w:val="0"/>
          <w:iCs w:val="0"/>
        </w:rPr>
        <w:fldChar w:fldCharType="begin"/>
      </w:r>
      <w:r>
        <w:rPr>
          <w:i w:val="0"/>
          <w:iCs w:val="0"/>
        </w:rPr>
        <w:instrText xml:space="preserve"> PAGEREF _Toc1332 </w:instrText>
      </w:r>
      <w:r>
        <w:rPr>
          <w:i w:val="0"/>
          <w:iCs w:val="0"/>
        </w:rPr>
        <w:fldChar w:fldCharType="separate"/>
      </w:r>
      <w:r>
        <w:rPr>
          <w:i w:val="0"/>
          <w:iCs w:val="0"/>
        </w:rPr>
        <w:t>294</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_Toc25857 </w:instrText>
      </w:r>
      <w:r>
        <w:rPr>
          <w:i w:val="0"/>
          <w:iCs w:val="0"/>
          <w:szCs w:val="24"/>
        </w:rPr>
        <w:fldChar w:fldCharType="separate"/>
      </w:r>
      <w:r>
        <w:rPr>
          <w:i w:val="0"/>
          <w:iCs w:val="0"/>
          <w:szCs w:val="24"/>
        </w:rPr>
        <w:t>4、长沙县城区商服用地路线价表</w:t>
      </w:r>
      <w:r>
        <w:rPr>
          <w:i w:val="0"/>
          <w:iCs w:val="0"/>
        </w:rPr>
        <w:tab/>
      </w:r>
      <w:r>
        <w:rPr>
          <w:i w:val="0"/>
          <w:iCs w:val="0"/>
        </w:rPr>
        <w:fldChar w:fldCharType="begin"/>
      </w:r>
      <w:r>
        <w:rPr>
          <w:i w:val="0"/>
          <w:iCs w:val="0"/>
        </w:rPr>
        <w:instrText xml:space="preserve"> PAGEREF _Toc25857 </w:instrText>
      </w:r>
      <w:r>
        <w:rPr>
          <w:i w:val="0"/>
          <w:iCs w:val="0"/>
        </w:rPr>
        <w:fldChar w:fldCharType="separate"/>
      </w:r>
      <w:r>
        <w:rPr>
          <w:i w:val="0"/>
          <w:iCs w:val="0"/>
        </w:rPr>
        <w:t>296</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_Toc6508 </w:instrText>
      </w:r>
      <w:r>
        <w:rPr>
          <w:i w:val="0"/>
          <w:iCs w:val="0"/>
          <w:szCs w:val="24"/>
        </w:rPr>
        <w:fldChar w:fldCharType="separate"/>
      </w:r>
      <w:r>
        <w:rPr>
          <w:i w:val="0"/>
          <w:iCs w:val="0"/>
          <w:szCs w:val="24"/>
        </w:rPr>
        <w:t>5、长沙县城区商服用地楼面基准地价表</w:t>
      </w:r>
      <w:r>
        <w:rPr>
          <w:i w:val="0"/>
          <w:iCs w:val="0"/>
        </w:rPr>
        <w:tab/>
      </w:r>
      <w:r>
        <w:rPr>
          <w:i w:val="0"/>
          <w:iCs w:val="0"/>
        </w:rPr>
        <w:fldChar w:fldCharType="begin"/>
      </w:r>
      <w:r>
        <w:rPr>
          <w:i w:val="0"/>
          <w:iCs w:val="0"/>
        </w:rPr>
        <w:instrText xml:space="preserve"> PAGEREF _Toc6508 </w:instrText>
      </w:r>
      <w:r>
        <w:rPr>
          <w:i w:val="0"/>
          <w:iCs w:val="0"/>
        </w:rPr>
        <w:fldChar w:fldCharType="separate"/>
      </w:r>
      <w:r>
        <w:rPr>
          <w:i w:val="0"/>
          <w:iCs w:val="0"/>
        </w:rPr>
        <w:t>298</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_Toc19942 </w:instrText>
      </w:r>
      <w:r>
        <w:rPr>
          <w:i w:val="0"/>
          <w:iCs w:val="0"/>
          <w:szCs w:val="24"/>
        </w:rPr>
        <w:fldChar w:fldCharType="separate"/>
      </w:r>
      <w:r>
        <w:rPr>
          <w:i w:val="0"/>
          <w:iCs w:val="0"/>
          <w:szCs w:val="24"/>
        </w:rPr>
        <w:t>6、长沙县城区住宅用地楼面基准地价表</w:t>
      </w:r>
      <w:r>
        <w:rPr>
          <w:i w:val="0"/>
          <w:iCs w:val="0"/>
        </w:rPr>
        <w:tab/>
      </w:r>
      <w:r>
        <w:rPr>
          <w:i w:val="0"/>
          <w:iCs w:val="0"/>
        </w:rPr>
        <w:fldChar w:fldCharType="begin"/>
      </w:r>
      <w:r>
        <w:rPr>
          <w:i w:val="0"/>
          <w:iCs w:val="0"/>
        </w:rPr>
        <w:instrText xml:space="preserve"> PAGEREF _Toc19942 </w:instrText>
      </w:r>
      <w:r>
        <w:rPr>
          <w:i w:val="0"/>
          <w:iCs w:val="0"/>
        </w:rPr>
        <w:fldChar w:fldCharType="separate"/>
      </w:r>
      <w:r>
        <w:rPr>
          <w:i w:val="0"/>
          <w:iCs w:val="0"/>
        </w:rPr>
        <w:t>300</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_Toc5046 </w:instrText>
      </w:r>
      <w:r>
        <w:rPr>
          <w:i w:val="0"/>
          <w:iCs w:val="0"/>
          <w:szCs w:val="24"/>
        </w:rPr>
        <w:fldChar w:fldCharType="separate"/>
      </w:r>
      <w:r>
        <w:rPr>
          <w:i w:val="0"/>
          <w:iCs w:val="0"/>
          <w:szCs w:val="24"/>
        </w:rPr>
        <w:t>7、长沙县城区商服用地地下空间土地使用权协议出让单价表</w:t>
      </w:r>
      <w:r>
        <w:rPr>
          <w:i w:val="0"/>
          <w:iCs w:val="0"/>
        </w:rPr>
        <w:tab/>
      </w:r>
      <w:r>
        <w:rPr>
          <w:i w:val="0"/>
          <w:iCs w:val="0"/>
        </w:rPr>
        <w:fldChar w:fldCharType="begin"/>
      </w:r>
      <w:r>
        <w:rPr>
          <w:i w:val="0"/>
          <w:iCs w:val="0"/>
        </w:rPr>
        <w:instrText xml:space="preserve"> PAGEREF _Toc5046 </w:instrText>
      </w:r>
      <w:r>
        <w:rPr>
          <w:i w:val="0"/>
          <w:iCs w:val="0"/>
        </w:rPr>
        <w:fldChar w:fldCharType="separate"/>
      </w:r>
      <w:r>
        <w:rPr>
          <w:i w:val="0"/>
          <w:iCs w:val="0"/>
        </w:rPr>
        <w:t>302</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_Toc20284 </w:instrText>
      </w:r>
      <w:r>
        <w:rPr>
          <w:i w:val="0"/>
          <w:iCs w:val="0"/>
          <w:szCs w:val="24"/>
        </w:rPr>
        <w:fldChar w:fldCharType="separate"/>
      </w:r>
      <w:r>
        <w:rPr>
          <w:i w:val="0"/>
          <w:iCs w:val="0"/>
          <w:szCs w:val="24"/>
        </w:rPr>
        <w:t>8、长沙县城区住宅用地地下空间土地使用权协议出让单价表</w:t>
      </w:r>
      <w:r>
        <w:rPr>
          <w:i w:val="0"/>
          <w:iCs w:val="0"/>
        </w:rPr>
        <w:tab/>
      </w:r>
      <w:r>
        <w:rPr>
          <w:i w:val="0"/>
          <w:iCs w:val="0"/>
        </w:rPr>
        <w:fldChar w:fldCharType="begin"/>
      </w:r>
      <w:r>
        <w:rPr>
          <w:i w:val="0"/>
          <w:iCs w:val="0"/>
        </w:rPr>
        <w:instrText xml:space="preserve"> PAGEREF _Toc20284 </w:instrText>
      </w:r>
      <w:r>
        <w:rPr>
          <w:i w:val="0"/>
          <w:iCs w:val="0"/>
        </w:rPr>
        <w:fldChar w:fldCharType="separate"/>
      </w:r>
      <w:r>
        <w:rPr>
          <w:i w:val="0"/>
          <w:iCs w:val="0"/>
        </w:rPr>
        <w:t>303</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_Toc4534 </w:instrText>
      </w:r>
      <w:r>
        <w:rPr>
          <w:i w:val="0"/>
          <w:iCs w:val="0"/>
          <w:szCs w:val="24"/>
        </w:rPr>
        <w:fldChar w:fldCharType="separate"/>
      </w:r>
      <w:r>
        <w:rPr>
          <w:i w:val="0"/>
          <w:iCs w:val="0"/>
          <w:szCs w:val="24"/>
        </w:rPr>
        <w:t>9、长沙县建制镇基准地价内涵表</w:t>
      </w:r>
      <w:r>
        <w:rPr>
          <w:i w:val="0"/>
          <w:iCs w:val="0"/>
        </w:rPr>
        <w:tab/>
      </w:r>
      <w:r>
        <w:rPr>
          <w:i w:val="0"/>
          <w:iCs w:val="0"/>
        </w:rPr>
        <w:fldChar w:fldCharType="begin"/>
      </w:r>
      <w:r>
        <w:rPr>
          <w:i w:val="0"/>
          <w:iCs w:val="0"/>
        </w:rPr>
        <w:instrText xml:space="preserve"> PAGEREF _Toc4534 </w:instrText>
      </w:r>
      <w:r>
        <w:rPr>
          <w:i w:val="0"/>
          <w:iCs w:val="0"/>
        </w:rPr>
        <w:fldChar w:fldCharType="separate"/>
      </w:r>
      <w:r>
        <w:rPr>
          <w:i w:val="0"/>
          <w:iCs w:val="0"/>
        </w:rPr>
        <w:t>303</w:t>
      </w:r>
      <w:r>
        <w:rPr>
          <w:i w:val="0"/>
          <w:iCs w:val="0"/>
        </w:rPr>
        <w:fldChar w:fldCharType="end"/>
      </w:r>
      <w:r>
        <w:rPr>
          <w:i w:val="0"/>
          <w:iCs w:val="0"/>
          <w:szCs w:val="24"/>
        </w:rPr>
        <w:fldChar w:fldCharType="end"/>
      </w:r>
    </w:p>
    <w:p>
      <w:pPr>
        <w:pStyle w:val="18"/>
        <w:tabs>
          <w:tab w:val="right" w:leader="dot" w:pos="8306"/>
        </w:tabs>
        <w:rPr>
          <w:i w:val="0"/>
          <w:iCs w:val="0"/>
        </w:rPr>
      </w:pPr>
      <w:r>
        <w:rPr>
          <w:i w:val="0"/>
          <w:iCs w:val="0"/>
          <w:szCs w:val="24"/>
        </w:rPr>
        <w:fldChar w:fldCharType="begin"/>
      </w:r>
      <w:r>
        <w:rPr>
          <w:i w:val="0"/>
          <w:iCs w:val="0"/>
          <w:szCs w:val="24"/>
        </w:rPr>
        <w:instrText xml:space="preserve"> HYPERLINK \l _Toc22352 </w:instrText>
      </w:r>
      <w:r>
        <w:rPr>
          <w:i w:val="0"/>
          <w:iCs w:val="0"/>
          <w:szCs w:val="24"/>
        </w:rPr>
        <w:fldChar w:fldCharType="separate"/>
      </w:r>
      <w:r>
        <w:rPr>
          <w:i w:val="0"/>
          <w:iCs w:val="0"/>
          <w:szCs w:val="24"/>
        </w:rPr>
        <w:t>10、长沙县建制镇各级别基准地价表</w:t>
      </w:r>
      <w:r>
        <w:rPr>
          <w:i w:val="0"/>
          <w:iCs w:val="0"/>
        </w:rPr>
        <w:tab/>
      </w:r>
      <w:r>
        <w:rPr>
          <w:i w:val="0"/>
          <w:iCs w:val="0"/>
        </w:rPr>
        <w:fldChar w:fldCharType="begin"/>
      </w:r>
      <w:r>
        <w:rPr>
          <w:i w:val="0"/>
          <w:iCs w:val="0"/>
        </w:rPr>
        <w:instrText xml:space="preserve"> PAGEREF _Toc22352 </w:instrText>
      </w:r>
      <w:r>
        <w:rPr>
          <w:i w:val="0"/>
          <w:iCs w:val="0"/>
        </w:rPr>
        <w:fldChar w:fldCharType="separate"/>
      </w:r>
      <w:r>
        <w:rPr>
          <w:i w:val="0"/>
          <w:iCs w:val="0"/>
        </w:rPr>
        <w:t>304</w:t>
      </w:r>
      <w:r>
        <w:rPr>
          <w:i w:val="0"/>
          <w:iCs w:val="0"/>
        </w:rPr>
        <w:fldChar w:fldCharType="end"/>
      </w:r>
      <w:r>
        <w:rPr>
          <w:i w:val="0"/>
          <w:iCs w:val="0"/>
          <w:szCs w:val="24"/>
        </w:rPr>
        <w:fldChar w:fldCharType="end"/>
      </w:r>
    </w:p>
    <w:p>
      <w:pPr>
        <w:pStyle w:val="26"/>
        <w:tabs>
          <w:tab w:val="right" w:leader="dot" w:pos="8306"/>
        </w:tabs>
      </w:pPr>
      <w:r>
        <w:rPr>
          <w:i w:val="0"/>
          <w:iCs w:val="0"/>
          <w:szCs w:val="24"/>
        </w:rPr>
        <w:fldChar w:fldCharType="begin"/>
      </w:r>
      <w:r>
        <w:rPr>
          <w:i w:val="0"/>
          <w:iCs w:val="0"/>
          <w:szCs w:val="24"/>
        </w:rPr>
        <w:instrText xml:space="preserve"> HYPERLINK \l _Toc23258 </w:instrText>
      </w:r>
      <w:r>
        <w:rPr>
          <w:i w:val="0"/>
          <w:iCs w:val="0"/>
          <w:szCs w:val="24"/>
        </w:rPr>
        <w:fldChar w:fldCharType="separate"/>
      </w:r>
      <w:r>
        <w:rPr>
          <w:rFonts w:hint="eastAsia"/>
          <w:i w:val="0"/>
          <w:iCs w:val="0"/>
        </w:rPr>
        <w:t>长沙县</w:t>
      </w:r>
      <w:r>
        <w:rPr>
          <w:i w:val="0"/>
          <w:iCs w:val="0"/>
        </w:rPr>
        <w:t>城区基准地价更新成果图件</w:t>
      </w:r>
      <w:r>
        <w:rPr>
          <w:i w:val="0"/>
          <w:iCs w:val="0"/>
        </w:rPr>
        <w:tab/>
      </w:r>
      <w:r>
        <w:rPr>
          <w:i w:val="0"/>
          <w:iCs w:val="0"/>
        </w:rPr>
        <w:fldChar w:fldCharType="begin"/>
      </w:r>
      <w:r>
        <w:rPr>
          <w:i w:val="0"/>
          <w:iCs w:val="0"/>
        </w:rPr>
        <w:instrText xml:space="preserve"> PAGEREF _Toc23258 </w:instrText>
      </w:r>
      <w:r>
        <w:rPr>
          <w:i w:val="0"/>
          <w:iCs w:val="0"/>
        </w:rPr>
        <w:fldChar w:fldCharType="separate"/>
      </w:r>
      <w:r>
        <w:rPr>
          <w:i w:val="0"/>
          <w:iCs w:val="0"/>
        </w:rPr>
        <w:t>305</w:t>
      </w:r>
      <w:r>
        <w:rPr>
          <w:i w:val="0"/>
          <w:iCs w:val="0"/>
        </w:rPr>
        <w:fldChar w:fldCharType="end"/>
      </w:r>
      <w:r>
        <w:rPr>
          <w:i w:val="0"/>
          <w:iCs w:val="0"/>
          <w:szCs w:val="24"/>
        </w:rPr>
        <w:fldChar w:fldCharType="end"/>
      </w:r>
    </w:p>
    <w:p>
      <w:pPr>
        <w:pStyle w:val="26"/>
        <w:tabs>
          <w:tab w:val="right" w:leader="dot" w:pos="8306"/>
        </w:tabs>
        <w:rPr>
          <w:szCs w:val="24"/>
        </w:rPr>
        <w:sectPr>
          <w:pgSz w:w="11906" w:h="16838"/>
          <w:pgMar w:top="1440" w:right="1800" w:bottom="1440" w:left="1800" w:header="851" w:footer="992" w:gutter="0"/>
          <w:pgNumType w:start="1"/>
          <w:cols w:space="720" w:num="1"/>
          <w:docGrid w:type="lines" w:linePitch="312" w:charSpace="0"/>
        </w:sectPr>
      </w:pPr>
      <w:r>
        <w:rPr>
          <w:szCs w:val="24"/>
        </w:rPr>
        <w:fldChar w:fldCharType="end"/>
      </w:r>
    </w:p>
    <w:p>
      <w:pPr>
        <w:pStyle w:val="35"/>
        <w:tabs>
          <w:tab w:val="right" w:leader="dot" w:pos="8845"/>
        </w:tabs>
        <w:spacing w:line="360" w:lineRule="auto"/>
        <w:ind w:left="0"/>
        <w:jc w:val="center"/>
        <w:outlineLvl w:val="0"/>
        <w:rPr>
          <w:rFonts w:eastAsia="黑体"/>
          <w:sz w:val="44"/>
          <w:szCs w:val="44"/>
        </w:rPr>
      </w:pPr>
      <w:bookmarkStart w:id="0" w:name="_Toc470721251"/>
      <w:bookmarkStart w:id="1" w:name="_Toc19900"/>
      <w:bookmarkStart w:id="2" w:name="_Toc5057"/>
      <w:bookmarkStart w:id="3" w:name="_Toc469296400"/>
      <w:bookmarkStart w:id="4" w:name="_Toc213589759"/>
      <w:bookmarkStart w:id="5" w:name="_Toc31578"/>
      <w:bookmarkStart w:id="6" w:name="_Toc467846794"/>
      <w:bookmarkStart w:id="7" w:name="_Toc11190"/>
      <w:bookmarkStart w:id="8" w:name="_Toc344197797"/>
      <w:r>
        <w:rPr>
          <w:rFonts w:eastAsia="黑体"/>
          <w:sz w:val="44"/>
          <w:szCs w:val="44"/>
        </w:rPr>
        <w:t>第一篇  概述</w:t>
      </w:r>
      <w:bookmarkEnd w:id="0"/>
      <w:bookmarkEnd w:id="1"/>
      <w:bookmarkEnd w:id="2"/>
      <w:bookmarkEnd w:id="3"/>
      <w:bookmarkEnd w:id="4"/>
      <w:bookmarkEnd w:id="5"/>
      <w:bookmarkEnd w:id="6"/>
      <w:bookmarkEnd w:id="7"/>
      <w:bookmarkStart w:id="9" w:name="_Toc213589760"/>
    </w:p>
    <w:p>
      <w:pPr>
        <w:widowControl/>
        <w:jc w:val="center"/>
        <w:outlineLvl w:val="1"/>
        <w:rPr>
          <w:rFonts w:eastAsia="黑体"/>
          <w:sz w:val="32"/>
          <w:szCs w:val="32"/>
        </w:rPr>
      </w:pPr>
      <w:bookmarkStart w:id="10" w:name="_Toc467846795"/>
      <w:bookmarkStart w:id="11" w:name="_Toc469296401"/>
      <w:bookmarkStart w:id="12" w:name="_Toc10839"/>
      <w:bookmarkStart w:id="13" w:name="_Toc13096"/>
      <w:bookmarkStart w:id="14" w:name="_Toc248305562"/>
      <w:bookmarkStart w:id="15" w:name="_Toc10793"/>
      <w:bookmarkStart w:id="16" w:name="_Toc15288"/>
      <w:bookmarkStart w:id="17" w:name="_Toc248305997"/>
      <w:bookmarkStart w:id="18" w:name="_Toc470721252"/>
      <w:r>
        <w:rPr>
          <w:rFonts w:eastAsia="黑体"/>
          <w:sz w:val="32"/>
          <w:szCs w:val="32"/>
        </w:rPr>
        <w:t>第一章  长沙县概</w:t>
      </w:r>
      <w:bookmarkEnd w:id="9"/>
      <w:r>
        <w:rPr>
          <w:rFonts w:eastAsia="黑体"/>
          <w:sz w:val="32"/>
          <w:szCs w:val="32"/>
        </w:rPr>
        <w:t>述</w:t>
      </w:r>
      <w:bookmarkEnd w:id="10"/>
      <w:bookmarkEnd w:id="11"/>
      <w:bookmarkEnd w:id="12"/>
      <w:bookmarkEnd w:id="13"/>
      <w:bookmarkEnd w:id="14"/>
      <w:bookmarkEnd w:id="15"/>
      <w:bookmarkEnd w:id="16"/>
      <w:bookmarkEnd w:id="17"/>
      <w:bookmarkEnd w:id="18"/>
    </w:p>
    <w:p>
      <w:pPr>
        <w:spacing w:line="480" w:lineRule="exact"/>
        <w:ind w:firstLine="480" w:firstLineChars="200"/>
        <w:rPr>
          <w:sz w:val="24"/>
        </w:rPr>
      </w:pPr>
      <w:r>
        <w:rPr>
          <w:sz w:val="24"/>
        </w:rPr>
        <w:t>长沙县历史悠久，人文荟萃。“长沙”之名最早见于《逸周书．五会篇》，公元前221年秦统一中国，设36郡，其中长沙郡附廓之县称“湘县”，即为长沙县前身，至今已有2200多年历史。隋文帝开皇九年（公元589年），正式改临湘县为长沙县。</w:t>
      </w:r>
    </w:p>
    <w:p>
      <w:pPr>
        <w:shd w:val="clear" w:color="auto" w:fill="FFFFFF"/>
        <w:spacing w:line="360" w:lineRule="auto"/>
        <w:ind w:firstLine="560" w:firstLineChars="200"/>
        <w:jc w:val="left"/>
        <w:outlineLvl w:val="2"/>
        <w:rPr>
          <w:rFonts w:eastAsia="黑体"/>
          <w:sz w:val="28"/>
          <w:szCs w:val="28"/>
        </w:rPr>
      </w:pPr>
      <w:bookmarkStart w:id="19" w:name="_Toc274467741"/>
      <w:bookmarkStart w:id="20" w:name="_Toc467846796"/>
      <w:bookmarkStart w:id="21" w:name="_Toc344197790"/>
      <w:bookmarkStart w:id="22" w:name="_Toc470721253"/>
      <w:bookmarkStart w:id="23" w:name="_Toc18944"/>
      <w:bookmarkStart w:id="24" w:name="_Toc469296402"/>
      <w:bookmarkStart w:id="25" w:name="_Toc5986"/>
      <w:r>
        <w:rPr>
          <w:rFonts w:eastAsia="黑体"/>
          <w:sz w:val="28"/>
          <w:szCs w:val="28"/>
        </w:rPr>
        <w:t>一、</w:t>
      </w:r>
      <w:bookmarkEnd w:id="19"/>
      <w:bookmarkEnd w:id="20"/>
      <w:bookmarkEnd w:id="21"/>
      <w:r>
        <w:rPr>
          <w:rFonts w:eastAsia="黑体"/>
          <w:sz w:val="28"/>
          <w:szCs w:val="28"/>
        </w:rPr>
        <w:t>区位条件</w:t>
      </w:r>
      <w:bookmarkEnd w:id="22"/>
      <w:bookmarkEnd w:id="23"/>
      <w:bookmarkEnd w:id="24"/>
      <w:bookmarkEnd w:id="25"/>
    </w:p>
    <w:p>
      <w:pPr>
        <w:spacing w:line="440" w:lineRule="exact"/>
        <w:ind w:firstLine="482" w:firstLineChars="200"/>
        <w:jc w:val="left"/>
        <w:rPr>
          <w:sz w:val="24"/>
        </w:rPr>
      </w:pPr>
      <w:bookmarkStart w:id="26" w:name="_Toc469296403"/>
      <w:bookmarkStart w:id="27" w:name="_Toc470721254"/>
      <w:bookmarkStart w:id="28" w:name="_Toc213589763"/>
      <w:bookmarkStart w:id="29" w:name="_Toc28588"/>
      <w:bookmarkStart w:id="30" w:name="_Toc4840"/>
      <w:r>
        <w:rPr>
          <w:b/>
          <w:sz w:val="24"/>
        </w:rPr>
        <w:t>1、地理位置</w:t>
      </w:r>
    </w:p>
    <w:p>
      <w:pPr>
        <w:spacing w:line="480" w:lineRule="exact"/>
        <w:ind w:firstLine="480" w:firstLineChars="200"/>
        <w:rPr>
          <w:sz w:val="24"/>
          <w:szCs w:val="22"/>
        </w:rPr>
      </w:pPr>
      <w:r>
        <w:rPr>
          <w:sz w:val="24"/>
          <w:szCs w:val="22"/>
        </w:rPr>
        <w:t>长沙县位于湖南省东部偏北，湘江下游东岸，湖南省会长沙市近郊，素有“荆楚重镇，湖湘首邑”之美誉，东邻浏阳市，南接长沙市雨花区，西毗长沙市芙蓉区、开福区、望城区，北靠平江县、汨罗市。201</w:t>
      </w:r>
      <w:r>
        <w:rPr>
          <w:rFonts w:hint="eastAsia"/>
          <w:sz w:val="24"/>
          <w:szCs w:val="22"/>
        </w:rPr>
        <w:t>7</w:t>
      </w:r>
      <w:r>
        <w:rPr>
          <w:sz w:val="24"/>
          <w:szCs w:val="22"/>
        </w:rPr>
        <w:t>年，全县总面积1756平方公里。</w:t>
      </w:r>
    </w:p>
    <w:p>
      <w:pPr>
        <w:spacing w:line="440" w:lineRule="exact"/>
        <w:ind w:firstLine="482" w:firstLineChars="200"/>
        <w:jc w:val="left"/>
        <w:rPr>
          <w:sz w:val="24"/>
        </w:rPr>
      </w:pPr>
      <w:r>
        <w:rPr>
          <w:b/>
          <w:sz w:val="24"/>
        </w:rPr>
        <w:t>2、经济区位</w:t>
      </w:r>
    </w:p>
    <w:p>
      <w:pPr>
        <w:spacing w:line="480" w:lineRule="exact"/>
        <w:ind w:firstLine="480" w:firstLineChars="200"/>
        <w:rPr>
          <w:sz w:val="24"/>
          <w:szCs w:val="22"/>
        </w:rPr>
      </w:pPr>
      <w:r>
        <w:rPr>
          <w:sz w:val="24"/>
          <w:szCs w:val="22"/>
        </w:rPr>
        <w:t>长沙县处于长株潭“两型社会”综合配套改革试验区的核心地带，是长沙市2020年629平方公里城市总体规划“一主两次”中的两个城市次中心之一和长沙市商业体系规划“一主两副”的两个商业副中心之一，是全国18个改革开放典型地区之一。国家级长沙经济技术开发区、长沙黄花综合保税区、长沙临空经济示范区核心区、长沙高铁新城均坐落于此。见图1-1-1。</w:t>
      </w:r>
    </w:p>
    <w:p>
      <w:pPr>
        <w:spacing w:line="440" w:lineRule="exact"/>
        <w:ind w:firstLine="482" w:firstLineChars="200"/>
        <w:jc w:val="left"/>
        <w:rPr>
          <w:sz w:val="24"/>
        </w:rPr>
      </w:pPr>
      <w:r>
        <w:rPr>
          <w:b/>
          <w:sz w:val="24"/>
        </w:rPr>
        <w:t>3、交通区位</w:t>
      </w:r>
    </w:p>
    <w:p>
      <w:pPr>
        <w:spacing w:line="480" w:lineRule="exact"/>
        <w:ind w:firstLine="480" w:firstLineChars="200"/>
        <w:rPr>
          <w:sz w:val="24"/>
          <w:szCs w:val="22"/>
        </w:rPr>
      </w:pPr>
      <w:r>
        <w:rPr>
          <w:sz w:val="24"/>
          <w:szCs w:val="22"/>
        </w:rPr>
        <w:t>长沙县交通便利，水、陆、空交互的立体化交通网络基本成型，是湖南省重要的交通枢纽；全县基本形成“八纵十六横”的路网格局。境内有长沙黄花国际机场，京广高铁、沪昆高铁、规划中的渝长厦高铁，以及京港澳、长株、长永、机场高速、长沙绕城高速等多条高速，G107、S207、S103等国省干线公路穿境而过，中低速磁悬浮、</w:t>
      </w:r>
      <w:r>
        <w:rPr>
          <w:rFonts w:hint="eastAsia"/>
          <w:sz w:val="24"/>
          <w:szCs w:val="22"/>
        </w:rPr>
        <w:t>轨道交通</w:t>
      </w:r>
      <w:r>
        <w:rPr>
          <w:sz w:val="24"/>
          <w:szCs w:val="22"/>
        </w:rPr>
        <w:t>均已通达，率先全省实现城乡公交镇街全覆盖。</w:t>
      </w:r>
    </w:p>
    <w:p>
      <w:pPr>
        <w:shd w:val="clear" w:color="auto" w:fill="FFFFFF"/>
        <w:spacing w:line="360" w:lineRule="auto"/>
        <w:jc w:val="center"/>
        <w:rPr>
          <w:sz w:val="24"/>
        </w:rPr>
      </w:pPr>
      <w:r>
        <w:rPr>
          <w:rFonts w:ascii="Times New Roman" w:hAnsi="Times New Roman" w:eastAsia="宋体" w:cs="Times New Roman"/>
          <w:kern w:val="2"/>
          <w:sz w:val="24"/>
          <w:lang w:val="en-US" w:eastAsia="zh-CN" w:bidi="ar-SA"/>
        </w:rPr>
        <w:pict>
          <v:shape id="图片 3" o:spid="_x0000_s1033" type="#_x0000_t75" style="height:339.2pt;width:386pt;rotation:0f;" o:ole="f" fillcolor="#FFFFFF" filled="f" o:preferrelative="t" stroked="t" coordorigin="0,0" coordsize="21600,21600">
            <v:fill on="f" color2="#FFFFFF" focus="0%"/>
            <v:stroke color="#000000" color2="#FFFFFF" miterlimit="2"/>
            <v:imagedata gain="65536f" blacklevel="0f" gamma="0" o:title="" r:id="rId17"/>
            <o:lock v:ext="edit" position="f" selection="f" grouping="f" rotation="f" cropping="f" text="f" aspectratio="t"/>
            <w10:wrap type="none"/>
            <w10:anchorlock/>
          </v:shape>
        </w:pict>
      </w:r>
    </w:p>
    <w:p>
      <w:pPr>
        <w:spacing w:line="360" w:lineRule="auto"/>
        <w:jc w:val="center"/>
        <w:rPr>
          <w:b/>
          <w:sz w:val="22"/>
          <w:szCs w:val="22"/>
        </w:rPr>
      </w:pPr>
      <w:r>
        <w:rPr>
          <w:b/>
          <w:sz w:val="22"/>
          <w:szCs w:val="22"/>
        </w:rPr>
        <w:t>图1-1-1长沙县区位图</w:t>
      </w:r>
    </w:p>
    <w:p>
      <w:pPr>
        <w:shd w:val="clear" w:color="auto" w:fill="FFFFFF"/>
        <w:spacing w:line="360" w:lineRule="auto"/>
        <w:ind w:firstLine="560" w:firstLineChars="200"/>
        <w:jc w:val="left"/>
        <w:outlineLvl w:val="2"/>
        <w:rPr>
          <w:rFonts w:eastAsia="黑体"/>
          <w:sz w:val="28"/>
          <w:szCs w:val="28"/>
        </w:rPr>
      </w:pPr>
      <w:bookmarkStart w:id="31" w:name="_Toc21111"/>
      <w:bookmarkStart w:id="32" w:name="_Toc10894"/>
      <w:r>
        <w:rPr>
          <w:rFonts w:eastAsia="黑体"/>
          <w:sz w:val="28"/>
          <w:szCs w:val="28"/>
        </w:rPr>
        <w:t>二、</w:t>
      </w:r>
      <w:bookmarkEnd w:id="26"/>
      <w:bookmarkEnd w:id="27"/>
      <w:r>
        <w:rPr>
          <w:rFonts w:eastAsia="黑体"/>
          <w:sz w:val="28"/>
          <w:szCs w:val="28"/>
        </w:rPr>
        <w:t>自然地理条件</w:t>
      </w:r>
      <w:bookmarkEnd w:id="31"/>
      <w:bookmarkEnd w:id="32"/>
    </w:p>
    <w:p>
      <w:pPr>
        <w:spacing w:line="480" w:lineRule="exact"/>
        <w:ind w:firstLine="480" w:firstLineChars="200"/>
        <w:rPr>
          <w:sz w:val="24"/>
          <w:szCs w:val="22"/>
        </w:rPr>
      </w:pPr>
      <w:bookmarkStart w:id="33" w:name="_Toc467846798"/>
      <w:bookmarkStart w:id="34" w:name="_Toc469296404"/>
      <w:bookmarkStart w:id="35" w:name="_Toc248305564"/>
      <w:bookmarkStart w:id="36" w:name="_Toc274467745"/>
      <w:bookmarkStart w:id="37" w:name="_Toc470721255"/>
      <w:bookmarkStart w:id="38" w:name="_Toc248305999"/>
      <w:bookmarkStart w:id="39" w:name="_Toc344197795"/>
      <w:r>
        <w:rPr>
          <w:sz w:val="24"/>
          <w:szCs w:val="22"/>
        </w:rPr>
        <w:t>1、地形地貌</w:t>
      </w:r>
    </w:p>
    <w:p>
      <w:pPr>
        <w:spacing w:line="480" w:lineRule="exact"/>
        <w:ind w:firstLine="480" w:firstLineChars="200"/>
        <w:rPr>
          <w:sz w:val="24"/>
          <w:szCs w:val="22"/>
        </w:rPr>
      </w:pPr>
      <w:r>
        <w:rPr>
          <w:sz w:val="24"/>
          <w:szCs w:val="22"/>
        </w:rPr>
        <w:t>长沙县属长衡丘陵盆地的北部，地处幕阜山、连云山与大龙山余脉的南端，株洲隆起带的北缘。龙华、乌川诸山雄峙于东，陶家排、炭盆坡横亘于南，影珠、明月两座大山蜿蜒于西北，兴云、飘峰两山耸立于北。北山镇境内的明月山为最高峰，海拔659米。地势由北、东、南三面逐渐向中西部倾斜，形成一个不规则的“畚箕”形状。境域内有变质岩、沙砾岩、灰岩、红岩、红土、砂页岩、花岗岩七种岩层及岗地、平原、山地、丘陵、水面五类地貌，以岗地平原为主。</w:t>
      </w:r>
    </w:p>
    <w:p>
      <w:pPr>
        <w:spacing w:line="480" w:lineRule="exact"/>
        <w:ind w:firstLine="480" w:firstLineChars="200"/>
        <w:rPr>
          <w:sz w:val="24"/>
          <w:szCs w:val="22"/>
        </w:rPr>
      </w:pPr>
      <w:r>
        <w:rPr>
          <w:sz w:val="24"/>
          <w:szCs w:val="22"/>
        </w:rPr>
        <w:t>2、气候条件</w:t>
      </w:r>
    </w:p>
    <w:p>
      <w:pPr>
        <w:spacing w:line="480" w:lineRule="exact"/>
        <w:ind w:firstLine="480" w:firstLineChars="200"/>
        <w:rPr>
          <w:sz w:val="24"/>
          <w:szCs w:val="22"/>
        </w:rPr>
      </w:pPr>
      <w:r>
        <w:rPr>
          <w:sz w:val="24"/>
          <w:szCs w:val="22"/>
        </w:rPr>
        <w:t>长沙县地处东亚季风区，属亚热带湿润气候。由于位居盆地内部，距海较远，受冬夏季风转换，地势向西北倾斜等因素的影响，全县气候春温变化大，夏初雨水多，伏秋高温久，冬季严寒少。具有两个主要特征：一是水热充足，生长期长。年均气温16℃～20℃，热量充足。年均降水量1877.1毫米，降水集中在春夏两季。多雨期与高温期一致，生长期长，对农业生产有利。二是气候温和，四季分明，夏冬季长，春秋季短。</w:t>
      </w:r>
    </w:p>
    <w:p>
      <w:pPr>
        <w:spacing w:line="480" w:lineRule="exact"/>
        <w:ind w:firstLine="480" w:firstLineChars="200"/>
        <w:rPr>
          <w:sz w:val="24"/>
          <w:szCs w:val="22"/>
        </w:rPr>
      </w:pPr>
      <w:r>
        <w:rPr>
          <w:sz w:val="24"/>
          <w:szCs w:val="22"/>
        </w:rPr>
        <w:t>3、矿藏资源</w:t>
      </w:r>
    </w:p>
    <w:p>
      <w:pPr>
        <w:spacing w:line="480" w:lineRule="exact"/>
        <w:ind w:firstLine="480" w:firstLineChars="200"/>
        <w:rPr>
          <w:sz w:val="24"/>
          <w:szCs w:val="22"/>
        </w:rPr>
      </w:pPr>
      <w:r>
        <w:rPr>
          <w:sz w:val="24"/>
          <w:szCs w:val="22"/>
        </w:rPr>
        <w:t>矿产资源较为丰富，经探查已发现钨、锡、镍、铍、铌、钽、钴、钼、铜、铅锌、金、硅、煤、高岭土、石灰石、萤石、花岗岩、独居石砂等20多个矿种。已发现矿产地113处，其中大型矿床1处、中型4处、小型62处、矿（化）46处。已被开采利用的主要为与建筑材料有关的砖瓦粘土、硅石、石英砂、建筑石料等非金属矿种，占全部矿产地的80%，其余大多数矿种因产地规模小尚未开发利用。</w:t>
      </w:r>
    </w:p>
    <w:p>
      <w:pPr>
        <w:spacing w:line="480" w:lineRule="exact"/>
        <w:ind w:firstLine="480" w:firstLineChars="200"/>
        <w:rPr>
          <w:sz w:val="24"/>
          <w:szCs w:val="22"/>
        </w:rPr>
      </w:pPr>
      <w:r>
        <w:rPr>
          <w:sz w:val="24"/>
          <w:szCs w:val="22"/>
        </w:rPr>
        <w:t>4、人文景观及自然景观资源</w:t>
      </w:r>
    </w:p>
    <w:p>
      <w:pPr>
        <w:spacing w:line="480" w:lineRule="exact"/>
        <w:ind w:firstLine="480" w:firstLineChars="200"/>
        <w:rPr>
          <w:sz w:val="24"/>
          <w:szCs w:val="22"/>
        </w:rPr>
      </w:pPr>
      <w:r>
        <w:rPr>
          <w:sz w:val="24"/>
          <w:szCs w:val="22"/>
        </w:rPr>
        <w:t>长沙县历史悠久，民风古朴，物华天宝，人杰地灵。这里哺育了黄兴、杨毓麟、李维汉、杨开慧、柳直荀、许光达、缪伯英等一大批仁人志士。有黄兴故居、杨开慧故居、徐特立故居、田汉故居等革命纪念地；还有松雅湖湿地公园、白鹭湖、乌川湖等景色宜人、山水秀丽的旅游风景区。</w:t>
      </w:r>
    </w:p>
    <w:p>
      <w:pPr>
        <w:shd w:val="clear" w:color="auto" w:fill="FFFFFF"/>
        <w:spacing w:line="360" w:lineRule="auto"/>
        <w:ind w:firstLine="560" w:firstLineChars="200"/>
        <w:jc w:val="left"/>
        <w:outlineLvl w:val="2"/>
        <w:rPr>
          <w:rFonts w:eastAsia="仿宋_GB2312"/>
          <w:bCs/>
          <w:sz w:val="28"/>
          <w:szCs w:val="28"/>
        </w:rPr>
      </w:pPr>
      <w:bookmarkStart w:id="40" w:name="_Toc19687"/>
      <w:bookmarkStart w:id="41" w:name="_Toc9119"/>
      <w:r>
        <w:rPr>
          <w:rFonts w:eastAsia="黑体"/>
          <w:bCs/>
          <w:sz w:val="28"/>
          <w:szCs w:val="28"/>
        </w:rPr>
        <w:t>三、行政区划及人口</w:t>
      </w:r>
      <w:bookmarkEnd w:id="28"/>
      <w:bookmarkEnd w:id="29"/>
      <w:bookmarkEnd w:id="30"/>
      <w:bookmarkEnd w:id="33"/>
      <w:bookmarkEnd w:id="34"/>
      <w:bookmarkEnd w:id="35"/>
      <w:bookmarkEnd w:id="36"/>
      <w:bookmarkEnd w:id="37"/>
      <w:bookmarkEnd w:id="38"/>
      <w:bookmarkEnd w:id="39"/>
      <w:bookmarkEnd w:id="40"/>
      <w:bookmarkEnd w:id="41"/>
    </w:p>
    <w:p>
      <w:pPr>
        <w:spacing w:line="480" w:lineRule="exact"/>
        <w:ind w:firstLine="480" w:firstLineChars="200"/>
        <w:rPr>
          <w:sz w:val="24"/>
          <w:szCs w:val="22"/>
        </w:rPr>
      </w:pPr>
      <w:bookmarkStart w:id="42" w:name="_Toc344197796"/>
      <w:bookmarkStart w:id="43" w:name="_Toc280619124"/>
      <w:r>
        <w:rPr>
          <w:sz w:val="24"/>
          <w:szCs w:val="22"/>
        </w:rPr>
        <w:t>根据中共长沙市委常委会会议纪要（[2014]第25次），经市委、市人民政府研究决定，原则同意对长沙县暮云街道、南托街道和跳马镇进行行政区划微调，其中暮云街道、南托街道划归天心区管辖，跳马镇划归雨花区管辖。2015年11月，根据《湖南省民政厅关于同意长沙县乡镇区划调整方案的批复》（湘民行发[2015]43号）和《长沙县人民政府关于调整长沙县部分乡镇行政区划的请示》（长政函[2015]82号），将长沙县进行行政区划调整。行政区划调整后，长沙县共减少3个乡级建制，现辖春华、江背、青山铺、开慧、金井、黄兴、黄花、果园、福临、北山、安沙、路口、高桥13个镇，泉塘、湘龙、星沙、榔梨、长龙5个街道。县政府驻星沙街道。</w:t>
      </w:r>
    </w:p>
    <w:p>
      <w:pPr>
        <w:spacing w:line="480" w:lineRule="exact"/>
        <w:ind w:firstLine="480" w:firstLineChars="200"/>
        <w:rPr>
          <w:sz w:val="24"/>
          <w:szCs w:val="22"/>
        </w:rPr>
      </w:pPr>
      <w:r>
        <w:rPr>
          <w:sz w:val="24"/>
          <w:szCs w:val="22"/>
        </w:rPr>
        <w:t>根据统计年鉴数据，201</w:t>
      </w:r>
      <w:r>
        <w:rPr>
          <w:rFonts w:hint="eastAsia"/>
          <w:sz w:val="24"/>
          <w:szCs w:val="22"/>
        </w:rPr>
        <w:t>7</w:t>
      </w:r>
      <w:r>
        <w:rPr>
          <w:sz w:val="24"/>
          <w:szCs w:val="22"/>
        </w:rPr>
        <w:t>年底，全县户籍户数</w:t>
      </w:r>
      <w:r>
        <w:rPr>
          <w:rFonts w:hint="eastAsia"/>
          <w:sz w:val="24"/>
          <w:szCs w:val="22"/>
        </w:rPr>
        <w:t>25.3</w:t>
      </w:r>
      <w:r>
        <w:rPr>
          <w:sz w:val="24"/>
          <w:szCs w:val="22"/>
        </w:rPr>
        <w:t xml:space="preserve"> 万户，户籍人口7</w:t>
      </w:r>
      <w:r>
        <w:rPr>
          <w:rFonts w:hint="eastAsia"/>
          <w:sz w:val="24"/>
          <w:szCs w:val="22"/>
        </w:rPr>
        <w:t>8.6</w:t>
      </w:r>
      <w:r>
        <w:rPr>
          <w:sz w:val="24"/>
          <w:szCs w:val="22"/>
        </w:rPr>
        <w:t xml:space="preserve"> 万人，人口呈低速平稳增长。年末常住人口</w:t>
      </w:r>
      <w:r>
        <w:rPr>
          <w:rFonts w:hint="eastAsia"/>
          <w:sz w:val="24"/>
          <w:szCs w:val="22"/>
        </w:rPr>
        <w:t>104.1</w:t>
      </w:r>
      <w:r>
        <w:rPr>
          <w:sz w:val="24"/>
          <w:szCs w:val="22"/>
        </w:rPr>
        <w:t xml:space="preserve">万人。其中城镇人口为 </w:t>
      </w:r>
      <w:r>
        <w:rPr>
          <w:rFonts w:hint="eastAsia"/>
          <w:sz w:val="24"/>
          <w:szCs w:val="22"/>
        </w:rPr>
        <w:t>67.9</w:t>
      </w:r>
      <w:r>
        <w:rPr>
          <w:sz w:val="24"/>
          <w:szCs w:val="22"/>
        </w:rPr>
        <w:t>万人，城镇化率为6</w:t>
      </w:r>
      <w:r>
        <w:rPr>
          <w:rFonts w:hint="eastAsia"/>
          <w:sz w:val="24"/>
          <w:szCs w:val="22"/>
        </w:rPr>
        <w:t>5.2</w:t>
      </w:r>
      <w:r>
        <w:rPr>
          <w:sz w:val="24"/>
          <w:szCs w:val="22"/>
        </w:rPr>
        <w:t>%。</w:t>
      </w:r>
    </w:p>
    <w:p>
      <w:pPr>
        <w:shd w:val="clear" w:color="auto" w:fill="FFFFFF"/>
        <w:jc w:val="center"/>
        <w:rPr>
          <w:b/>
          <w:sz w:val="24"/>
        </w:rPr>
      </w:pPr>
      <w:r>
        <w:rPr>
          <w:rFonts w:ascii="Times New Roman" w:hAnsi="Times New Roman" w:eastAsia="宋体" w:cs="Times New Roman"/>
          <w:b/>
          <w:kern w:val="2"/>
          <w:sz w:val="24"/>
          <w:lang w:val="en-US" w:eastAsia="zh-CN" w:bidi="ar-SA"/>
        </w:rPr>
        <w:pict>
          <v:shape id="图片 0" o:spid="_x0000_s1034" type="#_x0000_t75" style="height:508.45pt;width:395.2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spacing w:line="360" w:lineRule="auto"/>
        <w:jc w:val="center"/>
        <w:rPr>
          <w:b/>
          <w:sz w:val="22"/>
          <w:szCs w:val="22"/>
        </w:rPr>
      </w:pPr>
      <w:r>
        <w:rPr>
          <w:b/>
          <w:sz w:val="22"/>
          <w:szCs w:val="22"/>
        </w:rPr>
        <w:t>图1-1-2 长沙县行政区划图</w:t>
      </w:r>
    </w:p>
    <w:bookmarkEnd w:id="42"/>
    <w:bookmarkEnd w:id="43"/>
    <w:p>
      <w:pPr>
        <w:shd w:val="clear" w:color="auto" w:fill="FFFFFF"/>
        <w:spacing w:line="360" w:lineRule="auto"/>
        <w:ind w:firstLine="560" w:firstLineChars="200"/>
        <w:outlineLvl w:val="2"/>
        <w:rPr>
          <w:rFonts w:eastAsia="黑体"/>
          <w:sz w:val="28"/>
          <w:szCs w:val="28"/>
        </w:rPr>
      </w:pPr>
      <w:bookmarkStart w:id="44" w:name="_Toc10047"/>
      <w:bookmarkStart w:id="45" w:name="_Toc15326"/>
      <w:bookmarkStart w:id="46" w:name="_Toc469296405"/>
      <w:bookmarkStart w:id="47" w:name="_Toc467846799"/>
      <w:bookmarkStart w:id="48" w:name="_Toc470721256"/>
      <w:r>
        <w:rPr>
          <w:rFonts w:eastAsia="黑体"/>
          <w:sz w:val="28"/>
          <w:szCs w:val="28"/>
        </w:rPr>
        <w:t>四、国民经济与社会发展</w:t>
      </w:r>
      <w:bookmarkEnd w:id="44"/>
      <w:bookmarkEnd w:id="45"/>
      <w:bookmarkEnd w:id="46"/>
      <w:bookmarkEnd w:id="47"/>
      <w:bookmarkEnd w:id="48"/>
    </w:p>
    <w:p>
      <w:pPr>
        <w:spacing w:line="480" w:lineRule="exact"/>
        <w:ind w:firstLine="480" w:firstLineChars="200"/>
        <w:rPr>
          <w:sz w:val="24"/>
          <w:szCs w:val="22"/>
        </w:rPr>
      </w:pPr>
      <w:r>
        <w:rPr>
          <w:sz w:val="24"/>
          <w:szCs w:val="22"/>
        </w:rPr>
        <w:t>2017年，在县委、县政府正确领导下，全县深入贯彻落实党的十九大精神，紧紧围绕“强南富北、民生立县、挺进五强”的发展主线，坚持“县区一体”工作理念，全面推进“二次创业”，经济社会发展呈现出实力强劲、转型提速、开放加快、民生改善、社会和谐的崭新局面，为长沙县全面建设现代化强县奠定了良好的基础。</w:t>
      </w:r>
    </w:p>
    <w:p>
      <w:pPr>
        <w:spacing w:line="360" w:lineRule="auto"/>
        <w:jc w:val="center"/>
        <w:rPr>
          <w:b/>
          <w:sz w:val="22"/>
          <w:szCs w:val="22"/>
        </w:rPr>
      </w:pPr>
      <w:r>
        <w:rPr>
          <w:rFonts w:hint="eastAsia" w:ascii="Times New Roman" w:hAnsi="Times New Roman" w:eastAsia="宋体" w:cs="Times New Roman"/>
          <w:b/>
          <w:kern w:val="2"/>
          <w:sz w:val="22"/>
          <w:szCs w:val="22"/>
          <w:lang w:val="en-US" w:eastAsia="zh-CN" w:bidi="ar-SA"/>
        </w:rPr>
        <w:pict>
          <v:shape id="图片 107" o:spid="_x0000_s1035" type="#_x0000_t75" style="position:absolute;left:0;margin-left:-5.5pt;margin-top:5.35pt;height:238.95pt;width:435.35pt;mso-wrap-distance-bottom:0pt;mso-wrap-distance-top:0pt;rotation:0f;z-index:251717632;" o:ole="f" fillcolor="#FFFFFF" filled="f" o:preferrelative="t" stroked="f" coordorigin="0,0" coordsize="21600,21600">
            <v:fill on="f" color2="#FFFFFF" focus="0%"/>
            <v:imagedata gain="65536f" blacklevel="0f" gamma="0" o:title="" r:id="rId19"/>
            <o:lock v:ext="edit" position="f" selection="f" grouping="f" rotation="f" cropping="f" text="f" aspectratio="t"/>
            <w10:wrap type="topAndBottom"/>
          </v:shape>
        </w:pict>
      </w:r>
      <w:r>
        <w:rPr>
          <w:b/>
          <w:sz w:val="22"/>
          <w:szCs w:val="22"/>
        </w:rPr>
        <w:t>图1-1-</w:t>
      </w:r>
      <w:r>
        <w:rPr>
          <w:rFonts w:hint="eastAsia"/>
          <w:b/>
          <w:sz w:val="22"/>
          <w:szCs w:val="22"/>
        </w:rPr>
        <w:t>3长沙县城市夜景</w:t>
      </w:r>
    </w:p>
    <w:p>
      <w:pPr>
        <w:spacing w:line="360" w:lineRule="auto"/>
        <w:ind w:firstLine="482" w:firstLineChars="200"/>
        <w:jc w:val="left"/>
        <w:rPr>
          <w:b/>
          <w:sz w:val="24"/>
        </w:rPr>
      </w:pPr>
      <w:r>
        <w:rPr>
          <w:b/>
          <w:sz w:val="24"/>
        </w:rPr>
        <w:t>1、国民经济</w:t>
      </w:r>
    </w:p>
    <w:p>
      <w:pPr>
        <w:spacing w:line="480" w:lineRule="exact"/>
        <w:ind w:firstLine="480" w:firstLineChars="200"/>
        <w:rPr>
          <w:sz w:val="24"/>
          <w:szCs w:val="22"/>
        </w:rPr>
      </w:pPr>
      <w:r>
        <w:rPr>
          <w:sz w:val="24"/>
          <w:szCs w:val="22"/>
        </w:rPr>
        <w:t>国民经济稳步增长。全县实现地区生产总值1431.1亿元，按可比价格计算，比上年增长11.3%。其中，第一产业增加值75.9亿元，增长3.1%；第二产业增加值918亿元，增长11.6%；第三产业增加值437.2亿元，增长12.1%。按平均常住人口计算人均生产总值达到14.4万元，按现行汇率折算达到2.2万美元。</w:t>
      </w:r>
    </w:p>
    <w:p>
      <w:pPr>
        <w:spacing w:line="480" w:lineRule="exact"/>
        <w:ind w:firstLine="480" w:firstLineChars="200"/>
        <w:rPr>
          <w:sz w:val="24"/>
          <w:szCs w:val="22"/>
        </w:rPr>
      </w:pPr>
      <w:r>
        <w:rPr>
          <w:sz w:val="24"/>
          <w:szCs w:val="22"/>
        </w:rPr>
        <w:t>产业结构持续优化。2017年，全县三次产业结构是5.3：64.2：30.5，与2016年的5.8：65：29.2相比，第一产业所占比下降0.5个百分点，第二产业下降0.8个百分点，第三产业提高1.3个百分点。第一、二、三次产业对经济增长的贡献率为1.5%、72%、26.5%，分别拉动gdp增长0.2、8.1、3个百分点。</w:t>
      </w:r>
    </w:p>
    <w:p>
      <w:pPr>
        <w:spacing w:line="480" w:lineRule="exact"/>
        <w:ind w:firstLine="480" w:firstLineChars="200"/>
        <w:rPr>
          <w:sz w:val="24"/>
          <w:szCs w:val="22"/>
        </w:rPr>
      </w:pPr>
      <w:r>
        <w:rPr>
          <w:sz w:val="24"/>
          <w:szCs w:val="22"/>
        </w:rPr>
        <w:t>就业形势良好有序。全年城镇新增就业17701人，各类城镇下岗失业人员实现就业再就业3405人，帮助就业困难人员再就业1401人。全县城镇登记失业率为2.8%。</w:t>
      </w:r>
    </w:p>
    <w:p>
      <w:pPr>
        <w:spacing w:line="480" w:lineRule="exact"/>
        <w:ind w:firstLine="480" w:firstLineChars="200"/>
        <w:rPr>
          <w:sz w:val="24"/>
          <w:szCs w:val="22"/>
        </w:rPr>
      </w:pPr>
      <w:r>
        <w:rPr>
          <w:sz w:val="24"/>
          <w:szCs w:val="22"/>
        </w:rPr>
        <w:t>固定资产投资稳中趋优。全年完成固定资产投资955.9亿元，同比增长17.2%。全年亿元以上投资项目357个，完成投资额766亿元，占全年固定资产投资完成额的80.1%。其中，亿元以上非房地产项目250个，完成投资额603.3亿元，占全年固定资产投资完成额的63.1%。</w:t>
      </w:r>
    </w:p>
    <w:p>
      <w:pPr>
        <w:spacing w:line="360" w:lineRule="auto"/>
        <w:jc w:val="center"/>
        <w:rPr>
          <w:b/>
          <w:sz w:val="22"/>
          <w:szCs w:val="22"/>
        </w:rPr>
      </w:pPr>
      <w:r>
        <w:rPr>
          <w:rFonts w:ascii="Times New Roman" w:hAnsi="Times New Roman" w:eastAsia="宋体" w:cs="Times New Roman"/>
          <w:b/>
          <w:kern w:val="2"/>
          <w:sz w:val="22"/>
          <w:szCs w:val="22"/>
          <w:lang w:val="en-US" w:eastAsia="zh-CN" w:bidi="ar-SA"/>
        </w:rPr>
        <w:pict>
          <v:shape id="图表 2" o:spid="_x0000_s1036" type="" style="position:absolute;left:0;margin-left:29.5pt;margin-top:12.1pt;height:192.7pt;width:360pt;mso-wrap-distance-bottom:0pt;mso-wrap-distance-top:0pt;rotation:0f;z-index:251718656;" o:ole="f" fillcolor="#FFFFFF" filled="t" o:preferrelative="t" stroked="t" coordorigin="0,0" coordsize="21600,21600">
            <v:stroke color="#000000" color2="#FFFFFF" miterlimit="2"/>
            <v:imagedata gain="65536f" blacklevel="0f" gamma="0"/>
            <o:lock v:ext="edit" position="f" selection="f" grouping="f" rotation="f" cropping="f" text="f" aspectratio="f"/>
            <w10:wrap type="topAndBottom"/>
          </v:shape>
        </w:pict>
      </w:r>
      <w:r>
        <w:rPr>
          <w:b/>
          <w:sz w:val="22"/>
          <w:szCs w:val="22"/>
        </w:rPr>
        <w:t>图1-1-</w:t>
      </w:r>
      <w:r>
        <w:rPr>
          <w:rFonts w:hint="eastAsia"/>
          <w:b/>
          <w:sz w:val="22"/>
          <w:szCs w:val="22"/>
        </w:rPr>
        <w:t>4</w:t>
      </w:r>
      <w:r>
        <w:rPr>
          <w:b/>
          <w:sz w:val="22"/>
          <w:szCs w:val="22"/>
        </w:rPr>
        <w:t xml:space="preserve">  </w:t>
      </w:r>
      <w:r>
        <w:rPr>
          <w:rFonts w:hint="eastAsia"/>
          <w:b/>
          <w:sz w:val="22"/>
          <w:szCs w:val="22"/>
        </w:rPr>
        <w:t>长沙县</w:t>
      </w:r>
      <w:r>
        <w:rPr>
          <w:b/>
          <w:sz w:val="22"/>
          <w:szCs w:val="22"/>
        </w:rPr>
        <w:t>2013-2017年经济数据图</w:t>
      </w:r>
    </w:p>
    <w:p>
      <w:pPr>
        <w:spacing w:line="360" w:lineRule="auto"/>
        <w:ind w:firstLine="482" w:firstLineChars="200"/>
        <w:jc w:val="left"/>
        <w:rPr>
          <w:b/>
          <w:sz w:val="24"/>
        </w:rPr>
      </w:pPr>
      <w:r>
        <w:rPr>
          <w:b/>
          <w:sz w:val="24"/>
        </w:rPr>
        <w:t>2、社会发展</w:t>
      </w:r>
    </w:p>
    <w:p>
      <w:pPr>
        <w:widowControl/>
        <w:shd w:val="clear" w:color="auto" w:fill="FFFFFF"/>
        <w:spacing w:line="560" w:lineRule="atLeast"/>
        <w:ind w:firstLine="640"/>
        <w:rPr>
          <w:sz w:val="24"/>
          <w:szCs w:val="22"/>
        </w:rPr>
      </w:pPr>
      <w:r>
        <w:rPr>
          <w:b/>
          <w:sz w:val="24"/>
        </w:rPr>
        <w:t>科研和教育。</w:t>
      </w:r>
      <w:r>
        <w:rPr>
          <w:sz w:val="24"/>
          <w:szCs w:val="22"/>
        </w:rPr>
        <w:t>科技创新加速推进。预计全社会研究与发展（r&amp;d）活动经费达64亿元，同比增长4.2%。全年新增国家高新技术企业41家，年末总数达214家。全县专利申请量和授权量分别为4987件和2837件。其中，发明专利申请量为1765件，同比增长16.8%，占专利申请总量的35.4%；发明专利授权量为483件，增长5.5%。教育事业持续推进。全县共有各类全日制学校206 所（不含幼儿园），其中职业中专7所、普通高中8所、乡镇农校14所、初级中学32所、小学144所、特殊教育学校1所。共有幼儿园276所，其中公办幼儿园42所。全县在校中小学生132143人，在园幼儿46904人。其中：普通高中14118人；职业高中15696人；初中27424人，小学74759人，特校146人。初中入学率为100%、初中巩固率为100 %；小学学龄人口入学率、巩固率均为100 %；免除了9.8万人次学生杂费，义务教育阶段学生杂费免除率达100%。对各级各类贫困学生资助金额达1900万元。平均受教育年限为11.6年。</w:t>
      </w:r>
    </w:p>
    <w:p>
      <w:pPr>
        <w:widowControl/>
        <w:shd w:val="clear" w:color="auto" w:fill="FFFFFF"/>
        <w:spacing w:line="560" w:lineRule="atLeast"/>
        <w:ind w:firstLine="640"/>
        <w:rPr>
          <w:sz w:val="24"/>
          <w:szCs w:val="22"/>
        </w:rPr>
      </w:pPr>
      <w:r>
        <w:rPr>
          <w:b/>
          <w:sz w:val="24"/>
        </w:rPr>
        <w:t>文化、体育和卫生。</w:t>
      </w:r>
      <w:r>
        <w:rPr>
          <w:sz w:val="24"/>
          <w:szCs w:val="22"/>
        </w:rPr>
        <w:t>文化事业繁荣发展。全县共有文化设施面积141.7万平方米，同比增长3.3%。拥有文化站20个、文化馆1个，公共图书馆1个，电影院13个，档案馆1个。全年送戏下乡90场、电影2640场。广播电视户户通等文化惠民工程扎实开展，广播综合人口覆盖率和电视综合人口覆盖率均达100%。有线电视用户5.6万户，有线电视入户率22.4%。体育事业健康发展。全县共有体育设施面积158.3万平方米，同比增长0.14 %。拥有各类体育场地1455个，其中：标准体育馆4座，标准运动场90个，标准游泳池4个；各种训练综合用房123个。开展大型群众体育活动20次，全民健身运动参加人数达35万人次。卫生事业稳步扩展。全县共有各类卫生机构503个，其中医院、卫生院共36个，卫生防疫和防治机构 1个，妇幼卫生保健机构 1个，社区服务中心（站）5 个。卫生人员8287人，其中执业医师、执业助理医师 2494人，注册护士3893人，卫生防疫和防治机构卫生技术人员 71人，妇幼卫生机构卫生技术人员503人。各类卫生机构拥有病床5147 张，每千人拥有病床数5.6 张，每千人拥有卫生技术人员数9.1人。</w:t>
      </w:r>
    </w:p>
    <w:p>
      <w:pPr>
        <w:shd w:val="clear" w:color="auto" w:fill="FFFFFF"/>
        <w:spacing w:line="360" w:lineRule="auto"/>
        <w:ind w:firstLine="560" w:firstLineChars="200"/>
        <w:jc w:val="left"/>
        <w:outlineLvl w:val="2"/>
        <w:rPr>
          <w:rFonts w:eastAsia="黑体"/>
          <w:sz w:val="28"/>
          <w:szCs w:val="28"/>
        </w:rPr>
      </w:pPr>
      <w:bookmarkStart w:id="49" w:name="_Toc467846800"/>
      <w:bookmarkStart w:id="50" w:name="_Toc470721257"/>
      <w:bookmarkStart w:id="51" w:name="_Toc22315"/>
      <w:bookmarkStart w:id="52" w:name="_Toc27584"/>
      <w:bookmarkStart w:id="53" w:name="_Toc469296406"/>
      <w:r>
        <w:rPr>
          <w:rFonts w:eastAsia="黑体"/>
          <w:sz w:val="28"/>
          <w:szCs w:val="28"/>
        </w:rPr>
        <w:t>五、土地利用现状</w:t>
      </w:r>
      <w:bookmarkEnd w:id="49"/>
      <w:bookmarkEnd w:id="50"/>
      <w:bookmarkEnd w:id="51"/>
      <w:bookmarkEnd w:id="52"/>
      <w:bookmarkEnd w:id="53"/>
    </w:p>
    <w:p>
      <w:pPr>
        <w:pStyle w:val="60"/>
        <w:spacing w:line="480" w:lineRule="exact"/>
        <w:ind w:firstLine="480" w:firstLineChars="200"/>
        <w:jc w:val="both"/>
        <w:rPr>
          <w:rFonts w:ascii="Times New Roman" w:hAnsi="Times New Roman" w:eastAsia="宋体" w:cs="Times New Roman"/>
          <w:kern w:val="2"/>
          <w:sz w:val="24"/>
          <w:lang w:val="zh-CN" w:eastAsia="zh-CN"/>
        </w:rPr>
      </w:pPr>
      <w:r>
        <w:rPr>
          <w:rFonts w:ascii="Times New Roman" w:hAnsi="Times New Roman" w:eastAsia="宋体" w:cs="Times New Roman"/>
          <w:kern w:val="2"/>
          <w:sz w:val="24"/>
          <w:lang w:eastAsia="zh-CN"/>
        </w:rPr>
        <w:t>根据长沙县2017年度土地利用现状变更调查结果，全县土地总面积为175561.9公顷，其中耕地面积为51676.86公顷，占</w:t>
      </w:r>
      <w:r>
        <w:rPr>
          <w:rFonts w:hint="eastAsia" w:ascii="Times New Roman" w:hAnsi="Times New Roman" w:eastAsia="宋体" w:cs="Times New Roman"/>
          <w:kern w:val="2"/>
          <w:sz w:val="24"/>
          <w:lang w:eastAsia="zh-CN"/>
        </w:rPr>
        <w:t>29.44</w:t>
      </w:r>
      <w:r>
        <w:rPr>
          <w:rFonts w:ascii="Times New Roman" w:hAnsi="Times New Roman" w:eastAsia="宋体" w:cs="Times New Roman"/>
          <w:kern w:val="2"/>
          <w:sz w:val="24"/>
          <w:lang w:eastAsia="zh-CN"/>
        </w:rPr>
        <w:t>%；园地面积为2468.49公顷，占1.</w:t>
      </w:r>
      <w:r>
        <w:rPr>
          <w:rFonts w:hint="eastAsia" w:ascii="Times New Roman" w:hAnsi="Times New Roman" w:eastAsia="宋体" w:cs="Times New Roman"/>
          <w:kern w:val="2"/>
          <w:sz w:val="24"/>
          <w:lang w:eastAsia="zh-CN"/>
        </w:rPr>
        <w:t>41</w:t>
      </w:r>
      <w:r>
        <w:rPr>
          <w:rFonts w:ascii="Times New Roman" w:hAnsi="Times New Roman" w:eastAsia="宋体" w:cs="Times New Roman"/>
          <w:kern w:val="2"/>
          <w:sz w:val="24"/>
          <w:lang w:eastAsia="zh-CN"/>
        </w:rPr>
        <w:t>%；林地面积为75295.0</w:t>
      </w:r>
      <w:r>
        <w:rPr>
          <w:rFonts w:hint="eastAsia" w:ascii="Times New Roman" w:hAnsi="Times New Roman" w:eastAsia="宋体" w:cs="Times New Roman"/>
          <w:kern w:val="2"/>
          <w:sz w:val="24"/>
          <w:lang w:eastAsia="zh-CN"/>
        </w:rPr>
        <w:t>3</w:t>
      </w:r>
      <w:r>
        <w:rPr>
          <w:rFonts w:ascii="Times New Roman" w:hAnsi="Times New Roman" w:eastAsia="宋体" w:cs="Times New Roman"/>
          <w:kern w:val="2"/>
          <w:sz w:val="24"/>
          <w:lang w:eastAsia="zh-CN"/>
        </w:rPr>
        <w:t>公顷，占</w:t>
      </w:r>
      <w:r>
        <w:rPr>
          <w:rFonts w:hint="eastAsia" w:ascii="Times New Roman" w:hAnsi="Times New Roman" w:eastAsia="宋体" w:cs="Times New Roman"/>
          <w:kern w:val="2"/>
          <w:sz w:val="24"/>
          <w:lang w:eastAsia="zh-CN"/>
        </w:rPr>
        <w:t>42.89</w:t>
      </w:r>
      <w:r>
        <w:rPr>
          <w:rFonts w:ascii="Times New Roman" w:hAnsi="Times New Roman" w:eastAsia="宋体" w:cs="Times New Roman"/>
          <w:kern w:val="2"/>
          <w:sz w:val="24"/>
          <w:lang w:eastAsia="zh-CN"/>
        </w:rPr>
        <w:t>%；草地面积为443.7</w:t>
      </w:r>
      <w:r>
        <w:rPr>
          <w:rFonts w:hint="eastAsia" w:ascii="Times New Roman" w:hAnsi="Times New Roman" w:eastAsia="宋体" w:cs="Times New Roman"/>
          <w:kern w:val="2"/>
          <w:sz w:val="24"/>
          <w:lang w:eastAsia="zh-CN"/>
        </w:rPr>
        <w:t>0</w:t>
      </w:r>
      <w:r>
        <w:rPr>
          <w:rFonts w:ascii="Times New Roman" w:hAnsi="Times New Roman" w:eastAsia="宋体" w:cs="Times New Roman"/>
          <w:kern w:val="2"/>
          <w:sz w:val="24"/>
          <w:lang w:eastAsia="zh-CN"/>
        </w:rPr>
        <w:t>公顷，占0.2</w:t>
      </w:r>
      <w:r>
        <w:rPr>
          <w:rFonts w:hint="eastAsia" w:ascii="Times New Roman" w:hAnsi="Times New Roman" w:eastAsia="宋体" w:cs="Times New Roman"/>
          <w:kern w:val="2"/>
          <w:sz w:val="24"/>
          <w:lang w:eastAsia="zh-CN"/>
        </w:rPr>
        <w:t>5</w:t>
      </w:r>
      <w:r>
        <w:rPr>
          <w:rFonts w:ascii="Times New Roman" w:hAnsi="Times New Roman" w:eastAsia="宋体" w:cs="Times New Roman"/>
          <w:kern w:val="2"/>
          <w:sz w:val="24"/>
          <w:lang w:eastAsia="zh-CN"/>
        </w:rPr>
        <w:t>%；城镇村及工矿用地面积为24461.78公顷，占1</w:t>
      </w:r>
      <w:r>
        <w:rPr>
          <w:rFonts w:hint="eastAsia" w:ascii="Times New Roman" w:hAnsi="Times New Roman" w:eastAsia="宋体" w:cs="Times New Roman"/>
          <w:kern w:val="2"/>
          <w:sz w:val="24"/>
          <w:lang w:eastAsia="zh-CN"/>
        </w:rPr>
        <w:t>3.93</w:t>
      </w:r>
      <w:r>
        <w:rPr>
          <w:rFonts w:ascii="Times New Roman" w:hAnsi="Times New Roman" w:eastAsia="宋体" w:cs="Times New Roman"/>
          <w:kern w:val="2"/>
          <w:sz w:val="24"/>
          <w:lang w:eastAsia="zh-CN"/>
        </w:rPr>
        <w:t>%；交通运输用地面积为6136.57公顷，占3.</w:t>
      </w:r>
      <w:r>
        <w:rPr>
          <w:rFonts w:hint="eastAsia" w:ascii="Times New Roman" w:hAnsi="Times New Roman" w:eastAsia="宋体" w:cs="Times New Roman"/>
          <w:kern w:val="2"/>
          <w:sz w:val="24"/>
          <w:lang w:eastAsia="zh-CN"/>
        </w:rPr>
        <w:t>50</w:t>
      </w:r>
      <w:r>
        <w:rPr>
          <w:rFonts w:ascii="Times New Roman" w:hAnsi="Times New Roman" w:eastAsia="宋体" w:cs="Times New Roman"/>
          <w:kern w:val="2"/>
          <w:sz w:val="24"/>
          <w:lang w:eastAsia="zh-CN"/>
        </w:rPr>
        <w:t>%；水域及水利设施用地面积为12077.44公顷，占</w:t>
      </w:r>
      <w:r>
        <w:rPr>
          <w:rFonts w:hint="eastAsia" w:ascii="Times New Roman" w:hAnsi="Times New Roman" w:eastAsia="宋体" w:cs="Times New Roman"/>
          <w:kern w:val="2"/>
          <w:sz w:val="24"/>
          <w:lang w:eastAsia="zh-CN"/>
        </w:rPr>
        <w:t>6.88</w:t>
      </w:r>
      <w:r>
        <w:rPr>
          <w:rFonts w:ascii="Times New Roman" w:hAnsi="Times New Roman" w:eastAsia="宋体" w:cs="Times New Roman"/>
          <w:kern w:val="2"/>
          <w:sz w:val="24"/>
          <w:lang w:eastAsia="zh-CN"/>
        </w:rPr>
        <w:t>%；其他土地面积为3002.03公顷，占1.</w:t>
      </w:r>
      <w:r>
        <w:rPr>
          <w:rFonts w:hint="eastAsia" w:ascii="Times New Roman" w:hAnsi="Times New Roman" w:eastAsia="宋体" w:cs="Times New Roman"/>
          <w:kern w:val="2"/>
          <w:sz w:val="24"/>
          <w:lang w:eastAsia="zh-CN"/>
        </w:rPr>
        <w:t>70</w:t>
      </w:r>
      <w:r>
        <w:rPr>
          <w:rFonts w:ascii="Times New Roman" w:hAnsi="Times New Roman" w:eastAsia="宋体" w:cs="Times New Roman"/>
          <w:kern w:val="2"/>
          <w:sz w:val="24"/>
          <w:lang w:eastAsia="zh-CN"/>
        </w:rPr>
        <w:t>%。可知，全区以林地和耕地为主，建设用地比重较少。</w:t>
      </w:r>
    </w:p>
    <w:p>
      <w:pPr>
        <w:ind w:firstLine="482" w:firstLineChars="200"/>
        <w:jc w:val="center"/>
        <w:textAlignment w:val="baseline"/>
        <w:rPr>
          <w:b/>
          <w:sz w:val="24"/>
          <w:lang w:val="zh-CN"/>
        </w:rPr>
      </w:pPr>
      <w:r>
        <w:rPr>
          <w:b/>
          <w:sz w:val="24"/>
          <w:lang w:val="zh-CN"/>
        </w:rPr>
        <w:t>表1-1-1 长沙县201</w:t>
      </w:r>
      <w:r>
        <w:rPr>
          <w:b/>
          <w:sz w:val="24"/>
        </w:rPr>
        <w:t>7</w:t>
      </w:r>
      <w:r>
        <w:rPr>
          <w:b/>
          <w:sz w:val="24"/>
          <w:lang w:val="zh-CN"/>
        </w:rPr>
        <w:t>年土地利用现状数据</w:t>
      </w:r>
    </w:p>
    <w:p>
      <w:pPr>
        <w:ind w:right="480" w:firstLine="420" w:firstLineChars="200"/>
        <w:jc w:val="right"/>
        <w:textAlignment w:val="baseline"/>
        <w:rPr>
          <w:szCs w:val="21"/>
          <w:lang w:val="zh-CN"/>
        </w:rPr>
      </w:pPr>
      <w:r>
        <w:rPr>
          <w:szCs w:val="21"/>
          <w:lang w:val="zh-CN"/>
        </w:rPr>
        <w:t>单位：</w:t>
      </w:r>
      <w:r>
        <w:rPr>
          <w:szCs w:val="21"/>
        </w:rPr>
        <w:t>hm</w:t>
      </w:r>
      <w:r>
        <w:rPr>
          <w:szCs w:val="21"/>
          <w:vertAlign w:val="superscript"/>
        </w:rPr>
        <w:t>2</w:t>
      </w:r>
    </w:p>
    <w:tbl>
      <w:tblP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1"/>
        <w:gridCol w:w="1781"/>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491" w:type="dxa"/>
            <w:vAlign w:val="center"/>
          </w:tcPr>
          <w:p>
            <w:pPr>
              <w:widowControl/>
              <w:jc w:val="center"/>
              <w:rPr>
                <w:b/>
                <w:bCs/>
                <w:color w:val="000000"/>
                <w:kern w:val="0"/>
                <w:szCs w:val="21"/>
              </w:rPr>
            </w:pPr>
            <w:r>
              <w:rPr>
                <w:b/>
                <w:bCs/>
                <w:color w:val="000000"/>
                <w:kern w:val="0"/>
                <w:szCs w:val="21"/>
              </w:rPr>
              <w:t>地类</w:t>
            </w:r>
          </w:p>
        </w:tc>
        <w:tc>
          <w:tcPr>
            <w:tcW w:w="1781" w:type="dxa"/>
            <w:vAlign w:val="center"/>
          </w:tcPr>
          <w:p>
            <w:pPr>
              <w:widowControl/>
              <w:jc w:val="center"/>
              <w:rPr>
                <w:b/>
                <w:bCs/>
                <w:color w:val="000000"/>
                <w:kern w:val="0"/>
                <w:szCs w:val="21"/>
              </w:rPr>
            </w:pPr>
            <w:r>
              <w:rPr>
                <w:b/>
                <w:bCs/>
                <w:color w:val="000000"/>
                <w:kern w:val="0"/>
                <w:szCs w:val="21"/>
              </w:rPr>
              <w:t>面积</w:t>
            </w:r>
          </w:p>
        </w:tc>
        <w:tc>
          <w:tcPr>
            <w:tcW w:w="2250" w:type="dxa"/>
            <w:vAlign w:val="center"/>
          </w:tcPr>
          <w:p>
            <w:pPr>
              <w:widowControl/>
              <w:jc w:val="center"/>
              <w:rPr>
                <w:b/>
                <w:bCs/>
                <w:color w:val="000000"/>
                <w:kern w:val="0"/>
                <w:szCs w:val="21"/>
              </w:rPr>
            </w:pPr>
            <w:r>
              <w:rPr>
                <w:b/>
                <w:bCs/>
                <w:color w:val="000000"/>
                <w:kern w:val="0"/>
                <w:szCs w:val="21"/>
              </w:rPr>
              <w:t>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4491" w:type="dxa"/>
            <w:vAlign w:val="center"/>
          </w:tcPr>
          <w:p>
            <w:pPr>
              <w:widowControl/>
              <w:jc w:val="center"/>
              <w:rPr>
                <w:color w:val="000000"/>
                <w:kern w:val="0"/>
                <w:szCs w:val="21"/>
              </w:rPr>
            </w:pPr>
            <w:r>
              <w:rPr>
                <w:color w:val="000000"/>
                <w:kern w:val="0"/>
                <w:szCs w:val="21"/>
              </w:rPr>
              <w:t>耕地</w:t>
            </w:r>
          </w:p>
        </w:tc>
        <w:tc>
          <w:tcPr>
            <w:tcW w:w="1781" w:type="dxa"/>
            <w:vAlign w:val="center"/>
          </w:tcPr>
          <w:p>
            <w:pPr>
              <w:widowControl/>
              <w:jc w:val="center"/>
              <w:rPr>
                <w:color w:val="000000"/>
                <w:kern w:val="0"/>
                <w:szCs w:val="21"/>
              </w:rPr>
            </w:pPr>
            <w:r>
              <w:rPr>
                <w:color w:val="000000"/>
                <w:kern w:val="0"/>
                <w:szCs w:val="21"/>
              </w:rPr>
              <w:t>51676.86</w:t>
            </w:r>
          </w:p>
        </w:tc>
        <w:tc>
          <w:tcPr>
            <w:tcW w:w="2250" w:type="dxa"/>
            <w:vAlign w:val="center"/>
          </w:tcPr>
          <w:p>
            <w:pPr>
              <w:widowControl/>
              <w:jc w:val="center"/>
              <w:rPr>
                <w:color w:val="000000"/>
                <w:kern w:val="0"/>
                <w:szCs w:val="21"/>
              </w:rPr>
            </w:pPr>
            <w:r>
              <w:rPr>
                <w:color w:val="000000"/>
                <w:kern w:val="0"/>
                <w:szCs w:val="21"/>
              </w:rPr>
              <w:t>29.44%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4491" w:type="dxa"/>
            <w:vAlign w:val="center"/>
          </w:tcPr>
          <w:p>
            <w:pPr>
              <w:widowControl/>
              <w:jc w:val="center"/>
              <w:rPr>
                <w:color w:val="000000"/>
                <w:kern w:val="0"/>
                <w:szCs w:val="21"/>
              </w:rPr>
            </w:pPr>
            <w:r>
              <w:rPr>
                <w:color w:val="000000"/>
                <w:kern w:val="0"/>
                <w:szCs w:val="21"/>
              </w:rPr>
              <w:t>园地</w:t>
            </w:r>
          </w:p>
        </w:tc>
        <w:tc>
          <w:tcPr>
            <w:tcW w:w="1781" w:type="dxa"/>
            <w:vAlign w:val="center"/>
          </w:tcPr>
          <w:p>
            <w:pPr>
              <w:widowControl/>
              <w:jc w:val="center"/>
              <w:rPr>
                <w:color w:val="000000"/>
                <w:kern w:val="0"/>
                <w:szCs w:val="21"/>
              </w:rPr>
            </w:pPr>
            <w:r>
              <w:rPr>
                <w:color w:val="000000"/>
                <w:kern w:val="0"/>
                <w:szCs w:val="21"/>
              </w:rPr>
              <w:t>2468.49</w:t>
            </w:r>
          </w:p>
        </w:tc>
        <w:tc>
          <w:tcPr>
            <w:tcW w:w="2250" w:type="dxa"/>
            <w:vAlign w:val="center"/>
          </w:tcPr>
          <w:p>
            <w:pPr>
              <w:widowControl/>
              <w:jc w:val="center"/>
              <w:rPr>
                <w:color w:val="000000"/>
                <w:kern w:val="0"/>
                <w:szCs w:val="21"/>
              </w:rPr>
            </w:pPr>
            <w:r>
              <w:rPr>
                <w:color w:val="000000"/>
                <w:kern w:val="0"/>
                <w:szCs w:val="21"/>
                <w:lang/>
              </w:rPr>
              <w:t>1.</w:t>
            </w:r>
            <w:r>
              <w:rPr>
                <w:color w:val="000000"/>
                <w:kern w:val="0"/>
                <w:szCs w:val="21"/>
              </w:rPr>
              <w:t>4</w:t>
            </w:r>
            <w:r>
              <w:rPr>
                <w:color w:val="000000"/>
                <w:kern w:val="0"/>
                <w:szCs w:val="21"/>
                <w:lang/>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4491" w:type="dxa"/>
            <w:vAlign w:val="center"/>
          </w:tcPr>
          <w:p>
            <w:pPr>
              <w:widowControl/>
              <w:jc w:val="center"/>
              <w:rPr>
                <w:color w:val="000000"/>
                <w:kern w:val="0"/>
                <w:szCs w:val="21"/>
              </w:rPr>
            </w:pPr>
            <w:r>
              <w:rPr>
                <w:color w:val="000000"/>
                <w:kern w:val="0"/>
                <w:szCs w:val="21"/>
              </w:rPr>
              <w:t>林地</w:t>
            </w:r>
          </w:p>
        </w:tc>
        <w:tc>
          <w:tcPr>
            <w:tcW w:w="1781" w:type="dxa"/>
            <w:vAlign w:val="center"/>
          </w:tcPr>
          <w:p>
            <w:pPr>
              <w:widowControl/>
              <w:jc w:val="center"/>
              <w:rPr>
                <w:color w:val="000000"/>
                <w:kern w:val="0"/>
                <w:szCs w:val="21"/>
              </w:rPr>
            </w:pPr>
            <w:r>
              <w:rPr>
                <w:color w:val="000000"/>
                <w:kern w:val="0"/>
                <w:szCs w:val="21"/>
              </w:rPr>
              <w:t>75295.03</w:t>
            </w:r>
          </w:p>
        </w:tc>
        <w:tc>
          <w:tcPr>
            <w:tcW w:w="2250" w:type="dxa"/>
            <w:vAlign w:val="center"/>
          </w:tcPr>
          <w:p>
            <w:pPr>
              <w:widowControl/>
              <w:jc w:val="center"/>
              <w:textAlignment w:val="center"/>
              <w:rPr>
                <w:color w:val="000000"/>
                <w:kern w:val="0"/>
                <w:szCs w:val="21"/>
              </w:rPr>
            </w:pPr>
            <w:r>
              <w:rPr>
                <w:color w:val="000000"/>
                <w:kern w:val="0"/>
                <w:szCs w:val="21"/>
                <w:lang/>
              </w:rPr>
              <w:t>42.89%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4491" w:type="dxa"/>
            <w:vAlign w:val="center"/>
          </w:tcPr>
          <w:p>
            <w:pPr>
              <w:widowControl/>
              <w:jc w:val="center"/>
              <w:rPr>
                <w:color w:val="000000"/>
                <w:kern w:val="0"/>
                <w:szCs w:val="21"/>
              </w:rPr>
            </w:pPr>
            <w:r>
              <w:rPr>
                <w:color w:val="000000"/>
                <w:kern w:val="0"/>
                <w:szCs w:val="21"/>
              </w:rPr>
              <w:t>草地</w:t>
            </w:r>
          </w:p>
        </w:tc>
        <w:tc>
          <w:tcPr>
            <w:tcW w:w="1781" w:type="dxa"/>
            <w:vAlign w:val="center"/>
          </w:tcPr>
          <w:p>
            <w:pPr>
              <w:widowControl/>
              <w:jc w:val="center"/>
              <w:rPr>
                <w:color w:val="000000"/>
                <w:kern w:val="0"/>
                <w:szCs w:val="21"/>
              </w:rPr>
            </w:pPr>
            <w:r>
              <w:rPr>
                <w:color w:val="000000"/>
                <w:kern w:val="0"/>
                <w:szCs w:val="21"/>
              </w:rPr>
              <w:t>443.70</w:t>
            </w:r>
          </w:p>
        </w:tc>
        <w:tc>
          <w:tcPr>
            <w:tcW w:w="2250" w:type="dxa"/>
            <w:vAlign w:val="center"/>
          </w:tcPr>
          <w:p>
            <w:pPr>
              <w:widowControl/>
              <w:jc w:val="center"/>
              <w:textAlignment w:val="center"/>
              <w:rPr>
                <w:color w:val="000000"/>
                <w:kern w:val="0"/>
                <w:szCs w:val="21"/>
              </w:rPr>
            </w:pPr>
            <w:r>
              <w:rPr>
                <w:color w:val="000000"/>
                <w:kern w:val="0"/>
                <w:szCs w:val="21"/>
                <w:lang/>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4491" w:type="dxa"/>
            <w:vAlign w:val="center"/>
          </w:tcPr>
          <w:p>
            <w:pPr>
              <w:widowControl/>
              <w:jc w:val="center"/>
              <w:rPr>
                <w:color w:val="000000"/>
                <w:kern w:val="0"/>
                <w:szCs w:val="21"/>
              </w:rPr>
            </w:pPr>
            <w:r>
              <w:rPr>
                <w:rFonts w:hint="eastAsia"/>
              </w:rPr>
              <w:t>城镇村及工矿用地</w:t>
            </w:r>
          </w:p>
        </w:tc>
        <w:tc>
          <w:tcPr>
            <w:tcW w:w="1781" w:type="dxa"/>
            <w:vAlign w:val="center"/>
          </w:tcPr>
          <w:p>
            <w:pPr>
              <w:widowControl/>
              <w:jc w:val="center"/>
              <w:rPr>
                <w:color w:val="000000"/>
                <w:kern w:val="0"/>
                <w:szCs w:val="21"/>
              </w:rPr>
            </w:pPr>
            <w:r>
              <w:rPr>
                <w:color w:val="000000"/>
                <w:kern w:val="0"/>
                <w:szCs w:val="21"/>
              </w:rPr>
              <w:t>24461.78</w:t>
            </w:r>
          </w:p>
        </w:tc>
        <w:tc>
          <w:tcPr>
            <w:tcW w:w="2250" w:type="dxa"/>
            <w:vAlign w:val="center"/>
          </w:tcPr>
          <w:p>
            <w:pPr>
              <w:widowControl/>
              <w:jc w:val="center"/>
              <w:textAlignment w:val="center"/>
              <w:rPr>
                <w:color w:val="000000"/>
                <w:kern w:val="0"/>
                <w:szCs w:val="21"/>
              </w:rPr>
            </w:pPr>
            <w:r>
              <w:rPr>
                <w:color w:val="000000"/>
                <w:kern w:val="0"/>
                <w:szCs w:val="21"/>
                <w:lang/>
              </w:rPr>
              <w:t>13.93%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4491" w:type="dxa"/>
            <w:vAlign w:val="center"/>
          </w:tcPr>
          <w:p>
            <w:pPr>
              <w:widowControl/>
              <w:jc w:val="center"/>
              <w:rPr>
                <w:color w:val="000000"/>
                <w:kern w:val="0"/>
                <w:szCs w:val="21"/>
              </w:rPr>
            </w:pPr>
            <w:r>
              <w:rPr>
                <w:rFonts w:hint="eastAsia"/>
              </w:rPr>
              <w:t>交通运输用地</w:t>
            </w:r>
          </w:p>
        </w:tc>
        <w:tc>
          <w:tcPr>
            <w:tcW w:w="1781" w:type="dxa"/>
            <w:vAlign w:val="center"/>
          </w:tcPr>
          <w:p>
            <w:pPr>
              <w:widowControl/>
              <w:jc w:val="center"/>
              <w:rPr>
                <w:color w:val="000000"/>
                <w:kern w:val="0"/>
                <w:szCs w:val="21"/>
              </w:rPr>
            </w:pPr>
            <w:r>
              <w:rPr>
                <w:color w:val="000000"/>
                <w:kern w:val="0"/>
                <w:szCs w:val="21"/>
              </w:rPr>
              <w:t>6136.57</w:t>
            </w:r>
          </w:p>
        </w:tc>
        <w:tc>
          <w:tcPr>
            <w:tcW w:w="2250" w:type="dxa"/>
            <w:vAlign w:val="center"/>
          </w:tcPr>
          <w:p>
            <w:pPr>
              <w:widowControl/>
              <w:jc w:val="center"/>
              <w:textAlignment w:val="center"/>
              <w:rPr>
                <w:color w:val="000000"/>
                <w:kern w:val="0"/>
                <w:szCs w:val="21"/>
              </w:rPr>
            </w:pPr>
            <w:r>
              <w:rPr>
                <w:color w:val="000000"/>
                <w:kern w:val="0"/>
                <w:szCs w:val="21"/>
                <w:lang/>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4491" w:type="dxa"/>
            <w:vAlign w:val="center"/>
          </w:tcPr>
          <w:p>
            <w:pPr>
              <w:widowControl/>
              <w:jc w:val="center"/>
              <w:rPr>
                <w:color w:val="000000"/>
                <w:kern w:val="0"/>
                <w:szCs w:val="21"/>
              </w:rPr>
            </w:pPr>
            <w:r>
              <w:rPr>
                <w:rFonts w:hint="eastAsia"/>
              </w:rPr>
              <w:t>水域及水利设施用地</w:t>
            </w:r>
          </w:p>
        </w:tc>
        <w:tc>
          <w:tcPr>
            <w:tcW w:w="1781" w:type="dxa"/>
            <w:vAlign w:val="center"/>
          </w:tcPr>
          <w:p>
            <w:pPr>
              <w:widowControl/>
              <w:jc w:val="center"/>
              <w:rPr>
                <w:color w:val="000000"/>
                <w:kern w:val="0"/>
                <w:szCs w:val="21"/>
              </w:rPr>
            </w:pPr>
            <w:r>
              <w:rPr>
                <w:color w:val="000000"/>
                <w:kern w:val="0"/>
                <w:szCs w:val="21"/>
              </w:rPr>
              <w:t>12077.44</w:t>
            </w:r>
          </w:p>
        </w:tc>
        <w:tc>
          <w:tcPr>
            <w:tcW w:w="2250" w:type="dxa"/>
            <w:vAlign w:val="center"/>
          </w:tcPr>
          <w:p>
            <w:pPr>
              <w:widowControl/>
              <w:jc w:val="center"/>
              <w:textAlignment w:val="center"/>
              <w:rPr>
                <w:color w:val="000000"/>
                <w:kern w:val="0"/>
                <w:szCs w:val="21"/>
              </w:rPr>
            </w:pPr>
            <w:r>
              <w:rPr>
                <w:color w:val="000000"/>
                <w:kern w:val="0"/>
                <w:szCs w:val="21"/>
                <w:lang/>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4491" w:type="dxa"/>
            <w:vAlign w:val="center"/>
          </w:tcPr>
          <w:p>
            <w:pPr>
              <w:widowControl/>
              <w:jc w:val="center"/>
              <w:rPr>
                <w:color w:val="000000"/>
                <w:kern w:val="0"/>
                <w:szCs w:val="21"/>
              </w:rPr>
            </w:pPr>
            <w:r>
              <w:rPr>
                <w:color w:val="000000"/>
                <w:kern w:val="0"/>
                <w:szCs w:val="21"/>
              </w:rPr>
              <w:t>其他土地</w:t>
            </w:r>
          </w:p>
        </w:tc>
        <w:tc>
          <w:tcPr>
            <w:tcW w:w="1781" w:type="dxa"/>
            <w:vAlign w:val="center"/>
          </w:tcPr>
          <w:p>
            <w:pPr>
              <w:widowControl/>
              <w:jc w:val="center"/>
              <w:rPr>
                <w:color w:val="000000"/>
                <w:kern w:val="0"/>
                <w:szCs w:val="21"/>
              </w:rPr>
            </w:pPr>
            <w:r>
              <w:rPr>
                <w:color w:val="000000"/>
                <w:kern w:val="0"/>
                <w:szCs w:val="21"/>
              </w:rPr>
              <w:t>3002.03</w:t>
            </w:r>
          </w:p>
        </w:tc>
        <w:tc>
          <w:tcPr>
            <w:tcW w:w="2250" w:type="dxa"/>
            <w:vAlign w:val="center"/>
          </w:tcPr>
          <w:p>
            <w:pPr>
              <w:widowControl/>
              <w:jc w:val="center"/>
              <w:textAlignment w:val="center"/>
              <w:rPr>
                <w:color w:val="000000"/>
                <w:kern w:val="0"/>
                <w:szCs w:val="21"/>
              </w:rPr>
            </w:pPr>
            <w:r>
              <w:rPr>
                <w:color w:val="000000"/>
                <w:kern w:val="0"/>
                <w:szCs w:val="21"/>
                <w:lang/>
              </w:rPr>
              <w:t>1.7</w:t>
            </w:r>
            <w:r>
              <w:rPr>
                <w:rFonts w:hint="eastAsia"/>
                <w:color w:val="000000"/>
                <w:kern w:val="0"/>
                <w:szCs w:val="21"/>
                <w:lang/>
              </w:rPr>
              <w:t>0</w:t>
            </w:r>
            <w:r>
              <w:rPr>
                <w:color w:val="000000"/>
                <w:kern w:val="0"/>
                <w:szCs w:val="21"/>
                <w:lang/>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4491" w:type="dxa"/>
            <w:vAlign w:val="center"/>
          </w:tcPr>
          <w:p>
            <w:pPr>
              <w:widowControl/>
              <w:jc w:val="center"/>
              <w:rPr>
                <w:color w:val="000000"/>
                <w:kern w:val="0"/>
                <w:szCs w:val="21"/>
              </w:rPr>
            </w:pPr>
            <w:r>
              <w:rPr>
                <w:color w:val="000000"/>
                <w:kern w:val="0"/>
                <w:szCs w:val="21"/>
              </w:rPr>
              <w:t>合计</w:t>
            </w:r>
          </w:p>
        </w:tc>
        <w:tc>
          <w:tcPr>
            <w:tcW w:w="1781" w:type="dxa"/>
            <w:vAlign w:val="center"/>
          </w:tcPr>
          <w:p>
            <w:pPr>
              <w:widowControl/>
              <w:jc w:val="center"/>
              <w:rPr>
                <w:color w:val="000000"/>
                <w:kern w:val="0"/>
                <w:szCs w:val="21"/>
              </w:rPr>
            </w:pPr>
            <w:r>
              <w:rPr>
                <w:color w:val="000000"/>
                <w:kern w:val="0"/>
                <w:szCs w:val="21"/>
              </w:rPr>
              <w:t>175561.90</w:t>
            </w:r>
          </w:p>
        </w:tc>
        <w:tc>
          <w:tcPr>
            <w:tcW w:w="2250" w:type="dxa"/>
            <w:vAlign w:val="center"/>
          </w:tcPr>
          <w:p>
            <w:pPr>
              <w:widowControl/>
              <w:jc w:val="center"/>
              <w:rPr>
                <w:color w:val="000000"/>
                <w:kern w:val="0"/>
                <w:szCs w:val="21"/>
              </w:rPr>
            </w:pPr>
            <w:r>
              <w:rPr>
                <w:rFonts w:hint="eastAsia"/>
                <w:color w:val="000000"/>
                <w:kern w:val="0"/>
                <w:szCs w:val="21"/>
                <w:lang/>
              </w:rPr>
              <w:t>100</w:t>
            </w:r>
            <w:r>
              <w:rPr>
                <w:color w:val="000000"/>
                <w:kern w:val="0"/>
                <w:szCs w:val="21"/>
                <w:lang/>
              </w:rPr>
              <w:t>%</w:t>
            </w:r>
          </w:p>
        </w:tc>
      </w:tr>
    </w:tbl>
    <w:p>
      <w:pPr>
        <w:widowControl/>
        <w:jc w:val="center"/>
      </w:pPr>
      <w:r>
        <w:rPr>
          <w:rFonts w:ascii="宋体" w:hAnsi="宋体" w:eastAsia="宋体" w:cs="宋体"/>
          <w:kern w:val="0"/>
          <w:sz w:val="24"/>
          <w:szCs w:val="24"/>
          <w:lang w:val="en-US" w:eastAsia="zh-CN" w:bidi="ar-SA"/>
        </w:rPr>
        <w:pict>
          <v:shape id="图片 49" o:spid="_x0000_s1037" type="#_x0000_t75" style="height:216.75pt;width:360.7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ind w:firstLine="482" w:firstLineChars="200"/>
        <w:jc w:val="center"/>
        <w:rPr>
          <w:b/>
          <w:sz w:val="24"/>
          <w:szCs w:val="24"/>
        </w:rPr>
      </w:pPr>
      <w:r>
        <w:rPr>
          <w:b/>
          <w:sz w:val="24"/>
          <w:szCs w:val="24"/>
        </w:rPr>
        <w:t>图1-1-</w:t>
      </w:r>
      <w:r>
        <w:rPr>
          <w:rFonts w:hint="eastAsia"/>
          <w:b/>
          <w:sz w:val="24"/>
          <w:szCs w:val="24"/>
        </w:rPr>
        <w:t>5</w:t>
      </w:r>
      <w:r>
        <w:rPr>
          <w:b/>
          <w:sz w:val="24"/>
          <w:szCs w:val="24"/>
        </w:rPr>
        <w:t xml:space="preserve"> 长沙县2017年土地利用现状结构</w:t>
      </w:r>
    </w:p>
    <w:bookmarkEnd w:id="8"/>
    <w:p>
      <w:pPr>
        <w:shd w:val="clear" w:color="auto" w:fill="FFFFFF"/>
        <w:spacing w:line="360" w:lineRule="auto"/>
        <w:ind w:firstLine="560" w:firstLineChars="200"/>
        <w:jc w:val="left"/>
        <w:outlineLvl w:val="2"/>
        <w:rPr>
          <w:rFonts w:eastAsia="黑体"/>
          <w:sz w:val="28"/>
          <w:szCs w:val="28"/>
        </w:rPr>
      </w:pPr>
      <w:bookmarkStart w:id="54" w:name="_Toc469296407"/>
      <w:bookmarkStart w:id="55" w:name="_Toc470721258"/>
      <w:bookmarkStart w:id="56" w:name="_Toc467846801"/>
      <w:bookmarkStart w:id="57" w:name="_Toc7311"/>
      <w:bookmarkStart w:id="58" w:name="_Toc924"/>
      <w:bookmarkStart w:id="59" w:name="_Toc213589766"/>
      <w:bookmarkStart w:id="60" w:name="_Toc248305565"/>
      <w:bookmarkStart w:id="61" w:name="_Toc248306002"/>
      <w:r>
        <w:rPr>
          <w:rFonts w:eastAsia="黑体"/>
          <w:sz w:val="28"/>
          <w:szCs w:val="28"/>
        </w:rPr>
        <w:t>六、长沙县“十三五”发展规划</w:t>
      </w:r>
      <w:bookmarkEnd w:id="54"/>
      <w:bookmarkEnd w:id="55"/>
      <w:bookmarkEnd w:id="56"/>
      <w:bookmarkEnd w:id="57"/>
      <w:bookmarkEnd w:id="58"/>
    </w:p>
    <w:p>
      <w:pPr>
        <w:spacing w:line="360" w:lineRule="auto"/>
        <w:ind w:firstLine="482" w:firstLineChars="200"/>
        <w:jc w:val="left"/>
        <w:outlineLvl w:val="3"/>
        <w:rPr>
          <w:b/>
          <w:sz w:val="24"/>
        </w:rPr>
      </w:pPr>
      <w:r>
        <w:rPr>
          <w:b/>
          <w:sz w:val="24"/>
        </w:rPr>
        <w:t>1、长沙县“十三五”时期总的发展任务</w:t>
      </w:r>
    </w:p>
    <w:p>
      <w:pPr>
        <w:pStyle w:val="60"/>
        <w:spacing w:line="480" w:lineRule="exact"/>
        <w:ind w:firstLine="480" w:firstLineChars="200"/>
        <w:jc w:val="both"/>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根据长沙县“十三五”发展规划得知，长沙县总的发展目标为“一化一城一区一地”：</w:t>
      </w:r>
    </w:p>
    <w:p>
      <w:pPr>
        <w:pStyle w:val="60"/>
        <w:spacing w:line="480" w:lineRule="exact"/>
        <w:ind w:firstLine="480" w:firstLineChars="200"/>
        <w:jc w:val="both"/>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一化，即为瞄准最强县，致力赶超进位，率先实现基本现代化；</w:t>
      </w:r>
    </w:p>
    <w:p>
      <w:pPr>
        <w:pStyle w:val="60"/>
        <w:spacing w:line="480" w:lineRule="exact"/>
        <w:ind w:firstLine="480" w:firstLineChars="200"/>
        <w:jc w:val="both"/>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 xml:space="preserve">一城，即为围绕实力强、活力足、品质高、现代化的省会次中心定位，加快建设东部开放型经济走廊，着力打造高品质新城； </w:t>
      </w:r>
    </w:p>
    <w:p>
      <w:pPr>
        <w:pStyle w:val="60"/>
        <w:spacing w:line="480" w:lineRule="exact"/>
        <w:ind w:firstLine="480" w:firstLineChars="200"/>
        <w:jc w:val="both"/>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一区，即为加快功能区建设，打造新平台，培育新动力，拓展新空间，着力把长沙县打造成产业融合、产城融合、城乡融合发展的先行示范区；</w:t>
      </w:r>
    </w:p>
    <w:p>
      <w:pPr>
        <w:pStyle w:val="60"/>
        <w:spacing w:line="480" w:lineRule="exact"/>
        <w:ind w:firstLine="480" w:firstLineChars="200"/>
        <w:jc w:val="both"/>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一地，即为更加注重生活质量、环境质量和文明程度，推进全面小康达到更高水平，着力把长沙县打造成为全国最具幸福感的“首善之地”。</w:t>
      </w:r>
    </w:p>
    <w:p>
      <w:pPr>
        <w:spacing w:line="360" w:lineRule="auto"/>
        <w:ind w:firstLine="482" w:firstLineChars="200"/>
        <w:jc w:val="left"/>
        <w:outlineLvl w:val="3"/>
        <w:rPr>
          <w:b/>
          <w:sz w:val="24"/>
        </w:rPr>
      </w:pPr>
      <w:r>
        <w:rPr>
          <w:b/>
          <w:sz w:val="24"/>
        </w:rPr>
        <w:t>2、长沙县“十三五”时期功能区发展规划</w:t>
      </w:r>
    </w:p>
    <w:p>
      <w:pPr>
        <w:pStyle w:val="60"/>
        <w:spacing w:line="480" w:lineRule="exact"/>
        <w:ind w:firstLine="480" w:firstLineChars="200"/>
        <w:jc w:val="both"/>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十三五期间，落实主体功能区规划要求，创新发展理念，深入实施《长沙县功能分区体制机制创新实施规划 (2013-2020)》，形成“五区协调”的功能区空间开发和控制格局。</w:t>
      </w:r>
    </w:p>
    <w:p>
      <w:pPr>
        <w:pStyle w:val="60"/>
        <w:spacing w:line="480" w:lineRule="exact"/>
        <w:ind w:firstLine="480" w:firstLineChars="200"/>
        <w:jc w:val="both"/>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星沙松雅湖商务区。重点以松雅湖片区的总部经济、现代服务业、文化创意产业、创投产业、健康养老产业和星沙城北新区的现代物流业为支柱，以现有建成区的生活服务业和星沙城北新区、东八线以西的教育科研产业为主导，同时加强文化、体育、公共服务、公共政策等软环境培育，着力打造彰显山水之美、人文之美、城市之美的国际化都市新区。</w:t>
      </w:r>
    </w:p>
    <w:p>
      <w:pPr>
        <w:pStyle w:val="60"/>
        <w:spacing w:line="480" w:lineRule="exact"/>
        <w:ind w:firstLine="480" w:firstLineChars="200"/>
        <w:jc w:val="both"/>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长沙经济技术开发区即先进制造业区。重点以国家级长沙经济技术开发区为依托，突出发展工程机械、汽车及零部件、电子信息等先进制造业产业集群，以及新材料、节能环保等战略性新兴产业集群，打造汽车后市场集聚区，加快推动食品饮料等传统产业转型升级，加快推进产城融合，打造国家级先进制造业中心。</w:t>
      </w:r>
    </w:p>
    <w:p>
      <w:pPr>
        <w:ind w:firstLine="482" w:firstLineChars="200"/>
        <w:jc w:val="center"/>
        <w:rPr>
          <w:b/>
          <w:sz w:val="24"/>
          <w:szCs w:val="24"/>
        </w:rPr>
      </w:pPr>
      <w:r>
        <w:rPr>
          <w:rFonts w:ascii="Times New Roman" w:hAnsi="Times New Roman" w:eastAsia="宋体" w:cs="Times New Roman"/>
          <w:b/>
          <w:kern w:val="2"/>
          <w:sz w:val="24"/>
          <w:szCs w:val="24"/>
          <w:lang w:val="en-US" w:eastAsia="zh-CN" w:bidi="ar-SA"/>
        </w:rPr>
        <w:pict>
          <v:shape id="图片 111" o:spid="_x0000_s1038" type="#_x0000_t75" style="position:absolute;left:0;margin-left:36.5pt;margin-top:6pt;height:231.45pt;width:355.3pt;mso-wrap-distance-bottom:0pt;mso-wrap-distance-top:0pt;rotation:0f;z-index:251719680;" o:ole="f" fillcolor="#FFFFFF" filled="f" o:preferrelative="t" stroked="f" coordorigin="0,0" coordsize="21600,21600">
            <v:fill on="f" color2="#FFFFFF" focus="0%"/>
            <v:imagedata gain="65536f" blacklevel="0f" gamma="0" o:title="" r:id="rId21"/>
            <o:lock v:ext="edit" position="f" selection="f" grouping="f" rotation="f" cropping="f" text="f" aspectratio="t"/>
            <w10:wrap type="topAndBottom"/>
          </v:shape>
        </w:pict>
      </w:r>
      <w:r>
        <w:rPr>
          <w:b/>
          <w:sz w:val="24"/>
          <w:szCs w:val="24"/>
        </w:rPr>
        <w:t>图1-1-</w:t>
      </w:r>
      <w:r>
        <w:rPr>
          <w:rFonts w:hint="eastAsia"/>
          <w:b/>
          <w:sz w:val="24"/>
          <w:szCs w:val="24"/>
        </w:rPr>
        <w:t>6</w:t>
      </w:r>
      <w:r>
        <w:rPr>
          <w:b/>
          <w:sz w:val="24"/>
          <w:szCs w:val="24"/>
        </w:rPr>
        <w:t xml:space="preserve"> 长沙经济技术开发区区位图</w:t>
      </w:r>
    </w:p>
    <w:p>
      <w:pPr>
        <w:pStyle w:val="60"/>
        <w:spacing w:line="480" w:lineRule="exact"/>
        <w:ind w:firstLine="480" w:firstLineChars="200"/>
        <w:jc w:val="both"/>
        <w:rPr>
          <w:rFonts w:ascii="Times New Roman" w:hAnsi="Times New Roman" w:eastAsia="宋体" w:cs="Times New Roman"/>
          <w:kern w:val="2"/>
          <w:sz w:val="24"/>
          <w:lang w:eastAsia="zh-CN"/>
        </w:rPr>
      </w:pPr>
      <w:r>
        <w:rPr>
          <w:rFonts w:ascii="Times New Roman" w:hAnsi="Times New Roman" w:eastAsia="宋体" w:cs="Times New Roman"/>
          <w:kern w:val="2"/>
          <w:sz w:val="24"/>
          <w:szCs w:val="22"/>
          <w:lang w:val="en-US" w:eastAsia="zh-CN" w:bidi="ar-SA"/>
        </w:rPr>
        <w:pict>
          <v:shape id="图片 112" o:spid="_x0000_s1039" type="#_x0000_t75" style="position:absolute;left:0;margin-left:52.6pt;margin-top:97.7pt;height:176.3pt;width:301.25pt;mso-wrap-distance-bottom:0pt;mso-wrap-distance-top:0pt;rotation:0f;z-index:251720704;" o:ole="f" fillcolor="#FFFFFF" filled="f" o:preferrelative="t" stroked="f" coordorigin="0,0" coordsize="21600,21600">
            <v:fill on="f" color2="#FFFFFF" focus="0%"/>
            <v:imagedata gain="65536f" blacklevel="0f" gamma="0" o:title="" r:id="rId22"/>
            <o:lock v:ext="edit" position="f" selection="f" grouping="f" rotation="f" cropping="f" text="f" aspectratio="t"/>
            <w10:wrap type="topAndBottom"/>
          </v:shape>
        </w:pict>
      </w:r>
      <w:r>
        <w:rPr>
          <w:rFonts w:ascii="Times New Roman" w:hAnsi="Times New Roman" w:eastAsia="宋体" w:cs="Times New Roman"/>
          <w:kern w:val="2"/>
          <w:sz w:val="24"/>
          <w:lang w:eastAsia="zh-CN"/>
        </w:rPr>
        <w:t>——黄兴会展经济区。重点依托长沙高铁枢纽和国际会展中心，大力发展会展经济、专业市场、现代物流、楼宇经济、总部经济、文化旅游、金融创新、电子商务、服务外包等现代新兴服务业，着力打造全省现代服务业高地和核心增长极。</w:t>
      </w:r>
    </w:p>
    <w:p>
      <w:pPr>
        <w:ind w:firstLine="482" w:firstLineChars="200"/>
        <w:jc w:val="center"/>
        <w:rPr>
          <w:b/>
          <w:sz w:val="24"/>
          <w:szCs w:val="24"/>
        </w:rPr>
      </w:pPr>
      <w:r>
        <w:rPr>
          <w:b/>
          <w:sz w:val="24"/>
          <w:szCs w:val="24"/>
        </w:rPr>
        <w:t>图1-1-</w:t>
      </w:r>
      <w:r>
        <w:rPr>
          <w:rFonts w:hint="eastAsia"/>
          <w:b/>
          <w:sz w:val="24"/>
          <w:szCs w:val="24"/>
        </w:rPr>
        <w:t>7</w:t>
      </w:r>
      <w:r>
        <w:rPr>
          <w:b/>
          <w:sz w:val="24"/>
          <w:szCs w:val="24"/>
        </w:rPr>
        <w:t xml:space="preserve"> 黄兴会展经济区</w:t>
      </w:r>
      <w:r>
        <w:rPr>
          <w:rFonts w:hint="eastAsia"/>
          <w:b/>
          <w:sz w:val="24"/>
          <w:szCs w:val="24"/>
        </w:rPr>
        <w:t>区位图</w:t>
      </w:r>
    </w:p>
    <w:p>
      <w:pPr>
        <w:pStyle w:val="60"/>
        <w:spacing w:line="480" w:lineRule="exact"/>
        <w:ind w:firstLine="480" w:firstLineChars="200"/>
        <w:jc w:val="both"/>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长沙临空经济区。重点以建设长沙黄花国际航空枢纽综合功能区为目标，积极培育具有高发展潜力、高附加值的临空高端服务业、临空高新技术产业、临空高端制造业、临空国际物流和跨境电子商务，着力打造依托湖南、立足中部、面向世界的特色航空产业高地、现代服务知识新城、综合保税开放口岸、绿色生态休闲的“中部空港第一城”。</w:t>
      </w:r>
    </w:p>
    <w:p>
      <w:pPr>
        <w:ind w:firstLine="482" w:firstLineChars="200"/>
        <w:jc w:val="center"/>
        <w:rPr>
          <w:b/>
          <w:sz w:val="24"/>
          <w:szCs w:val="24"/>
        </w:rPr>
      </w:pPr>
      <w:r>
        <w:rPr>
          <w:b/>
          <w:sz w:val="24"/>
          <w:szCs w:val="24"/>
        </w:rPr>
        <w:t>图1-1-</w:t>
      </w:r>
      <w:r>
        <w:rPr>
          <w:rFonts w:hint="eastAsia"/>
          <w:b/>
          <w:sz w:val="24"/>
          <w:szCs w:val="24"/>
        </w:rPr>
        <w:t>8</w:t>
      </w:r>
      <w:r>
        <w:rPr>
          <w:b/>
          <w:sz w:val="24"/>
          <w:szCs w:val="24"/>
        </w:rPr>
        <w:t xml:space="preserve"> 长沙临空经济区</w:t>
      </w:r>
      <w:r>
        <w:rPr>
          <w:rFonts w:ascii="Times New Roman" w:hAnsi="Times New Roman" w:eastAsia="宋体" w:cs="Times New Roman"/>
          <w:b/>
          <w:kern w:val="2"/>
          <w:sz w:val="24"/>
          <w:szCs w:val="24"/>
          <w:lang w:val="en-US" w:eastAsia="zh-CN" w:bidi="ar-SA"/>
        </w:rPr>
        <w:pict>
          <v:shape id="图片 114" o:spid="_x0000_s1040" type="#_x0000_t75" style="position:absolute;left:0;margin-left:9pt;margin-top:1.4pt;height:295.4pt;width:415.1pt;mso-wrap-distance-bottom:0pt;mso-wrap-distance-top:0pt;rotation:0f;z-index:251721728;" o:ole="f" fillcolor="#FFFFFF" filled="f" o:preferrelative="t" stroked="f" coordorigin="0,0" coordsize="21600,21600">
            <v:fill on="f" color2="#FFFFFF" focus="0%"/>
            <v:imagedata gain="65536f" blacklevel="0f" gamma="0" o:title="" r:id="rId23"/>
            <o:lock v:ext="edit" position="f" selection="f" grouping="f" rotation="f" cropping="f" text="f" aspectratio="t"/>
            <w10:wrap type="topAndBottom"/>
          </v:shape>
        </w:pict>
      </w:r>
      <w:r>
        <w:rPr>
          <w:rFonts w:hint="eastAsia"/>
          <w:b/>
          <w:sz w:val="24"/>
          <w:szCs w:val="24"/>
        </w:rPr>
        <w:t>规划图</w:t>
      </w:r>
    </w:p>
    <w:p>
      <w:pPr>
        <w:pStyle w:val="60"/>
        <w:spacing w:line="440" w:lineRule="exact"/>
        <w:ind w:firstLine="480" w:firstLineChars="200"/>
        <w:jc w:val="both"/>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——长沙现代农业区。重点以国家现代农业示范区建设为载体，以路口镇、春华镇为中心，运用“互联网 +”，按照“体验型、城郊型、科技型”现代农业发展思路，立足“果蔬、茶叶、旅游”三大特色优势，着力发展城郊型现代都市农业和乡村旅游与休闲旅游， 加快发展以绿色食品为代表的农产品精深加工，着力打造北部有机农业示范区，扶持和鼓励发展农村电子商务，促进现代农业与康养产业融合发展，建成国家级现代农业技术产业开发区、先进要素聚集区、新型农业样板区和体制机制创新实验区。</w:t>
      </w:r>
    </w:p>
    <w:p>
      <w:pPr>
        <w:spacing w:line="360" w:lineRule="auto"/>
        <w:ind w:firstLine="482" w:firstLineChars="200"/>
        <w:jc w:val="left"/>
        <w:outlineLvl w:val="3"/>
        <w:rPr>
          <w:b/>
          <w:sz w:val="24"/>
        </w:rPr>
      </w:pPr>
      <w:r>
        <w:rPr>
          <w:b/>
          <w:sz w:val="24"/>
        </w:rPr>
        <w:t>3、长沙县“十三五”时期城镇发展空间格局</w:t>
      </w:r>
    </w:p>
    <w:p>
      <w:pPr>
        <w:pStyle w:val="60"/>
        <w:spacing w:line="440" w:lineRule="exact"/>
        <w:ind w:firstLine="480" w:firstLineChars="200"/>
        <w:jc w:val="both"/>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大力推进新型城镇化，依托S207、黄兴大道、G107、北横线等轴线，优化城镇空间布局，形成“一城四轴”的城镇发展格局，推进城乡统筹发展。</w:t>
      </w:r>
    </w:p>
    <w:p>
      <w:pPr>
        <w:pStyle w:val="60"/>
        <w:spacing w:line="440" w:lineRule="exact"/>
        <w:ind w:firstLine="480" w:firstLineChars="200"/>
        <w:jc w:val="both"/>
        <w:rPr>
          <w:rFonts w:ascii="Times New Roman" w:hAnsi="Times New Roman" w:eastAsia="宋体" w:cs="Times New Roman"/>
          <w:kern w:val="2"/>
          <w:sz w:val="24"/>
          <w:lang w:eastAsia="zh-CN"/>
        </w:rPr>
      </w:pPr>
      <w:r>
        <w:rPr>
          <w:rFonts w:ascii="Times New Roman" w:hAnsi="Times New Roman" w:eastAsia="宋体" w:cs="Times New Roman"/>
          <w:kern w:val="2"/>
          <w:sz w:val="24"/>
          <w:lang w:eastAsia="zh-CN"/>
        </w:rPr>
        <w:t xml:space="preserve">——打造“一城”。即统筹县城及周边的长沙经济技术开发区和黄花 </w:t>
      </w:r>
      <w:r>
        <w:rPr>
          <w:rFonts w:ascii="Times New Roman" w:hAnsi="Times New Roman" w:eastAsia="宋体" w:cs="Times New Roman"/>
          <w:kern w:val="2"/>
          <w:sz w:val="24"/>
          <w:szCs w:val="22"/>
          <w:lang w:val="en-US" w:eastAsia="zh-CN" w:bidi="ar-SA"/>
        </w:rPr>
        <w:pict>
          <v:shape id="image5.png" o:spid="_x0000_s1041" type="#_x0000_t75" style="height:11.2pt;width:11.5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r>
        <w:rPr>
          <w:rFonts w:ascii="Times New Roman" w:hAnsi="Times New Roman" w:eastAsia="宋体" w:cs="Times New Roman"/>
          <w:kern w:val="2"/>
          <w:sz w:val="24"/>
          <w:lang w:eastAsia="zh-CN"/>
        </w:rPr>
        <w:t>梨、江背、安沙、黄兴等镇街建设，打造长沙东部新城，建设全县新型城镇化的核心地区，全面对接长沙市主城区。应优化提升县城，加快推进旧城改造和城北新区建设，提升综合承载力。积极培</w:t>
      </w:r>
      <w:r>
        <w:rPr>
          <w:rFonts w:ascii="Times New Roman" w:hAnsi="Times New Roman" w:eastAsia="宋体" w:cs="Times New Roman"/>
          <w:kern w:val="2"/>
          <w:sz w:val="24"/>
          <w:szCs w:val="22"/>
          <w:lang w:val="en-US" w:eastAsia="zh-CN" w:bidi="ar-SA"/>
        </w:rPr>
        <w:pict>
          <v:shape id="image5.png" o:spid="_x0000_s1042" type="#_x0000_t75" style="height:11.2pt;width:11.5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r>
        <w:rPr>
          <w:rFonts w:ascii="Times New Roman" w:hAnsi="Times New Roman" w:eastAsia="宋体" w:cs="Times New Roman"/>
          <w:kern w:val="2"/>
          <w:sz w:val="24"/>
          <w:lang w:eastAsia="zh-CN"/>
        </w:rPr>
        <w:t>育临空经济，建设临空综合保税区，打造长沙乃至湖南发展外向型经济的重要平台。大力推进黄兴镇市场集群，打造长沙高铁东部新城。</w:t>
      </w:r>
      <w:r>
        <w:rPr>
          <w:rFonts w:hint="eastAsia" w:ascii="Times New Roman" w:hAnsi="Times New Roman" w:eastAsia="宋体" w:cs="Times New Roman"/>
          <w:kern w:val="2"/>
          <w:sz w:val="24"/>
          <w:lang w:eastAsia="zh-CN"/>
        </w:rPr>
        <w:t>㮾</w:t>
      </w:r>
      <w:r>
        <w:rPr>
          <w:rFonts w:ascii="Times New Roman" w:hAnsi="Times New Roman" w:eastAsia="宋体" w:cs="Times New Roman"/>
          <w:kern w:val="2"/>
          <w:sz w:val="24"/>
          <w:lang w:eastAsia="zh-CN"/>
        </w:rPr>
        <w:t>梨、黄兴为核心，建设汽车后市场集聚区。</w:t>
      </w:r>
    </w:p>
    <w:p>
      <w:pPr>
        <w:pStyle w:val="60"/>
        <w:spacing w:line="440" w:lineRule="exact"/>
        <w:ind w:firstLine="480" w:firstLineChars="200"/>
        <w:jc w:val="both"/>
        <w:rPr>
          <w:rFonts w:ascii="Times New Roman" w:hAnsi="Times New Roman" w:eastAsia="仿宋_GB2312" w:cs="Times New Roman"/>
          <w:sz w:val="24"/>
          <w:szCs w:val="24"/>
          <w:lang w:eastAsia="zh-CN"/>
        </w:rPr>
      </w:pPr>
      <w:r>
        <w:rPr>
          <w:rFonts w:ascii="Times New Roman" w:hAnsi="Times New Roman" w:eastAsia="宋体" w:cs="Times New Roman"/>
          <w:kern w:val="2"/>
          <w:sz w:val="24"/>
          <w:lang w:eastAsia="zh-CN"/>
        </w:rPr>
        <w:t>——培育“四轴”。即立足全县发展实际，以对接长沙市主城区为主导方向，积极培育 S207、黄兴大道、G107、北横线四条城镇发展轴线。将 S207 沿线打造成县域东部城镇发展轴线，构建区域对接县城、长沙主城区、岳阳平江的重要通道。将黄兴大道沿线打造成县域中部城镇发展轴线，建设区域连接高铁站、机场等交通枢纽和长沙市城区、长沙经开区、县城等功能区的又一重要通道，促进区域北连岳阳、南接株洲。将 G107 沿线打造成县域西部城镇发展轴线，促进区域有效对接汨罗、平江及长沙市主城区。将北横线沿线打造成县域东西向的重要轴线，推进与长沙主城区的进一步对接。</w:t>
      </w:r>
    </w:p>
    <w:bookmarkEnd w:id="59"/>
    <w:bookmarkEnd w:id="60"/>
    <w:bookmarkEnd w:id="61"/>
    <w:p>
      <w:pPr>
        <w:widowControl/>
        <w:jc w:val="center"/>
        <w:outlineLvl w:val="1"/>
        <w:rPr>
          <w:sz w:val="24"/>
        </w:rPr>
      </w:pPr>
      <w:bookmarkStart w:id="62" w:name="_Toc465778445"/>
      <w:bookmarkStart w:id="63" w:name="_Toc467846802"/>
      <w:bookmarkStart w:id="64" w:name="_Toc470721259"/>
      <w:bookmarkStart w:id="65" w:name="_Toc469296408"/>
      <w:bookmarkStart w:id="66" w:name="_Toc248306018"/>
      <w:bookmarkStart w:id="67" w:name="_Toc248305581"/>
      <w:bookmarkStart w:id="68" w:name="_Toc169216332"/>
      <w:bookmarkStart w:id="69" w:name="_Toc213589777"/>
      <w:bookmarkStart w:id="70" w:name="_Toc169216913"/>
      <w:r>
        <w:rPr>
          <w:rFonts w:eastAsia="黑体"/>
          <w:sz w:val="32"/>
          <w:szCs w:val="32"/>
        </w:rPr>
        <w:br w:type="page"/>
      </w:r>
      <w:bookmarkStart w:id="71" w:name="_Toc32756"/>
      <w:bookmarkStart w:id="72" w:name="_Toc25688"/>
      <w:bookmarkStart w:id="73" w:name="_Toc17815"/>
      <w:bookmarkStart w:id="74" w:name="_Toc17391"/>
      <w:r>
        <w:rPr>
          <w:rFonts w:eastAsia="黑体"/>
          <w:sz w:val="32"/>
          <w:szCs w:val="32"/>
        </w:rPr>
        <w:t>第二章  长沙县房地产市场情况分析</w:t>
      </w:r>
      <w:bookmarkEnd w:id="62"/>
      <w:bookmarkEnd w:id="63"/>
      <w:bookmarkEnd w:id="64"/>
      <w:bookmarkEnd w:id="65"/>
      <w:bookmarkEnd w:id="71"/>
      <w:bookmarkEnd w:id="72"/>
      <w:bookmarkEnd w:id="73"/>
      <w:bookmarkEnd w:id="74"/>
      <w:bookmarkStart w:id="75" w:name="_Toc465778446"/>
    </w:p>
    <w:p>
      <w:pPr>
        <w:shd w:val="clear" w:color="auto" w:fill="FFFFFF"/>
        <w:spacing w:line="360" w:lineRule="auto"/>
        <w:ind w:firstLine="560" w:firstLineChars="200"/>
        <w:jc w:val="left"/>
        <w:outlineLvl w:val="2"/>
        <w:rPr>
          <w:rFonts w:eastAsia="黑体"/>
          <w:sz w:val="28"/>
          <w:szCs w:val="28"/>
        </w:rPr>
      </w:pPr>
      <w:bookmarkStart w:id="76" w:name="_Toc12275"/>
      <w:bookmarkStart w:id="77" w:name="_Toc16078"/>
      <w:bookmarkStart w:id="78" w:name="_Toc469296410"/>
      <w:bookmarkStart w:id="79" w:name="_Toc470721261"/>
      <w:bookmarkStart w:id="80" w:name="_Toc467846804"/>
      <w:r>
        <w:rPr>
          <w:rFonts w:eastAsia="黑体"/>
          <w:sz w:val="28"/>
          <w:szCs w:val="28"/>
        </w:rPr>
        <w:t>一、近几年土地供应总量及结构</w:t>
      </w:r>
      <w:bookmarkEnd w:id="75"/>
      <w:bookmarkEnd w:id="76"/>
      <w:bookmarkEnd w:id="77"/>
      <w:bookmarkEnd w:id="78"/>
      <w:bookmarkEnd w:id="79"/>
      <w:bookmarkEnd w:id="80"/>
    </w:p>
    <w:p>
      <w:pPr>
        <w:overflowPunct w:val="0"/>
        <w:topLinePunct w:val="1"/>
        <w:spacing w:line="360" w:lineRule="auto"/>
        <w:ind w:firstLine="482" w:firstLineChars="200"/>
        <w:rPr>
          <w:b/>
          <w:sz w:val="24"/>
        </w:rPr>
      </w:pPr>
      <w:r>
        <w:rPr>
          <w:b/>
          <w:sz w:val="24"/>
        </w:rPr>
        <w:t>1、土地供应总量变化情况分析</w:t>
      </w:r>
    </w:p>
    <w:p>
      <w:pPr>
        <w:spacing w:line="480" w:lineRule="exact"/>
        <w:ind w:firstLine="480" w:firstLineChars="200"/>
        <w:rPr>
          <w:sz w:val="24"/>
          <w:szCs w:val="22"/>
        </w:rPr>
      </w:pPr>
      <w:r>
        <w:rPr>
          <w:sz w:val="24"/>
          <w:szCs w:val="22"/>
        </w:rPr>
        <w:t>长沙县2013年至2017年土地供应总量年度间差异较大（见图1-2-1），近几年来，2015年供应量较低，为637.46公顷。而相较于供应量较高的2016年来说，减少量为305.1公顷。</w:t>
      </w:r>
    </w:p>
    <w:p>
      <w:pPr>
        <w:spacing w:line="460" w:lineRule="exact"/>
        <w:jc w:val="center"/>
        <w:rPr>
          <w:b/>
          <w:sz w:val="24"/>
          <w:szCs w:val="22"/>
        </w:rPr>
      </w:pPr>
      <w:r>
        <w:rPr>
          <w:b/>
          <w:sz w:val="24"/>
          <w:szCs w:val="22"/>
        </w:rPr>
        <w:t>表1-2-1长沙县2013-2017年土地供应情况汇总</w:t>
      </w:r>
    </w:p>
    <w:p>
      <w:pPr>
        <w:spacing w:line="360" w:lineRule="auto"/>
        <w:ind w:firstLine="442" w:firstLineChars="200"/>
        <w:jc w:val="right"/>
        <w:rPr>
          <w:rFonts w:eastAsia="仿宋_GB2312"/>
          <w:b/>
          <w:color w:val="000000"/>
          <w:kern w:val="0"/>
          <w:sz w:val="22"/>
          <w:szCs w:val="22"/>
        </w:rPr>
      </w:pPr>
      <w:r>
        <w:rPr>
          <w:rFonts w:eastAsia="仿宋_GB2312"/>
          <w:b/>
          <w:color w:val="000000"/>
          <w:kern w:val="0"/>
          <w:sz w:val="22"/>
          <w:szCs w:val="22"/>
        </w:rPr>
        <w:t>单位：公顷</w:t>
      </w:r>
    </w:p>
    <w:tbl>
      <w:tblPr>
        <w:tblW w:w="92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6"/>
        <w:gridCol w:w="870"/>
        <w:gridCol w:w="870"/>
        <w:gridCol w:w="870"/>
        <w:gridCol w:w="870"/>
        <w:gridCol w:w="870"/>
        <w:gridCol w:w="870"/>
        <w:gridCol w:w="870"/>
        <w:gridCol w:w="870"/>
        <w:gridCol w:w="10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0" w:hRule="atLeast"/>
          <w:jc w:val="center"/>
        </w:trPr>
        <w:tc>
          <w:tcPr>
            <w:tcW w:w="123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b/>
                <w:color w:val="000000"/>
                <w:kern w:val="0"/>
                <w:sz w:val="20"/>
              </w:rPr>
            </w:pPr>
            <w:r>
              <w:rPr>
                <w:rFonts w:eastAsia="仿宋_GB2312"/>
                <w:b/>
                <w:color w:val="000000"/>
                <w:kern w:val="0"/>
                <w:sz w:val="20"/>
              </w:rPr>
              <w:t>年度</w:t>
            </w:r>
          </w:p>
        </w:tc>
        <w:tc>
          <w:tcPr>
            <w:tcW w:w="87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_GB2312"/>
                <w:b/>
                <w:color w:val="000000"/>
                <w:kern w:val="0"/>
                <w:sz w:val="20"/>
                <w:szCs w:val="22"/>
              </w:rPr>
            </w:pPr>
            <w:r>
              <w:rPr>
                <w:rFonts w:eastAsia="仿宋_GB2312"/>
                <w:b/>
                <w:color w:val="000000"/>
                <w:kern w:val="0"/>
                <w:sz w:val="20"/>
                <w:szCs w:val="22"/>
              </w:rPr>
              <w:t>供应</w:t>
            </w:r>
          </w:p>
          <w:p>
            <w:pPr>
              <w:widowControl/>
              <w:spacing w:line="360" w:lineRule="auto"/>
              <w:jc w:val="center"/>
              <w:rPr>
                <w:rFonts w:eastAsia="仿宋_GB2312"/>
                <w:b/>
                <w:color w:val="000000"/>
                <w:kern w:val="0"/>
                <w:sz w:val="20"/>
                <w:szCs w:val="22"/>
              </w:rPr>
            </w:pPr>
            <w:r>
              <w:rPr>
                <w:rFonts w:eastAsia="仿宋_GB2312"/>
                <w:b/>
                <w:color w:val="000000"/>
                <w:kern w:val="0"/>
                <w:sz w:val="20"/>
                <w:szCs w:val="22"/>
              </w:rPr>
              <w:t>总量</w:t>
            </w:r>
          </w:p>
        </w:tc>
        <w:tc>
          <w:tcPr>
            <w:tcW w:w="87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_GB2312"/>
                <w:b/>
                <w:color w:val="000000"/>
                <w:kern w:val="0"/>
                <w:sz w:val="20"/>
                <w:szCs w:val="22"/>
              </w:rPr>
            </w:pPr>
            <w:r>
              <w:rPr>
                <w:rFonts w:eastAsia="仿宋_GB2312"/>
                <w:b/>
                <w:color w:val="000000"/>
                <w:kern w:val="0"/>
                <w:sz w:val="20"/>
                <w:szCs w:val="22"/>
              </w:rPr>
              <w:t>其中，存量</w:t>
            </w:r>
          </w:p>
        </w:tc>
        <w:tc>
          <w:tcPr>
            <w:tcW w:w="87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b/>
                <w:color w:val="000000"/>
                <w:kern w:val="0"/>
                <w:sz w:val="20"/>
                <w:szCs w:val="22"/>
              </w:rPr>
            </w:pPr>
            <w:r>
              <w:rPr>
                <w:rFonts w:eastAsia="仿宋_GB2312"/>
                <w:b/>
                <w:color w:val="000000"/>
                <w:kern w:val="0"/>
                <w:sz w:val="20"/>
                <w:szCs w:val="22"/>
              </w:rPr>
              <w:t>商服</w:t>
            </w:r>
          </w:p>
          <w:p>
            <w:pPr>
              <w:widowControl/>
              <w:spacing w:line="360" w:lineRule="auto"/>
              <w:jc w:val="center"/>
              <w:rPr>
                <w:rFonts w:eastAsia="仿宋_GB2312"/>
                <w:b/>
                <w:color w:val="000000"/>
                <w:kern w:val="0"/>
                <w:sz w:val="20"/>
                <w:szCs w:val="22"/>
              </w:rPr>
            </w:pPr>
            <w:r>
              <w:rPr>
                <w:rFonts w:eastAsia="仿宋_GB2312"/>
                <w:b/>
                <w:color w:val="000000"/>
                <w:kern w:val="0"/>
                <w:sz w:val="20"/>
                <w:szCs w:val="22"/>
              </w:rPr>
              <w:t>用地</w:t>
            </w:r>
          </w:p>
        </w:tc>
        <w:tc>
          <w:tcPr>
            <w:tcW w:w="87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_GB2312"/>
                <w:b/>
                <w:color w:val="000000"/>
                <w:kern w:val="0"/>
                <w:sz w:val="20"/>
                <w:szCs w:val="22"/>
              </w:rPr>
            </w:pPr>
            <w:r>
              <w:rPr>
                <w:rFonts w:eastAsia="仿宋_GB2312"/>
                <w:b/>
                <w:color w:val="000000"/>
                <w:kern w:val="0"/>
                <w:sz w:val="20"/>
                <w:szCs w:val="22"/>
              </w:rPr>
              <w:t>工矿仓储用地</w:t>
            </w:r>
          </w:p>
        </w:tc>
        <w:tc>
          <w:tcPr>
            <w:tcW w:w="87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_GB2312"/>
                <w:b/>
                <w:color w:val="000000"/>
                <w:kern w:val="0"/>
                <w:sz w:val="20"/>
                <w:szCs w:val="22"/>
              </w:rPr>
            </w:pPr>
            <w:r>
              <w:rPr>
                <w:rFonts w:eastAsia="仿宋_GB2312"/>
                <w:b/>
                <w:color w:val="000000"/>
                <w:kern w:val="0"/>
                <w:sz w:val="20"/>
                <w:szCs w:val="22"/>
              </w:rPr>
              <w:t>住宅</w:t>
            </w:r>
          </w:p>
          <w:p>
            <w:pPr>
              <w:widowControl/>
              <w:spacing w:line="360" w:lineRule="auto"/>
              <w:jc w:val="center"/>
              <w:rPr>
                <w:rFonts w:eastAsia="仿宋_GB2312"/>
                <w:b/>
                <w:color w:val="000000"/>
                <w:kern w:val="0"/>
                <w:sz w:val="20"/>
                <w:szCs w:val="22"/>
              </w:rPr>
            </w:pPr>
            <w:r>
              <w:rPr>
                <w:rFonts w:eastAsia="仿宋_GB2312"/>
                <w:b/>
                <w:color w:val="000000"/>
                <w:kern w:val="0"/>
                <w:sz w:val="20"/>
                <w:szCs w:val="22"/>
              </w:rPr>
              <w:t>用地</w:t>
            </w:r>
          </w:p>
        </w:tc>
        <w:tc>
          <w:tcPr>
            <w:tcW w:w="87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_GB2312"/>
                <w:b/>
                <w:color w:val="000000"/>
                <w:kern w:val="0"/>
                <w:sz w:val="20"/>
                <w:szCs w:val="22"/>
              </w:rPr>
            </w:pPr>
            <w:r>
              <w:rPr>
                <w:rFonts w:eastAsia="仿宋_GB2312"/>
                <w:b/>
                <w:color w:val="000000"/>
                <w:kern w:val="0"/>
                <w:sz w:val="20"/>
                <w:szCs w:val="22"/>
              </w:rPr>
              <w:t>公共管理与公共服务用地</w:t>
            </w:r>
          </w:p>
        </w:tc>
        <w:tc>
          <w:tcPr>
            <w:tcW w:w="87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_GB2312"/>
                <w:b/>
                <w:color w:val="000000"/>
                <w:kern w:val="0"/>
                <w:sz w:val="20"/>
                <w:szCs w:val="22"/>
              </w:rPr>
            </w:pPr>
            <w:r>
              <w:rPr>
                <w:rFonts w:eastAsia="仿宋_GB2312"/>
                <w:b/>
                <w:color w:val="000000"/>
                <w:kern w:val="0"/>
                <w:sz w:val="20"/>
                <w:szCs w:val="22"/>
              </w:rPr>
              <w:t>特殊用地</w:t>
            </w:r>
          </w:p>
        </w:tc>
        <w:tc>
          <w:tcPr>
            <w:tcW w:w="87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_GB2312"/>
                <w:b/>
                <w:color w:val="000000"/>
                <w:kern w:val="0"/>
                <w:sz w:val="20"/>
                <w:szCs w:val="22"/>
              </w:rPr>
            </w:pPr>
            <w:r>
              <w:rPr>
                <w:rFonts w:eastAsia="仿宋_GB2312"/>
                <w:b/>
                <w:color w:val="000000"/>
                <w:kern w:val="0"/>
                <w:sz w:val="20"/>
                <w:szCs w:val="22"/>
              </w:rPr>
              <w:t>交通运输用地</w:t>
            </w:r>
          </w:p>
        </w:tc>
        <w:tc>
          <w:tcPr>
            <w:tcW w:w="109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仿宋_GB2312"/>
                <w:b/>
                <w:color w:val="000000"/>
                <w:kern w:val="0"/>
                <w:sz w:val="20"/>
                <w:szCs w:val="22"/>
              </w:rPr>
            </w:pPr>
            <w:r>
              <w:rPr>
                <w:rFonts w:eastAsia="仿宋_GB2312"/>
                <w:b/>
                <w:color w:val="000000"/>
                <w:kern w:val="0"/>
                <w:sz w:val="20"/>
                <w:szCs w:val="22"/>
              </w:rPr>
              <w:t>水域及水利设施</w:t>
            </w:r>
          </w:p>
          <w:p>
            <w:pPr>
              <w:widowControl/>
              <w:spacing w:line="360" w:lineRule="auto"/>
              <w:jc w:val="center"/>
              <w:rPr>
                <w:rFonts w:eastAsia="仿宋_GB2312"/>
                <w:b/>
                <w:color w:val="000000"/>
                <w:kern w:val="0"/>
                <w:sz w:val="20"/>
                <w:szCs w:val="22"/>
              </w:rPr>
            </w:pPr>
            <w:r>
              <w:rPr>
                <w:rFonts w:eastAsia="仿宋_GB2312"/>
                <w:b/>
                <w:color w:val="000000"/>
                <w:kern w:val="0"/>
                <w:sz w:val="20"/>
                <w:szCs w:val="22"/>
              </w:rPr>
              <w:t>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1236" w:type="dxa"/>
            <w:tcBorders>
              <w:top w:val="nil"/>
              <w:left w:val="single" w:color="auto" w:sz="4" w:space="0"/>
              <w:bottom w:val="single" w:color="auto" w:sz="4" w:space="0"/>
              <w:right w:val="single" w:color="auto" w:sz="4" w:space="0"/>
            </w:tcBorders>
            <w:vAlign w:val="center"/>
          </w:tcPr>
          <w:p>
            <w:pPr>
              <w:widowControl/>
              <w:jc w:val="center"/>
              <w:rPr>
                <w:rFonts w:eastAsia="仿宋_GB2312"/>
                <w:b/>
                <w:color w:val="000000"/>
                <w:kern w:val="0"/>
                <w:sz w:val="20"/>
              </w:rPr>
            </w:pPr>
            <w:r>
              <w:rPr>
                <w:rFonts w:eastAsia="仿宋_GB2312"/>
                <w:b/>
                <w:color w:val="000000"/>
                <w:kern w:val="0"/>
                <w:sz w:val="20"/>
              </w:rPr>
              <w:t>2013年</w:t>
            </w:r>
          </w:p>
        </w:tc>
        <w:tc>
          <w:tcPr>
            <w:tcW w:w="870" w:type="dxa"/>
            <w:tcBorders>
              <w:top w:val="nil"/>
              <w:left w:val="nil"/>
              <w:bottom w:val="single" w:color="auto" w:sz="4" w:space="0"/>
              <w:right w:val="single" w:color="auto" w:sz="4" w:space="0"/>
            </w:tcBorders>
            <w:vAlign w:val="center"/>
          </w:tcPr>
          <w:p>
            <w:pPr>
              <w:jc w:val="center"/>
              <w:rPr>
                <w:sz w:val="20"/>
              </w:rPr>
            </w:pPr>
            <w:r>
              <w:rPr>
                <w:sz w:val="20"/>
              </w:rPr>
              <w:t>818.82</w:t>
            </w:r>
          </w:p>
        </w:tc>
        <w:tc>
          <w:tcPr>
            <w:tcW w:w="870" w:type="dxa"/>
            <w:tcBorders>
              <w:top w:val="nil"/>
              <w:left w:val="nil"/>
              <w:bottom w:val="single" w:color="auto" w:sz="4" w:space="0"/>
              <w:right w:val="single" w:color="auto" w:sz="4" w:space="0"/>
            </w:tcBorders>
            <w:vAlign w:val="center"/>
          </w:tcPr>
          <w:p>
            <w:pPr>
              <w:jc w:val="center"/>
              <w:rPr>
                <w:color w:val="000000"/>
                <w:sz w:val="20"/>
              </w:rPr>
            </w:pPr>
            <w:r>
              <w:rPr>
                <w:sz w:val="20"/>
              </w:rPr>
              <w:t>38.53</w:t>
            </w:r>
          </w:p>
        </w:tc>
        <w:tc>
          <w:tcPr>
            <w:tcW w:w="870" w:type="dxa"/>
            <w:tcBorders>
              <w:top w:val="nil"/>
              <w:left w:val="single" w:color="auto" w:sz="4" w:space="0"/>
              <w:bottom w:val="single" w:color="auto" w:sz="4" w:space="0"/>
              <w:right w:val="single" w:color="auto" w:sz="4" w:space="0"/>
            </w:tcBorders>
            <w:vAlign w:val="center"/>
          </w:tcPr>
          <w:p>
            <w:pPr>
              <w:jc w:val="center"/>
              <w:rPr>
                <w:sz w:val="20"/>
              </w:rPr>
            </w:pPr>
            <w:r>
              <w:rPr>
                <w:sz w:val="20"/>
              </w:rPr>
              <w:t>32.73</w:t>
            </w:r>
          </w:p>
        </w:tc>
        <w:tc>
          <w:tcPr>
            <w:tcW w:w="870" w:type="dxa"/>
            <w:tcBorders>
              <w:top w:val="nil"/>
              <w:left w:val="nil"/>
              <w:bottom w:val="single" w:color="auto" w:sz="4" w:space="0"/>
              <w:right w:val="single" w:color="auto" w:sz="4" w:space="0"/>
            </w:tcBorders>
            <w:vAlign w:val="center"/>
          </w:tcPr>
          <w:p>
            <w:pPr>
              <w:jc w:val="center"/>
              <w:rPr>
                <w:sz w:val="20"/>
              </w:rPr>
            </w:pPr>
            <w:r>
              <w:rPr>
                <w:sz w:val="20"/>
              </w:rPr>
              <w:t>296.14</w:t>
            </w:r>
          </w:p>
        </w:tc>
        <w:tc>
          <w:tcPr>
            <w:tcW w:w="870" w:type="dxa"/>
            <w:tcBorders>
              <w:top w:val="nil"/>
              <w:left w:val="nil"/>
              <w:bottom w:val="single" w:color="auto" w:sz="4" w:space="0"/>
              <w:right w:val="single" w:color="auto" w:sz="4" w:space="0"/>
            </w:tcBorders>
            <w:vAlign w:val="center"/>
          </w:tcPr>
          <w:p>
            <w:pPr>
              <w:jc w:val="center"/>
              <w:rPr>
                <w:sz w:val="20"/>
              </w:rPr>
            </w:pPr>
            <w:r>
              <w:rPr>
                <w:sz w:val="20"/>
              </w:rPr>
              <w:t>145.12</w:t>
            </w:r>
          </w:p>
        </w:tc>
        <w:tc>
          <w:tcPr>
            <w:tcW w:w="870" w:type="dxa"/>
            <w:tcBorders>
              <w:top w:val="nil"/>
              <w:left w:val="nil"/>
              <w:bottom w:val="single" w:color="auto" w:sz="4" w:space="0"/>
              <w:right w:val="single" w:color="auto" w:sz="4" w:space="0"/>
            </w:tcBorders>
            <w:vAlign w:val="center"/>
          </w:tcPr>
          <w:p>
            <w:pPr>
              <w:jc w:val="center"/>
              <w:rPr>
                <w:sz w:val="20"/>
              </w:rPr>
            </w:pPr>
            <w:r>
              <w:rPr>
                <w:sz w:val="20"/>
              </w:rPr>
              <w:t>93.83</w:t>
            </w:r>
          </w:p>
        </w:tc>
        <w:tc>
          <w:tcPr>
            <w:tcW w:w="870" w:type="dxa"/>
            <w:tcBorders>
              <w:top w:val="nil"/>
              <w:left w:val="nil"/>
              <w:bottom w:val="single" w:color="auto" w:sz="4" w:space="0"/>
              <w:right w:val="single" w:color="auto" w:sz="4" w:space="0"/>
            </w:tcBorders>
            <w:vAlign w:val="center"/>
          </w:tcPr>
          <w:p>
            <w:pPr>
              <w:jc w:val="center"/>
              <w:rPr>
                <w:sz w:val="20"/>
              </w:rPr>
            </w:pPr>
            <w:r>
              <w:rPr>
                <w:sz w:val="20"/>
              </w:rPr>
              <w:t>0.00</w:t>
            </w:r>
          </w:p>
        </w:tc>
        <w:tc>
          <w:tcPr>
            <w:tcW w:w="870" w:type="dxa"/>
            <w:tcBorders>
              <w:top w:val="nil"/>
              <w:left w:val="nil"/>
              <w:bottom w:val="single" w:color="auto" w:sz="4" w:space="0"/>
              <w:right w:val="single" w:color="auto" w:sz="4" w:space="0"/>
            </w:tcBorders>
            <w:vAlign w:val="center"/>
          </w:tcPr>
          <w:p>
            <w:pPr>
              <w:jc w:val="center"/>
              <w:rPr>
                <w:sz w:val="20"/>
              </w:rPr>
            </w:pPr>
            <w:r>
              <w:rPr>
                <w:sz w:val="20"/>
              </w:rPr>
              <w:t>250.84</w:t>
            </w:r>
          </w:p>
        </w:tc>
        <w:tc>
          <w:tcPr>
            <w:tcW w:w="1090" w:type="dxa"/>
            <w:tcBorders>
              <w:top w:val="nil"/>
              <w:left w:val="nil"/>
              <w:bottom w:val="single" w:color="auto" w:sz="4" w:space="0"/>
              <w:right w:val="single" w:color="auto" w:sz="4" w:space="0"/>
            </w:tcBorders>
            <w:vAlign w:val="center"/>
          </w:tcPr>
          <w:p>
            <w:pPr>
              <w:jc w:val="center"/>
              <w:rPr>
                <w:sz w:val="20"/>
              </w:rPr>
            </w:pPr>
            <w:r>
              <w:rPr>
                <w:sz w:val="20"/>
              </w:rPr>
              <w:t>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1236" w:type="dxa"/>
            <w:tcBorders>
              <w:top w:val="nil"/>
              <w:left w:val="single" w:color="auto" w:sz="4" w:space="0"/>
              <w:bottom w:val="single" w:color="auto" w:sz="4" w:space="0"/>
              <w:right w:val="single" w:color="auto" w:sz="4" w:space="0"/>
            </w:tcBorders>
            <w:vAlign w:val="center"/>
          </w:tcPr>
          <w:p>
            <w:pPr>
              <w:widowControl/>
              <w:jc w:val="center"/>
              <w:rPr>
                <w:rFonts w:eastAsia="仿宋_GB2312"/>
                <w:b/>
                <w:color w:val="000000"/>
                <w:kern w:val="0"/>
                <w:sz w:val="20"/>
              </w:rPr>
            </w:pPr>
            <w:r>
              <w:rPr>
                <w:rFonts w:eastAsia="仿宋_GB2312"/>
                <w:b/>
                <w:color w:val="000000"/>
                <w:kern w:val="0"/>
                <w:sz w:val="20"/>
              </w:rPr>
              <w:t>2014年</w:t>
            </w:r>
          </w:p>
        </w:tc>
        <w:tc>
          <w:tcPr>
            <w:tcW w:w="870" w:type="dxa"/>
            <w:tcBorders>
              <w:top w:val="nil"/>
              <w:left w:val="nil"/>
              <w:bottom w:val="single" w:color="auto" w:sz="4" w:space="0"/>
              <w:right w:val="single" w:color="auto" w:sz="4" w:space="0"/>
            </w:tcBorders>
            <w:vAlign w:val="center"/>
          </w:tcPr>
          <w:p>
            <w:pPr>
              <w:jc w:val="center"/>
              <w:rPr>
                <w:sz w:val="20"/>
              </w:rPr>
            </w:pPr>
            <w:r>
              <w:rPr>
                <w:sz w:val="20"/>
              </w:rPr>
              <w:t>692.47</w:t>
            </w:r>
          </w:p>
        </w:tc>
        <w:tc>
          <w:tcPr>
            <w:tcW w:w="870" w:type="dxa"/>
            <w:tcBorders>
              <w:top w:val="nil"/>
              <w:left w:val="nil"/>
              <w:bottom w:val="single" w:color="auto" w:sz="4" w:space="0"/>
              <w:right w:val="single" w:color="auto" w:sz="4" w:space="0"/>
            </w:tcBorders>
            <w:vAlign w:val="center"/>
          </w:tcPr>
          <w:p>
            <w:pPr>
              <w:jc w:val="center"/>
              <w:rPr>
                <w:color w:val="000000"/>
                <w:sz w:val="20"/>
              </w:rPr>
            </w:pPr>
            <w:r>
              <w:rPr>
                <w:sz w:val="20"/>
              </w:rPr>
              <w:t>58.91</w:t>
            </w:r>
          </w:p>
        </w:tc>
        <w:tc>
          <w:tcPr>
            <w:tcW w:w="870" w:type="dxa"/>
            <w:tcBorders>
              <w:top w:val="nil"/>
              <w:left w:val="single" w:color="auto" w:sz="4" w:space="0"/>
              <w:bottom w:val="single" w:color="auto" w:sz="4" w:space="0"/>
              <w:right w:val="single" w:color="auto" w:sz="4" w:space="0"/>
            </w:tcBorders>
            <w:vAlign w:val="center"/>
          </w:tcPr>
          <w:p>
            <w:pPr>
              <w:jc w:val="center"/>
              <w:rPr>
                <w:sz w:val="20"/>
              </w:rPr>
            </w:pPr>
            <w:r>
              <w:rPr>
                <w:sz w:val="20"/>
              </w:rPr>
              <w:t>59.68</w:t>
            </w:r>
          </w:p>
        </w:tc>
        <w:tc>
          <w:tcPr>
            <w:tcW w:w="870" w:type="dxa"/>
            <w:tcBorders>
              <w:top w:val="nil"/>
              <w:left w:val="nil"/>
              <w:bottom w:val="single" w:color="auto" w:sz="4" w:space="0"/>
              <w:right w:val="single" w:color="auto" w:sz="4" w:space="0"/>
            </w:tcBorders>
            <w:vAlign w:val="center"/>
          </w:tcPr>
          <w:p>
            <w:pPr>
              <w:jc w:val="center"/>
              <w:rPr>
                <w:sz w:val="20"/>
              </w:rPr>
            </w:pPr>
            <w:r>
              <w:rPr>
                <w:sz w:val="20"/>
              </w:rPr>
              <w:t>320.53</w:t>
            </w:r>
          </w:p>
        </w:tc>
        <w:tc>
          <w:tcPr>
            <w:tcW w:w="870" w:type="dxa"/>
            <w:tcBorders>
              <w:top w:val="nil"/>
              <w:left w:val="nil"/>
              <w:bottom w:val="single" w:color="auto" w:sz="4" w:space="0"/>
              <w:right w:val="single" w:color="auto" w:sz="4" w:space="0"/>
            </w:tcBorders>
            <w:vAlign w:val="center"/>
          </w:tcPr>
          <w:p>
            <w:pPr>
              <w:jc w:val="center"/>
              <w:rPr>
                <w:sz w:val="20"/>
              </w:rPr>
            </w:pPr>
            <w:r>
              <w:rPr>
                <w:sz w:val="20"/>
              </w:rPr>
              <w:t>137.68</w:t>
            </w:r>
          </w:p>
        </w:tc>
        <w:tc>
          <w:tcPr>
            <w:tcW w:w="870" w:type="dxa"/>
            <w:tcBorders>
              <w:top w:val="nil"/>
              <w:left w:val="nil"/>
              <w:bottom w:val="single" w:color="auto" w:sz="4" w:space="0"/>
              <w:right w:val="single" w:color="auto" w:sz="4" w:space="0"/>
            </w:tcBorders>
            <w:vAlign w:val="center"/>
          </w:tcPr>
          <w:p>
            <w:pPr>
              <w:jc w:val="center"/>
              <w:rPr>
                <w:sz w:val="20"/>
              </w:rPr>
            </w:pPr>
            <w:r>
              <w:rPr>
                <w:sz w:val="20"/>
              </w:rPr>
              <w:t>89.17</w:t>
            </w:r>
          </w:p>
        </w:tc>
        <w:tc>
          <w:tcPr>
            <w:tcW w:w="870" w:type="dxa"/>
            <w:tcBorders>
              <w:top w:val="nil"/>
              <w:left w:val="nil"/>
              <w:bottom w:val="single" w:color="auto" w:sz="4" w:space="0"/>
              <w:right w:val="single" w:color="auto" w:sz="4" w:space="0"/>
            </w:tcBorders>
            <w:vAlign w:val="center"/>
          </w:tcPr>
          <w:p>
            <w:pPr>
              <w:jc w:val="center"/>
              <w:rPr>
                <w:sz w:val="20"/>
              </w:rPr>
            </w:pPr>
            <w:r>
              <w:rPr>
                <w:sz w:val="20"/>
              </w:rPr>
              <w:t>7.87</w:t>
            </w:r>
          </w:p>
        </w:tc>
        <w:tc>
          <w:tcPr>
            <w:tcW w:w="870" w:type="dxa"/>
            <w:tcBorders>
              <w:top w:val="nil"/>
              <w:left w:val="nil"/>
              <w:bottom w:val="single" w:color="auto" w:sz="4" w:space="0"/>
              <w:right w:val="single" w:color="auto" w:sz="4" w:space="0"/>
            </w:tcBorders>
            <w:vAlign w:val="center"/>
          </w:tcPr>
          <w:p>
            <w:pPr>
              <w:jc w:val="center"/>
              <w:rPr>
                <w:sz w:val="20"/>
              </w:rPr>
            </w:pPr>
            <w:r>
              <w:rPr>
                <w:sz w:val="20"/>
              </w:rPr>
              <w:t>77.54</w:t>
            </w:r>
          </w:p>
        </w:tc>
        <w:tc>
          <w:tcPr>
            <w:tcW w:w="1090" w:type="dxa"/>
            <w:tcBorders>
              <w:top w:val="nil"/>
              <w:left w:val="nil"/>
              <w:bottom w:val="single" w:color="auto" w:sz="4" w:space="0"/>
              <w:right w:val="single" w:color="auto" w:sz="4" w:space="0"/>
            </w:tcBorders>
            <w:vAlign w:val="center"/>
          </w:tcPr>
          <w:p>
            <w:pPr>
              <w:jc w:val="center"/>
              <w:rPr>
                <w:sz w:val="20"/>
              </w:rPr>
            </w:pPr>
            <w:r>
              <w:rPr>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1236" w:type="dxa"/>
            <w:tcBorders>
              <w:top w:val="nil"/>
              <w:left w:val="single" w:color="auto" w:sz="4" w:space="0"/>
              <w:bottom w:val="single" w:color="auto" w:sz="4" w:space="0"/>
              <w:right w:val="single" w:color="auto" w:sz="4" w:space="0"/>
            </w:tcBorders>
            <w:vAlign w:val="center"/>
          </w:tcPr>
          <w:p>
            <w:pPr>
              <w:widowControl/>
              <w:jc w:val="center"/>
              <w:rPr>
                <w:rFonts w:eastAsia="仿宋_GB2312"/>
                <w:b/>
                <w:color w:val="000000"/>
                <w:kern w:val="0"/>
                <w:sz w:val="20"/>
              </w:rPr>
            </w:pPr>
            <w:r>
              <w:rPr>
                <w:rFonts w:eastAsia="仿宋_GB2312"/>
                <w:b/>
                <w:color w:val="000000"/>
                <w:kern w:val="0"/>
                <w:sz w:val="20"/>
              </w:rPr>
              <w:t>2015年</w:t>
            </w:r>
          </w:p>
        </w:tc>
        <w:tc>
          <w:tcPr>
            <w:tcW w:w="870" w:type="dxa"/>
            <w:tcBorders>
              <w:top w:val="nil"/>
              <w:left w:val="nil"/>
              <w:bottom w:val="single" w:color="auto" w:sz="4" w:space="0"/>
              <w:right w:val="single" w:color="auto" w:sz="4" w:space="0"/>
            </w:tcBorders>
            <w:vAlign w:val="center"/>
          </w:tcPr>
          <w:p>
            <w:pPr>
              <w:jc w:val="center"/>
              <w:rPr>
                <w:sz w:val="20"/>
              </w:rPr>
            </w:pPr>
            <w:r>
              <w:rPr>
                <w:sz w:val="20"/>
              </w:rPr>
              <w:t>637.46</w:t>
            </w:r>
          </w:p>
        </w:tc>
        <w:tc>
          <w:tcPr>
            <w:tcW w:w="870" w:type="dxa"/>
            <w:tcBorders>
              <w:top w:val="nil"/>
              <w:left w:val="nil"/>
              <w:bottom w:val="single" w:color="auto" w:sz="4" w:space="0"/>
              <w:right w:val="single" w:color="auto" w:sz="4" w:space="0"/>
            </w:tcBorders>
            <w:vAlign w:val="center"/>
          </w:tcPr>
          <w:p>
            <w:pPr>
              <w:jc w:val="center"/>
              <w:rPr>
                <w:color w:val="000000"/>
                <w:sz w:val="20"/>
              </w:rPr>
            </w:pPr>
            <w:r>
              <w:rPr>
                <w:sz w:val="20"/>
              </w:rPr>
              <w:t>107.08</w:t>
            </w:r>
          </w:p>
        </w:tc>
        <w:tc>
          <w:tcPr>
            <w:tcW w:w="870" w:type="dxa"/>
            <w:tcBorders>
              <w:top w:val="nil"/>
              <w:left w:val="single" w:color="auto" w:sz="4" w:space="0"/>
              <w:bottom w:val="single" w:color="auto" w:sz="4" w:space="0"/>
              <w:right w:val="single" w:color="auto" w:sz="4" w:space="0"/>
            </w:tcBorders>
            <w:vAlign w:val="center"/>
          </w:tcPr>
          <w:p>
            <w:pPr>
              <w:jc w:val="center"/>
              <w:rPr>
                <w:sz w:val="20"/>
              </w:rPr>
            </w:pPr>
            <w:r>
              <w:rPr>
                <w:sz w:val="20"/>
              </w:rPr>
              <w:t>80.10</w:t>
            </w:r>
          </w:p>
        </w:tc>
        <w:tc>
          <w:tcPr>
            <w:tcW w:w="870" w:type="dxa"/>
            <w:tcBorders>
              <w:top w:val="nil"/>
              <w:left w:val="nil"/>
              <w:bottom w:val="single" w:color="auto" w:sz="4" w:space="0"/>
              <w:right w:val="single" w:color="auto" w:sz="4" w:space="0"/>
            </w:tcBorders>
            <w:vAlign w:val="center"/>
          </w:tcPr>
          <w:p>
            <w:pPr>
              <w:jc w:val="center"/>
              <w:rPr>
                <w:sz w:val="20"/>
              </w:rPr>
            </w:pPr>
            <w:r>
              <w:rPr>
                <w:sz w:val="20"/>
              </w:rPr>
              <w:t>160.17</w:t>
            </w:r>
          </w:p>
        </w:tc>
        <w:tc>
          <w:tcPr>
            <w:tcW w:w="870" w:type="dxa"/>
            <w:tcBorders>
              <w:top w:val="nil"/>
              <w:left w:val="nil"/>
              <w:bottom w:val="single" w:color="auto" w:sz="4" w:space="0"/>
              <w:right w:val="single" w:color="auto" w:sz="4" w:space="0"/>
            </w:tcBorders>
            <w:vAlign w:val="center"/>
          </w:tcPr>
          <w:p>
            <w:pPr>
              <w:jc w:val="center"/>
              <w:rPr>
                <w:sz w:val="20"/>
              </w:rPr>
            </w:pPr>
            <w:r>
              <w:rPr>
                <w:sz w:val="20"/>
              </w:rPr>
              <w:t>62.27</w:t>
            </w:r>
          </w:p>
        </w:tc>
        <w:tc>
          <w:tcPr>
            <w:tcW w:w="870" w:type="dxa"/>
            <w:tcBorders>
              <w:top w:val="nil"/>
              <w:left w:val="nil"/>
              <w:bottom w:val="single" w:color="auto" w:sz="4" w:space="0"/>
              <w:right w:val="single" w:color="auto" w:sz="4" w:space="0"/>
            </w:tcBorders>
            <w:vAlign w:val="center"/>
          </w:tcPr>
          <w:p>
            <w:pPr>
              <w:jc w:val="center"/>
              <w:rPr>
                <w:sz w:val="20"/>
              </w:rPr>
            </w:pPr>
            <w:r>
              <w:rPr>
                <w:sz w:val="20"/>
              </w:rPr>
              <w:t>221.85</w:t>
            </w:r>
          </w:p>
        </w:tc>
        <w:tc>
          <w:tcPr>
            <w:tcW w:w="870" w:type="dxa"/>
            <w:tcBorders>
              <w:top w:val="nil"/>
              <w:left w:val="nil"/>
              <w:bottom w:val="single" w:color="auto" w:sz="4" w:space="0"/>
              <w:right w:val="single" w:color="auto" w:sz="4" w:space="0"/>
            </w:tcBorders>
            <w:vAlign w:val="center"/>
          </w:tcPr>
          <w:p>
            <w:pPr>
              <w:jc w:val="center"/>
              <w:rPr>
                <w:sz w:val="20"/>
              </w:rPr>
            </w:pPr>
            <w:r>
              <w:rPr>
                <w:sz w:val="20"/>
              </w:rPr>
              <w:t>1.10</w:t>
            </w:r>
          </w:p>
        </w:tc>
        <w:tc>
          <w:tcPr>
            <w:tcW w:w="870" w:type="dxa"/>
            <w:tcBorders>
              <w:top w:val="nil"/>
              <w:left w:val="nil"/>
              <w:bottom w:val="single" w:color="auto" w:sz="4" w:space="0"/>
              <w:right w:val="single" w:color="auto" w:sz="4" w:space="0"/>
            </w:tcBorders>
            <w:vAlign w:val="center"/>
          </w:tcPr>
          <w:p>
            <w:pPr>
              <w:jc w:val="center"/>
              <w:rPr>
                <w:sz w:val="20"/>
              </w:rPr>
            </w:pPr>
            <w:r>
              <w:rPr>
                <w:sz w:val="20"/>
              </w:rPr>
              <w:t>111.97</w:t>
            </w:r>
          </w:p>
        </w:tc>
        <w:tc>
          <w:tcPr>
            <w:tcW w:w="1090" w:type="dxa"/>
            <w:tcBorders>
              <w:top w:val="nil"/>
              <w:left w:val="nil"/>
              <w:bottom w:val="single" w:color="auto" w:sz="4" w:space="0"/>
              <w:right w:val="single" w:color="auto" w:sz="4" w:space="0"/>
            </w:tcBorders>
            <w:vAlign w:val="center"/>
          </w:tcPr>
          <w:p>
            <w:pPr>
              <w:jc w:val="center"/>
              <w:rPr>
                <w:sz w:val="20"/>
              </w:rPr>
            </w:pPr>
            <w:r>
              <w:rPr>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1236" w:type="dxa"/>
            <w:tcBorders>
              <w:top w:val="nil"/>
              <w:left w:val="single" w:color="auto" w:sz="4" w:space="0"/>
              <w:bottom w:val="single" w:color="auto" w:sz="4" w:space="0"/>
              <w:right w:val="single" w:color="auto" w:sz="4" w:space="0"/>
            </w:tcBorders>
            <w:vAlign w:val="center"/>
          </w:tcPr>
          <w:p>
            <w:pPr>
              <w:widowControl/>
              <w:jc w:val="center"/>
              <w:rPr>
                <w:rFonts w:eastAsia="仿宋_GB2312"/>
                <w:b/>
                <w:color w:val="000000"/>
                <w:kern w:val="0"/>
                <w:sz w:val="20"/>
              </w:rPr>
            </w:pPr>
            <w:r>
              <w:rPr>
                <w:rFonts w:eastAsia="仿宋_GB2312"/>
                <w:b/>
                <w:color w:val="000000"/>
                <w:kern w:val="0"/>
                <w:sz w:val="20"/>
              </w:rPr>
              <w:t>2016年</w:t>
            </w:r>
          </w:p>
        </w:tc>
        <w:tc>
          <w:tcPr>
            <w:tcW w:w="870" w:type="dxa"/>
            <w:tcBorders>
              <w:top w:val="nil"/>
              <w:left w:val="nil"/>
              <w:bottom w:val="single" w:color="auto" w:sz="4" w:space="0"/>
              <w:right w:val="single" w:color="auto" w:sz="4" w:space="0"/>
            </w:tcBorders>
            <w:vAlign w:val="center"/>
          </w:tcPr>
          <w:p>
            <w:pPr>
              <w:jc w:val="center"/>
              <w:rPr>
                <w:sz w:val="20"/>
              </w:rPr>
            </w:pPr>
            <w:r>
              <w:rPr>
                <w:sz w:val="20"/>
              </w:rPr>
              <w:t>942.47</w:t>
            </w:r>
          </w:p>
        </w:tc>
        <w:tc>
          <w:tcPr>
            <w:tcW w:w="870" w:type="dxa"/>
            <w:tcBorders>
              <w:top w:val="nil"/>
              <w:left w:val="nil"/>
              <w:bottom w:val="single" w:color="auto" w:sz="4" w:space="0"/>
              <w:right w:val="single" w:color="auto" w:sz="4" w:space="0"/>
            </w:tcBorders>
            <w:vAlign w:val="center"/>
          </w:tcPr>
          <w:p>
            <w:pPr>
              <w:jc w:val="center"/>
              <w:rPr>
                <w:color w:val="000000"/>
                <w:sz w:val="20"/>
              </w:rPr>
            </w:pPr>
            <w:r>
              <w:rPr>
                <w:sz w:val="20"/>
              </w:rPr>
              <w:t>441.64</w:t>
            </w:r>
          </w:p>
        </w:tc>
        <w:tc>
          <w:tcPr>
            <w:tcW w:w="870" w:type="dxa"/>
            <w:tcBorders>
              <w:top w:val="nil"/>
              <w:left w:val="single" w:color="auto" w:sz="4" w:space="0"/>
              <w:bottom w:val="single" w:color="auto" w:sz="4" w:space="0"/>
              <w:right w:val="single" w:color="auto" w:sz="4" w:space="0"/>
            </w:tcBorders>
            <w:vAlign w:val="center"/>
          </w:tcPr>
          <w:p>
            <w:pPr>
              <w:jc w:val="center"/>
              <w:rPr>
                <w:sz w:val="20"/>
              </w:rPr>
            </w:pPr>
            <w:r>
              <w:rPr>
                <w:sz w:val="20"/>
              </w:rPr>
              <w:t>46.51</w:t>
            </w:r>
          </w:p>
        </w:tc>
        <w:tc>
          <w:tcPr>
            <w:tcW w:w="870" w:type="dxa"/>
            <w:tcBorders>
              <w:top w:val="nil"/>
              <w:left w:val="nil"/>
              <w:bottom w:val="single" w:color="auto" w:sz="4" w:space="0"/>
              <w:right w:val="single" w:color="auto" w:sz="4" w:space="0"/>
            </w:tcBorders>
            <w:vAlign w:val="center"/>
          </w:tcPr>
          <w:p>
            <w:pPr>
              <w:jc w:val="center"/>
              <w:rPr>
                <w:sz w:val="20"/>
              </w:rPr>
            </w:pPr>
            <w:r>
              <w:rPr>
                <w:sz w:val="20"/>
              </w:rPr>
              <w:t>219.91</w:t>
            </w:r>
          </w:p>
        </w:tc>
        <w:tc>
          <w:tcPr>
            <w:tcW w:w="870" w:type="dxa"/>
            <w:tcBorders>
              <w:top w:val="nil"/>
              <w:left w:val="nil"/>
              <w:bottom w:val="single" w:color="auto" w:sz="4" w:space="0"/>
              <w:right w:val="single" w:color="auto" w:sz="4" w:space="0"/>
            </w:tcBorders>
            <w:vAlign w:val="center"/>
          </w:tcPr>
          <w:p>
            <w:pPr>
              <w:jc w:val="center"/>
              <w:rPr>
                <w:sz w:val="20"/>
              </w:rPr>
            </w:pPr>
            <w:r>
              <w:rPr>
                <w:sz w:val="20"/>
              </w:rPr>
              <w:t>33.14</w:t>
            </w:r>
          </w:p>
        </w:tc>
        <w:tc>
          <w:tcPr>
            <w:tcW w:w="870" w:type="dxa"/>
            <w:tcBorders>
              <w:top w:val="nil"/>
              <w:left w:val="nil"/>
              <w:bottom w:val="single" w:color="auto" w:sz="4" w:space="0"/>
              <w:right w:val="single" w:color="auto" w:sz="4" w:space="0"/>
            </w:tcBorders>
            <w:vAlign w:val="center"/>
          </w:tcPr>
          <w:p>
            <w:pPr>
              <w:jc w:val="center"/>
              <w:rPr>
                <w:sz w:val="20"/>
              </w:rPr>
            </w:pPr>
            <w:r>
              <w:rPr>
                <w:sz w:val="20"/>
              </w:rPr>
              <w:t>391.88</w:t>
            </w:r>
          </w:p>
        </w:tc>
        <w:tc>
          <w:tcPr>
            <w:tcW w:w="870" w:type="dxa"/>
            <w:tcBorders>
              <w:top w:val="nil"/>
              <w:left w:val="nil"/>
              <w:bottom w:val="single" w:color="auto" w:sz="4" w:space="0"/>
              <w:right w:val="single" w:color="auto" w:sz="4" w:space="0"/>
            </w:tcBorders>
            <w:vAlign w:val="center"/>
          </w:tcPr>
          <w:p>
            <w:pPr>
              <w:jc w:val="center"/>
              <w:rPr>
                <w:sz w:val="20"/>
              </w:rPr>
            </w:pPr>
            <w:r>
              <w:rPr>
                <w:sz w:val="20"/>
              </w:rPr>
              <w:t>0.60</w:t>
            </w:r>
          </w:p>
        </w:tc>
        <w:tc>
          <w:tcPr>
            <w:tcW w:w="870" w:type="dxa"/>
            <w:tcBorders>
              <w:top w:val="nil"/>
              <w:left w:val="nil"/>
              <w:bottom w:val="single" w:color="auto" w:sz="4" w:space="0"/>
              <w:right w:val="single" w:color="auto" w:sz="4" w:space="0"/>
            </w:tcBorders>
            <w:vAlign w:val="center"/>
          </w:tcPr>
          <w:p>
            <w:pPr>
              <w:jc w:val="center"/>
              <w:rPr>
                <w:sz w:val="20"/>
              </w:rPr>
            </w:pPr>
            <w:r>
              <w:rPr>
                <w:sz w:val="20"/>
              </w:rPr>
              <w:t>250.43</w:t>
            </w:r>
          </w:p>
        </w:tc>
        <w:tc>
          <w:tcPr>
            <w:tcW w:w="1090" w:type="dxa"/>
            <w:tcBorders>
              <w:top w:val="nil"/>
              <w:left w:val="nil"/>
              <w:bottom w:val="single" w:color="auto" w:sz="4" w:space="0"/>
              <w:right w:val="single" w:color="auto" w:sz="4" w:space="0"/>
            </w:tcBorders>
            <w:vAlign w:val="center"/>
          </w:tcPr>
          <w:p>
            <w:pPr>
              <w:jc w:val="center"/>
              <w:rPr>
                <w:sz w:val="20"/>
              </w:rPr>
            </w:pPr>
            <w:r>
              <w:rPr>
                <w:sz w:val="20"/>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123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b/>
                <w:color w:val="000000"/>
                <w:kern w:val="0"/>
                <w:sz w:val="20"/>
              </w:rPr>
            </w:pPr>
            <w:r>
              <w:rPr>
                <w:rFonts w:eastAsia="仿宋_GB2312"/>
                <w:b/>
                <w:color w:val="000000"/>
                <w:kern w:val="0"/>
                <w:sz w:val="20"/>
              </w:rPr>
              <w:t>2017年</w:t>
            </w:r>
          </w:p>
        </w:tc>
        <w:tc>
          <w:tcPr>
            <w:tcW w:w="870" w:type="dxa"/>
            <w:tcBorders>
              <w:top w:val="single" w:color="auto" w:sz="4" w:space="0"/>
              <w:left w:val="nil"/>
              <w:bottom w:val="single" w:color="auto" w:sz="4" w:space="0"/>
              <w:right w:val="single" w:color="auto" w:sz="4" w:space="0"/>
            </w:tcBorders>
            <w:vAlign w:val="center"/>
          </w:tcPr>
          <w:p>
            <w:pPr>
              <w:jc w:val="center"/>
              <w:rPr>
                <w:sz w:val="20"/>
              </w:rPr>
            </w:pPr>
            <w:r>
              <w:rPr>
                <w:sz w:val="20"/>
              </w:rPr>
              <w:t>825.32</w:t>
            </w:r>
          </w:p>
        </w:tc>
        <w:tc>
          <w:tcPr>
            <w:tcW w:w="870" w:type="dxa"/>
            <w:tcBorders>
              <w:top w:val="single" w:color="auto" w:sz="4" w:space="0"/>
              <w:left w:val="nil"/>
              <w:bottom w:val="single" w:color="auto" w:sz="4" w:space="0"/>
              <w:right w:val="single" w:color="auto" w:sz="4" w:space="0"/>
            </w:tcBorders>
            <w:vAlign w:val="center"/>
          </w:tcPr>
          <w:p>
            <w:pPr>
              <w:jc w:val="center"/>
              <w:rPr>
                <w:color w:val="000000"/>
                <w:sz w:val="20"/>
              </w:rPr>
            </w:pPr>
            <w:r>
              <w:rPr>
                <w:sz w:val="20"/>
              </w:rPr>
              <w:t>51.97</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sz w:val="20"/>
              </w:rPr>
            </w:pPr>
            <w:r>
              <w:rPr>
                <w:sz w:val="20"/>
              </w:rPr>
              <w:t>23.66</w:t>
            </w:r>
          </w:p>
        </w:tc>
        <w:tc>
          <w:tcPr>
            <w:tcW w:w="870" w:type="dxa"/>
            <w:tcBorders>
              <w:top w:val="single" w:color="auto" w:sz="4" w:space="0"/>
              <w:left w:val="nil"/>
              <w:bottom w:val="single" w:color="auto" w:sz="4" w:space="0"/>
              <w:right w:val="single" w:color="auto" w:sz="4" w:space="0"/>
            </w:tcBorders>
            <w:vAlign w:val="center"/>
          </w:tcPr>
          <w:p>
            <w:pPr>
              <w:jc w:val="center"/>
              <w:rPr>
                <w:sz w:val="20"/>
              </w:rPr>
            </w:pPr>
            <w:r>
              <w:rPr>
                <w:sz w:val="20"/>
              </w:rPr>
              <w:t>219.49</w:t>
            </w:r>
          </w:p>
        </w:tc>
        <w:tc>
          <w:tcPr>
            <w:tcW w:w="870" w:type="dxa"/>
            <w:tcBorders>
              <w:top w:val="single" w:color="auto" w:sz="4" w:space="0"/>
              <w:left w:val="nil"/>
              <w:bottom w:val="single" w:color="auto" w:sz="4" w:space="0"/>
              <w:right w:val="single" w:color="auto" w:sz="4" w:space="0"/>
            </w:tcBorders>
            <w:vAlign w:val="center"/>
          </w:tcPr>
          <w:p>
            <w:pPr>
              <w:jc w:val="center"/>
              <w:rPr>
                <w:sz w:val="20"/>
              </w:rPr>
            </w:pPr>
            <w:r>
              <w:rPr>
                <w:sz w:val="20"/>
              </w:rPr>
              <w:t>76.95</w:t>
            </w:r>
          </w:p>
        </w:tc>
        <w:tc>
          <w:tcPr>
            <w:tcW w:w="870" w:type="dxa"/>
            <w:tcBorders>
              <w:top w:val="single" w:color="auto" w:sz="4" w:space="0"/>
              <w:left w:val="nil"/>
              <w:bottom w:val="single" w:color="auto" w:sz="4" w:space="0"/>
              <w:right w:val="single" w:color="auto" w:sz="4" w:space="0"/>
            </w:tcBorders>
            <w:vAlign w:val="center"/>
          </w:tcPr>
          <w:p>
            <w:pPr>
              <w:jc w:val="center"/>
              <w:rPr>
                <w:sz w:val="20"/>
              </w:rPr>
            </w:pPr>
            <w:r>
              <w:rPr>
                <w:sz w:val="20"/>
              </w:rPr>
              <w:t>263.00</w:t>
            </w:r>
          </w:p>
        </w:tc>
        <w:tc>
          <w:tcPr>
            <w:tcW w:w="870" w:type="dxa"/>
            <w:tcBorders>
              <w:top w:val="single" w:color="auto" w:sz="4" w:space="0"/>
              <w:left w:val="nil"/>
              <w:bottom w:val="single" w:color="auto" w:sz="4" w:space="0"/>
              <w:right w:val="single" w:color="auto" w:sz="4" w:space="0"/>
            </w:tcBorders>
            <w:vAlign w:val="center"/>
          </w:tcPr>
          <w:p>
            <w:pPr>
              <w:jc w:val="center"/>
              <w:rPr>
                <w:sz w:val="20"/>
              </w:rPr>
            </w:pPr>
            <w:r>
              <w:rPr>
                <w:sz w:val="20"/>
              </w:rPr>
              <w:t>0.50</w:t>
            </w:r>
          </w:p>
        </w:tc>
        <w:tc>
          <w:tcPr>
            <w:tcW w:w="870" w:type="dxa"/>
            <w:tcBorders>
              <w:top w:val="single" w:color="auto" w:sz="4" w:space="0"/>
              <w:left w:val="nil"/>
              <w:bottom w:val="single" w:color="auto" w:sz="4" w:space="0"/>
              <w:right w:val="single" w:color="auto" w:sz="4" w:space="0"/>
            </w:tcBorders>
            <w:vAlign w:val="center"/>
          </w:tcPr>
          <w:p>
            <w:pPr>
              <w:jc w:val="center"/>
              <w:rPr>
                <w:sz w:val="20"/>
              </w:rPr>
            </w:pPr>
            <w:r>
              <w:rPr>
                <w:sz w:val="20"/>
              </w:rPr>
              <w:t>188.85</w:t>
            </w:r>
          </w:p>
        </w:tc>
        <w:tc>
          <w:tcPr>
            <w:tcW w:w="1090" w:type="dxa"/>
            <w:tcBorders>
              <w:top w:val="single" w:color="auto" w:sz="4" w:space="0"/>
              <w:left w:val="nil"/>
              <w:bottom w:val="single" w:color="auto" w:sz="4" w:space="0"/>
              <w:right w:val="single" w:color="auto" w:sz="4" w:space="0"/>
            </w:tcBorders>
            <w:vAlign w:val="center"/>
          </w:tcPr>
          <w:p>
            <w:pPr>
              <w:jc w:val="center"/>
              <w:rPr>
                <w:sz w:val="20"/>
              </w:rPr>
            </w:pPr>
            <w:r>
              <w:rPr>
                <w:sz w:val="20"/>
              </w:rPr>
              <w:t>52.87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123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b/>
                <w:color w:val="000000"/>
                <w:kern w:val="0"/>
                <w:sz w:val="20"/>
              </w:rPr>
            </w:pPr>
            <w:r>
              <w:rPr>
                <w:rFonts w:eastAsia="仿宋_GB2312"/>
                <w:b/>
                <w:color w:val="000000"/>
                <w:kern w:val="0"/>
                <w:sz w:val="20"/>
              </w:rPr>
              <w:t>近五年平均值</w:t>
            </w:r>
          </w:p>
        </w:tc>
        <w:tc>
          <w:tcPr>
            <w:tcW w:w="870" w:type="dxa"/>
            <w:tcBorders>
              <w:top w:val="single" w:color="auto" w:sz="4" w:space="0"/>
              <w:left w:val="nil"/>
              <w:bottom w:val="single" w:color="auto" w:sz="4" w:space="0"/>
              <w:right w:val="single" w:color="auto" w:sz="4" w:space="0"/>
            </w:tcBorders>
            <w:vAlign w:val="center"/>
          </w:tcPr>
          <w:p>
            <w:pPr>
              <w:jc w:val="center"/>
              <w:rPr>
                <w:sz w:val="20"/>
              </w:rPr>
            </w:pPr>
            <w:r>
              <w:rPr>
                <w:sz w:val="20"/>
              </w:rPr>
              <w:t>783.31</w:t>
            </w:r>
          </w:p>
        </w:tc>
        <w:tc>
          <w:tcPr>
            <w:tcW w:w="870" w:type="dxa"/>
            <w:tcBorders>
              <w:top w:val="single" w:color="auto" w:sz="4" w:space="0"/>
              <w:left w:val="nil"/>
              <w:bottom w:val="single" w:color="auto" w:sz="4" w:space="0"/>
              <w:right w:val="single" w:color="auto" w:sz="4" w:space="0"/>
            </w:tcBorders>
            <w:vAlign w:val="center"/>
          </w:tcPr>
          <w:p>
            <w:pPr>
              <w:jc w:val="center"/>
              <w:rPr>
                <w:sz w:val="20"/>
              </w:rPr>
            </w:pPr>
            <w:r>
              <w:rPr>
                <w:sz w:val="20"/>
              </w:rPr>
              <w:t>139.63</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sz w:val="20"/>
              </w:rPr>
            </w:pPr>
            <w:r>
              <w:rPr>
                <w:sz w:val="20"/>
              </w:rPr>
              <w:t>48.54</w:t>
            </w:r>
          </w:p>
        </w:tc>
        <w:tc>
          <w:tcPr>
            <w:tcW w:w="870" w:type="dxa"/>
            <w:tcBorders>
              <w:top w:val="single" w:color="auto" w:sz="4" w:space="0"/>
              <w:left w:val="nil"/>
              <w:bottom w:val="single" w:color="auto" w:sz="4" w:space="0"/>
              <w:right w:val="single" w:color="auto" w:sz="4" w:space="0"/>
            </w:tcBorders>
            <w:vAlign w:val="center"/>
          </w:tcPr>
          <w:p>
            <w:pPr>
              <w:jc w:val="center"/>
              <w:rPr>
                <w:sz w:val="20"/>
              </w:rPr>
            </w:pPr>
            <w:r>
              <w:rPr>
                <w:sz w:val="20"/>
              </w:rPr>
              <w:t>243.25</w:t>
            </w:r>
          </w:p>
        </w:tc>
        <w:tc>
          <w:tcPr>
            <w:tcW w:w="870" w:type="dxa"/>
            <w:tcBorders>
              <w:top w:val="single" w:color="auto" w:sz="4" w:space="0"/>
              <w:left w:val="nil"/>
              <w:bottom w:val="single" w:color="auto" w:sz="4" w:space="0"/>
              <w:right w:val="single" w:color="auto" w:sz="4" w:space="0"/>
            </w:tcBorders>
            <w:vAlign w:val="center"/>
          </w:tcPr>
          <w:p>
            <w:pPr>
              <w:jc w:val="center"/>
              <w:rPr>
                <w:sz w:val="20"/>
              </w:rPr>
            </w:pPr>
            <w:r>
              <w:rPr>
                <w:sz w:val="20"/>
              </w:rPr>
              <w:t>91.03</w:t>
            </w:r>
          </w:p>
        </w:tc>
        <w:tc>
          <w:tcPr>
            <w:tcW w:w="870" w:type="dxa"/>
            <w:tcBorders>
              <w:top w:val="single" w:color="auto" w:sz="4" w:space="0"/>
              <w:left w:val="nil"/>
              <w:bottom w:val="single" w:color="auto" w:sz="4" w:space="0"/>
              <w:right w:val="single" w:color="auto" w:sz="4" w:space="0"/>
            </w:tcBorders>
            <w:vAlign w:val="center"/>
          </w:tcPr>
          <w:p>
            <w:pPr>
              <w:jc w:val="center"/>
              <w:rPr>
                <w:sz w:val="20"/>
              </w:rPr>
            </w:pPr>
            <w:r>
              <w:rPr>
                <w:sz w:val="20"/>
              </w:rPr>
              <w:t>211.95</w:t>
            </w:r>
          </w:p>
        </w:tc>
        <w:tc>
          <w:tcPr>
            <w:tcW w:w="870"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sz w:val="20"/>
              </w:rPr>
            </w:pPr>
            <w:r>
              <w:rPr>
                <w:rFonts w:eastAsia="Tahoma"/>
                <w:color w:val="000000"/>
                <w:kern w:val="0"/>
                <w:sz w:val="20"/>
                <w:lang/>
              </w:rPr>
              <w:t>2.</w:t>
            </w:r>
            <w:r>
              <w:rPr>
                <w:sz w:val="20"/>
              </w:rPr>
              <w:t>01</w:t>
            </w:r>
          </w:p>
        </w:tc>
        <w:tc>
          <w:tcPr>
            <w:tcW w:w="870" w:type="dxa"/>
            <w:tcBorders>
              <w:top w:val="single" w:color="auto" w:sz="4" w:space="0"/>
              <w:left w:val="nil"/>
              <w:bottom w:val="single" w:color="auto" w:sz="4" w:space="0"/>
              <w:right w:val="single" w:color="auto" w:sz="4" w:space="0"/>
            </w:tcBorders>
            <w:vAlign w:val="center"/>
          </w:tcPr>
          <w:p>
            <w:pPr>
              <w:jc w:val="center"/>
              <w:rPr>
                <w:sz w:val="20"/>
              </w:rPr>
            </w:pPr>
            <w:r>
              <w:rPr>
                <w:sz w:val="20"/>
              </w:rPr>
              <w:t>175.93</w:t>
            </w:r>
          </w:p>
        </w:tc>
        <w:tc>
          <w:tcPr>
            <w:tcW w:w="1090"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sz w:val="20"/>
              </w:rPr>
            </w:pPr>
            <w:r>
              <w:rPr>
                <w:rFonts w:eastAsia="Tahoma"/>
                <w:color w:val="000000"/>
                <w:kern w:val="0"/>
                <w:sz w:val="20"/>
                <w:lang/>
              </w:rPr>
              <w:t>10.</w:t>
            </w:r>
            <w:r>
              <w:rPr>
                <w:sz w:val="20"/>
              </w:rPr>
              <w:t>60</w:t>
            </w:r>
          </w:p>
        </w:tc>
      </w:tr>
    </w:tbl>
    <w:p>
      <w:pPr>
        <w:spacing w:line="360" w:lineRule="auto"/>
        <w:jc w:val="left"/>
        <w:rPr>
          <w:rFonts w:eastAsia="仿宋_GB2312"/>
          <w:szCs w:val="21"/>
        </w:rPr>
      </w:pPr>
      <w:r>
        <w:rPr>
          <w:rFonts w:eastAsia="仿宋_GB2312"/>
          <w:szCs w:val="21"/>
        </w:rPr>
        <w:t>备注：数据来源于土地市场动态监测与监管系统。</w:t>
      </w:r>
    </w:p>
    <w:p>
      <w:pPr>
        <w:spacing w:line="360" w:lineRule="auto"/>
        <w:ind w:firstLine="420" w:firstLineChars="200"/>
        <w:jc w:val="center"/>
        <w:rPr>
          <w:rFonts w:eastAsia="仿宋_GB2312"/>
          <w:sz w:val="28"/>
          <w:szCs w:val="28"/>
        </w:rPr>
      </w:pPr>
      <w:r>
        <w:rPr>
          <w:rFonts w:ascii="Times New Roman" w:hAnsi="Times New Roman" w:eastAsia="宋体" w:cs="Times New Roman"/>
          <w:kern w:val="2"/>
          <w:sz w:val="21"/>
          <w:lang w:val="en-US" w:eastAsia="zh-CN" w:bidi="ar-SA"/>
        </w:rPr>
        <w:pict>
          <v:shape id="图表 1" o:spid="_x0000_s1043" type="" style="height:208.55pt;width:360pt;rotation:0f;" o:ole="f" fillcolor="#FFFFFF" filled="t" o:preferrelative="t" stroked="t" coordorigin="0,0" coordsize="21600,21600">
            <v:stroke color="#000000" color2="#FFFFFF" miterlimit="2"/>
            <v:imagedata gain="65536f" blacklevel="0f" gamma="0"/>
            <o:lock v:ext="edit" position="f" selection="f" grouping="f" rotation="f" cropping="f" text="f" aspectratio="f"/>
            <w10:wrap type="none"/>
            <w10:anchorlock/>
          </v:shape>
        </w:pict>
      </w:r>
    </w:p>
    <w:p>
      <w:pPr>
        <w:spacing w:line="360" w:lineRule="auto"/>
        <w:jc w:val="center"/>
        <w:rPr>
          <w:b/>
          <w:sz w:val="22"/>
          <w:szCs w:val="22"/>
        </w:rPr>
      </w:pPr>
      <w:r>
        <w:rPr>
          <w:b/>
          <w:sz w:val="22"/>
          <w:szCs w:val="22"/>
        </w:rPr>
        <w:t>图1-2-1 长沙县2013-2017年土地供应总量变化情况</w:t>
      </w:r>
    </w:p>
    <w:p>
      <w:pPr>
        <w:spacing w:line="360" w:lineRule="auto"/>
        <w:ind w:firstLine="482" w:firstLineChars="200"/>
        <w:rPr>
          <w:b/>
          <w:sz w:val="24"/>
        </w:rPr>
      </w:pPr>
      <w:r>
        <w:rPr>
          <w:b/>
          <w:sz w:val="24"/>
        </w:rPr>
        <w:br w:type="page"/>
      </w:r>
      <w:r>
        <w:rPr>
          <w:b/>
          <w:sz w:val="24"/>
        </w:rPr>
        <w:t>2、土地供应结构情况分析</w:t>
      </w:r>
    </w:p>
    <w:p>
      <w:pPr>
        <w:spacing w:line="480" w:lineRule="exact"/>
        <w:ind w:firstLine="480" w:firstLineChars="200"/>
        <w:rPr>
          <w:sz w:val="24"/>
          <w:szCs w:val="22"/>
        </w:rPr>
      </w:pPr>
      <w:r>
        <w:rPr>
          <w:sz w:val="24"/>
          <w:szCs w:val="22"/>
        </w:rPr>
        <w:t>根据长沙县2013-2017年各类建设用地供应的平均值（图1-2-2）可知，长沙县近五年土地供应主要以矿工仓储用地、住宅用地和交通运输用地为主，受经济外向度低的影响，“十三五”时期长沙县的发展动力主要依靠工业和投资拉动，土地供应主要确保房地产市场用地需求及市政基础设施建设的用地需求，土地供应结构科学合理，保障了长沙县经济社会发展的用地需求。</w:t>
      </w:r>
    </w:p>
    <w:p>
      <w:pPr>
        <w:spacing w:line="360" w:lineRule="auto"/>
        <w:jc w:val="center"/>
        <w:rPr>
          <w:rFonts w:eastAsia="仿宋_GB2312"/>
          <w:sz w:val="28"/>
          <w:szCs w:val="28"/>
        </w:rPr>
      </w:pPr>
      <w:r>
        <w:rPr>
          <w:rFonts w:ascii="Times New Roman" w:hAnsi="Times New Roman" w:eastAsia="宋体" w:cs="Times New Roman"/>
          <w:kern w:val="2"/>
          <w:sz w:val="21"/>
          <w:lang w:val="en-US" w:eastAsia="zh-CN" w:bidi="ar-SA"/>
        </w:rPr>
        <w:pict>
          <v:shape id="图表 1" o:spid="_x0000_s1044" type="" style="height:216pt;width:360pt;rotation:0f;" o:ole="f" fillcolor="#FFFFFF" filled="t" o:preferrelative="t" stroked="t" coordorigin="0,0" coordsize="21600,21600">
            <v:stroke color="#000000" color2="#FFFFFF" miterlimit="2"/>
            <v:imagedata gain="65536f" blacklevel="0f" gamma="0"/>
            <o:lock v:ext="edit" position="f" selection="f" grouping="f" rotation="f" cropping="f" text="f" aspectratio="f"/>
            <w10:wrap type="none"/>
            <w10:anchorlock/>
          </v:shape>
        </w:pict>
      </w:r>
    </w:p>
    <w:p>
      <w:pPr>
        <w:spacing w:line="360" w:lineRule="auto"/>
        <w:jc w:val="center"/>
        <w:rPr>
          <w:b/>
          <w:sz w:val="22"/>
          <w:szCs w:val="22"/>
        </w:rPr>
      </w:pPr>
      <w:r>
        <w:rPr>
          <w:b/>
          <w:sz w:val="22"/>
          <w:szCs w:val="22"/>
        </w:rPr>
        <w:t>图1-2-2 长沙县2013-2017年各类建设用地供应的平均值</w:t>
      </w:r>
    </w:p>
    <w:p>
      <w:pPr>
        <w:shd w:val="clear" w:color="auto" w:fill="FFFFFF"/>
        <w:spacing w:line="360" w:lineRule="auto"/>
        <w:ind w:firstLine="560" w:firstLineChars="200"/>
        <w:jc w:val="left"/>
        <w:outlineLvl w:val="2"/>
        <w:rPr>
          <w:rFonts w:eastAsia="黑体"/>
          <w:sz w:val="28"/>
          <w:szCs w:val="28"/>
        </w:rPr>
      </w:pPr>
      <w:bookmarkStart w:id="81" w:name="_Toc470721262"/>
      <w:bookmarkStart w:id="82" w:name="_Toc469296411"/>
      <w:bookmarkStart w:id="83" w:name="_Toc6315"/>
      <w:bookmarkStart w:id="84" w:name="_Toc11043"/>
      <w:bookmarkStart w:id="85" w:name="_Toc467846805"/>
      <w:r>
        <w:rPr>
          <w:rFonts w:eastAsia="黑体"/>
          <w:sz w:val="28"/>
          <w:szCs w:val="28"/>
        </w:rPr>
        <w:t>二、房地市场状况分析</w:t>
      </w:r>
      <w:bookmarkEnd w:id="81"/>
      <w:bookmarkEnd w:id="82"/>
      <w:bookmarkEnd w:id="83"/>
      <w:bookmarkEnd w:id="84"/>
      <w:bookmarkEnd w:id="85"/>
    </w:p>
    <w:p>
      <w:pPr>
        <w:spacing w:line="480" w:lineRule="exact"/>
        <w:ind w:firstLine="480" w:firstLineChars="200"/>
        <w:rPr>
          <w:sz w:val="24"/>
          <w:szCs w:val="22"/>
        </w:rPr>
      </w:pPr>
      <w:r>
        <w:rPr>
          <w:sz w:val="24"/>
          <w:szCs w:val="22"/>
        </w:rPr>
        <w:t>2017年以来，长沙县房地产市场基本保持平稳运行，呈现房地产投资持续增长、效益持续向好、去库存效果明显的较好态势，同时也存在销售低位运行、开发商资金偏紧等问题。</w:t>
      </w:r>
    </w:p>
    <w:p>
      <w:pPr>
        <w:spacing w:line="480" w:lineRule="exact"/>
        <w:ind w:firstLine="480" w:firstLineChars="200"/>
        <w:rPr>
          <w:sz w:val="24"/>
          <w:szCs w:val="22"/>
        </w:rPr>
      </w:pPr>
      <w:r>
        <w:rPr>
          <w:rFonts w:ascii="Arial" w:hAnsi="Arial" w:cs="Arial"/>
          <w:color w:val="333333"/>
          <w:sz w:val="24"/>
          <w:szCs w:val="24"/>
          <w:shd w:val="clear" w:color="auto" w:fill="FFFFFF"/>
        </w:rPr>
        <w:t>自长沙市政府下发《关于进一步加强房地产市场调控工作的通知》以来，长沙县加强项目监管，加快房源入市，已建立全县所有在建在售楼盘清单。截至2019年8月，全县相继有259万平方米住宅上市；根据台账清单，从2018年8月至2019年8月，计划月均提供约25万平方米的住宅面积。同时，长沙县加强楼盘销售监管，维护市场秩序；落实房地产监管属地责任，调控工作取得了一定成效。</w:t>
      </w:r>
    </w:p>
    <w:p>
      <w:pPr>
        <w:spacing w:line="480" w:lineRule="exact"/>
        <w:ind w:firstLine="480" w:firstLineChars="200"/>
        <w:rPr>
          <w:sz w:val="24"/>
          <w:szCs w:val="22"/>
        </w:rPr>
      </w:pPr>
      <w:r>
        <w:rPr>
          <w:sz w:val="24"/>
          <w:szCs w:val="22"/>
        </w:rPr>
        <w:t>（一）房地产开发投资完成情况</w:t>
      </w:r>
    </w:p>
    <w:p>
      <w:pPr>
        <w:spacing w:line="480" w:lineRule="exact"/>
        <w:ind w:firstLine="480" w:firstLineChars="200"/>
        <w:rPr>
          <w:sz w:val="24"/>
          <w:szCs w:val="22"/>
        </w:rPr>
      </w:pPr>
      <w:r>
        <w:rPr>
          <w:sz w:val="24"/>
          <w:szCs w:val="22"/>
        </w:rPr>
        <w:t>2017年完成房地产开发投资166.9亿元，增长38.4%。其中，住宅投资83.1亿元，增长23.4%；商业营业用房投资42.4亿元，增长50.9%。商品房新开工面积385.3万平方米，增长25.3%；商品房施工面积1264.2万平方米，减少4%；竣工面积165.8万平方米，下降60.3%。</w:t>
      </w:r>
    </w:p>
    <w:p>
      <w:pPr>
        <w:spacing w:line="480" w:lineRule="exact"/>
        <w:ind w:firstLine="480" w:firstLineChars="200"/>
        <w:rPr>
          <w:sz w:val="24"/>
          <w:szCs w:val="22"/>
        </w:rPr>
      </w:pPr>
      <w:r>
        <w:rPr>
          <w:sz w:val="24"/>
          <w:szCs w:val="22"/>
        </w:rPr>
        <w:t>从工程用途来看，住宅、商业营业用房、办公楼、其它附属设施分别完成投资43亿元、16.7亿元、6亿元和9.5亿元，分别增长20.8%、28.5%、252.9%和-10.4%。住宅投资占房地产开发投资的比重为57.2%，同比下降1.3个百分点。</w:t>
      </w:r>
    </w:p>
    <w:p>
      <w:pPr>
        <w:spacing w:line="480" w:lineRule="exact"/>
        <w:ind w:firstLine="480" w:firstLineChars="200"/>
        <w:rPr>
          <w:sz w:val="24"/>
          <w:szCs w:val="22"/>
        </w:rPr>
      </w:pPr>
      <w:r>
        <w:rPr>
          <w:sz w:val="24"/>
          <w:szCs w:val="22"/>
        </w:rPr>
        <w:t>从区域来看，5个街道有房地产项目105个，完成投资70.2亿元，增长17.4%；13个乡镇有房地产项目14个，完成投资5亿元，增长355.8%。</w:t>
      </w:r>
    </w:p>
    <w:p>
      <w:pPr>
        <w:spacing w:line="480" w:lineRule="exact"/>
        <w:ind w:firstLine="480" w:firstLineChars="200"/>
        <w:rPr>
          <w:sz w:val="24"/>
          <w:szCs w:val="22"/>
        </w:rPr>
      </w:pPr>
      <w:r>
        <w:rPr>
          <w:sz w:val="24"/>
          <w:szCs w:val="22"/>
        </w:rPr>
        <w:t>（二）商品房销售情况</w:t>
      </w:r>
    </w:p>
    <w:p>
      <w:pPr>
        <w:spacing w:line="480" w:lineRule="exact"/>
        <w:ind w:firstLine="480" w:firstLineChars="200"/>
        <w:rPr>
          <w:sz w:val="24"/>
          <w:szCs w:val="22"/>
        </w:rPr>
      </w:pPr>
      <w:r>
        <w:rPr>
          <w:sz w:val="24"/>
          <w:szCs w:val="22"/>
        </w:rPr>
        <w:t>2017年全县全年商品房销售面积301.2万平方米，下降22.7%，其中住宅销售面积198.8万平方米，下降42.4 %。商品房成交金额95.1亿元，增长21.2%，其中住宅成交金额68.5亿元，与上年同期基本持平。商品房待售面积为162.5万平方米，减少25.6万平方米，下降13.6%。其中住宅待售面积23.2万平方米，减少45.4万平方米，下降66.2%；商业营业用房待售面积52.1万平方米，同比增长20.3%。</w:t>
      </w:r>
    </w:p>
    <w:p>
      <w:pPr>
        <w:spacing w:line="360" w:lineRule="auto"/>
        <w:jc w:val="center"/>
        <w:rPr>
          <w:b/>
          <w:sz w:val="22"/>
          <w:szCs w:val="22"/>
        </w:rPr>
      </w:pPr>
      <w:r>
        <w:rPr>
          <w:rFonts w:ascii="Times New Roman" w:hAnsi="Times New Roman" w:eastAsia="宋体" w:cs="Times New Roman"/>
          <w:b/>
          <w:kern w:val="2"/>
          <w:sz w:val="22"/>
          <w:szCs w:val="22"/>
          <w:lang w:val="en-US" w:eastAsia="zh-CN" w:bidi="ar-SA"/>
        </w:rPr>
        <w:pict>
          <v:shape id="图表 3" o:spid="_x0000_s1045" type="" style="position:absolute;left:0;margin-left:27.55pt;margin-top:2pt;height:213.25pt;width:360pt;mso-wrap-distance-bottom:0pt;mso-wrap-distance-top:0pt;rotation:0f;z-index:251722752;" o:ole="f" fillcolor="#FFFFFF" filled="t" o:preferrelative="t" stroked="t" coordorigin="0,0" coordsize="21600,21600">
            <v:stroke color="#000000" color2="#FFFFFF" miterlimit="2"/>
            <v:imagedata gain="65536f" blacklevel="0f" gamma="0"/>
            <o:lock v:ext="edit" position="f" selection="f" grouping="f" rotation="f" cropping="f" text="f" aspectratio="f"/>
            <w10:wrap type="topAndBottom"/>
          </v:shape>
        </w:pict>
      </w:r>
      <w:r>
        <w:rPr>
          <w:b/>
          <w:sz w:val="22"/>
          <w:szCs w:val="22"/>
        </w:rPr>
        <w:t>图1-2-</w:t>
      </w:r>
      <w:r>
        <w:rPr>
          <w:rFonts w:hint="eastAsia"/>
          <w:b/>
          <w:sz w:val="22"/>
          <w:szCs w:val="22"/>
        </w:rPr>
        <w:t xml:space="preserve">3 </w:t>
      </w:r>
      <w:r>
        <w:rPr>
          <w:b/>
          <w:sz w:val="22"/>
          <w:szCs w:val="22"/>
        </w:rPr>
        <w:t>长沙县2017年新房住宅签约套数</w:t>
      </w:r>
    </w:p>
    <w:p>
      <w:pPr>
        <w:spacing w:line="360" w:lineRule="auto"/>
        <w:jc w:val="center"/>
        <w:rPr>
          <w:b/>
          <w:sz w:val="22"/>
          <w:szCs w:val="22"/>
        </w:rPr>
      </w:pPr>
      <w:r>
        <w:rPr>
          <w:b/>
          <w:sz w:val="22"/>
          <w:szCs w:val="22"/>
        </w:rPr>
        <w:t>图1-2-</w:t>
      </w:r>
      <w:r>
        <w:rPr>
          <w:rFonts w:hint="eastAsia"/>
          <w:b/>
          <w:sz w:val="22"/>
          <w:szCs w:val="22"/>
        </w:rPr>
        <w:t xml:space="preserve">4 </w:t>
      </w:r>
      <w:r>
        <w:rPr>
          <w:b/>
          <w:sz w:val="22"/>
          <w:szCs w:val="22"/>
        </w:rPr>
        <w:t>长沙县2017年新房住宅签约</w:t>
      </w:r>
      <w:r>
        <w:rPr>
          <w:rFonts w:ascii="Times New Roman" w:hAnsi="Times New Roman" w:eastAsia="宋体" w:cs="Times New Roman"/>
          <w:kern w:val="2"/>
          <w:sz w:val="21"/>
          <w:lang w:val="en-US" w:eastAsia="zh-CN" w:bidi="ar-SA"/>
        </w:rPr>
        <w:pict>
          <v:shape id="图表 3" o:spid="_x0000_s1046" type="" style="position:absolute;left:0;margin-left:32.9pt;margin-top:18.75pt;height:196.45pt;width:360pt;mso-wrap-distance-bottom:0pt;mso-wrap-distance-top:0pt;rotation:0f;z-index:251723776;" o:ole="f" fillcolor="#FFFFFF" filled="t" o:preferrelative="t" stroked="t" coordorigin="0,0" coordsize="21600,21600">
            <v:stroke color="#000000" color2="#FFFFFF" miterlimit="2"/>
            <v:imagedata gain="65536f" blacklevel="0f" gamma="0"/>
            <o:lock v:ext="edit" position="f" selection="f" grouping="f" rotation="f" cropping="f" text="f" aspectratio="f"/>
            <w10:wrap type="topAndBottom"/>
          </v:shape>
        </w:pict>
      </w:r>
      <w:r>
        <w:rPr>
          <w:rFonts w:hint="eastAsia"/>
          <w:b/>
          <w:sz w:val="22"/>
          <w:szCs w:val="22"/>
        </w:rPr>
        <w:t>面积</w:t>
      </w:r>
    </w:p>
    <w:p>
      <w:pPr>
        <w:spacing w:line="480" w:lineRule="exact"/>
        <w:ind w:firstLine="480" w:firstLineChars="200"/>
        <w:rPr>
          <w:sz w:val="24"/>
          <w:szCs w:val="22"/>
        </w:rPr>
      </w:pPr>
      <w:r>
        <w:rPr>
          <w:sz w:val="24"/>
          <w:szCs w:val="22"/>
        </w:rPr>
        <w:t>（三）房地产市场交易情况</w:t>
      </w:r>
    </w:p>
    <w:p>
      <w:pPr>
        <w:spacing w:line="480" w:lineRule="exact"/>
        <w:ind w:firstLine="480" w:firstLineChars="200"/>
        <w:rPr>
          <w:sz w:val="24"/>
          <w:szCs w:val="22"/>
        </w:rPr>
      </w:pPr>
      <w:r>
        <w:rPr>
          <w:sz w:val="24"/>
          <w:szCs w:val="22"/>
        </w:rPr>
        <w:t>商品房交易价格上涨较快。</w:t>
      </w:r>
      <w:r>
        <w:rPr>
          <w:rFonts w:hint="eastAsia"/>
          <w:sz w:val="24"/>
          <w:szCs w:val="22"/>
        </w:rPr>
        <w:t>2017</w:t>
      </w:r>
      <w:r>
        <w:rPr>
          <w:sz w:val="24"/>
          <w:szCs w:val="22"/>
        </w:rPr>
        <w:t>年全县网签商品房平均价格6065元/㎡，同比增长9.5%，其中商品住宅平均价格5</w:t>
      </w:r>
      <w:r>
        <w:rPr>
          <w:rFonts w:hint="eastAsia"/>
          <w:sz w:val="24"/>
          <w:szCs w:val="22"/>
        </w:rPr>
        <w:t>367</w:t>
      </w:r>
      <w:r>
        <w:rPr>
          <w:sz w:val="24"/>
          <w:szCs w:val="22"/>
        </w:rPr>
        <w:t>元/㎡，增长7.6 %。二手房市场热度不减。二手房成交面积72.1万㎡，增长128.5 %，成交金额 29.3亿元，增长181.1 %，成交均价 4059 元/㎡，增长23 %；其中二手住宅成交69.6 万㎡，增长143.3%，成交金额28.3亿元，增长 190.8 %，占全部二手房成交面积的96.5 %。房地产市场效益稳步提升。上半年房地产开发用地招拍挂面积2.6万㎡，收入6.5亿元，成交均价165.2万元/亩，增长86.8%；完成房地产各种税收42.8亿元，增长246.5%；其中契税9.1亿元，增长16.1%；土地增值税5亿元，下降2.7%；增值税25.1亿元，所得税3.6亿元。</w:t>
      </w:r>
    </w:p>
    <w:p>
      <w:pPr>
        <w:widowControl/>
        <w:jc w:val="center"/>
        <w:rPr>
          <w:b/>
          <w:sz w:val="22"/>
          <w:szCs w:val="22"/>
        </w:rPr>
      </w:pPr>
      <w:bookmarkStart w:id="86" w:name="_Toc469296413"/>
      <w:bookmarkStart w:id="87" w:name="_Toc467846806"/>
      <w:bookmarkStart w:id="88" w:name="_Toc470721264"/>
      <w:r>
        <w:rPr>
          <w:b/>
          <w:sz w:val="22"/>
          <w:szCs w:val="22"/>
        </w:rPr>
        <w:t>图1-2-</w:t>
      </w:r>
      <w:r>
        <w:rPr>
          <w:rFonts w:hint="eastAsia"/>
          <w:b/>
          <w:sz w:val="22"/>
          <w:szCs w:val="22"/>
        </w:rPr>
        <w:t xml:space="preserve">5 </w:t>
      </w:r>
      <w:r>
        <w:rPr>
          <w:b/>
          <w:sz w:val="22"/>
          <w:szCs w:val="22"/>
        </w:rPr>
        <w:t>长沙县2017年新房住宅签约</w:t>
      </w:r>
      <w:r>
        <w:rPr>
          <w:rFonts w:ascii="Times New Roman" w:hAnsi="Times New Roman" w:eastAsia="宋体" w:cs="Times New Roman"/>
          <w:kern w:val="2"/>
          <w:sz w:val="21"/>
          <w:lang w:val="en-US" w:eastAsia="zh-CN" w:bidi="ar-SA"/>
        </w:rPr>
        <w:pict>
          <v:shape id="图表 6" o:spid="_x0000_s1047" type="" style="position:absolute;left:0;margin-left:39.45pt;margin-top:8.15pt;height:183.2pt;width:347.85pt;mso-wrap-distance-bottom:0pt;mso-wrap-distance-top:0pt;rotation:0f;z-index:251724800;" o:ole="f" fillcolor="#FFFFFF" filled="t" o:preferrelative="t" stroked="t" coordorigin="0,0" coordsize="21600,21600">
            <v:stroke color="#000000" color2="#FFFFFF" miterlimit="2"/>
            <v:imagedata gain="65536f" blacklevel="0f" gamma="0"/>
            <o:lock v:ext="edit" position="f" selection="f" grouping="f" rotation="f" cropping="f" text="f" aspectratio="f"/>
            <w10:wrap type="topAndBottom"/>
          </v:shape>
        </w:pict>
      </w:r>
      <w:r>
        <w:rPr>
          <w:rFonts w:hint="eastAsia"/>
          <w:b/>
          <w:sz w:val="22"/>
          <w:szCs w:val="22"/>
        </w:rPr>
        <w:t>均价</w:t>
      </w:r>
    </w:p>
    <w:p>
      <w:pPr>
        <w:widowControl/>
        <w:jc w:val="center"/>
        <w:outlineLvl w:val="1"/>
        <w:rPr>
          <w:rFonts w:eastAsia="黑体"/>
          <w:sz w:val="32"/>
          <w:szCs w:val="32"/>
        </w:rPr>
      </w:pPr>
      <w:bookmarkStart w:id="89" w:name="_Toc26956"/>
      <w:bookmarkStart w:id="90" w:name="_Toc31934"/>
      <w:bookmarkStart w:id="91" w:name="_Toc16174"/>
      <w:bookmarkStart w:id="92" w:name="_Toc4932"/>
      <w:r>
        <w:rPr>
          <w:rFonts w:eastAsia="黑体"/>
          <w:sz w:val="32"/>
          <w:szCs w:val="32"/>
        </w:rPr>
        <w:t>第三章  工作概况</w:t>
      </w:r>
      <w:bookmarkEnd w:id="86"/>
      <w:bookmarkEnd w:id="87"/>
      <w:bookmarkEnd w:id="88"/>
      <w:bookmarkEnd w:id="89"/>
      <w:bookmarkEnd w:id="90"/>
      <w:bookmarkEnd w:id="91"/>
      <w:bookmarkEnd w:id="92"/>
    </w:p>
    <w:p>
      <w:pPr>
        <w:shd w:val="clear" w:color="auto" w:fill="FFFFFF"/>
        <w:spacing w:line="360" w:lineRule="auto"/>
        <w:ind w:firstLine="560" w:firstLineChars="200"/>
        <w:outlineLvl w:val="2"/>
        <w:rPr>
          <w:rFonts w:eastAsia="黑体"/>
          <w:sz w:val="28"/>
          <w:szCs w:val="28"/>
        </w:rPr>
      </w:pPr>
      <w:bookmarkStart w:id="93" w:name="_Toc271529402"/>
      <w:bookmarkStart w:id="94" w:name="_Toc470721265"/>
      <w:bookmarkStart w:id="95" w:name="_Toc5971"/>
      <w:bookmarkStart w:id="96" w:name="_Toc469296414"/>
      <w:bookmarkStart w:id="97" w:name="_Toc467846807"/>
      <w:bookmarkStart w:id="98" w:name="_Toc32539"/>
      <w:r>
        <w:rPr>
          <w:rFonts w:eastAsia="黑体"/>
          <w:sz w:val="28"/>
          <w:szCs w:val="28"/>
        </w:rPr>
        <w:t>一、基准地价更新</w:t>
      </w:r>
      <w:bookmarkEnd w:id="93"/>
      <w:r>
        <w:rPr>
          <w:rFonts w:eastAsia="黑体"/>
          <w:sz w:val="28"/>
          <w:szCs w:val="28"/>
        </w:rPr>
        <w:t>必要性</w:t>
      </w:r>
      <w:bookmarkEnd w:id="94"/>
      <w:bookmarkEnd w:id="95"/>
      <w:bookmarkEnd w:id="96"/>
      <w:bookmarkEnd w:id="97"/>
      <w:bookmarkEnd w:id="98"/>
    </w:p>
    <w:p>
      <w:pPr>
        <w:spacing w:line="360" w:lineRule="auto"/>
        <w:ind w:firstLine="482" w:firstLineChars="200"/>
        <w:jc w:val="left"/>
        <w:outlineLvl w:val="3"/>
        <w:rPr>
          <w:b/>
          <w:sz w:val="24"/>
        </w:rPr>
      </w:pPr>
      <w:bookmarkStart w:id="99" w:name="_Toc346093192"/>
      <w:bookmarkStart w:id="100" w:name="_Toc422140081"/>
      <w:bookmarkStart w:id="101" w:name="_Toc346028641"/>
      <w:r>
        <w:rPr>
          <w:b/>
          <w:sz w:val="24"/>
        </w:rPr>
        <w:t>1、</w:t>
      </w:r>
      <w:bookmarkEnd w:id="99"/>
      <w:bookmarkEnd w:id="100"/>
      <w:bookmarkEnd w:id="101"/>
      <w:r>
        <w:rPr>
          <w:b/>
          <w:sz w:val="24"/>
        </w:rPr>
        <w:t>开展基准地价更新，是严格执行国家相关文件政策的现实要求</w:t>
      </w:r>
    </w:p>
    <w:p>
      <w:pPr>
        <w:spacing w:line="520" w:lineRule="exact"/>
        <w:ind w:firstLine="480" w:firstLineChars="200"/>
        <w:rPr>
          <w:sz w:val="24"/>
          <w:szCs w:val="24"/>
        </w:rPr>
      </w:pPr>
      <w:bookmarkStart w:id="102" w:name="_Toc422140082"/>
      <w:bookmarkStart w:id="103" w:name="_Toc346093194"/>
      <w:bookmarkStart w:id="104" w:name="_Toc419884390"/>
      <w:bookmarkStart w:id="105" w:name="_Toc346028643"/>
      <w:r>
        <w:rPr>
          <w:sz w:val="24"/>
          <w:szCs w:val="24"/>
        </w:rPr>
        <w:t>根据《国土资源部办公厅关于实施&lt;城镇土地分等定级规程&gt;和&lt;城镇土地估价规程&gt;有关问题的通知》(国土资厅发〔2015〕12号)和《国土资源部办公厅关于加强公示地价体系建设和管理有关问题的通知》（国土资厅发[2017]27号）文件要求, 市国土资源主管部门应严格按照规程，开展基准地价制订、更新和加强公示地价体系建设工作，基准地价每3年应全面更新一次。同时依据《关于限期完成城镇基准地价更新工作的通知》（湘国土资办发〔2018〕115号）文件要求，对于已超过三年未更新且未启动更新工作的地方要立即制定工作方案，超过三年未更新的基准地价，不得作为出让最低价标准确定的依据，不得作为宗地评估公示地价系数修正法的依据。长沙县现行基准地价更新成果估价基准日是2013年3月1日，至今已历时超过3年。因此急需更新长沙县基准地价，保持基准地价成果和宗地地价评估标准的现势性。</w:t>
      </w:r>
    </w:p>
    <w:bookmarkEnd w:id="102"/>
    <w:bookmarkEnd w:id="103"/>
    <w:bookmarkEnd w:id="104"/>
    <w:bookmarkEnd w:id="105"/>
    <w:p>
      <w:pPr>
        <w:spacing w:line="360" w:lineRule="auto"/>
        <w:ind w:firstLine="482" w:firstLineChars="200"/>
        <w:jc w:val="left"/>
        <w:outlineLvl w:val="3"/>
        <w:rPr>
          <w:b/>
          <w:sz w:val="24"/>
        </w:rPr>
      </w:pPr>
      <w:bookmarkStart w:id="106" w:name="_Toc427343260"/>
      <w:bookmarkStart w:id="107" w:name="_Toc271529396"/>
      <w:r>
        <w:rPr>
          <w:b/>
          <w:sz w:val="24"/>
        </w:rPr>
        <w:t>2、开展基准地价更新，是推动县域社会经济、发展的需要</w:t>
      </w:r>
    </w:p>
    <w:p>
      <w:pPr>
        <w:spacing w:line="480" w:lineRule="exact"/>
        <w:ind w:firstLine="480" w:firstLineChars="200"/>
        <w:rPr>
          <w:sz w:val="24"/>
          <w:szCs w:val="22"/>
        </w:rPr>
      </w:pPr>
      <w:r>
        <w:rPr>
          <w:sz w:val="24"/>
          <w:szCs w:val="22"/>
        </w:rPr>
        <w:t>2017长沙县全年实现地区生产总值1431.1亿元，全年完成固定资产投资955.9亿元，在全国县域经济基本竞争力、中国中小城市综合实力百强排名中。</w:t>
      </w:r>
    </w:p>
    <w:p>
      <w:pPr>
        <w:spacing w:line="520" w:lineRule="exact"/>
        <w:ind w:firstLine="480" w:firstLineChars="200"/>
        <w:rPr>
          <w:sz w:val="24"/>
          <w:szCs w:val="22"/>
        </w:rPr>
      </w:pPr>
      <w:r>
        <w:rPr>
          <w:sz w:val="24"/>
          <w:szCs w:val="22"/>
        </w:rPr>
        <w:t>而2013全年实现地区生产总值和全社会固定资产投资分别为</w:t>
      </w:r>
      <w:r>
        <w:rPr>
          <w:rFonts w:hint="eastAsia"/>
          <w:sz w:val="24"/>
          <w:szCs w:val="22"/>
        </w:rPr>
        <w:t>976</w:t>
      </w:r>
      <w:r>
        <w:rPr>
          <w:sz w:val="24"/>
          <w:szCs w:val="22"/>
        </w:rPr>
        <w:t>亿元和</w:t>
      </w:r>
      <w:r>
        <w:rPr>
          <w:rFonts w:hint="eastAsia"/>
          <w:sz w:val="24"/>
          <w:szCs w:val="22"/>
        </w:rPr>
        <w:t>650</w:t>
      </w:r>
      <w:r>
        <w:rPr>
          <w:sz w:val="24"/>
          <w:szCs w:val="22"/>
        </w:rPr>
        <w:t>亿元，时过四年，两项经济统计指标分别增长了4</w:t>
      </w:r>
      <w:r>
        <w:rPr>
          <w:rFonts w:hint="eastAsia"/>
          <w:sz w:val="24"/>
          <w:szCs w:val="22"/>
        </w:rPr>
        <w:t>6.63</w:t>
      </w:r>
      <w:r>
        <w:rPr>
          <w:sz w:val="24"/>
          <w:szCs w:val="22"/>
        </w:rPr>
        <w:t>%和</w:t>
      </w:r>
      <w:r>
        <w:rPr>
          <w:rFonts w:hint="eastAsia"/>
          <w:sz w:val="24"/>
          <w:szCs w:val="22"/>
        </w:rPr>
        <w:t>47.06</w:t>
      </w:r>
      <w:r>
        <w:rPr>
          <w:sz w:val="24"/>
          <w:szCs w:val="22"/>
        </w:rPr>
        <w:t>%。社会经济的快速发展，进一步刺激了土地的市场需求，提升了土地的市场价值，因此，原有的基准地价成果已不能准确反映县域土地价格的现实情况。</w:t>
      </w:r>
    </w:p>
    <w:p>
      <w:pPr>
        <w:spacing w:line="520" w:lineRule="exact"/>
        <w:ind w:firstLine="442" w:firstLineChars="200"/>
        <w:jc w:val="center"/>
        <w:rPr>
          <w:b/>
          <w:bCs/>
          <w:sz w:val="22"/>
          <w:szCs w:val="22"/>
        </w:rPr>
      </w:pPr>
      <w:r>
        <w:rPr>
          <w:b/>
          <w:bCs/>
          <w:sz w:val="22"/>
          <w:szCs w:val="18"/>
        </w:rPr>
        <w:t xml:space="preserve">表1-3-1  </w:t>
      </w:r>
      <w:r>
        <w:rPr>
          <w:rFonts w:hint="eastAsia"/>
          <w:b/>
          <w:bCs/>
          <w:sz w:val="22"/>
          <w:szCs w:val="18"/>
        </w:rPr>
        <w:t>长沙县</w:t>
      </w:r>
      <w:r>
        <w:rPr>
          <w:b/>
          <w:bCs/>
          <w:sz w:val="22"/>
          <w:szCs w:val="18"/>
        </w:rPr>
        <w:t>主要经济指标对比</w:t>
      </w:r>
    </w:p>
    <w:tbl>
      <w:tblP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3332"/>
        <w:gridCol w:w="3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858" w:type="dxa"/>
            <w:vAlign w:val="center"/>
          </w:tcPr>
          <w:p>
            <w:pPr>
              <w:widowControl/>
              <w:spacing w:line="360" w:lineRule="exact"/>
              <w:jc w:val="center"/>
              <w:rPr>
                <w:kern w:val="0"/>
                <w:sz w:val="20"/>
              </w:rPr>
            </w:pPr>
            <w:r>
              <w:rPr>
                <w:kern w:val="0"/>
                <w:sz w:val="20"/>
              </w:rPr>
              <w:t>经济指标</w:t>
            </w:r>
          </w:p>
        </w:tc>
        <w:tc>
          <w:tcPr>
            <w:tcW w:w="3332" w:type="dxa"/>
            <w:vAlign w:val="center"/>
          </w:tcPr>
          <w:p>
            <w:pPr>
              <w:widowControl/>
              <w:spacing w:line="360" w:lineRule="exact"/>
              <w:jc w:val="center"/>
              <w:rPr>
                <w:kern w:val="0"/>
                <w:sz w:val="20"/>
              </w:rPr>
            </w:pPr>
            <w:r>
              <w:rPr>
                <w:kern w:val="0"/>
                <w:sz w:val="20"/>
              </w:rPr>
              <w:t>GDP（亿元）</w:t>
            </w:r>
          </w:p>
        </w:tc>
        <w:tc>
          <w:tcPr>
            <w:tcW w:w="3332" w:type="dxa"/>
            <w:vAlign w:val="center"/>
          </w:tcPr>
          <w:p>
            <w:pPr>
              <w:widowControl/>
              <w:spacing w:line="360" w:lineRule="exact"/>
              <w:jc w:val="center"/>
              <w:rPr>
                <w:kern w:val="0"/>
                <w:sz w:val="20"/>
              </w:rPr>
            </w:pPr>
            <w:r>
              <w:rPr>
                <w:kern w:val="0"/>
                <w:sz w:val="20"/>
              </w:rPr>
              <w:t>固定资产投资（亿元）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858" w:type="dxa"/>
            <w:vAlign w:val="center"/>
          </w:tcPr>
          <w:p>
            <w:pPr>
              <w:widowControl/>
              <w:spacing w:line="360" w:lineRule="exact"/>
              <w:jc w:val="center"/>
              <w:rPr>
                <w:kern w:val="0"/>
                <w:sz w:val="20"/>
              </w:rPr>
            </w:pPr>
            <w:r>
              <w:rPr>
                <w:kern w:val="0"/>
                <w:sz w:val="20"/>
              </w:rPr>
              <w:t>2013年</w:t>
            </w:r>
          </w:p>
        </w:tc>
        <w:tc>
          <w:tcPr>
            <w:tcW w:w="3332" w:type="dxa"/>
            <w:vAlign w:val="center"/>
          </w:tcPr>
          <w:p>
            <w:pPr>
              <w:widowControl/>
              <w:spacing w:line="360" w:lineRule="exact"/>
              <w:jc w:val="center"/>
              <w:rPr>
                <w:kern w:val="0"/>
                <w:sz w:val="20"/>
              </w:rPr>
            </w:pPr>
            <w:r>
              <w:rPr>
                <w:rFonts w:hint="eastAsia"/>
                <w:kern w:val="0"/>
                <w:sz w:val="20"/>
              </w:rPr>
              <w:t>976</w:t>
            </w:r>
          </w:p>
        </w:tc>
        <w:tc>
          <w:tcPr>
            <w:tcW w:w="3332" w:type="dxa"/>
            <w:vAlign w:val="center"/>
          </w:tcPr>
          <w:p>
            <w:pPr>
              <w:widowControl/>
              <w:spacing w:line="360" w:lineRule="exact"/>
              <w:jc w:val="center"/>
              <w:rPr>
                <w:kern w:val="0"/>
                <w:sz w:val="20"/>
              </w:rPr>
            </w:pPr>
            <w:r>
              <w:rPr>
                <w:rFonts w:hint="eastAsia"/>
                <w:kern w:val="0"/>
                <w:sz w:val="20"/>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858" w:type="dxa"/>
            <w:vAlign w:val="center"/>
          </w:tcPr>
          <w:p>
            <w:pPr>
              <w:widowControl/>
              <w:spacing w:line="360" w:lineRule="exact"/>
              <w:jc w:val="center"/>
              <w:rPr>
                <w:kern w:val="0"/>
                <w:sz w:val="20"/>
              </w:rPr>
            </w:pPr>
            <w:r>
              <w:rPr>
                <w:kern w:val="0"/>
                <w:sz w:val="20"/>
              </w:rPr>
              <w:t>2017年</w:t>
            </w:r>
          </w:p>
        </w:tc>
        <w:tc>
          <w:tcPr>
            <w:tcW w:w="3332" w:type="dxa"/>
            <w:vAlign w:val="center"/>
          </w:tcPr>
          <w:p>
            <w:pPr>
              <w:widowControl/>
              <w:spacing w:line="360" w:lineRule="exact"/>
              <w:jc w:val="center"/>
              <w:rPr>
                <w:kern w:val="0"/>
                <w:sz w:val="20"/>
              </w:rPr>
            </w:pPr>
            <w:r>
              <w:rPr>
                <w:rFonts w:hint="eastAsia"/>
                <w:kern w:val="0"/>
                <w:sz w:val="20"/>
              </w:rPr>
              <w:t>1431.1</w:t>
            </w:r>
          </w:p>
        </w:tc>
        <w:tc>
          <w:tcPr>
            <w:tcW w:w="3332" w:type="dxa"/>
            <w:vAlign w:val="center"/>
          </w:tcPr>
          <w:p>
            <w:pPr>
              <w:widowControl/>
              <w:spacing w:line="360" w:lineRule="exact"/>
              <w:jc w:val="center"/>
              <w:rPr>
                <w:kern w:val="0"/>
                <w:sz w:val="20"/>
              </w:rPr>
            </w:pPr>
            <w:r>
              <w:rPr>
                <w:rFonts w:hint="eastAsia"/>
                <w:kern w:val="0"/>
                <w:sz w:val="20"/>
              </w:rPr>
              <w:t>955.9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858" w:type="dxa"/>
            <w:vAlign w:val="center"/>
          </w:tcPr>
          <w:p>
            <w:pPr>
              <w:widowControl/>
              <w:spacing w:line="360" w:lineRule="exact"/>
              <w:jc w:val="center"/>
              <w:rPr>
                <w:kern w:val="0"/>
                <w:sz w:val="20"/>
              </w:rPr>
            </w:pPr>
            <w:r>
              <w:rPr>
                <w:kern w:val="0"/>
                <w:sz w:val="20"/>
              </w:rPr>
              <w:t>增长幅度</w:t>
            </w:r>
          </w:p>
        </w:tc>
        <w:tc>
          <w:tcPr>
            <w:tcW w:w="3332" w:type="dxa"/>
            <w:vAlign w:val="center"/>
          </w:tcPr>
          <w:p>
            <w:pPr>
              <w:widowControl/>
              <w:spacing w:line="360" w:lineRule="exact"/>
              <w:jc w:val="center"/>
              <w:textAlignment w:val="center"/>
              <w:rPr>
                <w:kern w:val="0"/>
                <w:sz w:val="20"/>
              </w:rPr>
            </w:pPr>
            <w:r>
              <w:rPr>
                <w:rFonts w:hint="eastAsia" w:ascii="宋体" w:hAnsi="宋体" w:cs="宋体"/>
                <w:color w:val="000000"/>
                <w:kern w:val="0"/>
                <w:sz w:val="20"/>
                <w:lang/>
              </w:rPr>
              <w:t>46.63%</w:t>
            </w:r>
          </w:p>
        </w:tc>
        <w:tc>
          <w:tcPr>
            <w:tcW w:w="3332" w:type="dxa"/>
            <w:vAlign w:val="center"/>
          </w:tcPr>
          <w:p>
            <w:pPr>
              <w:widowControl/>
              <w:spacing w:line="360" w:lineRule="exact"/>
              <w:jc w:val="center"/>
              <w:textAlignment w:val="center"/>
              <w:rPr>
                <w:kern w:val="0"/>
                <w:sz w:val="20"/>
              </w:rPr>
            </w:pPr>
            <w:r>
              <w:rPr>
                <w:rFonts w:hint="eastAsia" w:ascii="宋体" w:hAnsi="宋体" w:cs="宋体"/>
                <w:color w:val="000000"/>
                <w:kern w:val="0"/>
                <w:sz w:val="20"/>
                <w:lang/>
              </w:rPr>
              <w:t>47.06%</w:t>
            </w:r>
          </w:p>
        </w:tc>
      </w:tr>
    </w:tbl>
    <w:p>
      <w:pPr>
        <w:spacing w:line="360" w:lineRule="auto"/>
        <w:ind w:firstLine="482" w:firstLineChars="200"/>
        <w:jc w:val="left"/>
        <w:outlineLvl w:val="3"/>
        <w:rPr>
          <w:b/>
          <w:sz w:val="24"/>
        </w:rPr>
      </w:pPr>
      <w:r>
        <w:rPr>
          <w:b/>
          <w:sz w:val="24"/>
        </w:rPr>
        <w:t>3、开展基准地价更新，是长沙县城镇快速发展的必然要求</w:t>
      </w:r>
    </w:p>
    <w:p>
      <w:pPr>
        <w:spacing w:line="480" w:lineRule="exact"/>
        <w:ind w:firstLine="480" w:firstLineChars="200"/>
        <w:rPr>
          <w:sz w:val="24"/>
          <w:szCs w:val="22"/>
        </w:rPr>
      </w:pPr>
      <w:r>
        <w:rPr>
          <w:sz w:val="24"/>
          <w:szCs w:val="22"/>
        </w:rPr>
        <w:t>长沙县地处长株潭“两型社会”综合配套改革试验区核心地带，是全国18个改革开放典型地区之一。从长沙县实际出发，在“十三五”规划“一化一城一区一地”的总体发展任务下，全面贯彻落实科学发展观，引导长沙县建设成为全国一流的经济强县，大长沙的次中心，宜居美誉的生态城市。</w:t>
      </w:r>
    </w:p>
    <w:p>
      <w:pPr>
        <w:spacing w:line="480" w:lineRule="exact"/>
        <w:ind w:firstLine="480" w:firstLineChars="200"/>
        <w:rPr>
          <w:sz w:val="24"/>
          <w:szCs w:val="22"/>
        </w:rPr>
      </w:pPr>
      <w:r>
        <w:rPr>
          <w:sz w:val="24"/>
          <w:szCs w:val="22"/>
        </w:rPr>
        <w:t>由于城乡建设的加速提质，交通网络逐步完善，浏醴高速、绕城高速东北东南段、长浏高速、人民东路东延线、万家丽北路北延线、黄兴大道北延线及南延线、东六线、金井大道、</w:t>
      </w:r>
      <w:r>
        <w:rPr>
          <w:rFonts w:hint="eastAsia"/>
          <w:sz w:val="24"/>
          <w:szCs w:val="22"/>
        </w:rPr>
        <w:t>轨道交通</w:t>
      </w:r>
      <w:r>
        <w:rPr>
          <w:sz w:val="24"/>
          <w:szCs w:val="22"/>
        </w:rPr>
        <w:t xml:space="preserve"> 2 号线、中低速磁悬浮专线建成通车；G107 星沙至青山铺段、S207 全线、S103 全线、路青线等国省县道以及开元西路、漓湘路、滨湖路、明月路、天华南路、东四线等市政干道完成提质改造；黄江公路东沿线拓改、黄花机场东扩、</w:t>
      </w:r>
      <w:r>
        <w:rPr>
          <w:rFonts w:hint="eastAsia"/>
          <w:sz w:val="24"/>
          <w:szCs w:val="22"/>
        </w:rPr>
        <w:t>轨道交通</w:t>
      </w:r>
      <w:r>
        <w:rPr>
          <w:sz w:val="24"/>
          <w:szCs w:val="22"/>
        </w:rPr>
        <w:t xml:space="preserve"> 3 号线、</w:t>
      </w:r>
      <w:r>
        <w:rPr>
          <w:rFonts w:hint="eastAsia"/>
          <w:sz w:val="24"/>
          <w:szCs w:val="22"/>
        </w:rPr>
        <w:t>轨道交通</w:t>
      </w:r>
      <w:r>
        <w:rPr>
          <w:sz w:val="24"/>
          <w:szCs w:val="22"/>
        </w:rPr>
        <w:t xml:space="preserve"> 4 号线等重大项目加快建设，提升了城市的品位和形象，拓展了城市发展的空间，显化和提升了土地的资产价值，因此急需更新基准地价。</w:t>
      </w:r>
      <w:bookmarkStart w:id="108" w:name="_Toc419796814"/>
      <w:bookmarkStart w:id="109" w:name="_Toc469475159"/>
      <w:bookmarkStart w:id="110" w:name="_Toc452880870"/>
      <w:bookmarkStart w:id="111" w:name="_Toc469476222"/>
      <w:bookmarkStart w:id="112" w:name="_Toc452923311"/>
    </w:p>
    <w:p>
      <w:pPr>
        <w:spacing w:line="360" w:lineRule="auto"/>
        <w:ind w:firstLine="482" w:firstLineChars="200"/>
        <w:jc w:val="left"/>
        <w:outlineLvl w:val="3"/>
        <w:rPr>
          <w:b/>
          <w:sz w:val="24"/>
        </w:rPr>
      </w:pPr>
      <w:r>
        <w:rPr>
          <w:b/>
          <w:sz w:val="24"/>
        </w:rPr>
        <w:t>4、开展基准地价更新，是长沙县行政区划调整和城市发展建设的现实需要</w:t>
      </w:r>
    </w:p>
    <w:p>
      <w:pPr>
        <w:spacing w:line="480" w:lineRule="exact"/>
        <w:ind w:firstLine="480" w:firstLineChars="200"/>
        <w:rPr>
          <w:sz w:val="24"/>
          <w:szCs w:val="22"/>
        </w:rPr>
      </w:pPr>
      <w:r>
        <w:rPr>
          <w:sz w:val="24"/>
          <w:szCs w:val="22"/>
        </w:rPr>
        <w:t>首先，根据中共长沙市委常委会会议纪要（[2014]第25次），经市委、市人民政府研究决定，已</w:t>
      </w:r>
      <w:r>
        <w:rPr>
          <w:rFonts w:hint="eastAsia"/>
          <w:sz w:val="24"/>
          <w:szCs w:val="22"/>
        </w:rPr>
        <w:t>将</w:t>
      </w:r>
      <w:r>
        <w:rPr>
          <w:sz w:val="24"/>
          <w:szCs w:val="22"/>
        </w:rPr>
        <w:t>长沙县暮云街道、南托街道和跳马镇划入长沙市区管辖，意味着长沙县本轮基准地价的更新范围也应相应调整；其次，2015年11月，根据《湖南省民政厅关于同意长沙县乡镇区划调整方案的批复》（湘民行发[2015]43号）和《长沙县人民政府关于调整长沙县部分乡镇行政区划的请示》（长政函[2015]82号），将长沙县进行行政区划调整。行政区划调整后，长沙县共减少3个乡级建制，现辖5个街道和13个镇。行政区划的调整，会促进全县经济区位的调整，为保持行政区划调整后，科学体现土地市场价值，应及时更新基准。</w:t>
      </w:r>
    </w:p>
    <w:p>
      <w:pPr>
        <w:spacing w:line="360" w:lineRule="auto"/>
        <w:ind w:firstLine="482" w:firstLineChars="200"/>
        <w:jc w:val="left"/>
        <w:outlineLvl w:val="3"/>
        <w:rPr>
          <w:b/>
          <w:sz w:val="24"/>
        </w:rPr>
      </w:pPr>
      <w:r>
        <w:rPr>
          <w:b/>
          <w:sz w:val="24"/>
        </w:rPr>
        <w:t>5、</w:t>
      </w:r>
      <w:bookmarkStart w:id="113" w:name="_Toc346028642"/>
      <w:bookmarkStart w:id="114" w:name="_Toc346093193"/>
      <w:bookmarkStart w:id="115" w:name="_Toc419796815"/>
      <w:bookmarkEnd w:id="108"/>
      <w:r>
        <w:rPr>
          <w:b/>
          <w:sz w:val="24"/>
        </w:rPr>
        <w:t>开展基准地价更新，是落实国家土地政策法规的重要措施</w:t>
      </w:r>
      <w:bookmarkEnd w:id="113"/>
      <w:bookmarkEnd w:id="114"/>
      <w:r>
        <w:rPr>
          <w:b/>
          <w:sz w:val="24"/>
        </w:rPr>
        <w:t>，也是土地管理的需要</w:t>
      </w:r>
      <w:bookmarkEnd w:id="109"/>
      <w:bookmarkEnd w:id="110"/>
      <w:bookmarkEnd w:id="111"/>
      <w:bookmarkEnd w:id="112"/>
      <w:bookmarkEnd w:id="115"/>
    </w:p>
    <w:p>
      <w:pPr>
        <w:spacing w:line="480" w:lineRule="exact"/>
        <w:ind w:firstLine="480" w:firstLineChars="200"/>
        <w:rPr>
          <w:sz w:val="24"/>
          <w:szCs w:val="22"/>
        </w:rPr>
      </w:pPr>
      <w:r>
        <w:rPr>
          <w:sz w:val="24"/>
          <w:szCs w:val="22"/>
        </w:rPr>
        <w:t>为落实国家宏观调控经济的土地政策，国务院和国土资源部出台了一系列严格土地管理的政策，其中在土地的供应政策和土地资源的充分和节约利用上尤其明确，特别是物权法对土地财产权的强化，对农用地转变为建设用地的明确划分，对旧城区房屋所有权的明确将大大促进我国土地一级市场的规范。上述政策表明，要达到充分和节约利用土地资源，落实好国家宏观调控政策的目的，调整地价，是用经济手段予以保障的根本措施。</w:t>
      </w:r>
      <w:bookmarkStart w:id="116" w:name="_Toc467846808"/>
      <w:bookmarkStart w:id="117" w:name="_Toc469296415"/>
      <w:bookmarkStart w:id="118" w:name="_Toc470721266"/>
    </w:p>
    <w:p>
      <w:pPr>
        <w:shd w:val="clear" w:color="auto" w:fill="FFFFFF"/>
        <w:spacing w:line="360" w:lineRule="auto"/>
        <w:ind w:firstLine="560" w:firstLineChars="200"/>
        <w:outlineLvl w:val="2"/>
        <w:rPr>
          <w:rFonts w:eastAsia="黑体"/>
          <w:sz w:val="28"/>
          <w:szCs w:val="28"/>
        </w:rPr>
      </w:pPr>
      <w:bookmarkStart w:id="119" w:name="_Toc3103"/>
      <w:bookmarkStart w:id="120" w:name="_Toc11434"/>
      <w:r>
        <w:rPr>
          <w:rFonts w:eastAsia="黑体"/>
          <w:sz w:val="28"/>
          <w:szCs w:val="28"/>
        </w:rPr>
        <w:t>二、</w:t>
      </w:r>
      <w:bookmarkEnd w:id="106"/>
      <w:bookmarkEnd w:id="107"/>
      <w:r>
        <w:rPr>
          <w:rFonts w:eastAsia="黑体"/>
          <w:sz w:val="28"/>
          <w:szCs w:val="28"/>
        </w:rPr>
        <w:t>上一轮基准地价实施情况评价</w:t>
      </w:r>
      <w:bookmarkEnd w:id="116"/>
      <w:bookmarkEnd w:id="117"/>
      <w:bookmarkEnd w:id="118"/>
      <w:bookmarkEnd w:id="119"/>
      <w:bookmarkEnd w:id="120"/>
    </w:p>
    <w:p>
      <w:pPr>
        <w:spacing w:line="360" w:lineRule="auto"/>
        <w:ind w:firstLine="482" w:firstLineChars="200"/>
        <w:jc w:val="left"/>
        <w:outlineLvl w:val="3"/>
        <w:rPr>
          <w:b/>
          <w:sz w:val="24"/>
        </w:rPr>
      </w:pPr>
      <w:bookmarkStart w:id="121" w:name="_Toc213589773"/>
      <w:bookmarkStart w:id="122" w:name="_Toc248305577"/>
      <w:bookmarkStart w:id="123" w:name="_Toc271529397"/>
      <w:bookmarkStart w:id="124" w:name="_Toc248306014"/>
      <w:r>
        <w:rPr>
          <w:b/>
          <w:sz w:val="24"/>
        </w:rPr>
        <w:t>1、基准地价的内涵</w:t>
      </w:r>
      <w:bookmarkEnd w:id="121"/>
      <w:bookmarkEnd w:id="122"/>
      <w:bookmarkEnd w:id="123"/>
      <w:bookmarkEnd w:id="124"/>
    </w:p>
    <w:p>
      <w:pPr>
        <w:spacing w:line="480" w:lineRule="exact"/>
        <w:ind w:firstLine="480" w:firstLineChars="200"/>
        <w:rPr>
          <w:sz w:val="24"/>
          <w:szCs w:val="22"/>
        </w:rPr>
      </w:pPr>
      <w:bookmarkStart w:id="125" w:name="_Toc248305578"/>
      <w:bookmarkStart w:id="126" w:name="_Toc213589774"/>
      <w:bookmarkStart w:id="127" w:name="_Toc248306015"/>
      <w:bookmarkStart w:id="128" w:name="_Toc271529398"/>
      <w:r>
        <w:rPr>
          <w:sz w:val="24"/>
          <w:szCs w:val="22"/>
        </w:rPr>
        <w:t>2013年度长沙县基准地价评估范围进行的是城区与乡镇规划区覆盖，包括暮云镇、黄花镇、黄兴镇、暮云镇、金井镇、江背镇、青山铺镇、安沙镇、福临镇、北山镇、果园镇、春华镇、跳马镇、开慧乡、高桥镇、双江镇、干杉镇、路口镇、白沙乡。等19个乡镇。2013年度基准地价评估所对应的地价内涵如表所示。 “五通”是指宗地红线外通路、供水、排水、通电和通讯，“一平”是指宗地红线内土地平整。</w:t>
      </w:r>
    </w:p>
    <w:p>
      <w:pPr>
        <w:spacing w:line="460" w:lineRule="exact"/>
        <w:jc w:val="center"/>
        <w:rPr>
          <w:b/>
          <w:sz w:val="24"/>
        </w:rPr>
      </w:pPr>
      <w:r>
        <w:rPr>
          <w:b/>
          <w:sz w:val="24"/>
        </w:rPr>
        <w:t>表 1-3-</w:t>
      </w:r>
      <w:r>
        <w:rPr>
          <w:rFonts w:hint="eastAsia"/>
          <w:b/>
          <w:sz w:val="24"/>
        </w:rPr>
        <w:t>2</w:t>
      </w:r>
      <w:r>
        <w:rPr>
          <w:b/>
          <w:sz w:val="24"/>
        </w:rPr>
        <w:t xml:space="preserve">  长沙县基准地价内涵</w:t>
      </w:r>
    </w:p>
    <w:tbl>
      <w:tblPr>
        <w:tblW w:w="9080" w:type="dxa"/>
        <w:jc w:val="center"/>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6"/>
        <w:gridCol w:w="1080"/>
        <w:gridCol w:w="1080"/>
        <w:gridCol w:w="958"/>
        <w:gridCol w:w="1080"/>
        <w:gridCol w:w="905"/>
        <w:gridCol w:w="1080"/>
        <w:gridCol w:w="1080"/>
        <w:gridCol w:w="9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66"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bCs/>
                <w:color w:val="000000"/>
                <w:kern w:val="0"/>
                <w:szCs w:val="21"/>
              </w:rPr>
            </w:pPr>
            <w:r>
              <w:rPr>
                <w:b/>
                <w:bCs/>
                <w:color w:val="000000"/>
                <w:kern w:val="0"/>
                <w:szCs w:val="21"/>
              </w:rPr>
              <w:t>级 别</w:t>
            </w:r>
          </w:p>
        </w:tc>
        <w:tc>
          <w:tcPr>
            <w:tcW w:w="1080"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bCs/>
                <w:color w:val="000000"/>
                <w:kern w:val="0"/>
                <w:szCs w:val="21"/>
              </w:rPr>
            </w:pPr>
            <w:r>
              <w:rPr>
                <w:b/>
                <w:bCs/>
                <w:color w:val="000000"/>
                <w:kern w:val="0"/>
                <w:szCs w:val="21"/>
              </w:rPr>
              <w:t>土地权利</w:t>
            </w:r>
          </w:p>
        </w:tc>
        <w:tc>
          <w:tcPr>
            <w:tcW w:w="2038" w:type="dxa"/>
            <w:gridSpan w:val="2"/>
            <w:tcBorders>
              <w:top w:val="single" w:color="auto" w:sz="4" w:space="0"/>
              <w:left w:val="nil"/>
              <w:bottom w:val="single" w:color="auto" w:sz="4" w:space="0"/>
              <w:right w:val="single" w:color="000000" w:sz="4" w:space="0"/>
            </w:tcBorders>
            <w:vAlign w:val="center"/>
          </w:tcPr>
          <w:p>
            <w:pPr>
              <w:widowControl/>
              <w:jc w:val="center"/>
              <w:rPr>
                <w:b/>
                <w:bCs/>
                <w:color w:val="000000"/>
                <w:kern w:val="0"/>
                <w:sz w:val="22"/>
                <w:szCs w:val="22"/>
              </w:rPr>
            </w:pPr>
            <w:r>
              <w:rPr>
                <w:b/>
                <w:bCs/>
                <w:color w:val="000000"/>
                <w:kern w:val="0"/>
                <w:sz w:val="22"/>
                <w:szCs w:val="22"/>
              </w:rPr>
              <w:t>商服</w:t>
            </w:r>
          </w:p>
        </w:tc>
        <w:tc>
          <w:tcPr>
            <w:tcW w:w="1985" w:type="dxa"/>
            <w:gridSpan w:val="2"/>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住宅</w:t>
            </w:r>
          </w:p>
        </w:tc>
        <w:tc>
          <w:tcPr>
            <w:tcW w:w="1080"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工矿仓储</w:t>
            </w:r>
          </w:p>
        </w:tc>
        <w:tc>
          <w:tcPr>
            <w:tcW w:w="1080"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bCs/>
                <w:color w:val="000000"/>
                <w:kern w:val="0"/>
                <w:szCs w:val="21"/>
              </w:rPr>
            </w:pPr>
            <w:r>
              <w:rPr>
                <w:b/>
                <w:bCs/>
                <w:color w:val="000000"/>
                <w:kern w:val="0"/>
                <w:szCs w:val="21"/>
              </w:rPr>
              <w:t>开发程度</w:t>
            </w:r>
          </w:p>
        </w:tc>
        <w:tc>
          <w:tcPr>
            <w:tcW w:w="951"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hint="eastAsia" w:eastAsia="宋体"/>
                <w:b/>
                <w:bCs/>
                <w:color w:val="000000"/>
                <w:kern w:val="0"/>
                <w:szCs w:val="21"/>
                <w:lang w:eastAsia="zh-CN"/>
              </w:rPr>
            </w:pPr>
            <w:r>
              <w:rPr>
                <w:rFonts w:hint="eastAsia"/>
                <w:b/>
                <w:bCs/>
                <w:color w:val="000000"/>
                <w:kern w:val="0"/>
                <w:szCs w:val="21"/>
                <w:lang w:eastAsia="zh-CN"/>
              </w:rPr>
              <w:t>基准日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6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b/>
                <w:bCs/>
                <w:color w:val="000000"/>
                <w:kern w:val="0"/>
                <w:szCs w:val="21"/>
              </w:rPr>
            </w:pPr>
          </w:p>
        </w:tc>
        <w:tc>
          <w:tcPr>
            <w:tcW w:w="108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b/>
                <w:bCs/>
                <w:color w:val="000000"/>
                <w:kern w:val="0"/>
                <w:szCs w:val="21"/>
              </w:rPr>
            </w:pPr>
          </w:p>
        </w:tc>
        <w:tc>
          <w:tcPr>
            <w:tcW w:w="1080" w:type="dxa"/>
            <w:tcBorders>
              <w:top w:val="nil"/>
              <w:left w:val="nil"/>
              <w:bottom w:val="nil"/>
              <w:right w:val="single" w:color="auto" w:sz="4" w:space="0"/>
            </w:tcBorders>
            <w:vAlign w:val="center"/>
          </w:tcPr>
          <w:p>
            <w:pPr>
              <w:widowControl/>
              <w:jc w:val="center"/>
              <w:rPr>
                <w:b/>
                <w:bCs/>
                <w:color w:val="000000"/>
                <w:kern w:val="0"/>
                <w:szCs w:val="21"/>
              </w:rPr>
            </w:pPr>
            <w:r>
              <w:rPr>
                <w:b/>
                <w:bCs/>
                <w:color w:val="000000"/>
                <w:kern w:val="0"/>
                <w:szCs w:val="21"/>
              </w:rPr>
              <w:t>使用年期</w:t>
            </w:r>
          </w:p>
        </w:tc>
        <w:tc>
          <w:tcPr>
            <w:tcW w:w="958" w:type="dxa"/>
            <w:tcBorders>
              <w:top w:val="nil"/>
              <w:left w:val="nil"/>
              <w:bottom w:val="nil"/>
              <w:right w:val="single" w:color="auto" w:sz="4" w:space="0"/>
            </w:tcBorders>
            <w:vAlign w:val="center"/>
          </w:tcPr>
          <w:p>
            <w:pPr>
              <w:widowControl/>
              <w:jc w:val="center"/>
              <w:rPr>
                <w:b/>
                <w:bCs/>
                <w:color w:val="000000"/>
                <w:kern w:val="0"/>
                <w:szCs w:val="21"/>
              </w:rPr>
            </w:pPr>
            <w:r>
              <w:rPr>
                <w:b/>
                <w:bCs/>
                <w:color w:val="000000"/>
                <w:kern w:val="0"/>
                <w:szCs w:val="21"/>
              </w:rPr>
              <w:t>容积率</w:t>
            </w:r>
          </w:p>
        </w:tc>
        <w:tc>
          <w:tcPr>
            <w:tcW w:w="1080" w:type="dxa"/>
            <w:tcBorders>
              <w:top w:val="nil"/>
              <w:left w:val="nil"/>
              <w:bottom w:val="nil"/>
              <w:right w:val="single" w:color="auto" w:sz="4" w:space="0"/>
            </w:tcBorders>
            <w:vAlign w:val="center"/>
          </w:tcPr>
          <w:p>
            <w:pPr>
              <w:widowControl/>
              <w:jc w:val="center"/>
              <w:rPr>
                <w:b/>
                <w:bCs/>
                <w:color w:val="000000"/>
                <w:kern w:val="0"/>
                <w:szCs w:val="21"/>
              </w:rPr>
            </w:pPr>
            <w:r>
              <w:rPr>
                <w:b/>
                <w:bCs/>
                <w:color w:val="000000"/>
                <w:kern w:val="0"/>
                <w:szCs w:val="21"/>
              </w:rPr>
              <w:t>使用年期</w:t>
            </w:r>
          </w:p>
        </w:tc>
        <w:tc>
          <w:tcPr>
            <w:tcW w:w="905" w:type="dxa"/>
            <w:tcBorders>
              <w:top w:val="nil"/>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容积率</w:t>
            </w:r>
          </w:p>
        </w:tc>
        <w:tc>
          <w:tcPr>
            <w:tcW w:w="1080" w:type="dxa"/>
            <w:tcBorders>
              <w:top w:val="nil"/>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使用年期</w:t>
            </w:r>
          </w:p>
        </w:tc>
        <w:tc>
          <w:tcPr>
            <w:tcW w:w="108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b/>
                <w:bCs/>
                <w:color w:val="000000"/>
                <w:kern w:val="0"/>
                <w:szCs w:val="21"/>
              </w:rPr>
            </w:pPr>
          </w:p>
        </w:tc>
        <w:tc>
          <w:tcPr>
            <w:tcW w:w="95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b/>
                <w:bCs/>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866"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Ⅰ</w:t>
            </w:r>
          </w:p>
        </w:tc>
        <w:tc>
          <w:tcPr>
            <w:tcW w:w="1080" w:type="dxa"/>
            <w:tcBorders>
              <w:top w:val="nil"/>
              <w:left w:val="nil"/>
              <w:bottom w:val="single" w:color="auto" w:sz="4" w:space="0"/>
              <w:right w:val="nil"/>
            </w:tcBorders>
            <w:vAlign w:val="center"/>
          </w:tcPr>
          <w:p>
            <w:pPr>
              <w:widowControl/>
              <w:spacing w:line="280" w:lineRule="exact"/>
              <w:jc w:val="center"/>
              <w:rPr>
                <w:color w:val="000000"/>
                <w:kern w:val="0"/>
                <w:szCs w:val="21"/>
              </w:rPr>
            </w:pPr>
            <w:r>
              <w:rPr>
                <w:color w:val="000000"/>
                <w:kern w:val="0"/>
                <w:szCs w:val="21"/>
              </w:rPr>
              <w:t>出让土地使用权</w:t>
            </w:r>
          </w:p>
        </w:tc>
        <w:tc>
          <w:tcPr>
            <w:tcW w:w="1080" w:type="dxa"/>
            <w:tcBorders>
              <w:top w:val="single" w:color="auto" w:sz="4" w:space="0"/>
              <w:left w:val="single" w:color="auto" w:sz="4" w:space="0"/>
              <w:bottom w:val="single" w:color="auto" w:sz="4" w:space="0"/>
              <w:right w:val="nil"/>
            </w:tcBorders>
            <w:vAlign w:val="center"/>
          </w:tcPr>
          <w:p>
            <w:pPr>
              <w:widowControl/>
              <w:jc w:val="center"/>
              <w:rPr>
                <w:kern w:val="0"/>
                <w:szCs w:val="21"/>
              </w:rPr>
            </w:pPr>
            <w:r>
              <w:rPr>
                <w:kern w:val="0"/>
                <w:szCs w:val="21"/>
              </w:rPr>
              <w:t>40</w:t>
            </w:r>
          </w:p>
        </w:tc>
        <w:tc>
          <w:tcPr>
            <w:tcW w:w="958"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szCs w:val="21"/>
              </w:rPr>
            </w:pPr>
            <w:r>
              <w:rPr>
                <w:kern w:val="0"/>
                <w:szCs w:val="21"/>
              </w:rPr>
              <w:t>2.8</w:t>
            </w:r>
          </w:p>
        </w:tc>
        <w:tc>
          <w:tcPr>
            <w:tcW w:w="1080" w:type="dxa"/>
            <w:tcBorders>
              <w:top w:val="single" w:color="auto" w:sz="4" w:space="0"/>
              <w:left w:val="nil"/>
              <w:bottom w:val="single" w:color="auto" w:sz="4" w:space="0"/>
              <w:right w:val="single" w:color="auto" w:sz="4" w:space="0"/>
            </w:tcBorders>
            <w:vAlign w:val="center"/>
          </w:tcPr>
          <w:p>
            <w:pPr>
              <w:widowControl/>
              <w:jc w:val="center"/>
              <w:rPr>
                <w:kern w:val="0"/>
                <w:szCs w:val="21"/>
              </w:rPr>
            </w:pPr>
            <w:r>
              <w:rPr>
                <w:kern w:val="0"/>
                <w:szCs w:val="21"/>
              </w:rPr>
              <w:t>70</w:t>
            </w:r>
          </w:p>
        </w:tc>
        <w:tc>
          <w:tcPr>
            <w:tcW w:w="905" w:type="dxa"/>
            <w:tcBorders>
              <w:top w:val="nil"/>
              <w:left w:val="nil"/>
              <w:bottom w:val="single" w:color="auto" w:sz="4" w:space="0"/>
              <w:right w:val="single" w:color="auto" w:sz="4" w:space="0"/>
            </w:tcBorders>
            <w:vAlign w:val="center"/>
          </w:tcPr>
          <w:p>
            <w:pPr>
              <w:shd w:val="clear" w:color="auto" w:fill="FFFFFF"/>
              <w:ind w:left="-105" w:leftChars="-50" w:right="-105" w:rightChars="-50"/>
              <w:jc w:val="center"/>
              <w:rPr>
                <w:szCs w:val="21"/>
              </w:rPr>
            </w:pPr>
            <w:r>
              <w:rPr>
                <w:kern w:val="0"/>
                <w:szCs w:val="21"/>
              </w:rPr>
              <w:t>2.4</w:t>
            </w:r>
          </w:p>
        </w:tc>
        <w:tc>
          <w:tcPr>
            <w:tcW w:w="1080"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50</w:t>
            </w: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五通一平</w:t>
            </w:r>
          </w:p>
        </w:tc>
        <w:tc>
          <w:tcPr>
            <w:tcW w:w="951"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2013.3.1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866"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Ⅱ</w:t>
            </w:r>
          </w:p>
        </w:tc>
        <w:tc>
          <w:tcPr>
            <w:tcW w:w="1080" w:type="dxa"/>
            <w:tcBorders>
              <w:top w:val="nil"/>
              <w:left w:val="nil"/>
              <w:bottom w:val="single" w:color="auto" w:sz="4" w:space="0"/>
              <w:right w:val="nil"/>
            </w:tcBorders>
            <w:vAlign w:val="center"/>
          </w:tcPr>
          <w:p>
            <w:pPr>
              <w:widowControl/>
              <w:spacing w:line="280" w:lineRule="exact"/>
              <w:jc w:val="center"/>
              <w:rPr>
                <w:color w:val="000000"/>
                <w:kern w:val="0"/>
                <w:szCs w:val="21"/>
              </w:rPr>
            </w:pPr>
            <w:r>
              <w:rPr>
                <w:color w:val="000000"/>
                <w:kern w:val="0"/>
                <w:szCs w:val="21"/>
              </w:rPr>
              <w:t>出让土地使用权</w:t>
            </w:r>
          </w:p>
        </w:tc>
        <w:tc>
          <w:tcPr>
            <w:tcW w:w="1080" w:type="dxa"/>
            <w:tcBorders>
              <w:top w:val="nil"/>
              <w:left w:val="single" w:color="auto" w:sz="4" w:space="0"/>
              <w:bottom w:val="single" w:color="auto" w:sz="4" w:space="0"/>
              <w:right w:val="nil"/>
            </w:tcBorders>
            <w:vAlign w:val="center"/>
          </w:tcPr>
          <w:p>
            <w:pPr>
              <w:widowControl/>
              <w:jc w:val="center"/>
              <w:rPr>
                <w:kern w:val="0"/>
                <w:szCs w:val="21"/>
              </w:rPr>
            </w:pPr>
            <w:r>
              <w:rPr>
                <w:kern w:val="0"/>
                <w:szCs w:val="21"/>
              </w:rPr>
              <w:t>40</w:t>
            </w:r>
          </w:p>
        </w:tc>
        <w:tc>
          <w:tcPr>
            <w:tcW w:w="958" w:type="dxa"/>
            <w:tcBorders>
              <w:top w:val="nil"/>
              <w:left w:val="single" w:color="auto" w:sz="4" w:space="0"/>
              <w:bottom w:val="single" w:color="auto" w:sz="4" w:space="0"/>
              <w:right w:val="single" w:color="auto" w:sz="4" w:space="0"/>
            </w:tcBorders>
            <w:vAlign w:val="center"/>
          </w:tcPr>
          <w:p>
            <w:pPr>
              <w:widowControl/>
              <w:shd w:val="clear" w:color="auto" w:fill="FFFFFF"/>
              <w:jc w:val="center"/>
              <w:rPr>
                <w:szCs w:val="21"/>
              </w:rPr>
            </w:pPr>
            <w:r>
              <w:rPr>
                <w:kern w:val="0"/>
                <w:szCs w:val="21"/>
              </w:rPr>
              <w:t>2.5</w:t>
            </w:r>
          </w:p>
        </w:tc>
        <w:tc>
          <w:tcPr>
            <w:tcW w:w="1080"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70</w:t>
            </w:r>
          </w:p>
        </w:tc>
        <w:tc>
          <w:tcPr>
            <w:tcW w:w="905" w:type="dxa"/>
            <w:tcBorders>
              <w:top w:val="nil"/>
              <w:left w:val="nil"/>
              <w:bottom w:val="single" w:color="auto" w:sz="4" w:space="0"/>
              <w:right w:val="single" w:color="auto" w:sz="4" w:space="0"/>
            </w:tcBorders>
            <w:vAlign w:val="center"/>
          </w:tcPr>
          <w:p>
            <w:pPr>
              <w:shd w:val="clear" w:color="auto" w:fill="FFFFFF"/>
              <w:ind w:left="-105" w:leftChars="-50" w:right="-105" w:rightChars="-50"/>
              <w:jc w:val="center"/>
              <w:rPr>
                <w:szCs w:val="21"/>
              </w:rPr>
            </w:pPr>
            <w:r>
              <w:rPr>
                <w:kern w:val="0"/>
                <w:szCs w:val="21"/>
              </w:rPr>
              <w:t>2.2</w:t>
            </w:r>
          </w:p>
        </w:tc>
        <w:tc>
          <w:tcPr>
            <w:tcW w:w="1080"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50</w:t>
            </w: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五通一平</w:t>
            </w:r>
          </w:p>
        </w:tc>
        <w:tc>
          <w:tcPr>
            <w:tcW w:w="951"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2013.3.1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866"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Ⅲ</w:t>
            </w:r>
          </w:p>
        </w:tc>
        <w:tc>
          <w:tcPr>
            <w:tcW w:w="1080" w:type="dxa"/>
            <w:tcBorders>
              <w:top w:val="nil"/>
              <w:left w:val="nil"/>
              <w:bottom w:val="single" w:color="auto" w:sz="4" w:space="0"/>
              <w:right w:val="nil"/>
            </w:tcBorders>
            <w:vAlign w:val="center"/>
          </w:tcPr>
          <w:p>
            <w:pPr>
              <w:widowControl/>
              <w:spacing w:line="280" w:lineRule="exact"/>
              <w:jc w:val="center"/>
              <w:rPr>
                <w:color w:val="000000"/>
                <w:kern w:val="0"/>
                <w:szCs w:val="21"/>
              </w:rPr>
            </w:pPr>
            <w:r>
              <w:rPr>
                <w:color w:val="000000"/>
                <w:kern w:val="0"/>
                <w:szCs w:val="21"/>
              </w:rPr>
              <w:t>出让土地使用权</w:t>
            </w:r>
          </w:p>
        </w:tc>
        <w:tc>
          <w:tcPr>
            <w:tcW w:w="1080" w:type="dxa"/>
            <w:tcBorders>
              <w:top w:val="nil"/>
              <w:left w:val="single" w:color="auto" w:sz="4" w:space="0"/>
              <w:bottom w:val="single" w:color="auto" w:sz="4" w:space="0"/>
              <w:right w:val="nil"/>
            </w:tcBorders>
            <w:vAlign w:val="center"/>
          </w:tcPr>
          <w:p>
            <w:pPr>
              <w:widowControl/>
              <w:jc w:val="center"/>
              <w:rPr>
                <w:kern w:val="0"/>
                <w:szCs w:val="21"/>
              </w:rPr>
            </w:pPr>
            <w:r>
              <w:rPr>
                <w:kern w:val="0"/>
                <w:szCs w:val="21"/>
              </w:rPr>
              <w:t>40</w:t>
            </w:r>
          </w:p>
        </w:tc>
        <w:tc>
          <w:tcPr>
            <w:tcW w:w="958" w:type="dxa"/>
            <w:tcBorders>
              <w:top w:val="nil"/>
              <w:left w:val="single" w:color="auto" w:sz="4" w:space="0"/>
              <w:bottom w:val="single" w:color="auto" w:sz="4" w:space="0"/>
              <w:right w:val="single" w:color="auto" w:sz="4" w:space="0"/>
            </w:tcBorders>
            <w:vAlign w:val="center"/>
          </w:tcPr>
          <w:p>
            <w:pPr>
              <w:widowControl/>
              <w:shd w:val="clear" w:color="auto" w:fill="FFFFFF"/>
              <w:jc w:val="center"/>
              <w:rPr>
                <w:szCs w:val="21"/>
              </w:rPr>
            </w:pPr>
            <w:r>
              <w:rPr>
                <w:kern w:val="0"/>
                <w:szCs w:val="21"/>
              </w:rPr>
              <w:t>2.3</w:t>
            </w:r>
          </w:p>
        </w:tc>
        <w:tc>
          <w:tcPr>
            <w:tcW w:w="1080"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70</w:t>
            </w:r>
          </w:p>
        </w:tc>
        <w:tc>
          <w:tcPr>
            <w:tcW w:w="905" w:type="dxa"/>
            <w:tcBorders>
              <w:top w:val="nil"/>
              <w:left w:val="nil"/>
              <w:bottom w:val="single" w:color="auto" w:sz="4" w:space="0"/>
              <w:right w:val="single" w:color="auto" w:sz="4" w:space="0"/>
            </w:tcBorders>
            <w:vAlign w:val="center"/>
          </w:tcPr>
          <w:p>
            <w:pPr>
              <w:shd w:val="clear" w:color="auto" w:fill="FFFFFF"/>
              <w:ind w:left="-105" w:leftChars="-50" w:right="-105" w:rightChars="-50"/>
              <w:jc w:val="center"/>
              <w:rPr>
                <w:szCs w:val="21"/>
              </w:rPr>
            </w:pPr>
            <w:r>
              <w:rPr>
                <w:kern w:val="0"/>
                <w:szCs w:val="21"/>
              </w:rPr>
              <w:t>1.9</w:t>
            </w:r>
          </w:p>
        </w:tc>
        <w:tc>
          <w:tcPr>
            <w:tcW w:w="1080"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50</w:t>
            </w: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五通一平</w:t>
            </w:r>
          </w:p>
        </w:tc>
        <w:tc>
          <w:tcPr>
            <w:tcW w:w="951"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2013.3.1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866"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Ⅳ</w:t>
            </w:r>
          </w:p>
        </w:tc>
        <w:tc>
          <w:tcPr>
            <w:tcW w:w="1080" w:type="dxa"/>
            <w:tcBorders>
              <w:top w:val="nil"/>
              <w:left w:val="nil"/>
              <w:bottom w:val="single" w:color="auto" w:sz="4" w:space="0"/>
              <w:right w:val="nil"/>
            </w:tcBorders>
            <w:vAlign w:val="top"/>
          </w:tcPr>
          <w:p>
            <w:r>
              <w:rPr>
                <w:color w:val="000000"/>
                <w:kern w:val="0"/>
                <w:szCs w:val="21"/>
              </w:rPr>
              <w:t>出让土地使用权</w:t>
            </w:r>
          </w:p>
        </w:tc>
        <w:tc>
          <w:tcPr>
            <w:tcW w:w="1080" w:type="dxa"/>
            <w:tcBorders>
              <w:top w:val="nil"/>
              <w:left w:val="single" w:color="auto" w:sz="4" w:space="0"/>
              <w:bottom w:val="single" w:color="auto" w:sz="4" w:space="0"/>
              <w:right w:val="nil"/>
            </w:tcBorders>
            <w:vAlign w:val="center"/>
          </w:tcPr>
          <w:p>
            <w:pPr>
              <w:widowControl/>
              <w:jc w:val="center"/>
              <w:rPr>
                <w:kern w:val="0"/>
                <w:szCs w:val="21"/>
              </w:rPr>
            </w:pPr>
            <w:r>
              <w:rPr>
                <w:kern w:val="0"/>
                <w:szCs w:val="21"/>
              </w:rPr>
              <w:t>40</w:t>
            </w:r>
          </w:p>
        </w:tc>
        <w:tc>
          <w:tcPr>
            <w:tcW w:w="958" w:type="dxa"/>
            <w:tcBorders>
              <w:top w:val="nil"/>
              <w:left w:val="single" w:color="auto" w:sz="4" w:space="0"/>
              <w:bottom w:val="single" w:color="auto" w:sz="4" w:space="0"/>
              <w:right w:val="single" w:color="auto" w:sz="4" w:space="0"/>
            </w:tcBorders>
            <w:vAlign w:val="center"/>
          </w:tcPr>
          <w:p>
            <w:pPr>
              <w:widowControl/>
              <w:shd w:val="clear" w:color="auto" w:fill="FFFFFF"/>
              <w:jc w:val="center"/>
              <w:rPr>
                <w:szCs w:val="21"/>
              </w:rPr>
            </w:pPr>
            <w:r>
              <w:rPr>
                <w:kern w:val="0"/>
                <w:szCs w:val="21"/>
              </w:rPr>
              <w:t>2.0</w:t>
            </w:r>
          </w:p>
        </w:tc>
        <w:tc>
          <w:tcPr>
            <w:tcW w:w="1080"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70</w:t>
            </w:r>
          </w:p>
        </w:tc>
        <w:tc>
          <w:tcPr>
            <w:tcW w:w="905" w:type="dxa"/>
            <w:tcBorders>
              <w:top w:val="nil"/>
              <w:left w:val="nil"/>
              <w:bottom w:val="single" w:color="auto" w:sz="4" w:space="0"/>
              <w:right w:val="single" w:color="auto" w:sz="4" w:space="0"/>
            </w:tcBorders>
            <w:vAlign w:val="center"/>
          </w:tcPr>
          <w:p>
            <w:pPr>
              <w:shd w:val="clear" w:color="auto" w:fill="FFFFFF"/>
              <w:ind w:left="-105" w:leftChars="-50" w:right="-105" w:rightChars="-50"/>
              <w:jc w:val="center"/>
              <w:rPr>
                <w:szCs w:val="21"/>
              </w:rPr>
            </w:pPr>
            <w:r>
              <w:rPr>
                <w:kern w:val="0"/>
                <w:szCs w:val="21"/>
              </w:rPr>
              <w:t>1.7</w:t>
            </w:r>
          </w:p>
        </w:tc>
        <w:tc>
          <w:tcPr>
            <w:tcW w:w="1080"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50</w:t>
            </w: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五通一平</w:t>
            </w:r>
          </w:p>
        </w:tc>
        <w:tc>
          <w:tcPr>
            <w:tcW w:w="951"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2013.3.1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866"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Ⅴ</w:t>
            </w:r>
          </w:p>
        </w:tc>
        <w:tc>
          <w:tcPr>
            <w:tcW w:w="1080" w:type="dxa"/>
            <w:tcBorders>
              <w:top w:val="nil"/>
              <w:left w:val="nil"/>
              <w:bottom w:val="single" w:color="auto" w:sz="4" w:space="0"/>
              <w:right w:val="nil"/>
            </w:tcBorders>
            <w:vAlign w:val="top"/>
          </w:tcPr>
          <w:p>
            <w:r>
              <w:rPr>
                <w:color w:val="000000"/>
                <w:kern w:val="0"/>
                <w:szCs w:val="21"/>
              </w:rPr>
              <w:t>出让土地使用权</w:t>
            </w:r>
          </w:p>
        </w:tc>
        <w:tc>
          <w:tcPr>
            <w:tcW w:w="1080" w:type="dxa"/>
            <w:tcBorders>
              <w:top w:val="nil"/>
              <w:left w:val="single" w:color="auto" w:sz="4" w:space="0"/>
              <w:bottom w:val="single" w:color="auto" w:sz="4" w:space="0"/>
              <w:right w:val="nil"/>
            </w:tcBorders>
            <w:vAlign w:val="center"/>
          </w:tcPr>
          <w:p>
            <w:pPr>
              <w:widowControl/>
              <w:jc w:val="center"/>
              <w:rPr>
                <w:kern w:val="0"/>
                <w:szCs w:val="21"/>
              </w:rPr>
            </w:pPr>
            <w:r>
              <w:rPr>
                <w:kern w:val="0"/>
                <w:szCs w:val="21"/>
              </w:rPr>
              <w:t>40</w:t>
            </w:r>
          </w:p>
        </w:tc>
        <w:tc>
          <w:tcPr>
            <w:tcW w:w="958" w:type="dxa"/>
            <w:tcBorders>
              <w:top w:val="nil"/>
              <w:left w:val="single" w:color="auto" w:sz="4" w:space="0"/>
              <w:bottom w:val="single" w:color="auto" w:sz="4" w:space="0"/>
              <w:right w:val="single" w:color="auto" w:sz="4" w:space="0"/>
            </w:tcBorders>
            <w:vAlign w:val="center"/>
          </w:tcPr>
          <w:p>
            <w:pPr>
              <w:widowControl/>
              <w:shd w:val="clear" w:color="auto" w:fill="FFFFFF"/>
              <w:jc w:val="center"/>
              <w:rPr>
                <w:szCs w:val="21"/>
              </w:rPr>
            </w:pPr>
            <w:r>
              <w:rPr>
                <w:kern w:val="0"/>
                <w:szCs w:val="21"/>
              </w:rPr>
              <w:t>1.8</w:t>
            </w:r>
          </w:p>
        </w:tc>
        <w:tc>
          <w:tcPr>
            <w:tcW w:w="1080"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70</w:t>
            </w:r>
          </w:p>
        </w:tc>
        <w:tc>
          <w:tcPr>
            <w:tcW w:w="905" w:type="dxa"/>
            <w:tcBorders>
              <w:top w:val="nil"/>
              <w:left w:val="nil"/>
              <w:bottom w:val="single" w:color="auto" w:sz="4" w:space="0"/>
              <w:right w:val="single" w:color="auto" w:sz="4" w:space="0"/>
            </w:tcBorders>
            <w:vAlign w:val="center"/>
          </w:tcPr>
          <w:p>
            <w:pPr>
              <w:shd w:val="clear" w:color="auto" w:fill="FFFFFF"/>
              <w:ind w:left="-105" w:leftChars="-50" w:right="-105" w:rightChars="-50"/>
              <w:jc w:val="center"/>
              <w:rPr>
                <w:szCs w:val="21"/>
              </w:rPr>
            </w:pPr>
            <w:r>
              <w:rPr>
                <w:kern w:val="0"/>
                <w:szCs w:val="21"/>
              </w:rPr>
              <w:t>1.5</w:t>
            </w:r>
          </w:p>
        </w:tc>
        <w:tc>
          <w:tcPr>
            <w:tcW w:w="1080"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50</w:t>
            </w: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五通一平</w:t>
            </w:r>
          </w:p>
        </w:tc>
        <w:tc>
          <w:tcPr>
            <w:tcW w:w="951"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2013.3.1</w:t>
            </w:r>
          </w:p>
        </w:tc>
      </w:tr>
    </w:tbl>
    <w:p>
      <w:pPr>
        <w:spacing w:line="360" w:lineRule="auto"/>
        <w:ind w:firstLine="482" w:firstLineChars="200"/>
        <w:jc w:val="left"/>
        <w:outlineLvl w:val="3"/>
        <w:rPr>
          <w:b/>
          <w:sz w:val="24"/>
        </w:rPr>
      </w:pPr>
      <w:r>
        <w:rPr>
          <w:b/>
          <w:sz w:val="24"/>
        </w:rPr>
        <w:t>2、基准地价的表达方式</w:t>
      </w:r>
    </w:p>
    <w:p>
      <w:pPr>
        <w:spacing w:line="480" w:lineRule="exact"/>
        <w:ind w:firstLine="480" w:firstLineChars="200"/>
        <w:rPr>
          <w:sz w:val="24"/>
          <w:szCs w:val="22"/>
        </w:rPr>
      </w:pPr>
      <w:r>
        <w:rPr>
          <w:sz w:val="24"/>
          <w:szCs w:val="22"/>
        </w:rPr>
        <w:t>上一轮基准地价按其成果表达方式又可分为点状、线状和面状三种基准地价。基准地价的面状表达方式有综合基准地价、分类基准地价和分区基准地价（见图1-3-1）。</w:t>
      </w:r>
    </w:p>
    <w:p>
      <w:pPr>
        <w:shd w:val="clear" w:color="auto" w:fill="FFFFFF"/>
        <w:spacing w:line="460" w:lineRule="exact"/>
        <w:ind w:firstLine="400" w:firstLineChars="200"/>
        <w:rPr>
          <w:sz w:val="24"/>
        </w:rPr>
      </w:pPr>
      <w:r>
        <w:rPr>
          <w:rFonts w:ascii="Times New Roman" w:hAnsi="Times New Roman" w:eastAsia="宋体" w:cs="Times New Roman"/>
          <w:kern w:val="2"/>
          <w:sz w:val="20"/>
          <w:lang w:val="en-US" w:eastAsia="zh-CN" w:bidi="ar-SA"/>
        </w:rPr>
        <w:pict>
          <v:line id="直接连接符 97" o:spid="_x0000_s1048" style="position:absolute;left:0;margin-left:108pt;margin-top:16.35pt;height:0.05pt;width:27pt;rotation:0f;z-index:251678720;" o:ole="f" fillcolor="#FFFFFF" filled="f" o:preferrelative="t" stroked="t" coordsize="21600,21600">
            <v:fill on="f" color2="#FFFFFF" focus="0%"/>
            <v:stroke weight="1pt" color="#000000" color2="#FFFFFF" joinstyle="round"/>
            <v:imagedata gain="65536f" blacklevel="0f" gamma="0"/>
            <o:lock v:ext="edit" position="f" selection="f" grouping="f" rotation="f" cropping="f" text="f" aspectratio="f"/>
          </v:line>
        </w:pict>
      </w:r>
      <w:r>
        <w:rPr>
          <w:rFonts w:ascii="Times New Roman" w:hAnsi="Times New Roman" w:eastAsia="宋体" w:cs="Times New Roman"/>
          <w:kern w:val="2"/>
          <w:sz w:val="20"/>
          <w:lang w:val="en-US" w:eastAsia="zh-CN" w:bidi="ar-SA"/>
        </w:rPr>
        <w:pict>
          <v:line id="直接连接符 96" o:spid="_x0000_s1049" style="position:absolute;left:0;margin-left:108pt;margin-top:16.35pt;height:61.95pt;width:0.05pt;rotation:0f;z-index:251679744;" o:ole="f" fillcolor="#FFFFFF" filled="f" o:preferrelative="t" stroked="t" coordsize="21600,21600">
            <v:fill on="f" color2="#FFFFFF" focus="0%"/>
            <v:stroke weight="1pt" color="#000000" color2="#FFFFFF" joinstyle="round"/>
            <v:imagedata gain="65536f" blacklevel="0f" gamma="0"/>
            <o:lock v:ext="edit" position="f" selection="f" grouping="f" rotation="f" cropping="f" text="f" aspectratio="f"/>
          </v:line>
        </w:pict>
      </w:r>
      <w:r>
        <w:rPr>
          <w:sz w:val="28"/>
        </w:rPr>
        <w:t xml:space="preserve">                 </w:t>
      </w:r>
      <w:r>
        <w:rPr>
          <w:sz w:val="24"/>
        </w:rPr>
        <w:t>点状地价—标准宗地地价</w:t>
      </w:r>
    </w:p>
    <w:p>
      <w:pPr>
        <w:shd w:val="clear" w:color="auto" w:fill="FFFFFF"/>
        <w:spacing w:line="400" w:lineRule="exact"/>
        <w:ind w:firstLine="480" w:firstLineChars="200"/>
        <w:rPr>
          <w:sz w:val="28"/>
        </w:rPr>
      </w:pPr>
      <w:r>
        <w:rPr>
          <w:rFonts w:ascii="Times New Roman" w:hAnsi="Times New Roman" w:eastAsia="宋体" w:cs="Times New Roman"/>
          <w:kern w:val="2"/>
          <w:sz w:val="24"/>
          <w:lang w:val="en-US" w:eastAsia="zh-CN" w:bidi="ar-SA"/>
        </w:rPr>
        <w:pict>
          <v:line id="直接连接符 95" o:spid="_x0000_s1050" style="position:absolute;left:0;margin-left:108pt;margin-top:11.5pt;height:0.05pt;width:27pt;rotation:0f;z-index:251684864;" o:ole="f" fillcolor="#FFFFFF" filled="f" o:preferrelative="t" stroked="t" coordsize="21600,21600">
            <v:fill on="f" color2="#FFFFFF" focus="0%"/>
            <v:stroke weight="1pt" color="#000000" color2="#FFFFFF" joinstyle="round"/>
            <v:imagedata gain="65536f" blacklevel="0f" gamma="0"/>
            <o:lock v:ext="edit" position="f" selection="f" grouping="f" rotation="f" cropping="f" text="f" aspectratio="f"/>
          </v:line>
        </w:pict>
      </w:r>
      <w:r>
        <w:rPr>
          <w:rFonts w:ascii="Times New Roman" w:hAnsi="Times New Roman" w:eastAsia="宋体" w:cs="Times New Roman"/>
          <w:kern w:val="2"/>
          <w:sz w:val="24"/>
          <w:lang w:val="en-US" w:eastAsia="zh-CN" w:bidi="ar-SA"/>
        </w:rPr>
        <w:pict>
          <v:line id="直接连接符 94" o:spid="_x0000_s1051" style="position:absolute;left:0;margin-left:81pt;margin-top:16.75pt;height:0.05pt;width:27pt;rotation:0f;z-index:251676672;"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w:pict>
      </w:r>
      <w:r>
        <w:rPr>
          <w:sz w:val="24"/>
        </w:rPr>
        <w:t>基准地价成</w:t>
      </w:r>
      <w:r>
        <w:rPr>
          <w:color w:val="000000"/>
          <w:sz w:val="28"/>
        </w:rPr>
        <w:t xml:space="preserve">      </w:t>
      </w:r>
      <w:r>
        <w:rPr>
          <w:rFonts w:hint="eastAsia"/>
          <w:color w:val="000000"/>
          <w:sz w:val="28"/>
        </w:rPr>
        <w:t xml:space="preserve">  </w:t>
      </w:r>
      <w:r>
        <w:rPr>
          <w:sz w:val="24"/>
        </w:rPr>
        <w:t>线状基准地价—路线价或路段价</w:t>
      </w:r>
      <w:r>
        <w:rPr>
          <w:sz w:val="28"/>
        </w:rPr>
        <w:t xml:space="preserve">                        </w:t>
      </w:r>
    </w:p>
    <w:p>
      <w:pPr>
        <w:shd w:val="clear" w:color="auto" w:fill="FFFFFF"/>
        <w:spacing w:line="400" w:lineRule="exact"/>
        <w:ind w:firstLine="400" w:firstLineChars="200"/>
        <w:rPr>
          <w:sz w:val="28"/>
        </w:rPr>
      </w:pPr>
      <w:r>
        <w:rPr>
          <w:rFonts w:ascii="Times New Roman" w:hAnsi="Times New Roman" w:eastAsia="宋体" w:cs="Times New Roman"/>
          <w:kern w:val="2"/>
          <w:sz w:val="20"/>
          <w:lang w:val="en-US" w:eastAsia="zh-CN" w:bidi="ar-SA"/>
        </w:rPr>
        <w:pict>
          <v:line id="直接连接符 93" o:spid="_x0000_s1052" style="position:absolute;left:0;margin-left:238.8pt;margin-top:13.05pt;height:0.05pt;width:12pt;rotation:0f;z-index:251681792;" o:ole="f" fillcolor="#FFFFFF" filled="f" o:preferrelative="t" stroked="t" coordsize="21600,21600">
            <v:fill on="f" color2="#FFFFFF" focus="0%"/>
            <v:stroke weight="1pt" color="#000000" color2="#FFFFFF" joinstyle="round"/>
            <v:imagedata gain="65536f" blacklevel="0f" gamma="0"/>
            <o:lock v:ext="edit" position="f" selection="f" grouping="f" rotation="f" cropping="f" text="f" aspectratio="f"/>
          </v:line>
        </w:pict>
      </w:r>
      <w:r>
        <w:rPr>
          <w:rFonts w:ascii="Times New Roman" w:hAnsi="Times New Roman" w:eastAsia="宋体" w:cs="Times New Roman"/>
          <w:kern w:val="2"/>
          <w:sz w:val="20"/>
          <w:lang w:val="en-US" w:eastAsia="zh-CN" w:bidi="ar-SA"/>
        </w:rPr>
        <w:pict>
          <v:line id="直接连接符 92" o:spid="_x0000_s1053" style="position:absolute;left:0;margin-left:238.8pt;margin-top:13.05pt;height:47.25pt;width:0.05pt;rotation:0f;z-index:251680768;"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w:pict>
      </w:r>
      <w:r>
        <w:rPr>
          <w:sz w:val="24"/>
        </w:rPr>
        <w:t>果表达方式</w:t>
      </w:r>
      <w:r>
        <w:rPr>
          <w:sz w:val="28"/>
        </w:rPr>
        <w:t xml:space="preserve">                      </w:t>
      </w:r>
      <w:r>
        <w:rPr>
          <w:rFonts w:hint="eastAsia"/>
          <w:sz w:val="28"/>
        </w:rPr>
        <w:t xml:space="preserve">   </w:t>
      </w:r>
      <w:r>
        <w:rPr>
          <w:sz w:val="24"/>
        </w:rPr>
        <w:t>综合基准地价</w:t>
      </w:r>
    </w:p>
    <w:p>
      <w:pPr>
        <w:shd w:val="clear" w:color="auto" w:fill="FFFFFF"/>
        <w:spacing w:line="460" w:lineRule="exact"/>
        <w:ind w:firstLine="400" w:firstLineChars="200"/>
        <w:rPr>
          <w:sz w:val="28"/>
        </w:rPr>
      </w:pPr>
      <w:r>
        <w:rPr>
          <w:rFonts w:ascii="Times New Roman" w:hAnsi="Times New Roman" w:eastAsia="宋体" w:cs="Times New Roman"/>
          <w:kern w:val="2"/>
          <w:sz w:val="20"/>
          <w:lang w:val="en-US" w:eastAsia="zh-CN" w:bidi="ar-SA"/>
        </w:rPr>
        <w:pict>
          <v:line id="直接连接符 91" o:spid="_x0000_s1054" style="position:absolute;left:0;margin-left:234pt;margin-top:15.75pt;height:0.05pt;width:27pt;rotation:0f;z-index:251685888;" o:ole="f" fillcolor="#FFFFFF" filled="f" o:preferrelative="t" stroked="t" coordsize="21600,21600">
            <v:fill on="f" color2="#FFFFFF" focus="0%"/>
            <v:stroke weight="1pt" color="#000000" color2="#FFFFFF" joinstyle="round"/>
            <v:imagedata gain="65536f" blacklevel="0f" gamma="0"/>
            <o:lock v:ext="edit" position="f" selection="f" grouping="f" rotation="f" cropping="f" text="f" aspectratio="f"/>
          </v:line>
        </w:pict>
      </w:r>
      <w:r>
        <w:rPr>
          <w:rFonts w:ascii="Times New Roman" w:hAnsi="Times New Roman" w:eastAsia="宋体" w:cs="Times New Roman"/>
          <w:kern w:val="2"/>
          <w:sz w:val="20"/>
          <w:lang w:val="en-US" w:eastAsia="zh-CN" w:bidi="ar-SA"/>
        </w:rPr>
        <w:pict>
          <v:line id="直接连接符 90" o:spid="_x0000_s1055" style="position:absolute;left:0;margin-left:207pt;margin-top:15.75pt;height:0.05pt;width:27pt;rotation:0f;z-index:251683840;"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w:pict>
      </w:r>
      <w:r>
        <w:rPr>
          <w:rFonts w:ascii="Times New Roman" w:hAnsi="Times New Roman" w:eastAsia="宋体" w:cs="Times New Roman"/>
          <w:kern w:val="2"/>
          <w:sz w:val="20"/>
          <w:lang w:val="en-US" w:eastAsia="zh-CN" w:bidi="ar-SA"/>
        </w:rPr>
        <w:pict>
          <v:line id="直接连接符 89" o:spid="_x0000_s1056" style="position:absolute;left:0;margin-left:108pt;margin-top:15.75pt;height:0.05pt;width:26.3pt;rotation:0f;z-index:251677696;" o:ole="f" fillcolor="#FFFFFF" filled="f" o:preferrelative="t" stroked="t" coordsize="21600,21600">
            <v:fill on="f" color2="#FFFFFF" focus="0%"/>
            <v:stroke weight="1pt" color="#000000" color2="#FFFFFF" joinstyle="round"/>
            <v:imagedata gain="65536f" blacklevel="0f" gamma="0"/>
            <o:lock v:ext="edit" position="f" selection="f" grouping="f" rotation="f" cropping="f" text="f" aspectratio="f"/>
          </v:line>
        </w:pict>
      </w:r>
      <w:r>
        <w:rPr>
          <w:sz w:val="28"/>
        </w:rPr>
        <w:t xml:space="preserve">                 </w:t>
      </w:r>
      <w:r>
        <w:rPr>
          <w:sz w:val="24"/>
        </w:rPr>
        <w:t>面状基准地价</w:t>
      </w:r>
      <w:r>
        <w:rPr>
          <w:sz w:val="28"/>
        </w:rPr>
        <w:t xml:space="preserve">       </w:t>
      </w:r>
      <w:r>
        <w:rPr>
          <w:sz w:val="24"/>
        </w:rPr>
        <w:t>分类基准地价</w:t>
      </w:r>
    </w:p>
    <w:p>
      <w:pPr>
        <w:shd w:val="clear" w:color="auto" w:fill="FFFFFF"/>
        <w:spacing w:line="460" w:lineRule="exact"/>
        <w:ind w:firstLine="400" w:firstLineChars="200"/>
        <w:rPr>
          <w:sz w:val="24"/>
        </w:rPr>
      </w:pPr>
      <w:r>
        <w:rPr>
          <w:rFonts w:ascii="Times New Roman" w:hAnsi="Times New Roman" w:eastAsia="宋体" w:cs="Times New Roman"/>
          <w:kern w:val="2"/>
          <w:sz w:val="20"/>
          <w:lang w:val="en-US" w:eastAsia="zh-CN" w:bidi="ar-SA"/>
        </w:rPr>
        <w:pict>
          <v:line id="直接连接符 88" o:spid="_x0000_s1057" style="position:absolute;left:0;margin-left:238.8pt;margin-top:17.3pt;height:0.05pt;width:18pt;rotation:0f;z-index:251682816;" o:ole="f" fillcolor="#FFFFFF" filled="f" o:preferrelative="t" stroked="t" coordsize="21600,21600">
            <v:fill on="f" color2="#FFFFFF" focus="0%"/>
            <v:stroke weight="1pt" color="#000000" color2="#FFFFFF" joinstyle="round"/>
            <v:imagedata gain="65536f" blacklevel="0f" gamma="0"/>
            <o:lock v:ext="edit" position="f" selection="f" grouping="f" rotation="f" cropping="f" text="f" aspectratio="f"/>
          </v:line>
        </w:pict>
      </w:r>
      <w:r>
        <w:rPr>
          <w:sz w:val="28"/>
        </w:rPr>
        <w:t xml:space="preserve">                                  </w:t>
      </w:r>
      <w:r>
        <w:rPr>
          <w:sz w:val="24"/>
        </w:rPr>
        <w:t>分区基准地价</w:t>
      </w:r>
    </w:p>
    <w:p>
      <w:pPr>
        <w:shd w:val="clear" w:color="auto" w:fill="FFFFFF"/>
        <w:spacing w:line="460" w:lineRule="exact"/>
        <w:ind w:firstLine="482" w:firstLineChars="200"/>
        <w:jc w:val="center"/>
        <w:rPr>
          <w:rFonts w:eastAsia="黑体"/>
          <w:b/>
          <w:sz w:val="24"/>
        </w:rPr>
      </w:pPr>
      <w:r>
        <w:rPr>
          <w:rFonts w:eastAsia="黑体"/>
          <w:b/>
          <w:sz w:val="24"/>
        </w:rPr>
        <w:t>图1-3-1  基准地价表达方式图</w:t>
      </w:r>
    </w:p>
    <w:p>
      <w:pPr>
        <w:spacing w:line="360" w:lineRule="auto"/>
        <w:ind w:firstLine="482" w:firstLineChars="200"/>
        <w:jc w:val="left"/>
        <w:outlineLvl w:val="3"/>
        <w:rPr>
          <w:b/>
          <w:sz w:val="24"/>
        </w:rPr>
      </w:pPr>
      <w:r>
        <w:rPr>
          <w:b/>
          <w:sz w:val="24"/>
        </w:rPr>
        <w:t>3、土地级别描述</w:t>
      </w:r>
    </w:p>
    <w:p>
      <w:pPr>
        <w:tabs>
          <w:tab w:val="left" w:pos="720"/>
        </w:tabs>
        <w:spacing w:line="480" w:lineRule="exact"/>
        <w:jc w:val="center"/>
        <w:rPr>
          <w:b/>
          <w:sz w:val="24"/>
          <w:szCs w:val="22"/>
        </w:rPr>
      </w:pPr>
      <w:r>
        <w:rPr>
          <w:b/>
          <w:sz w:val="24"/>
          <w:szCs w:val="22"/>
        </w:rPr>
        <w:t>表 1-3-</w:t>
      </w:r>
      <w:r>
        <w:rPr>
          <w:rFonts w:hint="eastAsia"/>
          <w:b/>
          <w:sz w:val="24"/>
          <w:szCs w:val="22"/>
        </w:rPr>
        <w:t>3</w:t>
      </w:r>
      <w:r>
        <w:rPr>
          <w:b/>
          <w:sz w:val="24"/>
          <w:szCs w:val="22"/>
        </w:rPr>
        <w:t xml:space="preserve">  长沙县城区土地级别边界描述</w:t>
      </w:r>
    </w:p>
    <w:tbl>
      <w:tblPr>
        <w:tblW w:w="9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8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734" w:type="dxa"/>
            <w:vAlign w:val="center"/>
          </w:tcPr>
          <w:p>
            <w:pPr>
              <w:spacing w:line="300" w:lineRule="exact"/>
              <w:ind w:left="-105" w:leftChars="-50" w:right="-105" w:rightChars="-50"/>
              <w:jc w:val="center"/>
              <w:rPr>
                <w:b/>
                <w:bCs/>
                <w:szCs w:val="21"/>
              </w:rPr>
            </w:pPr>
            <w:r>
              <w:rPr>
                <w:b/>
                <w:bCs/>
                <w:szCs w:val="21"/>
              </w:rPr>
              <w:t>级别</w:t>
            </w:r>
          </w:p>
        </w:tc>
        <w:tc>
          <w:tcPr>
            <w:tcW w:w="8554" w:type="dxa"/>
            <w:vAlign w:val="center"/>
          </w:tcPr>
          <w:p>
            <w:pPr>
              <w:spacing w:line="300" w:lineRule="exact"/>
              <w:ind w:left="-105" w:leftChars="-50" w:right="-105" w:rightChars="-50"/>
              <w:jc w:val="center"/>
              <w:rPr>
                <w:b/>
                <w:bCs/>
                <w:szCs w:val="21"/>
              </w:rPr>
            </w:pPr>
            <w:r>
              <w:rPr>
                <w:b/>
                <w:bCs/>
                <w:szCs w:val="21"/>
              </w:rPr>
              <w:t>范围描述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734" w:type="dxa"/>
            <w:vAlign w:val="center"/>
          </w:tcPr>
          <w:p>
            <w:pPr>
              <w:ind w:left="-105" w:leftChars="-50" w:right="-105" w:rightChars="-50"/>
              <w:jc w:val="center"/>
              <w:rPr>
                <w:szCs w:val="21"/>
              </w:rPr>
            </w:pPr>
            <w:r>
              <w:rPr>
                <w:szCs w:val="21"/>
              </w:rPr>
              <w:t>Ⅰ级</w:t>
            </w:r>
          </w:p>
        </w:tc>
        <w:tc>
          <w:tcPr>
            <w:tcW w:w="8554" w:type="dxa"/>
            <w:vAlign w:val="center"/>
          </w:tcPr>
          <w:p>
            <w:pPr>
              <w:shd w:val="clear" w:color="auto" w:fill="FFFFFF"/>
              <w:spacing w:line="320" w:lineRule="exact"/>
              <w:ind w:firstLine="420" w:firstLineChars="200"/>
            </w:pPr>
            <w:r>
              <w:t>区片：武塘路—319国道—板仓中路—开元路—天华路—洋湖路；</w:t>
            </w:r>
          </w:p>
          <w:p>
            <w:pPr>
              <w:shd w:val="clear" w:color="auto" w:fill="FFFFFF"/>
              <w:spacing w:line="320" w:lineRule="exact"/>
              <w:ind w:firstLine="420" w:firstLineChars="200"/>
              <w:rPr>
                <w:szCs w:val="21"/>
              </w:rPr>
            </w:pPr>
            <w:r>
              <w:t>其他范围：与Ⅱ级区域相邻的道路，往外延伸20米；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4" w:type="dxa"/>
            <w:vAlign w:val="center"/>
          </w:tcPr>
          <w:p>
            <w:pPr>
              <w:ind w:left="-105" w:leftChars="-50" w:right="-105" w:rightChars="-50"/>
              <w:jc w:val="center"/>
              <w:rPr>
                <w:szCs w:val="21"/>
              </w:rPr>
            </w:pPr>
            <w:r>
              <w:rPr>
                <w:szCs w:val="21"/>
              </w:rPr>
              <w:t>Ⅱ级</w:t>
            </w:r>
          </w:p>
        </w:tc>
        <w:tc>
          <w:tcPr>
            <w:tcW w:w="8554" w:type="dxa"/>
            <w:vAlign w:val="center"/>
          </w:tcPr>
          <w:p>
            <w:pPr>
              <w:shd w:val="clear" w:color="auto" w:fill="FFFFFF"/>
              <w:spacing w:line="320" w:lineRule="exact"/>
              <w:ind w:firstLine="420" w:firstLineChars="200"/>
              <w:jc w:val="left"/>
              <w:rPr>
                <w:color w:val="000000"/>
              </w:rPr>
            </w:pPr>
            <w:r>
              <w:rPr>
                <w:color w:val="000000"/>
              </w:rPr>
              <w:t>区片：东四线—319国道—小塘路—盼盼路—行政边界—锦绣路—万家丽北路—捞刀河沿线（Ⅰ级区域除外）；</w:t>
            </w:r>
          </w:p>
          <w:p>
            <w:pPr>
              <w:shd w:val="clear" w:color="auto" w:fill="FFFFFF"/>
              <w:spacing w:line="320" w:lineRule="exact"/>
              <w:ind w:firstLine="420" w:firstLineChars="200"/>
              <w:jc w:val="left"/>
              <w:rPr>
                <w:szCs w:val="21"/>
              </w:rPr>
            </w:pPr>
            <w:r>
              <w:t>其他范围： 与Ⅲ级区域相邻的道路，往外延伸20米；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4" w:type="dxa"/>
            <w:vAlign w:val="center"/>
          </w:tcPr>
          <w:p>
            <w:pPr>
              <w:ind w:left="-105" w:leftChars="-50" w:right="-105" w:rightChars="-50"/>
              <w:jc w:val="center"/>
              <w:rPr>
                <w:szCs w:val="21"/>
              </w:rPr>
            </w:pPr>
            <w:r>
              <w:rPr>
                <w:szCs w:val="21"/>
              </w:rPr>
              <w:t>Ⅲ级</w:t>
            </w:r>
          </w:p>
        </w:tc>
        <w:tc>
          <w:tcPr>
            <w:tcW w:w="8554" w:type="dxa"/>
            <w:vAlign w:val="center"/>
          </w:tcPr>
          <w:p>
            <w:pPr>
              <w:shd w:val="clear" w:color="auto" w:fill="FFFFFF"/>
              <w:spacing w:line="320" w:lineRule="exact"/>
              <w:ind w:firstLine="420" w:firstLineChars="200"/>
              <w:jc w:val="left"/>
              <w:rPr>
                <w:color w:val="000000"/>
              </w:rPr>
            </w:pPr>
            <w:r>
              <w:rPr>
                <w:color w:val="000000"/>
              </w:rPr>
              <w:t>城西区片：万家丽北路—锦绣路—行政界线—捞刀河西北沿线（除去Ⅰ、Ⅱ级区）；</w:t>
            </w:r>
          </w:p>
          <w:p>
            <w:pPr>
              <w:shd w:val="clear" w:color="auto" w:fill="FFFFFF"/>
              <w:spacing w:line="320" w:lineRule="exact"/>
              <w:ind w:firstLine="420" w:firstLineChars="200"/>
              <w:jc w:val="left"/>
              <w:rPr>
                <w:color w:val="000000"/>
              </w:rPr>
            </w:pPr>
            <w:r>
              <w:rPr>
                <w:color w:val="000000"/>
              </w:rPr>
              <w:t>城东区片：捞刀河北路—白路港路—回龙路—黄兴大道—远大路—星沙大道—盼盼路—小塘路—319国道—东四线—滨湖中路—松雅湖周边（Ⅱ级区域除外）；</w:t>
            </w:r>
          </w:p>
          <w:p>
            <w:pPr>
              <w:shd w:val="clear" w:color="auto" w:fill="FFFFFF"/>
              <w:spacing w:line="320" w:lineRule="exact"/>
              <w:ind w:firstLine="420" w:firstLineChars="200"/>
              <w:jc w:val="left"/>
              <w:rPr>
                <w:szCs w:val="21"/>
              </w:rPr>
            </w:pPr>
            <w:r>
              <w:rPr>
                <w:color w:val="000000"/>
              </w:rPr>
              <w:t>其它范围： 与Ⅳ或Ⅴ级相邻的区域，往外延伸20米；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4" w:type="dxa"/>
            <w:vAlign w:val="center"/>
          </w:tcPr>
          <w:p>
            <w:pPr>
              <w:ind w:left="-105" w:leftChars="-50" w:right="-105" w:rightChars="-50"/>
              <w:jc w:val="center"/>
              <w:rPr>
                <w:szCs w:val="21"/>
              </w:rPr>
            </w:pPr>
            <w:r>
              <w:rPr>
                <w:szCs w:val="21"/>
              </w:rPr>
              <w:t>Ⅳ级</w:t>
            </w:r>
          </w:p>
        </w:tc>
        <w:tc>
          <w:tcPr>
            <w:tcW w:w="8554" w:type="dxa"/>
            <w:vAlign w:val="center"/>
          </w:tcPr>
          <w:p>
            <w:pPr>
              <w:shd w:val="clear" w:color="auto" w:fill="FFFFFF"/>
              <w:spacing w:line="320" w:lineRule="exact"/>
              <w:ind w:firstLine="420" w:firstLineChars="200"/>
              <w:jc w:val="left"/>
              <w:rPr>
                <w:color w:val="000000"/>
              </w:rPr>
            </w:pPr>
            <w:r>
              <w:t>区片：</w:t>
            </w:r>
            <w:r>
              <w:rPr>
                <w:color w:val="000000"/>
              </w:rPr>
              <w:t>东十一线—映霞路—东四线—远大路—黄兴大道—黄坡岭路—回龙路—白路港路—捞刀河北路—沙安路—韶塘坡路—北头港路（Ⅲ级区域除外）；</w:t>
            </w:r>
          </w:p>
          <w:p>
            <w:pPr>
              <w:shd w:val="clear" w:color="auto" w:fill="FFFFFF"/>
              <w:spacing w:line="320" w:lineRule="exact"/>
              <w:ind w:firstLine="420" w:firstLineChars="200"/>
              <w:rPr>
                <w:szCs w:val="21"/>
              </w:rPr>
            </w:pPr>
            <w:r>
              <w:rPr>
                <w:color w:val="000000"/>
              </w:rPr>
              <w:t>城其他范围：与Ⅴ级相邻的区域，往外延伸20米；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734" w:type="dxa"/>
            <w:vAlign w:val="center"/>
          </w:tcPr>
          <w:p>
            <w:pPr>
              <w:ind w:left="-105" w:leftChars="-50" w:right="-105" w:rightChars="-50"/>
              <w:jc w:val="center"/>
              <w:rPr>
                <w:szCs w:val="21"/>
              </w:rPr>
            </w:pPr>
            <w:r>
              <w:rPr>
                <w:szCs w:val="21"/>
              </w:rPr>
              <w:t>Ⅴ级</w:t>
            </w:r>
          </w:p>
        </w:tc>
        <w:tc>
          <w:tcPr>
            <w:tcW w:w="8554" w:type="dxa"/>
            <w:vAlign w:val="center"/>
          </w:tcPr>
          <w:p>
            <w:pPr>
              <w:shd w:val="clear" w:color="auto" w:fill="FFFFFF"/>
              <w:spacing w:line="320" w:lineRule="exact"/>
              <w:rPr>
                <w:szCs w:val="21"/>
              </w:rPr>
            </w:pPr>
            <w:r>
              <w:t>在基准地价更新范围内，除Ⅰ、Ⅱ、Ⅲ、Ⅳ级区以外的区域</w:t>
            </w:r>
          </w:p>
        </w:tc>
      </w:tr>
    </w:tbl>
    <w:p>
      <w:pPr>
        <w:spacing w:line="360" w:lineRule="auto"/>
        <w:ind w:firstLine="482" w:firstLineChars="200"/>
        <w:jc w:val="left"/>
        <w:outlineLvl w:val="3"/>
        <w:rPr>
          <w:b/>
          <w:sz w:val="24"/>
        </w:rPr>
      </w:pPr>
      <w:r>
        <w:rPr>
          <w:b/>
          <w:sz w:val="24"/>
        </w:rPr>
        <w:t>4、</w:t>
      </w:r>
      <w:bookmarkStart w:id="129" w:name="_Toc248306017"/>
      <w:bookmarkStart w:id="130" w:name="_Toc248305580"/>
      <w:bookmarkStart w:id="131" w:name="_Toc271529400"/>
      <w:bookmarkStart w:id="132" w:name="_Toc213589776"/>
      <w:bookmarkEnd w:id="125"/>
      <w:bookmarkEnd w:id="126"/>
      <w:bookmarkEnd w:id="127"/>
      <w:bookmarkEnd w:id="128"/>
      <w:r>
        <w:rPr>
          <w:b/>
          <w:sz w:val="24"/>
        </w:rPr>
        <w:t>基准地价的确定</w:t>
      </w:r>
    </w:p>
    <w:p>
      <w:pPr>
        <w:spacing w:line="480" w:lineRule="exact"/>
        <w:ind w:firstLine="480" w:firstLineChars="200"/>
        <w:rPr>
          <w:sz w:val="24"/>
          <w:szCs w:val="22"/>
        </w:rPr>
      </w:pPr>
      <w:r>
        <w:rPr>
          <w:sz w:val="24"/>
          <w:szCs w:val="22"/>
        </w:rPr>
        <w:t>商服、住宅、工矿仓储三种用途级别基准地价的测算结果见长沙县2013年基准地价表（表1-3-</w:t>
      </w:r>
      <w:r>
        <w:rPr>
          <w:rFonts w:hint="eastAsia"/>
          <w:sz w:val="24"/>
          <w:szCs w:val="22"/>
        </w:rPr>
        <w:t>4</w:t>
      </w:r>
      <w:r>
        <w:rPr>
          <w:sz w:val="24"/>
          <w:szCs w:val="22"/>
        </w:rPr>
        <w:t>）。</w:t>
      </w:r>
    </w:p>
    <w:p>
      <w:pPr>
        <w:tabs>
          <w:tab w:val="left" w:pos="720"/>
        </w:tabs>
        <w:spacing w:line="480" w:lineRule="exact"/>
        <w:jc w:val="center"/>
        <w:rPr>
          <w:b/>
          <w:sz w:val="24"/>
          <w:szCs w:val="22"/>
        </w:rPr>
      </w:pPr>
      <w:r>
        <w:rPr>
          <w:b/>
          <w:sz w:val="24"/>
          <w:szCs w:val="22"/>
        </w:rPr>
        <w:t>表1-3-</w:t>
      </w:r>
      <w:r>
        <w:rPr>
          <w:rFonts w:hint="eastAsia"/>
          <w:b/>
          <w:sz w:val="24"/>
          <w:szCs w:val="22"/>
        </w:rPr>
        <w:t>4</w:t>
      </w:r>
      <w:r>
        <w:rPr>
          <w:b/>
          <w:sz w:val="24"/>
          <w:szCs w:val="22"/>
        </w:rPr>
        <w:t xml:space="preserve">  长沙县2013年基准地价表</w:t>
      </w:r>
    </w:p>
    <w:p>
      <w:pPr>
        <w:ind w:firstLine="480" w:firstLineChars="200"/>
        <w:jc w:val="right"/>
        <w:rPr>
          <w:sz w:val="24"/>
        </w:rPr>
      </w:pPr>
      <w:r>
        <w:rPr>
          <w:sz w:val="24"/>
        </w:rPr>
        <w:t>单位：元/平方米</w:t>
      </w:r>
    </w:p>
    <w:tbl>
      <w:tblPr>
        <w:tblW w:w="7740" w:type="dxa"/>
        <w:jc w:val="center"/>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080"/>
        <w:gridCol w:w="1080"/>
        <w:gridCol w:w="1080"/>
        <w:gridCol w:w="1080"/>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260"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bCs/>
                <w:color w:val="000000"/>
                <w:kern w:val="0"/>
                <w:szCs w:val="21"/>
              </w:rPr>
            </w:pPr>
            <w:r>
              <w:rPr>
                <w:b/>
                <w:bCs/>
                <w:color w:val="000000"/>
                <w:kern w:val="0"/>
                <w:szCs w:val="21"/>
              </w:rPr>
              <w:t>土地级别</w:t>
            </w:r>
          </w:p>
        </w:tc>
        <w:tc>
          <w:tcPr>
            <w:tcW w:w="2160" w:type="dxa"/>
            <w:gridSpan w:val="2"/>
            <w:tcBorders>
              <w:top w:val="single" w:color="auto" w:sz="4" w:space="0"/>
              <w:left w:val="nil"/>
              <w:bottom w:val="single" w:color="auto" w:sz="4" w:space="0"/>
              <w:right w:val="single" w:color="000000" w:sz="4" w:space="0"/>
            </w:tcBorders>
            <w:vAlign w:val="top"/>
          </w:tcPr>
          <w:p>
            <w:pPr>
              <w:widowControl/>
              <w:jc w:val="center"/>
              <w:rPr>
                <w:b/>
                <w:bCs/>
                <w:color w:val="000000"/>
                <w:kern w:val="0"/>
                <w:szCs w:val="21"/>
              </w:rPr>
            </w:pPr>
            <w:r>
              <w:rPr>
                <w:b/>
                <w:bCs/>
                <w:color w:val="000000"/>
                <w:kern w:val="0"/>
                <w:szCs w:val="21"/>
              </w:rPr>
              <w:t>商服</w:t>
            </w:r>
          </w:p>
        </w:tc>
        <w:tc>
          <w:tcPr>
            <w:tcW w:w="2160" w:type="dxa"/>
            <w:gridSpan w:val="2"/>
            <w:tcBorders>
              <w:top w:val="single" w:color="auto" w:sz="4" w:space="0"/>
              <w:left w:val="nil"/>
              <w:bottom w:val="single" w:color="auto" w:sz="4" w:space="0"/>
              <w:right w:val="single" w:color="000000" w:sz="4" w:space="0"/>
            </w:tcBorders>
            <w:vAlign w:val="top"/>
          </w:tcPr>
          <w:p>
            <w:pPr>
              <w:widowControl/>
              <w:jc w:val="center"/>
              <w:rPr>
                <w:b/>
                <w:bCs/>
                <w:color w:val="000000"/>
                <w:kern w:val="0"/>
                <w:szCs w:val="21"/>
              </w:rPr>
            </w:pPr>
            <w:r>
              <w:rPr>
                <w:b/>
                <w:bCs/>
                <w:color w:val="000000"/>
                <w:kern w:val="0"/>
                <w:szCs w:val="21"/>
              </w:rPr>
              <w:t>住宅</w:t>
            </w:r>
          </w:p>
        </w:tc>
        <w:tc>
          <w:tcPr>
            <w:tcW w:w="2160" w:type="dxa"/>
            <w:gridSpan w:val="2"/>
            <w:tcBorders>
              <w:top w:val="single" w:color="auto" w:sz="4" w:space="0"/>
              <w:left w:val="nil"/>
              <w:bottom w:val="single" w:color="auto" w:sz="4" w:space="0"/>
              <w:right w:val="single" w:color="000000" w:sz="4" w:space="0"/>
            </w:tcBorders>
            <w:vAlign w:val="top"/>
          </w:tcPr>
          <w:p>
            <w:pPr>
              <w:widowControl/>
              <w:jc w:val="center"/>
              <w:rPr>
                <w:b/>
                <w:bCs/>
                <w:color w:val="000000"/>
                <w:kern w:val="0"/>
                <w:szCs w:val="21"/>
              </w:rPr>
            </w:pPr>
            <w:r>
              <w:rPr>
                <w:b/>
                <w:bCs/>
                <w:color w:val="000000"/>
                <w:kern w:val="0"/>
                <w:szCs w:val="21"/>
              </w:rPr>
              <w:t>工矿仓储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2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b/>
                <w:bCs/>
                <w:color w:val="000000"/>
                <w:kern w:val="0"/>
                <w:szCs w:val="21"/>
              </w:rPr>
            </w:pPr>
          </w:p>
        </w:tc>
        <w:tc>
          <w:tcPr>
            <w:tcW w:w="1080" w:type="dxa"/>
            <w:tcBorders>
              <w:top w:val="nil"/>
              <w:left w:val="nil"/>
              <w:bottom w:val="single" w:color="auto" w:sz="4" w:space="0"/>
              <w:right w:val="single" w:color="auto" w:sz="4" w:space="0"/>
            </w:tcBorders>
            <w:vAlign w:val="top"/>
          </w:tcPr>
          <w:p>
            <w:pPr>
              <w:widowControl/>
              <w:jc w:val="center"/>
              <w:rPr>
                <w:b/>
                <w:bCs/>
                <w:color w:val="000000"/>
                <w:kern w:val="0"/>
                <w:szCs w:val="21"/>
              </w:rPr>
            </w:pPr>
            <w:r>
              <w:rPr>
                <w:b/>
                <w:bCs/>
                <w:color w:val="000000"/>
                <w:kern w:val="0"/>
                <w:szCs w:val="21"/>
              </w:rPr>
              <w:t>元/m</w:t>
            </w:r>
            <w:r>
              <w:rPr>
                <w:b/>
                <w:bCs/>
                <w:color w:val="000000"/>
                <w:kern w:val="0"/>
                <w:szCs w:val="21"/>
                <w:vertAlign w:val="superscript"/>
              </w:rPr>
              <w:t>2</w:t>
            </w:r>
          </w:p>
        </w:tc>
        <w:tc>
          <w:tcPr>
            <w:tcW w:w="1080" w:type="dxa"/>
            <w:tcBorders>
              <w:top w:val="nil"/>
              <w:left w:val="nil"/>
              <w:bottom w:val="single" w:color="auto" w:sz="4" w:space="0"/>
              <w:right w:val="single" w:color="auto" w:sz="4" w:space="0"/>
            </w:tcBorders>
            <w:vAlign w:val="top"/>
          </w:tcPr>
          <w:p>
            <w:pPr>
              <w:widowControl/>
              <w:jc w:val="center"/>
              <w:rPr>
                <w:b/>
                <w:bCs/>
                <w:color w:val="000000"/>
                <w:kern w:val="0"/>
                <w:szCs w:val="21"/>
              </w:rPr>
            </w:pPr>
            <w:r>
              <w:rPr>
                <w:b/>
                <w:bCs/>
                <w:color w:val="000000"/>
                <w:kern w:val="0"/>
                <w:szCs w:val="21"/>
              </w:rPr>
              <w:t>万元/亩</w:t>
            </w:r>
          </w:p>
        </w:tc>
        <w:tc>
          <w:tcPr>
            <w:tcW w:w="1080" w:type="dxa"/>
            <w:tcBorders>
              <w:top w:val="nil"/>
              <w:left w:val="nil"/>
              <w:bottom w:val="single" w:color="auto" w:sz="4" w:space="0"/>
              <w:right w:val="single" w:color="auto" w:sz="4" w:space="0"/>
            </w:tcBorders>
            <w:vAlign w:val="top"/>
          </w:tcPr>
          <w:p>
            <w:pPr>
              <w:widowControl/>
              <w:jc w:val="center"/>
              <w:rPr>
                <w:b/>
                <w:bCs/>
                <w:color w:val="000000"/>
                <w:kern w:val="0"/>
                <w:szCs w:val="21"/>
              </w:rPr>
            </w:pPr>
            <w:r>
              <w:rPr>
                <w:b/>
                <w:bCs/>
                <w:color w:val="000000"/>
                <w:kern w:val="0"/>
                <w:szCs w:val="21"/>
              </w:rPr>
              <w:t>元/m</w:t>
            </w:r>
            <w:r>
              <w:rPr>
                <w:b/>
                <w:bCs/>
                <w:color w:val="000000"/>
                <w:kern w:val="0"/>
                <w:szCs w:val="21"/>
                <w:vertAlign w:val="superscript"/>
              </w:rPr>
              <w:t>2</w:t>
            </w:r>
          </w:p>
        </w:tc>
        <w:tc>
          <w:tcPr>
            <w:tcW w:w="1080" w:type="dxa"/>
            <w:tcBorders>
              <w:top w:val="nil"/>
              <w:left w:val="nil"/>
              <w:bottom w:val="single" w:color="auto" w:sz="4" w:space="0"/>
              <w:right w:val="single" w:color="auto" w:sz="4" w:space="0"/>
            </w:tcBorders>
            <w:vAlign w:val="top"/>
          </w:tcPr>
          <w:p>
            <w:pPr>
              <w:widowControl/>
              <w:jc w:val="center"/>
              <w:rPr>
                <w:b/>
                <w:bCs/>
                <w:color w:val="000000"/>
                <w:kern w:val="0"/>
                <w:szCs w:val="21"/>
              </w:rPr>
            </w:pPr>
            <w:r>
              <w:rPr>
                <w:b/>
                <w:bCs/>
                <w:color w:val="000000"/>
                <w:kern w:val="0"/>
                <w:szCs w:val="21"/>
              </w:rPr>
              <w:t>万元/亩</w:t>
            </w:r>
          </w:p>
        </w:tc>
        <w:tc>
          <w:tcPr>
            <w:tcW w:w="1080" w:type="dxa"/>
            <w:tcBorders>
              <w:top w:val="nil"/>
              <w:left w:val="nil"/>
              <w:bottom w:val="single" w:color="auto" w:sz="4" w:space="0"/>
              <w:right w:val="single" w:color="auto" w:sz="4" w:space="0"/>
            </w:tcBorders>
            <w:vAlign w:val="top"/>
          </w:tcPr>
          <w:p>
            <w:pPr>
              <w:widowControl/>
              <w:jc w:val="center"/>
              <w:rPr>
                <w:b/>
                <w:bCs/>
                <w:color w:val="000000"/>
                <w:kern w:val="0"/>
                <w:szCs w:val="21"/>
              </w:rPr>
            </w:pPr>
            <w:r>
              <w:rPr>
                <w:b/>
                <w:bCs/>
                <w:color w:val="000000"/>
                <w:kern w:val="0"/>
                <w:szCs w:val="21"/>
              </w:rPr>
              <w:t>元/m</w:t>
            </w:r>
            <w:r>
              <w:rPr>
                <w:b/>
                <w:bCs/>
                <w:color w:val="000000"/>
                <w:kern w:val="0"/>
                <w:szCs w:val="21"/>
                <w:vertAlign w:val="superscript"/>
              </w:rPr>
              <w:t>2</w:t>
            </w:r>
          </w:p>
        </w:tc>
        <w:tc>
          <w:tcPr>
            <w:tcW w:w="1080" w:type="dxa"/>
            <w:tcBorders>
              <w:top w:val="nil"/>
              <w:left w:val="nil"/>
              <w:bottom w:val="single" w:color="auto" w:sz="4" w:space="0"/>
              <w:right w:val="single" w:color="auto" w:sz="4" w:space="0"/>
            </w:tcBorders>
            <w:vAlign w:val="top"/>
          </w:tcPr>
          <w:p>
            <w:pPr>
              <w:widowControl/>
              <w:jc w:val="center"/>
              <w:rPr>
                <w:b/>
                <w:bCs/>
                <w:color w:val="000000"/>
                <w:kern w:val="0"/>
                <w:szCs w:val="21"/>
              </w:rPr>
            </w:pPr>
            <w:r>
              <w:rPr>
                <w:b/>
                <w:bCs/>
                <w:color w:val="000000"/>
                <w:kern w:val="0"/>
                <w:szCs w:val="21"/>
              </w:rPr>
              <w:t>万元/亩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260" w:type="dxa"/>
            <w:tcBorders>
              <w:top w:val="nil"/>
              <w:left w:val="single" w:color="auto" w:sz="4" w:space="0"/>
              <w:bottom w:val="single" w:color="auto" w:sz="4" w:space="0"/>
              <w:right w:val="single" w:color="auto" w:sz="4" w:space="0"/>
            </w:tcBorders>
            <w:vAlign w:val="top"/>
          </w:tcPr>
          <w:p>
            <w:pPr>
              <w:widowControl/>
              <w:jc w:val="center"/>
              <w:rPr>
                <w:color w:val="000000"/>
                <w:kern w:val="0"/>
                <w:szCs w:val="21"/>
              </w:rPr>
            </w:pPr>
            <w:r>
              <w:rPr>
                <w:color w:val="000000"/>
                <w:kern w:val="0"/>
                <w:szCs w:val="21"/>
              </w:rPr>
              <w:t>Ⅰ</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kern w:val="0"/>
                <w:szCs w:val="21"/>
              </w:rPr>
            </w:pPr>
            <w:r>
              <w:rPr>
                <w:color w:val="000000"/>
                <w:szCs w:val="21"/>
              </w:rPr>
              <w:t xml:space="preserve">4560 </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kern w:val="0"/>
                <w:szCs w:val="21"/>
              </w:rPr>
            </w:pPr>
            <w:r>
              <w:rPr>
                <w:color w:val="000000"/>
                <w:szCs w:val="21"/>
              </w:rPr>
              <w:t xml:space="preserve">304 </w:t>
            </w:r>
          </w:p>
        </w:tc>
        <w:tc>
          <w:tcPr>
            <w:tcW w:w="1080" w:type="dxa"/>
            <w:tcBorders>
              <w:top w:val="nil"/>
              <w:left w:val="nil"/>
              <w:bottom w:val="single" w:color="auto" w:sz="4" w:space="0"/>
              <w:right w:val="single" w:color="auto" w:sz="4" w:space="0"/>
            </w:tcBorders>
            <w:vAlign w:val="center"/>
          </w:tcPr>
          <w:p>
            <w:pPr>
              <w:shd w:val="clear" w:color="auto" w:fill="FFFFFF"/>
              <w:jc w:val="center"/>
            </w:pPr>
            <w:r>
              <w:rPr>
                <w:color w:val="000000"/>
                <w:szCs w:val="21"/>
              </w:rPr>
              <w:t xml:space="preserve">3320 </w:t>
            </w:r>
          </w:p>
        </w:tc>
        <w:tc>
          <w:tcPr>
            <w:tcW w:w="1080" w:type="dxa"/>
            <w:tcBorders>
              <w:top w:val="nil"/>
              <w:left w:val="nil"/>
              <w:bottom w:val="single" w:color="auto" w:sz="4" w:space="0"/>
              <w:right w:val="single" w:color="auto" w:sz="4" w:space="0"/>
            </w:tcBorders>
            <w:vAlign w:val="center"/>
          </w:tcPr>
          <w:p>
            <w:pPr>
              <w:shd w:val="clear" w:color="auto" w:fill="FFFFFF"/>
              <w:jc w:val="center"/>
            </w:pPr>
            <w:r>
              <w:rPr>
                <w:color w:val="000000"/>
                <w:szCs w:val="21"/>
              </w:rPr>
              <w:t xml:space="preserve">221 </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szCs w:val="21"/>
              </w:rPr>
            </w:pPr>
            <w:r>
              <w:rPr>
                <w:color w:val="000000"/>
                <w:szCs w:val="21"/>
              </w:rPr>
              <w:t>1280</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kern w:val="0"/>
                <w:szCs w:val="21"/>
              </w:rPr>
            </w:pPr>
            <w:r>
              <w:rPr>
                <w:color w:val="000000"/>
                <w:szCs w:val="21"/>
              </w:rPr>
              <w:t xml:space="preserve">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260" w:type="dxa"/>
            <w:tcBorders>
              <w:top w:val="nil"/>
              <w:left w:val="single" w:color="auto" w:sz="4" w:space="0"/>
              <w:bottom w:val="single" w:color="auto" w:sz="4" w:space="0"/>
              <w:right w:val="single" w:color="auto" w:sz="4" w:space="0"/>
            </w:tcBorders>
            <w:vAlign w:val="top"/>
          </w:tcPr>
          <w:p>
            <w:pPr>
              <w:widowControl/>
              <w:jc w:val="center"/>
              <w:rPr>
                <w:color w:val="000000"/>
                <w:kern w:val="0"/>
                <w:szCs w:val="21"/>
              </w:rPr>
            </w:pPr>
            <w:r>
              <w:rPr>
                <w:color w:val="000000"/>
                <w:kern w:val="0"/>
                <w:szCs w:val="21"/>
              </w:rPr>
              <w:t>Ⅱ</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kern w:val="0"/>
                <w:szCs w:val="21"/>
              </w:rPr>
            </w:pPr>
            <w:r>
              <w:rPr>
                <w:color w:val="000000"/>
                <w:szCs w:val="21"/>
              </w:rPr>
              <w:t xml:space="preserve">3270 </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kern w:val="0"/>
                <w:szCs w:val="21"/>
              </w:rPr>
            </w:pPr>
            <w:r>
              <w:rPr>
                <w:color w:val="000000"/>
                <w:szCs w:val="21"/>
              </w:rPr>
              <w:t xml:space="preserve">218 </w:t>
            </w:r>
          </w:p>
        </w:tc>
        <w:tc>
          <w:tcPr>
            <w:tcW w:w="1080" w:type="dxa"/>
            <w:tcBorders>
              <w:top w:val="nil"/>
              <w:left w:val="nil"/>
              <w:bottom w:val="single" w:color="auto" w:sz="4" w:space="0"/>
              <w:right w:val="single" w:color="auto" w:sz="4" w:space="0"/>
            </w:tcBorders>
            <w:vAlign w:val="center"/>
          </w:tcPr>
          <w:p>
            <w:pPr>
              <w:shd w:val="clear" w:color="auto" w:fill="FFFFFF"/>
              <w:jc w:val="center"/>
            </w:pPr>
            <w:r>
              <w:rPr>
                <w:color w:val="000000"/>
                <w:szCs w:val="21"/>
              </w:rPr>
              <w:t xml:space="preserve">2280 </w:t>
            </w:r>
          </w:p>
        </w:tc>
        <w:tc>
          <w:tcPr>
            <w:tcW w:w="1080" w:type="dxa"/>
            <w:tcBorders>
              <w:top w:val="nil"/>
              <w:left w:val="nil"/>
              <w:bottom w:val="single" w:color="auto" w:sz="4" w:space="0"/>
              <w:right w:val="single" w:color="auto" w:sz="4" w:space="0"/>
            </w:tcBorders>
            <w:vAlign w:val="center"/>
          </w:tcPr>
          <w:p>
            <w:pPr>
              <w:shd w:val="clear" w:color="auto" w:fill="FFFFFF"/>
              <w:jc w:val="center"/>
            </w:pPr>
            <w:r>
              <w:rPr>
                <w:color w:val="000000"/>
                <w:szCs w:val="21"/>
              </w:rPr>
              <w:t xml:space="preserve">152 </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szCs w:val="21"/>
              </w:rPr>
            </w:pPr>
            <w:r>
              <w:rPr>
                <w:color w:val="000000"/>
                <w:szCs w:val="21"/>
              </w:rPr>
              <w:t>1002</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kern w:val="0"/>
                <w:szCs w:val="21"/>
              </w:rPr>
            </w:pPr>
            <w:r>
              <w:rPr>
                <w:color w:val="000000"/>
                <w:szCs w:val="21"/>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260" w:type="dxa"/>
            <w:tcBorders>
              <w:top w:val="nil"/>
              <w:left w:val="single" w:color="auto" w:sz="4" w:space="0"/>
              <w:bottom w:val="single" w:color="auto" w:sz="4" w:space="0"/>
              <w:right w:val="single" w:color="auto" w:sz="4" w:space="0"/>
            </w:tcBorders>
            <w:vAlign w:val="top"/>
          </w:tcPr>
          <w:p>
            <w:pPr>
              <w:widowControl/>
              <w:jc w:val="center"/>
              <w:rPr>
                <w:color w:val="000000"/>
                <w:kern w:val="0"/>
                <w:szCs w:val="21"/>
              </w:rPr>
            </w:pPr>
            <w:r>
              <w:rPr>
                <w:color w:val="000000"/>
                <w:kern w:val="0"/>
                <w:szCs w:val="21"/>
              </w:rPr>
              <w:t>Ⅲ</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kern w:val="0"/>
                <w:szCs w:val="21"/>
              </w:rPr>
            </w:pPr>
            <w:r>
              <w:rPr>
                <w:color w:val="000000"/>
                <w:szCs w:val="21"/>
              </w:rPr>
              <w:t xml:space="preserve">2480 </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kern w:val="0"/>
                <w:szCs w:val="21"/>
              </w:rPr>
            </w:pPr>
            <w:r>
              <w:rPr>
                <w:color w:val="000000"/>
                <w:szCs w:val="21"/>
              </w:rPr>
              <w:t xml:space="preserve">165 </w:t>
            </w:r>
          </w:p>
        </w:tc>
        <w:tc>
          <w:tcPr>
            <w:tcW w:w="1080" w:type="dxa"/>
            <w:tcBorders>
              <w:top w:val="nil"/>
              <w:left w:val="nil"/>
              <w:bottom w:val="single" w:color="auto" w:sz="4" w:space="0"/>
              <w:right w:val="single" w:color="auto" w:sz="4" w:space="0"/>
            </w:tcBorders>
            <w:vAlign w:val="center"/>
          </w:tcPr>
          <w:p>
            <w:pPr>
              <w:shd w:val="clear" w:color="auto" w:fill="FFFFFF"/>
              <w:jc w:val="center"/>
            </w:pPr>
            <w:r>
              <w:rPr>
                <w:color w:val="000000"/>
                <w:szCs w:val="21"/>
              </w:rPr>
              <w:t xml:space="preserve">1700 </w:t>
            </w:r>
          </w:p>
        </w:tc>
        <w:tc>
          <w:tcPr>
            <w:tcW w:w="1080" w:type="dxa"/>
            <w:tcBorders>
              <w:top w:val="nil"/>
              <w:left w:val="nil"/>
              <w:bottom w:val="single" w:color="auto" w:sz="4" w:space="0"/>
              <w:right w:val="single" w:color="auto" w:sz="4" w:space="0"/>
            </w:tcBorders>
            <w:vAlign w:val="center"/>
          </w:tcPr>
          <w:p>
            <w:pPr>
              <w:shd w:val="clear" w:color="auto" w:fill="FFFFFF"/>
              <w:jc w:val="center"/>
            </w:pPr>
            <w:r>
              <w:rPr>
                <w:color w:val="000000"/>
                <w:szCs w:val="21"/>
              </w:rPr>
              <w:t xml:space="preserve">113 </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szCs w:val="21"/>
              </w:rPr>
            </w:pPr>
            <w:r>
              <w:rPr>
                <w:color w:val="000000"/>
                <w:szCs w:val="21"/>
              </w:rPr>
              <w:t>784</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kern w:val="0"/>
                <w:szCs w:val="21"/>
              </w:rPr>
            </w:pPr>
            <w:r>
              <w:rPr>
                <w:color w:val="000000"/>
                <w:szCs w:val="21"/>
              </w:rPr>
              <w:t xml:space="preserve">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260" w:type="dxa"/>
            <w:tcBorders>
              <w:top w:val="nil"/>
              <w:left w:val="single" w:color="auto" w:sz="4" w:space="0"/>
              <w:bottom w:val="single" w:color="auto" w:sz="4" w:space="0"/>
              <w:right w:val="single" w:color="auto" w:sz="4" w:space="0"/>
            </w:tcBorders>
            <w:vAlign w:val="top"/>
          </w:tcPr>
          <w:p>
            <w:pPr>
              <w:widowControl/>
              <w:jc w:val="center"/>
              <w:rPr>
                <w:color w:val="000000"/>
                <w:kern w:val="0"/>
                <w:szCs w:val="21"/>
              </w:rPr>
            </w:pPr>
            <w:r>
              <w:rPr>
                <w:color w:val="000000"/>
                <w:kern w:val="0"/>
                <w:szCs w:val="21"/>
              </w:rPr>
              <w:t>Ⅳ</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kern w:val="0"/>
                <w:szCs w:val="21"/>
              </w:rPr>
            </w:pPr>
            <w:r>
              <w:rPr>
                <w:color w:val="000000"/>
                <w:szCs w:val="21"/>
              </w:rPr>
              <w:t xml:space="preserve">1740 </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kern w:val="0"/>
                <w:szCs w:val="21"/>
              </w:rPr>
            </w:pPr>
            <w:r>
              <w:rPr>
                <w:color w:val="000000"/>
                <w:szCs w:val="21"/>
              </w:rPr>
              <w:t xml:space="preserve">116 </w:t>
            </w:r>
          </w:p>
        </w:tc>
        <w:tc>
          <w:tcPr>
            <w:tcW w:w="1080" w:type="dxa"/>
            <w:tcBorders>
              <w:top w:val="nil"/>
              <w:left w:val="nil"/>
              <w:bottom w:val="single" w:color="auto" w:sz="4" w:space="0"/>
              <w:right w:val="single" w:color="auto" w:sz="4" w:space="0"/>
            </w:tcBorders>
            <w:vAlign w:val="center"/>
          </w:tcPr>
          <w:p>
            <w:pPr>
              <w:shd w:val="clear" w:color="auto" w:fill="FFFFFF"/>
              <w:jc w:val="center"/>
            </w:pPr>
            <w:r>
              <w:rPr>
                <w:color w:val="000000"/>
                <w:szCs w:val="21"/>
              </w:rPr>
              <w:t xml:space="preserve">1270 </w:t>
            </w:r>
          </w:p>
        </w:tc>
        <w:tc>
          <w:tcPr>
            <w:tcW w:w="1080" w:type="dxa"/>
            <w:tcBorders>
              <w:top w:val="nil"/>
              <w:left w:val="nil"/>
              <w:bottom w:val="single" w:color="auto" w:sz="4" w:space="0"/>
              <w:right w:val="single" w:color="auto" w:sz="4" w:space="0"/>
            </w:tcBorders>
            <w:vAlign w:val="center"/>
          </w:tcPr>
          <w:p>
            <w:pPr>
              <w:shd w:val="clear" w:color="auto" w:fill="FFFFFF"/>
              <w:jc w:val="center"/>
            </w:pPr>
            <w:r>
              <w:rPr>
                <w:color w:val="000000"/>
                <w:szCs w:val="21"/>
              </w:rPr>
              <w:t xml:space="preserve">85 </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szCs w:val="21"/>
              </w:rPr>
            </w:pPr>
            <w:r>
              <w:rPr>
                <w:color w:val="000000"/>
                <w:szCs w:val="21"/>
              </w:rPr>
              <w:t>613</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kern w:val="0"/>
                <w:szCs w:val="21"/>
              </w:rPr>
            </w:pPr>
            <w:r>
              <w:rPr>
                <w:color w:val="000000"/>
                <w:szCs w:val="21"/>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260" w:type="dxa"/>
            <w:tcBorders>
              <w:top w:val="nil"/>
              <w:left w:val="single" w:color="auto" w:sz="4" w:space="0"/>
              <w:bottom w:val="single" w:color="auto" w:sz="4" w:space="0"/>
              <w:right w:val="single" w:color="auto" w:sz="4" w:space="0"/>
            </w:tcBorders>
            <w:vAlign w:val="top"/>
          </w:tcPr>
          <w:p>
            <w:pPr>
              <w:widowControl/>
              <w:jc w:val="center"/>
              <w:rPr>
                <w:color w:val="000000"/>
                <w:kern w:val="0"/>
                <w:szCs w:val="21"/>
              </w:rPr>
            </w:pPr>
            <w:r>
              <w:rPr>
                <w:color w:val="000000"/>
                <w:kern w:val="0"/>
                <w:szCs w:val="21"/>
              </w:rPr>
              <w:t>Ⅴ</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kern w:val="0"/>
                <w:szCs w:val="21"/>
              </w:rPr>
            </w:pPr>
            <w:r>
              <w:rPr>
                <w:color w:val="000000"/>
                <w:szCs w:val="21"/>
              </w:rPr>
              <w:t xml:space="preserve">1250 </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kern w:val="0"/>
                <w:szCs w:val="21"/>
              </w:rPr>
            </w:pPr>
            <w:r>
              <w:rPr>
                <w:color w:val="000000"/>
                <w:szCs w:val="21"/>
              </w:rPr>
              <w:t xml:space="preserve">83 </w:t>
            </w:r>
          </w:p>
        </w:tc>
        <w:tc>
          <w:tcPr>
            <w:tcW w:w="1080" w:type="dxa"/>
            <w:tcBorders>
              <w:top w:val="nil"/>
              <w:left w:val="nil"/>
              <w:bottom w:val="single" w:color="auto" w:sz="4" w:space="0"/>
              <w:right w:val="single" w:color="auto" w:sz="4" w:space="0"/>
            </w:tcBorders>
            <w:vAlign w:val="center"/>
          </w:tcPr>
          <w:p>
            <w:pPr>
              <w:shd w:val="clear" w:color="auto" w:fill="FFFFFF"/>
              <w:jc w:val="center"/>
            </w:pPr>
            <w:r>
              <w:rPr>
                <w:color w:val="000000"/>
                <w:szCs w:val="21"/>
              </w:rPr>
              <w:t xml:space="preserve">910 </w:t>
            </w:r>
          </w:p>
        </w:tc>
        <w:tc>
          <w:tcPr>
            <w:tcW w:w="1080" w:type="dxa"/>
            <w:tcBorders>
              <w:top w:val="nil"/>
              <w:left w:val="nil"/>
              <w:bottom w:val="single" w:color="auto" w:sz="4" w:space="0"/>
              <w:right w:val="single" w:color="auto" w:sz="4" w:space="0"/>
            </w:tcBorders>
            <w:vAlign w:val="center"/>
          </w:tcPr>
          <w:p>
            <w:pPr>
              <w:shd w:val="clear" w:color="auto" w:fill="FFFFFF"/>
              <w:jc w:val="center"/>
            </w:pPr>
            <w:r>
              <w:rPr>
                <w:color w:val="000000"/>
                <w:szCs w:val="21"/>
              </w:rPr>
              <w:t xml:space="preserve">61 </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szCs w:val="21"/>
              </w:rPr>
            </w:pPr>
            <w:r>
              <w:rPr>
                <w:color w:val="000000"/>
                <w:szCs w:val="21"/>
              </w:rPr>
              <w:t>480</w:t>
            </w:r>
          </w:p>
        </w:tc>
        <w:tc>
          <w:tcPr>
            <w:tcW w:w="1080" w:type="dxa"/>
            <w:tcBorders>
              <w:top w:val="nil"/>
              <w:left w:val="nil"/>
              <w:bottom w:val="single" w:color="auto" w:sz="4" w:space="0"/>
              <w:right w:val="single" w:color="auto" w:sz="4" w:space="0"/>
            </w:tcBorders>
            <w:vAlign w:val="center"/>
          </w:tcPr>
          <w:p>
            <w:pPr>
              <w:shd w:val="clear" w:color="auto" w:fill="FFFFFF"/>
              <w:jc w:val="center"/>
              <w:rPr>
                <w:color w:val="000000"/>
                <w:kern w:val="0"/>
                <w:szCs w:val="21"/>
              </w:rPr>
            </w:pPr>
            <w:r>
              <w:rPr>
                <w:color w:val="000000"/>
                <w:szCs w:val="21"/>
              </w:rPr>
              <w:t xml:space="preserve">32 </w:t>
            </w:r>
          </w:p>
        </w:tc>
      </w:tr>
    </w:tbl>
    <w:p>
      <w:pPr>
        <w:spacing w:line="360" w:lineRule="auto"/>
        <w:ind w:firstLine="482" w:firstLineChars="200"/>
        <w:jc w:val="left"/>
        <w:outlineLvl w:val="3"/>
        <w:rPr>
          <w:b/>
          <w:sz w:val="24"/>
        </w:rPr>
      </w:pPr>
      <w:r>
        <w:rPr>
          <w:b/>
          <w:sz w:val="24"/>
        </w:rPr>
        <w:t>5、建立宗地地价修正体系</w:t>
      </w:r>
      <w:bookmarkEnd w:id="129"/>
      <w:bookmarkEnd w:id="130"/>
      <w:bookmarkEnd w:id="131"/>
      <w:bookmarkEnd w:id="132"/>
    </w:p>
    <w:p>
      <w:pPr>
        <w:spacing w:line="480" w:lineRule="exact"/>
        <w:ind w:firstLine="480" w:firstLineChars="200"/>
        <w:rPr>
          <w:sz w:val="24"/>
          <w:szCs w:val="22"/>
          <w:lang w:val="zh-CN"/>
        </w:rPr>
      </w:pPr>
      <w:r>
        <w:rPr>
          <w:sz w:val="24"/>
          <w:szCs w:val="22"/>
          <w:lang w:val="zh-CN"/>
        </w:rPr>
        <w:t>建立宗地地价修正体系的步骤为：首先分析形成宗地地价差异的原因，并在此基础上选取若干个能映这种差异的修正因素，采用层次分析法确定各修正因素的权重值（Wi）；其次，根据有效样点地价与基准地价的差值确定上调，下调最大幅度(F1,F1)及各因素修正幅度（F1Wi,F2Wi）；最后，量化所有因素指标即可得到修正系数表。其中，商服用地的修正因素重点考虑了区段（片）内的微观区位因素及宗地特殊因素修正；住宅用地和工矿仓储用地的修正因素全面考虑了宗地区域因素和个别因素的差异。</w:t>
      </w:r>
    </w:p>
    <w:p>
      <w:pPr>
        <w:tabs>
          <w:tab w:val="left" w:pos="720"/>
        </w:tabs>
        <w:spacing w:line="480" w:lineRule="exact"/>
        <w:jc w:val="center"/>
        <w:rPr>
          <w:b/>
          <w:sz w:val="24"/>
          <w:szCs w:val="22"/>
        </w:rPr>
      </w:pPr>
      <w:r>
        <w:rPr>
          <w:b/>
          <w:sz w:val="24"/>
          <w:szCs w:val="22"/>
        </w:rPr>
        <w:br w:type="page"/>
      </w:r>
    </w:p>
    <w:p>
      <w:pPr>
        <w:tabs>
          <w:tab w:val="left" w:pos="720"/>
        </w:tabs>
        <w:spacing w:line="480" w:lineRule="exact"/>
        <w:jc w:val="center"/>
        <w:rPr>
          <w:b/>
          <w:sz w:val="24"/>
          <w:szCs w:val="22"/>
        </w:rPr>
      </w:pPr>
      <w:r>
        <w:rPr>
          <w:b/>
          <w:sz w:val="24"/>
          <w:szCs w:val="22"/>
        </w:rPr>
        <w:t>表1-3-</w:t>
      </w:r>
      <w:r>
        <w:rPr>
          <w:rFonts w:hint="eastAsia"/>
          <w:b/>
          <w:sz w:val="24"/>
          <w:szCs w:val="22"/>
        </w:rPr>
        <w:t>5</w:t>
      </w:r>
      <w:r>
        <w:rPr>
          <w:b/>
          <w:sz w:val="24"/>
          <w:szCs w:val="22"/>
        </w:rPr>
        <w:t xml:space="preserve"> 长沙县宗地地价修正因素及权重表</w:t>
      </w:r>
    </w:p>
    <w:tbl>
      <w:tblPr>
        <w:tblW w:w="9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1557"/>
        <w:gridCol w:w="1761"/>
        <w:gridCol w:w="816"/>
        <w:gridCol w:w="1761"/>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792" w:type="dxa"/>
            <w:vAlign w:val="center"/>
          </w:tcPr>
          <w:p>
            <w:pPr>
              <w:spacing w:line="320" w:lineRule="exact"/>
              <w:jc w:val="center"/>
            </w:pPr>
            <w:r>
              <w:t>商服用地</w:t>
            </w:r>
          </w:p>
        </w:tc>
        <w:tc>
          <w:tcPr>
            <w:tcW w:w="1557" w:type="dxa"/>
            <w:vAlign w:val="center"/>
          </w:tcPr>
          <w:p>
            <w:pPr>
              <w:spacing w:line="320" w:lineRule="exact"/>
              <w:jc w:val="center"/>
            </w:pPr>
            <w:r>
              <w:t>权重</w:t>
            </w:r>
          </w:p>
        </w:tc>
        <w:tc>
          <w:tcPr>
            <w:tcW w:w="1761" w:type="dxa"/>
            <w:vAlign w:val="center"/>
          </w:tcPr>
          <w:p>
            <w:pPr>
              <w:spacing w:line="320" w:lineRule="exact"/>
              <w:jc w:val="center"/>
            </w:pPr>
            <w:r>
              <w:t>住宅用地</w:t>
            </w:r>
          </w:p>
        </w:tc>
        <w:tc>
          <w:tcPr>
            <w:tcW w:w="816" w:type="dxa"/>
            <w:vAlign w:val="center"/>
          </w:tcPr>
          <w:p>
            <w:pPr>
              <w:spacing w:line="320" w:lineRule="exact"/>
              <w:jc w:val="center"/>
            </w:pPr>
            <w:r>
              <w:t>权重</w:t>
            </w:r>
          </w:p>
        </w:tc>
        <w:tc>
          <w:tcPr>
            <w:tcW w:w="1761" w:type="dxa"/>
            <w:vAlign w:val="center"/>
          </w:tcPr>
          <w:p>
            <w:pPr>
              <w:spacing w:line="320" w:lineRule="exact"/>
              <w:jc w:val="center"/>
            </w:pPr>
            <w:r>
              <w:t>工矿仓储用地</w:t>
            </w:r>
          </w:p>
        </w:tc>
        <w:tc>
          <w:tcPr>
            <w:tcW w:w="1497" w:type="dxa"/>
            <w:vAlign w:val="center"/>
          </w:tcPr>
          <w:p>
            <w:pPr>
              <w:spacing w:line="320" w:lineRule="exact"/>
              <w:jc w:val="center"/>
            </w:pPr>
            <w: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92" w:type="dxa"/>
            <w:vAlign w:val="center"/>
          </w:tcPr>
          <w:p>
            <w:pPr>
              <w:spacing w:line="320" w:lineRule="exact"/>
              <w:jc w:val="center"/>
            </w:pPr>
            <w:r>
              <w:t>商服繁华度</w:t>
            </w:r>
          </w:p>
        </w:tc>
        <w:tc>
          <w:tcPr>
            <w:tcW w:w="1557" w:type="dxa"/>
            <w:vAlign w:val="center"/>
          </w:tcPr>
          <w:p>
            <w:pPr>
              <w:spacing w:line="320" w:lineRule="exact"/>
              <w:jc w:val="center"/>
            </w:pPr>
            <w:r>
              <w:rPr>
                <w:szCs w:val="21"/>
              </w:rPr>
              <w:t>0.332</w:t>
            </w:r>
          </w:p>
        </w:tc>
        <w:tc>
          <w:tcPr>
            <w:tcW w:w="1761" w:type="dxa"/>
            <w:vAlign w:val="center"/>
          </w:tcPr>
          <w:p>
            <w:pPr>
              <w:spacing w:line="320" w:lineRule="exact"/>
              <w:ind w:hanging="105"/>
              <w:jc w:val="center"/>
            </w:pPr>
            <w:r>
              <w:t>商服繁华度</w:t>
            </w:r>
          </w:p>
        </w:tc>
        <w:tc>
          <w:tcPr>
            <w:tcW w:w="816" w:type="dxa"/>
            <w:vAlign w:val="center"/>
          </w:tcPr>
          <w:p>
            <w:pPr>
              <w:spacing w:line="320" w:lineRule="exact"/>
              <w:jc w:val="center"/>
            </w:pPr>
            <w:r>
              <w:t>0.170</w:t>
            </w:r>
          </w:p>
        </w:tc>
        <w:tc>
          <w:tcPr>
            <w:tcW w:w="1761" w:type="dxa"/>
            <w:vAlign w:val="center"/>
          </w:tcPr>
          <w:p>
            <w:pPr>
              <w:spacing w:line="320" w:lineRule="exact"/>
              <w:ind w:hanging="105"/>
              <w:jc w:val="center"/>
            </w:pPr>
            <w:r>
              <w:t>交通条件</w:t>
            </w:r>
          </w:p>
        </w:tc>
        <w:tc>
          <w:tcPr>
            <w:tcW w:w="1497" w:type="dxa"/>
            <w:vAlign w:val="center"/>
          </w:tcPr>
          <w:p>
            <w:pPr>
              <w:spacing w:line="320" w:lineRule="exact"/>
              <w:jc w:val="center"/>
            </w:pPr>
            <w:r>
              <w:t>0.376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92" w:type="dxa"/>
            <w:vAlign w:val="center"/>
          </w:tcPr>
          <w:p>
            <w:pPr>
              <w:spacing w:line="320" w:lineRule="exact"/>
              <w:jc w:val="center"/>
            </w:pPr>
            <w:r>
              <w:t>交通条件</w:t>
            </w:r>
          </w:p>
        </w:tc>
        <w:tc>
          <w:tcPr>
            <w:tcW w:w="1557" w:type="dxa"/>
            <w:vAlign w:val="center"/>
          </w:tcPr>
          <w:p>
            <w:pPr>
              <w:spacing w:line="320" w:lineRule="exact"/>
              <w:jc w:val="center"/>
            </w:pPr>
            <w:r>
              <w:t>0.269</w:t>
            </w:r>
          </w:p>
        </w:tc>
        <w:tc>
          <w:tcPr>
            <w:tcW w:w="1761" w:type="dxa"/>
            <w:vAlign w:val="center"/>
          </w:tcPr>
          <w:p>
            <w:pPr>
              <w:spacing w:line="320" w:lineRule="exact"/>
              <w:jc w:val="center"/>
            </w:pPr>
            <w:r>
              <w:t>交通条件</w:t>
            </w:r>
          </w:p>
        </w:tc>
        <w:tc>
          <w:tcPr>
            <w:tcW w:w="816" w:type="dxa"/>
            <w:vAlign w:val="center"/>
          </w:tcPr>
          <w:p>
            <w:pPr>
              <w:spacing w:line="320" w:lineRule="exact"/>
              <w:jc w:val="center"/>
            </w:pPr>
            <w:r>
              <w:t>0.272</w:t>
            </w:r>
          </w:p>
        </w:tc>
        <w:tc>
          <w:tcPr>
            <w:tcW w:w="1761" w:type="dxa"/>
            <w:vAlign w:val="center"/>
          </w:tcPr>
          <w:p>
            <w:pPr>
              <w:spacing w:line="320" w:lineRule="exact"/>
              <w:ind w:hanging="105"/>
              <w:jc w:val="center"/>
            </w:pPr>
            <w:r>
              <w:rPr>
                <w:color w:val="000000"/>
                <w:szCs w:val="21"/>
              </w:rPr>
              <w:t>基础设施状况</w:t>
            </w:r>
          </w:p>
        </w:tc>
        <w:tc>
          <w:tcPr>
            <w:tcW w:w="1497" w:type="dxa"/>
            <w:vAlign w:val="center"/>
          </w:tcPr>
          <w:p>
            <w:pPr>
              <w:spacing w:line="320" w:lineRule="exact"/>
              <w:jc w:val="center"/>
            </w:pPr>
            <w:r>
              <w:t>0.280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92" w:type="dxa"/>
            <w:vAlign w:val="center"/>
          </w:tcPr>
          <w:p>
            <w:pPr>
              <w:spacing w:line="320" w:lineRule="exact"/>
              <w:jc w:val="center"/>
            </w:pPr>
            <w:r>
              <w:t>基本设施状况</w:t>
            </w:r>
          </w:p>
        </w:tc>
        <w:tc>
          <w:tcPr>
            <w:tcW w:w="1557" w:type="dxa"/>
            <w:vAlign w:val="center"/>
          </w:tcPr>
          <w:p>
            <w:pPr>
              <w:spacing w:line="320" w:lineRule="exact"/>
              <w:jc w:val="center"/>
            </w:pPr>
            <w:r>
              <w:t>0.180</w:t>
            </w:r>
          </w:p>
        </w:tc>
        <w:tc>
          <w:tcPr>
            <w:tcW w:w="1761" w:type="dxa"/>
            <w:vAlign w:val="center"/>
          </w:tcPr>
          <w:p>
            <w:pPr>
              <w:jc w:val="center"/>
              <w:rPr>
                <w:color w:val="000000"/>
                <w:szCs w:val="21"/>
              </w:rPr>
            </w:pPr>
            <w:r>
              <w:rPr>
                <w:color w:val="000000"/>
                <w:szCs w:val="21"/>
              </w:rPr>
              <w:t>基础设施状况</w:t>
            </w:r>
          </w:p>
        </w:tc>
        <w:tc>
          <w:tcPr>
            <w:tcW w:w="816" w:type="dxa"/>
            <w:vAlign w:val="center"/>
          </w:tcPr>
          <w:p>
            <w:pPr>
              <w:spacing w:line="320" w:lineRule="exact"/>
              <w:jc w:val="center"/>
            </w:pPr>
            <w:r>
              <w:t>0.200</w:t>
            </w:r>
          </w:p>
        </w:tc>
        <w:tc>
          <w:tcPr>
            <w:tcW w:w="1761" w:type="dxa"/>
            <w:vAlign w:val="center"/>
          </w:tcPr>
          <w:p>
            <w:pPr>
              <w:spacing w:line="320" w:lineRule="exact"/>
              <w:ind w:hanging="105"/>
              <w:jc w:val="center"/>
            </w:pPr>
            <w:r>
              <w:t>产业集聚度</w:t>
            </w:r>
          </w:p>
        </w:tc>
        <w:tc>
          <w:tcPr>
            <w:tcW w:w="1497" w:type="dxa"/>
            <w:vAlign w:val="center"/>
          </w:tcPr>
          <w:p>
            <w:pPr>
              <w:spacing w:line="320" w:lineRule="exact"/>
              <w:jc w:val="center"/>
            </w:pPr>
            <w:r>
              <w:t>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92" w:type="dxa"/>
            <w:vAlign w:val="center"/>
          </w:tcPr>
          <w:p>
            <w:pPr>
              <w:spacing w:line="320" w:lineRule="exact"/>
              <w:jc w:val="center"/>
            </w:pPr>
            <w:r>
              <w:t>人口状况</w:t>
            </w:r>
          </w:p>
        </w:tc>
        <w:tc>
          <w:tcPr>
            <w:tcW w:w="1557" w:type="dxa"/>
            <w:vAlign w:val="center"/>
          </w:tcPr>
          <w:p>
            <w:pPr>
              <w:spacing w:line="320" w:lineRule="exact"/>
              <w:jc w:val="center"/>
            </w:pPr>
            <w:r>
              <w:t>0.150</w:t>
            </w:r>
          </w:p>
        </w:tc>
        <w:tc>
          <w:tcPr>
            <w:tcW w:w="1761" w:type="dxa"/>
            <w:vAlign w:val="center"/>
          </w:tcPr>
          <w:p>
            <w:pPr>
              <w:spacing w:line="320" w:lineRule="exact"/>
              <w:ind w:hanging="105"/>
              <w:jc w:val="center"/>
            </w:pPr>
            <w:r>
              <w:t>公用设施完备度</w:t>
            </w:r>
          </w:p>
        </w:tc>
        <w:tc>
          <w:tcPr>
            <w:tcW w:w="816" w:type="dxa"/>
            <w:vAlign w:val="center"/>
          </w:tcPr>
          <w:p>
            <w:pPr>
              <w:spacing w:line="320" w:lineRule="exact"/>
              <w:jc w:val="center"/>
            </w:pPr>
            <w:r>
              <w:t>0.131</w:t>
            </w:r>
          </w:p>
        </w:tc>
        <w:tc>
          <w:tcPr>
            <w:tcW w:w="1761" w:type="dxa"/>
            <w:vAlign w:val="center"/>
          </w:tcPr>
          <w:p>
            <w:pPr>
              <w:spacing w:line="320" w:lineRule="exact"/>
              <w:ind w:hanging="105"/>
              <w:jc w:val="center"/>
            </w:pPr>
            <w:r>
              <w:t>环境条件优劣度</w:t>
            </w:r>
          </w:p>
        </w:tc>
        <w:tc>
          <w:tcPr>
            <w:tcW w:w="1497" w:type="dxa"/>
            <w:vAlign w:val="center"/>
          </w:tcPr>
          <w:p>
            <w:pPr>
              <w:spacing w:line="320" w:lineRule="exact"/>
              <w:jc w:val="center"/>
            </w:pPr>
            <w:r>
              <w:t>0.141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92" w:type="dxa"/>
            <w:vAlign w:val="center"/>
          </w:tcPr>
          <w:p>
            <w:pPr>
              <w:spacing w:line="320" w:lineRule="exact"/>
              <w:jc w:val="center"/>
            </w:pPr>
            <w:r>
              <w:t>城市规划</w:t>
            </w:r>
          </w:p>
        </w:tc>
        <w:tc>
          <w:tcPr>
            <w:tcW w:w="1557" w:type="dxa"/>
            <w:vAlign w:val="center"/>
          </w:tcPr>
          <w:p>
            <w:pPr>
              <w:spacing w:line="320" w:lineRule="exact"/>
              <w:jc w:val="center"/>
            </w:pPr>
            <w:r>
              <w:t>0.069</w:t>
            </w:r>
          </w:p>
        </w:tc>
        <w:tc>
          <w:tcPr>
            <w:tcW w:w="1761" w:type="dxa"/>
            <w:vAlign w:val="center"/>
          </w:tcPr>
          <w:p>
            <w:pPr>
              <w:spacing w:line="320" w:lineRule="exact"/>
              <w:ind w:hanging="105"/>
              <w:jc w:val="center"/>
            </w:pPr>
            <w:r>
              <w:t>环境条件优劣度</w:t>
            </w:r>
          </w:p>
        </w:tc>
        <w:tc>
          <w:tcPr>
            <w:tcW w:w="816" w:type="dxa"/>
            <w:vAlign w:val="center"/>
          </w:tcPr>
          <w:p>
            <w:pPr>
              <w:spacing w:line="320" w:lineRule="exact"/>
              <w:jc w:val="center"/>
            </w:pPr>
            <w:r>
              <w:t>0.102</w:t>
            </w:r>
          </w:p>
        </w:tc>
        <w:tc>
          <w:tcPr>
            <w:tcW w:w="1761" w:type="dxa"/>
            <w:vAlign w:val="center"/>
          </w:tcPr>
          <w:p>
            <w:pPr>
              <w:spacing w:line="320" w:lineRule="exact"/>
              <w:ind w:hanging="105"/>
              <w:jc w:val="center"/>
            </w:pPr>
            <w:r>
              <w:t>城市规划</w:t>
            </w:r>
          </w:p>
        </w:tc>
        <w:tc>
          <w:tcPr>
            <w:tcW w:w="1497" w:type="dxa"/>
            <w:vAlign w:val="center"/>
          </w:tcPr>
          <w:p>
            <w:pPr>
              <w:spacing w:line="320" w:lineRule="exact"/>
              <w:jc w:val="center"/>
            </w:pPr>
            <w:r>
              <w:t>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92" w:type="dxa"/>
            <w:vAlign w:val="center"/>
          </w:tcPr>
          <w:p>
            <w:pPr>
              <w:spacing w:line="320" w:lineRule="exact"/>
              <w:jc w:val="center"/>
            </w:pPr>
          </w:p>
        </w:tc>
        <w:tc>
          <w:tcPr>
            <w:tcW w:w="1557" w:type="dxa"/>
            <w:vAlign w:val="center"/>
          </w:tcPr>
          <w:p>
            <w:pPr>
              <w:spacing w:line="320" w:lineRule="exact"/>
              <w:jc w:val="center"/>
            </w:pPr>
          </w:p>
        </w:tc>
        <w:tc>
          <w:tcPr>
            <w:tcW w:w="1761" w:type="dxa"/>
            <w:vAlign w:val="center"/>
          </w:tcPr>
          <w:p>
            <w:pPr>
              <w:spacing w:line="320" w:lineRule="exact"/>
              <w:ind w:hanging="105"/>
              <w:jc w:val="center"/>
            </w:pPr>
            <w:r>
              <w:t>人口状况</w:t>
            </w:r>
          </w:p>
        </w:tc>
        <w:tc>
          <w:tcPr>
            <w:tcW w:w="816" w:type="dxa"/>
            <w:vAlign w:val="center"/>
          </w:tcPr>
          <w:p>
            <w:pPr>
              <w:spacing w:line="320" w:lineRule="exact"/>
              <w:jc w:val="center"/>
            </w:pPr>
            <w:r>
              <w:t>0.058</w:t>
            </w:r>
          </w:p>
        </w:tc>
        <w:tc>
          <w:tcPr>
            <w:tcW w:w="1761" w:type="dxa"/>
            <w:vAlign w:val="center"/>
          </w:tcPr>
          <w:p>
            <w:pPr>
              <w:spacing w:line="320" w:lineRule="exact"/>
              <w:ind w:hanging="105"/>
              <w:jc w:val="center"/>
            </w:pPr>
          </w:p>
        </w:tc>
        <w:tc>
          <w:tcPr>
            <w:tcW w:w="1497" w:type="dxa"/>
            <w:vAlign w:val="center"/>
          </w:tcPr>
          <w:p>
            <w:pPr>
              <w:spacing w:line="32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92" w:type="dxa"/>
            <w:vAlign w:val="center"/>
          </w:tcPr>
          <w:p>
            <w:pPr>
              <w:spacing w:line="320" w:lineRule="exact"/>
              <w:jc w:val="center"/>
            </w:pPr>
          </w:p>
        </w:tc>
        <w:tc>
          <w:tcPr>
            <w:tcW w:w="1557" w:type="dxa"/>
            <w:vAlign w:val="center"/>
          </w:tcPr>
          <w:p>
            <w:pPr>
              <w:spacing w:line="320" w:lineRule="exact"/>
              <w:jc w:val="center"/>
            </w:pPr>
          </w:p>
        </w:tc>
        <w:tc>
          <w:tcPr>
            <w:tcW w:w="1761" w:type="dxa"/>
            <w:vAlign w:val="center"/>
          </w:tcPr>
          <w:p>
            <w:pPr>
              <w:spacing w:line="320" w:lineRule="exact"/>
              <w:ind w:hanging="105"/>
              <w:jc w:val="center"/>
            </w:pPr>
            <w:r>
              <w:t>城市规划</w:t>
            </w:r>
          </w:p>
        </w:tc>
        <w:tc>
          <w:tcPr>
            <w:tcW w:w="816" w:type="dxa"/>
            <w:vAlign w:val="center"/>
          </w:tcPr>
          <w:p>
            <w:pPr>
              <w:spacing w:line="320" w:lineRule="exact"/>
              <w:jc w:val="center"/>
            </w:pPr>
            <w:r>
              <w:t>0.067</w:t>
            </w:r>
          </w:p>
        </w:tc>
        <w:tc>
          <w:tcPr>
            <w:tcW w:w="1761" w:type="dxa"/>
            <w:vAlign w:val="center"/>
          </w:tcPr>
          <w:p>
            <w:pPr>
              <w:spacing w:line="320" w:lineRule="exact"/>
              <w:ind w:hanging="105"/>
              <w:jc w:val="center"/>
            </w:pPr>
          </w:p>
        </w:tc>
        <w:tc>
          <w:tcPr>
            <w:tcW w:w="1497" w:type="dxa"/>
            <w:vAlign w:val="center"/>
          </w:tcPr>
          <w:p>
            <w:pPr>
              <w:spacing w:line="320" w:lineRule="exact"/>
              <w:jc w:val="center"/>
            </w:pPr>
          </w:p>
        </w:tc>
      </w:tr>
    </w:tbl>
    <w:p>
      <w:pPr>
        <w:numPr>
          <w:ilvl w:val="0"/>
          <w:numId w:val="1"/>
        </w:numPr>
        <w:spacing w:line="360" w:lineRule="auto"/>
        <w:ind w:firstLine="482" w:firstLineChars="200"/>
        <w:jc w:val="left"/>
        <w:outlineLvl w:val="3"/>
        <w:rPr>
          <w:b/>
          <w:sz w:val="24"/>
          <w:szCs w:val="22"/>
        </w:rPr>
      </w:pPr>
      <w:bookmarkStart w:id="133" w:name="_Toc248305572"/>
      <w:bookmarkStart w:id="134" w:name="_Toc470721267"/>
      <w:bookmarkStart w:id="135" w:name="_Toc467846809"/>
      <w:bookmarkStart w:id="136" w:name="_Toc469296416"/>
      <w:bookmarkStart w:id="137" w:name="_Toc248306009"/>
      <w:r>
        <w:rPr>
          <w:rFonts w:hint="eastAsia"/>
          <w:b/>
          <w:sz w:val="24"/>
          <w:szCs w:val="22"/>
        </w:rPr>
        <w:t>本年度基准地价更新需要完善的地方</w:t>
      </w:r>
    </w:p>
    <w:p>
      <w:pPr>
        <w:spacing w:line="480" w:lineRule="exact"/>
        <w:ind w:firstLine="480" w:firstLineChars="200"/>
        <w:rPr>
          <w:sz w:val="24"/>
          <w:szCs w:val="22"/>
        </w:rPr>
      </w:pPr>
      <w:r>
        <w:rPr>
          <w:rFonts w:hint="eastAsia"/>
          <w:sz w:val="24"/>
          <w:szCs w:val="22"/>
        </w:rPr>
        <w:t>1、充分考虑综合交通发展对县域地价的影响；</w:t>
      </w:r>
    </w:p>
    <w:p>
      <w:pPr>
        <w:spacing w:line="480" w:lineRule="exact"/>
        <w:ind w:firstLine="480" w:firstLineChars="200"/>
        <w:rPr>
          <w:sz w:val="24"/>
          <w:szCs w:val="22"/>
          <w:lang w:val="zh-CN"/>
        </w:rPr>
      </w:pPr>
      <w:r>
        <w:rPr>
          <w:rFonts w:hint="eastAsia"/>
          <w:sz w:val="24"/>
          <w:szCs w:val="22"/>
          <w:lang w:val="zh-CN"/>
        </w:rPr>
        <w:t>近几年，长沙县地区综合交通基础设施建设成绩斐然：黄花国际机场T2航站楼正式投入运营，杭长客运专线及长昆客运专线顺利通车，长沙市三环绕城高速公路东北段及东南段、黄兴大道南北延线、人民路东延线工程、开元大道与东三环连接线、洞株公路、黄江公路东延拓改等重大项目相继完成，地铁2号线通达至光达站，地铁3、4、5号线相继开建，长沙黄花机场与高铁南站之间的磁悬浮列车开通运营。这些重大基础建设的完成，势必对长沙县土地利用条件和地价带来很大的变化。</w:t>
      </w:r>
    </w:p>
    <w:p>
      <w:pPr>
        <w:numPr>
          <w:ilvl w:val="0"/>
          <w:numId w:val="2"/>
        </w:numPr>
        <w:spacing w:line="480" w:lineRule="exact"/>
        <w:ind w:firstLine="480" w:firstLineChars="200"/>
        <w:rPr>
          <w:sz w:val="24"/>
          <w:szCs w:val="22"/>
        </w:rPr>
      </w:pPr>
      <w:r>
        <w:rPr>
          <w:rFonts w:hint="eastAsia"/>
          <w:sz w:val="24"/>
          <w:szCs w:val="22"/>
        </w:rPr>
        <w:t>宏观考虑县域综合经济发展对县域地价的影响；</w:t>
      </w:r>
    </w:p>
    <w:p>
      <w:pPr>
        <w:spacing w:line="480" w:lineRule="exact"/>
        <w:ind w:firstLine="480" w:firstLineChars="200"/>
        <w:rPr>
          <w:sz w:val="24"/>
          <w:szCs w:val="22"/>
          <w:lang w:val="zh-CN"/>
        </w:rPr>
      </w:pPr>
      <w:r>
        <w:rPr>
          <w:rFonts w:hint="eastAsia"/>
          <w:sz w:val="24"/>
          <w:szCs w:val="22"/>
          <w:lang w:val="zh-CN"/>
        </w:rPr>
        <w:t>近几年，长沙县地区生产总值一直保持平稳增长，经济</w:t>
      </w:r>
      <w:r>
        <w:rPr>
          <w:sz w:val="24"/>
          <w:szCs w:val="22"/>
          <w:lang w:val="zh-CN"/>
        </w:rPr>
        <w:t>实力不断加强</w:t>
      </w:r>
      <w:r>
        <w:rPr>
          <w:rFonts w:hint="eastAsia"/>
          <w:sz w:val="24"/>
          <w:szCs w:val="22"/>
        </w:rPr>
        <w:t>。</w:t>
      </w:r>
      <w:r>
        <w:rPr>
          <w:rFonts w:hint="eastAsia"/>
          <w:sz w:val="24"/>
          <w:szCs w:val="22"/>
          <w:lang w:val="zh-CN"/>
        </w:rPr>
        <w:t>长沙县适应发展新常态， 经济总量稳健增长、 发展质量不断提升， 经济社会发展迈上新台阶。</w:t>
      </w:r>
      <w:r>
        <w:rPr>
          <w:sz w:val="24"/>
          <w:szCs w:val="22"/>
          <w:lang w:val="zh-CN"/>
        </w:rPr>
        <w:t>五年前，</w:t>
      </w:r>
      <w:r>
        <w:rPr>
          <w:rFonts w:hint="eastAsia"/>
          <w:sz w:val="24"/>
          <w:szCs w:val="22"/>
          <w:lang w:val="zh-CN"/>
        </w:rPr>
        <w:t>长沙县</w:t>
      </w:r>
      <w:r>
        <w:rPr>
          <w:sz w:val="24"/>
          <w:szCs w:val="22"/>
          <w:lang w:val="zh-CN"/>
        </w:rPr>
        <w:t>城区仅有卜蜂莲花、通程商业广场两处商业综合体</w:t>
      </w:r>
      <w:r>
        <w:rPr>
          <w:rFonts w:hint="eastAsia"/>
          <w:sz w:val="24"/>
          <w:szCs w:val="22"/>
          <w:lang w:val="zh-CN"/>
        </w:rPr>
        <w:t>；如今，华润万象汇、魔方泉塘、</w:t>
      </w:r>
      <w:r>
        <w:rPr>
          <w:sz w:val="24"/>
          <w:szCs w:val="22"/>
          <w:lang w:val="zh-CN"/>
        </w:rPr>
        <w:t>昌和购物中心</w:t>
      </w:r>
      <w:r>
        <w:rPr>
          <w:rFonts w:hint="eastAsia"/>
          <w:sz w:val="24"/>
          <w:szCs w:val="22"/>
          <w:lang w:val="zh-CN"/>
        </w:rPr>
        <w:t>等</w:t>
      </w:r>
      <w:r>
        <w:rPr>
          <w:sz w:val="24"/>
          <w:szCs w:val="22"/>
          <w:lang w:val="zh-CN"/>
        </w:rPr>
        <w:t>商业综合体如春笋般诞生</w:t>
      </w:r>
      <w:r>
        <w:rPr>
          <w:rFonts w:hint="eastAsia"/>
          <w:sz w:val="24"/>
          <w:szCs w:val="22"/>
          <w:lang w:val="zh-CN"/>
        </w:rPr>
        <w:t>，</w:t>
      </w:r>
      <w:r>
        <w:rPr>
          <w:sz w:val="24"/>
          <w:szCs w:val="22"/>
          <w:lang w:val="zh-CN"/>
        </w:rPr>
        <w:t>成</w:t>
      </w:r>
      <w:r>
        <w:rPr>
          <w:rFonts w:hint="eastAsia"/>
          <w:sz w:val="24"/>
          <w:szCs w:val="22"/>
          <w:lang w:val="zh-CN"/>
        </w:rPr>
        <w:t>为</w:t>
      </w:r>
      <w:r>
        <w:rPr>
          <w:sz w:val="24"/>
          <w:szCs w:val="22"/>
          <w:lang w:val="zh-CN"/>
        </w:rPr>
        <w:t>了</w:t>
      </w:r>
      <w:r>
        <w:rPr>
          <w:rFonts w:hint="eastAsia"/>
          <w:sz w:val="24"/>
          <w:szCs w:val="22"/>
          <w:lang w:val="zh-CN"/>
        </w:rPr>
        <w:t>县城</w:t>
      </w:r>
      <w:r>
        <w:rPr>
          <w:sz w:val="24"/>
          <w:szCs w:val="22"/>
          <w:lang w:val="zh-CN"/>
        </w:rPr>
        <w:t>新的地标</w:t>
      </w:r>
      <w:r>
        <w:rPr>
          <w:rFonts w:hint="eastAsia"/>
          <w:sz w:val="24"/>
          <w:szCs w:val="22"/>
          <w:lang w:val="zh-CN"/>
        </w:rPr>
        <w:t>。而黄花综合保税区、县妇幼保健院医疗综合楼、县图书馆等一个个重点项目的建成</w:t>
      </w:r>
      <w:r>
        <w:rPr>
          <w:sz w:val="24"/>
          <w:szCs w:val="22"/>
          <w:lang w:val="zh-CN"/>
        </w:rPr>
        <w:t>落地</w:t>
      </w:r>
      <w:r>
        <w:rPr>
          <w:rFonts w:hint="eastAsia"/>
          <w:sz w:val="24"/>
          <w:szCs w:val="22"/>
          <w:lang w:val="zh-CN"/>
        </w:rPr>
        <w:t>，</w:t>
      </w:r>
      <w:r>
        <w:rPr>
          <w:sz w:val="24"/>
          <w:szCs w:val="22"/>
          <w:lang w:val="zh-CN"/>
        </w:rPr>
        <w:t>让城市越来越繁荣</w:t>
      </w:r>
      <w:r>
        <w:rPr>
          <w:rFonts w:hint="eastAsia"/>
          <w:sz w:val="24"/>
          <w:szCs w:val="22"/>
          <w:lang w:val="zh-CN"/>
        </w:rPr>
        <w:t>；同时县域地价也应适当作出调整。</w:t>
      </w:r>
    </w:p>
    <w:p>
      <w:pPr>
        <w:numPr>
          <w:ilvl w:val="0"/>
          <w:numId w:val="2"/>
        </w:numPr>
        <w:spacing w:line="480" w:lineRule="exact"/>
        <w:ind w:firstLine="480" w:firstLineChars="200"/>
        <w:rPr>
          <w:sz w:val="24"/>
          <w:szCs w:val="22"/>
        </w:rPr>
      </w:pPr>
      <w:r>
        <w:rPr>
          <w:rFonts w:hint="eastAsia"/>
          <w:sz w:val="24"/>
          <w:szCs w:val="22"/>
        </w:rPr>
        <w:t>重点考虑与长沙市区重点区域对接的情况；</w:t>
      </w:r>
    </w:p>
    <w:p>
      <w:pPr>
        <w:spacing w:line="480" w:lineRule="exact"/>
        <w:ind w:firstLine="480" w:firstLineChars="200"/>
        <w:rPr>
          <w:sz w:val="24"/>
          <w:szCs w:val="22"/>
          <w:lang w:val="zh-CN"/>
        </w:rPr>
      </w:pPr>
      <w:r>
        <w:rPr>
          <w:rFonts w:hint="eastAsia"/>
          <w:sz w:val="24"/>
          <w:szCs w:val="22"/>
        </w:rPr>
        <w:t>长沙县作为</w:t>
      </w:r>
      <w:r>
        <w:rPr>
          <w:rFonts w:hint="eastAsia"/>
          <w:sz w:val="24"/>
          <w:szCs w:val="22"/>
          <w:lang w:val="zh-CN"/>
        </w:rPr>
        <w:t>省会长沙“一体两翼”战略空间布局的“东翼”，区位上与长沙市区开福区、芙蓉区、雨花区接壤，同时基准地价情况也应与市区地价相匹配。再加上近年来，位于长沙市东南部，包括了黄兴镇西部的“高铁新城”的设立，形成了“长沙新门户、城市新地标”。因而，该地区地价调整变化情况也应当重点考虑。</w:t>
      </w:r>
    </w:p>
    <w:p>
      <w:pPr>
        <w:numPr>
          <w:ilvl w:val="0"/>
          <w:numId w:val="2"/>
        </w:numPr>
        <w:spacing w:line="480" w:lineRule="exact"/>
        <w:ind w:firstLine="480" w:firstLineChars="200"/>
        <w:rPr>
          <w:sz w:val="24"/>
          <w:lang w:val="zh-CN"/>
        </w:rPr>
      </w:pPr>
      <w:r>
        <w:rPr>
          <w:sz w:val="24"/>
          <w:lang w:val="zh-CN"/>
        </w:rPr>
        <w:t>丰富地价体系，增加商服用地路线价、公共管理与公共服务用地基准地价，提高成果的实用性，完善基准地价体系；</w:t>
      </w:r>
    </w:p>
    <w:p>
      <w:pPr>
        <w:spacing w:line="480" w:lineRule="exact"/>
        <w:ind w:firstLine="480" w:firstLineChars="200"/>
        <w:rPr>
          <w:sz w:val="24"/>
          <w:szCs w:val="22"/>
        </w:rPr>
      </w:pPr>
      <w:r>
        <w:rPr>
          <w:sz w:val="24"/>
          <w:lang w:val="zh-CN"/>
        </w:rPr>
        <w:t>基准地价编制的最终目的是为了更好的指导实践。本次基准地价更新，除了测算了商服用地、住宅用地和工矿仓储用地的级别价外，需考虑</w:t>
      </w:r>
      <w:r>
        <w:rPr>
          <w:rFonts w:hint="eastAsia"/>
          <w:sz w:val="24"/>
          <w:lang w:val="zh-CN"/>
        </w:rPr>
        <w:t>长沙县</w:t>
      </w:r>
      <w:r>
        <w:rPr>
          <w:sz w:val="24"/>
          <w:lang w:val="zh-CN"/>
        </w:rPr>
        <w:t>重大基础设施建设、重点片区建设对周边区域地价的重大影响，所以在级别基准地价的基础上，需针对商服用地，应增加路线价。此外，为进一步完善地价体系建设，根据《国土资源部办公厅关于加强公示地价体系建设和管理有关问题的通知》</w:t>
      </w:r>
      <w:r>
        <w:rPr>
          <w:sz w:val="24"/>
          <w:szCs w:val="24"/>
        </w:rPr>
        <w:t>（国土资厅发[2017]27号）</w:t>
      </w:r>
      <w:r>
        <w:rPr>
          <w:sz w:val="24"/>
          <w:lang w:val="zh-CN"/>
        </w:rPr>
        <w:t>文件要求，本次基准地价增加</w:t>
      </w:r>
      <w:r>
        <w:rPr>
          <w:rFonts w:hint="eastAsia"/>
          <w:sz w:val="24"/>
          <w:lang w:val="zh-CN"/>
        </w:rPr>
        <w:t>公共管理与公共服务用地</w:t>
      </w:r>
      <w:r>
        <w:rPr>
          <w:sz w:val="24"/>
          <w:lang w:val="zh-CN"/>
        </w:rPr>
        <w:t>基准地价。</w:t>
      </w:r>
    </w:p>
    <w:p>
      <w:pPr>
        <w:shd w:val="clear" w:color="auto" w:fill="FFFFFF"/>
        <w:spacing w:line="360" w:lineRule="auto"/>
        <w:ind w:firstLine="560" w:firstLineChars="200"/>
        <w:outlineLvl w:val="2"/>
        <w:rPr>
          <w:rFonts w:eastAsia="黑体"/>
          <w:sz w:val="28"/>
          <w:szCs w:val="28"/>
        </w:rPr>
      </w:pPr>
      <w:bookmarkStart w:id="138" w:name="_Toc17299"/>
      <w:bookmarkStart w:id="139" w:name="_Toc2343"/>
      <w:r>
        <w:rPr>
          <w:rFonts w:eastAsia="黑体"/>
          <w:sz w:val="28"/>
          <w:szCs w:val="28"/>
        </w:rPr>
        <w:t>三、工作目标和任务</w:t>
      </w:r>
      <w:bookmarkEnd w:id="133"/>
      <w:bookmarkEnd w:id="134"/>
      <w:bookmarkEnd w:id="135"/>
      <w:bookmarkEnd w:id="136"/>
      <w:bookmarkEnd w:id="137"/>
      <w:bookmarkEnd w:id="138"/>
      <w:bookmarkEnd w:id="139"/>
    </w:p>
    <w:p>
      <w:pPr>
        <w:spacing w:line="360" w:lineRule="auto"/>
        <w:ind w:firstLine="482" w:firstLineChars="200"/>
        <w:jc w:val="left"/>
        <w:outlineLvl w:val="3"/>
        <w:rPr>
          <w:b/>
          <w:sz w:val="24"/>
          <w:lang w:val="zh-CN"/>
        </w:rPr>
      </w:pPr>
      <w:r>
        <w:rPr>
          <w:b/>
          <w:sz w:val="24"/>
        </w:rPr>
        <w:t>1、</w:t>
      </w:r>
      <w:r>
        <w:rPr>
          <w:b/>
          <w:sz w:val="24"/>
          <w:lang w:val="zh-CN"/>
        </w:rPr>
        <w:t>工作目的</w:t>
      </w:r>
    </w:p>
    <w:p>
      <w:pPr>
        <w:spacing w:line="480" w:lineRule="exact"/>
        <w:ind w:firstLine="480" w:firstLineChars="200"/>
        <w:rPr>
          <w:sz w:val="24"/>
          <w:szCs w:val="22"/>
          <w:lang w:val="zh-CN"/>
        </w:rPr>
      </w:pPr>
      <w:r>
        <w:rPr>
          <w:sz w:val="24"/>
          <w:szCs w:val="22"/>
          <w:lang w:val="zh-CN"/>
        </w:rPr>
        <w:t>开展这项工作目的是在于全面掌握城市规划区土地质量和利用情况，科学管理和合理利用土地，提高土地使用效率,建立科学合理的基准地价体系，从而推动长沙县土地使用制度改革向纵深发展。合理调控土地市场，促进正常交易，为征收土地税费，制订土地利用计划、规划、发挥级差地租的经济杠杆作用提供依据，也为长沙县推行土地挂牌招标拍卖、整理储备、实行基准地价公示制度和基准地价平衡与更新制度奠定基础。</w:t>
      </w:r>
    </w:p>
    <w:p>
      <w:pPr>
        <w:spacing w:line="360" w:lineRule="auto"/>
        <w:ind w:firstLine="482" w:firstLineChars="200"/>
        <w:jc w:val="left"/>
        <w:outlineLvl w:val="3"/>
        <w:rPr>
          <w:b/>
          <w:sz w:val="24"/>
          <w:lang w:val="zh-CN"/>
        </w:rPr>
      </w:pPr>
      <w:r>
        <w:rPr>
          <w:b/>
          <w:sz w:val="24"/>
        </w:rPr>
        <w:t>2、</w:t>
      </w:r>
      <w:r>
        <w:rPr>
          <w:b/>
          <w:sz w:val="24"/>
          <w:lang w:val="zh-CN"/>
        </w:rPr>
        <w:t>工作任务</w:t>
      </w:r>
    </w:p>
    <w:p>
      <w:pPr>
        <w:spacing w:line="480" w:lineRule="exact"/>
        <w:ind w:firstLine="480" w:firstLineChars="200"/>
        <w:rPr>
          <w:sz w:val="24"/>
          <w:szCs w:val="22"/>
          <w:lang w:val="zh-CN"/>
        </w:rPr>
      </w:pPr>
      <w:r>
        <w:rPr>
          <w:sz w:val="24"/>
          <w:szCs w:val="22"/>
          <w:lang w:val="zh-CN"/>
        </w:rPr>
        <w:t>1、完成土地级别的调整</w:t>
      </w:r>
      <w:r>
        <w:rPr>
          <w:rFonts w:hint="eastAsia"/>
          <w:sz w:val="24"/>
          <w:szCs w:val="22"/>
          <w:lang w:val="zh-CN"/>
        </w:rPr>
        <w:t>和土地定级</w:t>
      </w:r>
    </w:p>
    <w:p>
      <w:pPr>
        <w:spacing w:line="480" w:lineRule="exact"/>
        <w:ind w:firstLine="480" w:firstLineChars="200"/>
        <w:rPr>
          <w:sz w:val="24"/>
          <w:szCs w:val="22"/>
          <w:lang w:val="zh-CN"/>
        </w:rPr>
      </w:pPr>
      <w:r>
        <w:rPr>
          <w:sz w:val="24"/>
          <w:szCs w:val="22"/>
          <w:lang w:val="zh-CN"/>
        </w:rPr>
        <w:t>根据长沙县的自然社会经济概况，并结合上轮定级结果，按照《城镇土地分等定级规程》（GBT 18507-2014）的要求，采用计算机系统为辅助手段，采用多因素综合定级法，全面完成长沙县土地级别的调整工作</w:t>
      </w:r>
      <w:r>
        <w:rPr>
          <w:rFonts w:hint="eastAsia"/>
          <w:sz w:val="24"/>
          <w:szCs w:val="22"/>
          <w:lang w:val="zh-CN"/>
        </w:rPr>
        <w:t>（商服用地、住宅用地和工矿仓储用地）和土地定级工作（公共管理与公共服务用地）</w:t>
      </w:r>
      <w:r>
        <w:rPr>
          <w:sz w:val="24"/>
          <w:szCs w:val="22"/>
          <w:lang w:val="zh-CN"/>
        </w:rPr>
        <w:t xml:space="preserve">。 </w:t>
      </w:r>
    </w:p>
    <w:p>
      <w:pPr>
        <w:spacing w:line="480" w:lineRule="exact"/>
        <w:ind w:firstLine="480" w:firstLineChars="200"/>
        <w:rPr>
          <w:sz w:val="24"/>
          <w:szCs w:val="22"/>
          <w:lang w:val="zh-CN"/>
        </w:rPr>
      </w:pPr>
      <w:r>
        <w:rPr>
          <w:sz w:val="24"/>
          <w:szCs w:val="22"/>
          <w:lang w:val="zh-CN"/>
        </w:rPr>
        <w:t>2、完成基准地价更新</w:t>
      </w:r>
      <w:r>
        <w:rPr>
          <w:rFonts w:hint="eastAsia"/>
          <w:sz w:val="24"/>
          <w:szCs w:val="22"/>
          <w:lang w:val="zh-CN"/>
        </w:rPr>
        <w:t>和评估工作</w:t>
      </w:r>
    </w:p>
    <w:p>
      <w:pPr>
        <w:spacing w:line="480" w:lineRule="exact"/>
        <w:ind w:firstLine="480" w:firstLineChars="200"/>
        <w:rPr>
          <w:sz w:val="24"/>
          <w:szCs w:val="22"/>
          <w:lang w:val="zh-CN"/>
        </w:rPr>
      </w:pPr>
      <w:r>
        <w:rPr>
          <w:sz w:val="24"/>
          <w:szCs w:val="22"/>
          <w:lang w:val="zh-CN"/>
        </w:rPr>
        <w:t>根据长沙县土地级别调整结果与地价样点调查资料，完成长沙县商服用地、住宅用地、工矿仓储用地</w:t>
      </w:r>
      <w:r>
        <w:rPr>
          <w:rFonts w:hint="eastAsia"/>
          <w:sz w:val="24"/>
          <w:szCs w:val="22"/>
          <w:lang w:val="zh-CN"/>
        </w:rPr>
        <w:t>的基准地价更新工作</w:t>
      </w:r>
      <w:r>
        <w:rPr>
          <w:sz w:val="24"/>
          <w:szCs w:val="22"/>
          <w:lang w:val="zh-CN"/>
        </w:rPr>
        <w:t>和</w:t>
      </w:r>
      <w:r>
        <w:rPr>
          <w:rFonts w:hint="eastAsia"/>
          <w:sz w:val="24"/>
          <w:szCs w:val="22"/>
          <w:lang w:val="zh-CN"/>
        </w:rPr>
        <w:t>公共管理与公共服务用地</w:t>
      </w:r>
      <w:r>
        <w:rPr>
          <w:sz w:val="24"/>
          <w:szCs w:val="22"/>
          <w:lang w:val="zh-CN"/>
        </w:rPr>
        <w:t>的基准地价</w:t>
      </w:r>
      <w:r>
        <w:rPr>
          <w:rFonts w:hint="eastAsia"/>
          <w:sz w:val="24"/>
          <w:szCs w:val="22"/>
          <w:lang w:val="zh-CN"/>
        </w:rPr>
        <w:t>评估</w:t>
      </w:r>
      <w:r>
        <w:rPr>
          <w:sz w:val="24"/>
          <w:szCs w:val="22"/>
          <w:lang w:val="zh-CN"/>
        </w:rPr>
        <w:t>工作，并建立基准地价修正体系。</w:t>
      </w:r>
    </w:p>
    <w:p>
      <w:pPr>
        <w:spacing w:line="480" w:lineRule="exact"/>
        <w:ind w:firstLine="480" w:firstLineChars="200"/>
        <w:rPr>
          <w:sz w:val="24"/>
          <w:szCs w:val="22"/>
        </w:rPr>
      </w:pPr>
      <w:r>
        <w:rPr>
          <w:sz w:val="24"/>
          <w:szCs w:val="22"/>
          <w:lang w:val="zh-CN"/>
        </w:rPr>
        <w:t>3、完善楼面地价、</w:t>
      </w:r>
      <w:r>
        <w:rPr>
          <w:sz w:val="24"/>
          <w:szCs w:val="22"/>
        </w:rPr>
        <w:t>地下空间土地使用权价格类型</w:t>
      </w:r>
    </w:p>
    <w:p>
      <w:pPr>
        <w:spacing w:line="480" w:lineRule="exact"/>
        <w:ind w:firstLine="480" w:firstLineChars="200"/>
        <w:rPr>
          <w:sz w:val="24"/>
          <w:szCs w:val="22"/>
          <w:lang w:val="zh-CN"/>
        </w:rPr>
      </w:pPr>
      <w:r>
        <w:rPr>
          <w:sz w:val="24"/>
          <w:szCs w:val="22"/>
          <w:lang w:val="zh-CN"/>
        </w:rPr>
        <w:t>在已有出让土地基准地价体系的基础上，进一步细化楼面地价、城市地下空间土地使用权价格体系，以此来拓展基准地价的应用范围。</w:t>
      </w:r>
    </w:p>
    <w:p>
      <w:pPr>
        <w:shd w:val="clear" w:color="auto" w:fill="FFFFFF"/>
        <w:spacing w:line="360" w:lineRule="auto"/>
        <w:ind w:firstLine="560" w:firstLineChars="200"/>
        <w:outlineLvl w:val="2"/>
        <w:rPr>
          <w:rFonts w:eastAsia="黑体"/>
          <w:sz w:val="28"/>
          <w:szCs w:val="28"/>
        </w:rPr>
      </w:pPr>
      <w:bookmarkStart w:id="140" w:name="_Toc213589769"/>
      <w:bookmarkStart w:id="141" w:name="_Toc469296417"/>
      <w:bookmarkStart w:id="142" w:name="_Toc9413"/>
      <w:bookmarkStart w:id="143" w:name="_Toc467846810"/>
      <w:bookmarkStart w:id="144" w:name="_Toc248305574"/>
      <w:bookmarkStart w:id="145" w:name="_Toc470721268"/>
      <w:bookmarkStart w:id="146" w:name="_Toc6783"/>
      <w:bookmarkStart w:id="147" w:name="_Toc248306011"/>
      <w:r>
        <w:rPr>
          <w:rFonts w:eastAsia="黑体"/>
          <w:sz w:val="28"/>
          <w:szCs w:val="28"/>
        </w:rPr>
        <w:t>四、工作依据</w:t>
      </w:r>
      <w:bookmarkEnd w:id="140"/>
      <w:bookmarkEnd w:id="141"/>
      <w:bookmarkEnd w:id="142"/>
      <w:bookmarkEnd w:id="143"/>
      <w:bookmarkEnd w:id="144"/>
      <w:bookmarkEnd w:id="145"/>
      <w:bookmarkEnd w:id="146"/>
      <w:bookmarkEnd w:id="147"/>
    </w:p>
    <w:p>
      <w:pPr>
        <w:spacing w:line="360" w:lineRule="auto"/>
        <w:ind w:firstLine="482" w:firstLineChars="200"/>
        <w:jc w:val="left"/>
        <w:outlineLvl w:val="3"/>
        <w:rPr>
          <w:rFonts w:eastAsia="黑体"/>
          <w:b/>
          <w:sz w:val="28"/>
          <w:lang w:val="zh-CN"/>
        </w:rPr>
      </w:pPr>
      <w:r>
        <w:rPr>
          <w:b/>
          <w:sz w:val="24"/>
          <w:lang w:val="zh-CN"/>
        </w:rPr>
        <w:t>1、有关法律法规及政策</w:t>
      </w:r>
    </w:p>
    <w:p>
      <w:pPr>
        <w:spacing w:line="520" w:lineRule="exact"/>
        <w:ind w:firstLine="480" w:firstLineChars="200"/>
        <w:rPr>
          <w:sz w:val="24"/>
          <w:szCs w:val="24"/>
        </w:rPr>
      </w:pPr>
      <w:bookmarkStart w:id="148" w:name="_Toc457207712"/>
      <w:bookmarkStart w:id="149" w:name="_Toc455741022"/>
      <w:bookmarkStart w:id="150" w:name="_Toc470183067"/>
      <w:r>
        <w:rPr>
          <w:sz w:val="24"/>
          <w:szCs w:val="24"/>
        </w:rPr>
        <w:t>（1）《中华人民共和国物权法》(中华人民共和国主席令第62号)；</w:t>
      </w:r>
      <w:bookmarkEnd w:id="148"/>
      <w:bookmarkEnd w:id="149"/>
      <w:bookmarkEnd w:id="150"/>
    </w:p>
    <w:p>
      <w:pPr>
        <w:spacing w:line="520" w:lineRule="exact"/>
        <w:ind w:firstLine="480" w:firstLineChars="200"/>
        <w:rPr>
          <w:sz w:val="24"/>
          <w:szCs w:val="24"/>
        </w:rPr>
      </w:pPr>
      <w:r>
        <w:rPr>
          <w:sz w:val="24"/>
          <w:szCs w:val="24"/>
        </w:rPr>
        <w:t>（2）《中华人民共和国土地管理法》(中华人民共和国主席令第28号)；</w:t>
      </w:r>
    </w:p>
    <w:p>
      <w:pPr>
        <w:spacing w:line="520" w:lineRule="exact"/>
        <w:ind w:firstLine="480" w:firstLineChars="200"/>
        <w:rPr>
          <w:sz w:val="24"/>
          <w:szCs w:val="24"/>
        </w:rPr>
      </w:pPr>
      <w:r>
        <w:rPr>
          <w:sz w:val="24"/>
          <w:szCs w:val="24"/>
        </w:rPr>
        <w:t>（3）《中华人民共和国城市房地产管理法》（中华人民共和国主席令第72号）；</w:t>
      </w:r>
    </w:p>
    <w:p>
      <w:pPr>
        <w:spacing w:line="520" w:lineRule="exact"/>
        <w:ind w:firstLine="480" w:firstLineChars="200"/>
        <w:rPr>
          <w:sz w:val="24"/>
          <w:szCs w:val="24"/>
        </w:rPr>
      </w:pPr>
      <w:bookmarkStart w:id="151" w:name="_Toc470183068"/>
      <w:bookmarkStart w:id="152" w:name="_Toc455741023"/>
      <w:bookmarkStart w:id="153" w:name="_Toc457207713"/>
      <w:r>
        <w:rPr>
          <w:sz w:val="24"/>
          <w:szCs w:val="24"/>
        </w:rPr>
        <w:t>（4）《国务院关于加强国有土地资产管理的通知》（国发〔2001〕15号）；</w:t>
      </w:r>
      <w:bookmarkEnd w:id="151"/>
      <w:bookmarkEnd w:id="152"/>
      <w:bookmarkEnd w:id="153"/>
    </w:p>
    <w:p>
      <w:pPr>
        <w:spacing w:line="520" w:lineRule="exact"/>
        <w:ind w:firstLine="480" w:firstLineChars="200"/>
        <w:rPr>
          <w:sz w:val="24"/>
          <w:szCs w:val="24"/>
        </w:rPr>
      </w:pPr>
      <w:r>
        <w:rPr>
          <w:sz w:val="24"/>
          <w:szCs w:val="24"/>
        </w:rPr>
        <w:t>（5）《湖南省国土资源厅办公室关于全面建立全省城镇基准地价体系的通知》（国土资办发〔2006〕90号）；</w:t>
      </w:r>
    </w:p>
    <w:p>
      <w:pPr>
        <w:spacing w:line="520" w:lineRule="exact"/>
        <w:ind w:firstLine="480" w:firstLineChars="200"/>
        <w:rPr>
          <w:sz w:val="24"/>
          <w:szCs w:val="24"/>
        </w:rPr>
      </w:pPr>
      <w:r>
        <w:rPr>
          <w:sz w:val="24"/>
          <w:szCs w:val="24"/>
        </w:rPr>
        <w:t>（6）《关于发布实施&lt;全国工矿仓储用地出让最低价标准&gt;的通知》（国土资发〔2006〕307号）；</w:t>
      </w:r>
    </w:p>
    <w:p>
      <w:pPr>
        <w:spacing w:line="520" w:lineRule="exact"/>
        <w:ind w:firstLine="480" w:firstLineChars="200"/>
        <w:rPr>
          <w:sz w:val="24"/>
          <w:szCs w:val="24"/>
        </w:rPr>
      </w:pPr>
      <w:r>
        <w:rPr>
          <w:sz w:val="24"/>
          <w:szCs w:val="24"/>
        </w:rPr>
        <w:t>（7）《国土资源厅办公室关于土地市场管理工作中有关政策问题的处理意见》（湘国土资办发〔2006〕203号）；</w:t>
      </w:r>
    </w:p>
    <w:p>
      <w:pPr>
        <w:spacing w:line="520" w:lineRule="exact"/>
        <w:ind w:firstLine="480" w:firstLineChars="200"/>
        <w:rPr>
          <w:sz w:val="24"/>
          <w:szCs w:val="24"/>
        </w:rPr>
      </w:pPr>
      <w:r>
        <w:rPr>
          <w:sz w:val="24"/>
          <w:szCs w:val="24"/>
        </w:rPr>
        <w:t>（8）《关于调整新增建设用地土地有偿使用费征收管理有关政策的通知》（湘财综〔2006〕85号）；</w:t>
      </w:r>
    </w:p>
    <w:p>
      <w:pPr>
        <w:spacing w:line="520" w:lineRule="exact"/>
        <w:ind w:firstLine="480" w:firstLineChars="200"/>
        <w:rPr>
          <w:sz w:val="24"/>
          <w:szCs w:val="24"/>
        </w:rPr>
      </w:pPr>
      <w:r>
        <w:rPr>
          <w:sz w:val="24"/>
          <w:szCs w:val="24"/>
        </w:rPr>
        <w:t>（9）《财政部、国家税务总局耕地占用税暂行条例实施细则》（财税〔2007〕45号）；</w:t>
      </w:r>
    </w:p>
    <w:p>
      <w:pPr>
        <w:spacing w:line="520" w:lineRule="exact"/>
        <w:ind w:firstLine="480" w:firstLineChars="200"/>
        <w:rPr>
          <w:sz w:val="24"/>
          <w:szCs w:val="24"/>
        </w:rPr>
      </w:pPr>
      <w:r>
        <w:rPr>
          <w:sz w:val="24"/>
          <w:szCs w:val="24"/>
        </w:rPr>
        <w:t>（10）《财政部、国家税务总局关于贯彻落实国务院修改&lt;中华人民共和国城镇土地使用税暂行条例&gt;的决定的通知》（财税（2007）9号）；</w:t>
      </w:r>
    </w:p>
    <w:p>
      <w:pPr>
        <w:spacing w:line="520" w:lineRule="exact"/>
        <w:ind w:firstLine="480" w:firstLineChars="200"/>
        <w:rPr>
          <w:sz w:val="24"/>
          <w:szCs w:val="24"/>
        </w:rPr>
      </w:pPr>
      <w:r>
        <w:rPr>
          <w:sz w:val="24"/>
          <w:szCs w:val="24"/>
        </w:rPr>
        <w:t>（11）《关于做好被征地农民就业培训和社会保障工作指导意见的通知》（湘政办发[2007]35号）；</w:t>
      </w:r>
    </w:p>
    <w:p>
      <w:pPr>
        <w:spacing w:line="520" w:lineRule="exact"/>
        <w:ind w:firstLine="480" w:firstLineChars="200"/>
        <w:rPr>
          <w:sz w:val="24"/>
          <w:szCs w:val="24"/>
        </w:rPr>
      </w:pPr>
      <w:r>
        <w:rPr>
          <w:sz w:val="24"/>
          <w:szCs w:val="24"/>
        </w:rPr>
        <w:t>（12）《湖南省实施&lt;中华人民共和国耕地占用税暂行条例&gt;办法》（湘政办发[2008]231号）；</w:t>
      </w:r>
    </w:p>
    <w:p>
      <w:pPr>
        <w:spacing w:line="520" w:lineRule="exact"/>
        <w:ind w:firstLine="480" w:firstLineChars="200"/>
        <w:rPr>
          <w:sz w:val="24"/>
          <w:szCs w:val="24"/>
        </w:rPr>
      </w:pPr>
      <w:r>
        <w:rPr>
          <w:sz w:val="24"/>
          <w:szCs w:val="24"/>
        </w:rPr>
        <w:t>（13）《中华人民共和国耕地占用税暂行条例》（中华人民共和国国务院令第511号）；</w:t>
      </w:r>
    </w:p>
    <w:p>
      <w:pPr>
        <w:spacing w:line="520" w:lineRule="exact"/>
        <w:ind w:firstLine="480" w:firstLineChars="200"/>
        <w:rPr>
          <w:sz w:val="24"/>
          <w:szCs w:val="24"/>
        </w:rPr>
      </w:pPr>
      <w:r>
        <w:rPr>
          <w:sz w:val="24"/>
          <w:szCs w:val="24"/>
        </w:rPr>
        <w:t>（14）《关于调整全国工矿仓储用地出让最低价标准实施政策的通知》（国土资发[2009]56号）；</w:t>
      </w:r>
    </w:p>
    <w:p>
      <w:pPr>
        <w:spacing w:line="520" w:lineRule="exact"/>
        <w:ind w:firstLine="480" w:firstLineChars="200"/>
        <w:rPr>
          <w:sz w:val="24"/>
          <w:szCs w:val="24"/>
        </w:rPr>
      </w:pPr>
      <w:r>
        <w:rPr>
          <w:sz w:val="24"/>
          <w:szCs w:val="24"/>
        </w:rPr>
        <w:t>（15）《湖南省人民政府办公厅关于印发&lt;湖南省耕地开垦费征收使用管理办法&gt;的通知》（湘政办发[2010]47号）；</w:t>
      </w:r>
    </w:p>
    <w:p>
      <w:pPr>
        <w:spacing w:line="520" w:lineRule="exact"/>
        <w:ind w:firstLine="480" w:firstLineChars="200"/>
        <w:rPr>
          <w:sz w:val="24"/>
          <w:szCs w:val="24"/>
        </w:rPr>
      </w:pPr>
      <w:bookmarkStart w:id="154" w:name="_Toc457207714"/>
      <w:bookmarkStart w:id="155" w:name="_Toc470183069"/>
      <w:bookmarkStart w:id="156" w:name="_Toc455741024"/>
      <w:r>
        <w:rPr>
          <w:sz w:val="24"/>
          <w:szCs w:val="24"/>
        </w:rPr>
        <w:t>（16）《湖南省水利建设基金筹集和使用管理办法》（湘政发[2011]27号）；</w:t>
      </w:r>
      <w:bookmarkEnd w:id="154"/>
      <w:bookmarkEnd w:id="155"/>
      <w:bookmarkEnd w:id="156"/>
    </w:p>
    <w:p>
      <w:pPr>
        <w:spacing w:line="520" w:lineRule="exact"/>
        <w:ind w:firstLine="480" w:firstLineChars="200"/>
        <w:rPr>
          <w:sz w:val="24"/>
          <w:szCs w:val="24"/>
        </w:rPr>
      </w:pPr>
      <w:r>
        <w:rPr>
          <w:sz w:val="24"/>
          <w:szCs w:val="24"/>
        </w:rPr>
        <w:t>（17）《湖南省人民政府关于调整湖南省征地补偿标准的通知》（湘政发[2018]5号）；</w:t>
      </w:r>
    </w:p>
    <w:p>
      <w:pPr>
        <w:spacing w:line="520" w:lineRule="exact"/>
        <w:ind w:firstLine="480" w:firstLineChars="200"/>
        <w:rPr>
          <w:sz w:val="24"/>
          <w:szCs w:val="24"/>
        </w:rPr>
      </w:pPr>
      <w:r>
        <w:rPr>
          <w:sz w:val="24"/>
          <w:szCs w:val="24"/>
        </w:rPr>
        <w:t>（18）《长沙市人民政府关于调整征地补偿标准的通知》（长政发[2018]10号）；</w:t>
      </w:r>
    </w:p>
    <w:p>
      <w:pPr>
        <w:spacing w:line="520" w:lineRule="exact"/>
        <w:ind w:firstLine="480" w:firstLineChars="200"/>
        <w:rPr>
          <w:sz w:val="24"/>
          <w:szCs w:val="24"/>
        </w:rPr>
      </w:pPr>
      <w:r>
        <w:rPr>
          <w:sz w:val="24"/>
          <w:szCs w:val="24"/>
        </w:rPr>
        <w:t>（19）《国土资源部办公厅关于实施&lt;城镇土地分等定级规程&gt;和&lt;城镇土地估价规程&gt;有关问题的通知》(国土资厅发〔2015〕12号)；</w:t>
      </w:r>
    </w:p>
    <w:p>
      <w:pPr>
        <w:spacing w:line="520" w:lineRule="exact"/>
        <w:ind w:firstLine="480" w:firstLineChars="200"/>
        <w:rPr>
          <w:sz w:val="24"/>
          <w:szCs w:val="24"/>
        </w:rPr>
      </w:pPr>
      <w:r>
        <w:rPr>
          <w:sz w:val="24"/>
          <w:szCs w:val="24"/>
        </w:rPr>
        <w:t>（20）《转发国土资源部办公厅关于实施&lt;城镇土地分等定级规程&gt;和&lt;城镇土地估价规程&gt;有关问题的通知》（湘国土资办发〔2015〕64号）；</w:t>
      </w:r>
    </w:p>
    <w:p>
      <w:pPr>
        <w:spacing w:line="520" w:lineRule="exact"/>
        <w:ind w:firstLine="480" w:firstLineChars="200"/>
        <w:rPr>
          <w:sz w:val="24"/>
          <w:szCs w:val="24"/>
        </w:rPr>
      </w:pPr>
      <w:r>
        <w:rPr>
          <w:sz w:val="24"/>
          <w:szCs w:val="24"/>
        </w:rPr>
        <w:t>（21）《关于扩大国有土地有偿使用范围的意见》（国土资规[2016]20号）；</w:t>
      </w:r>
    </w:p>
    <w:p>
      <w:pPr>
        <w:spacing w:line="520" w:lineRule="exact"/>
        <w:ind w:firstLine="480" w:firstLineChars="200"/>
        <w:rPr>
          <w:sz w:val="24"/>
          <w:szCs w:val="24"/>
        </w:rPr>
      </w:pPr>
      <w:r>
        <w:rPr>
          <w:sz w:val="24"/>
          <w:szCs w:val="24"/>
        </w:rPr>
        <w:t>（22）《国土资源部办公厅关于加强公示地价体系建设和管理有关问题的通知》（国土资厅发[2017]27号）；</w:t>
      </w:r>
    </w:p>
    <w:p>
      <w:pPr>
        <w:spacing w:line="520" w:lineRule="exact"/>
        <w:ind w:firstLine="480" w:firstLineChars="200"/>
        <w:rPr>
          <w:sz w:val="24"/>
          <w:szCs w:val="24"/>
        </w:rPr>
      </w:pPr>
      <w:r>
        <w:rPr>
          <w:sz w:val="24"/>
          <w:szCs w:val="24"/>
        </w:rPr>
        <w:t>（23）《关于限期完成城镇基准地价更新工作的通知》（湘国土资办发[2018]115号）；</w:t>
      </w:r>
    </w:p>
    <w:p>
      <w:pPr>
        <w:spacing w:line="520" w:lineRule="exact"/>
        <w:ind w:firstLine="480" w:firstLineChars="200"/>
        <w:rPr>
          <w:sz w:val="24"/>
          <w:szCs w:val="24"/>
        </w:rPr>
      </w:pPr>
      <w:r>
        <w:rPr>
          <w:sz w:val="24"/>
          <w:szCs w:val="24"/>
        </w:rPr>
        <w:t>（24）国家、省、市有关土地管理和土地定级估价的其他法规政策。</w:t>
      </w:r>
    </w:p>
    <w:p>
      <w:pPr>
        <w:spacing w:line="360" w:lineRule="auto"/>
        <w:ind w:firstLine="482" w:firstLineChars="200"/>
        <w:jc w:val="left"/>
        <w:outlineLvl w:val="3"/>
        <w:rPr>
          <w:b/>
          <w:sz w:val="24"/>
          <w:szCs w:val="22"/>
          <w:lang w:val="zh-CN"/>
        </w:rPr>
      </w:pPr>
      <w:r>
        <w:rPr>
          <w:b/>
          <w:sz w:val="24"/>
          <w:szCs w:val="22"/>
          <w:lang w:val="zh-CN"/>
        </w:rPr>
        <w:t>2、有关技术标准</w:t>
      </w:r>
    </w:p>
    <w:p>
      <w:pPr>
        <w:spacing w:line="480" w:lineRule="exact"/>
        <w:ind w:firstLine="480" w:firstLineChars="200"/>
        <w:rPr>
          <w:sz w:val="24"/>
          <w:szCs w:val="22"/>
          <w:lang w:val="zh-CN"/>
        </w:rPr>
      </w:pPr>
      <w:r>
        <w:rPr>
          <w:sz w:val="24"/>
          <w:szCs w:val="22"/>
          <w:lang w:val="zh-CN"/>
        </w:rPr>
        <w:t>（1）《城镇土地分等定级规程》（GB/T  18507-2014）；</w:t>
      </w:r>
    </w:p>
    <w:p>
      <w:pPr>
        <w:spacing w:line="480" w:lineRule="exact"/>
        <w:ind w:firstLine="480" w:firstLineChars="200"/>
        <w:rPr>
          <w:sz w:val="24"/>
          <w:szCs w:val="22"/>
          <w:lang w:val="zh-CN"/>
        </w:rPr>
      </w:pPr>
      <w:r>
        <w:rPr>
          <w:sz w:val="24"/>
          <w:szCs w:val="22"/>
          <w:lang w:val="zh-CN"/>
        </w:rPr>
        <w:t>（2）《城镇土地估价规程》（GB/T  18508-2014）；</w:t>
      </w:r>
    </w:p>
    <w:p>
      <w:pPr>
        <w:spacing w:line="480" w:lineRule="exact"/>
        <w:ind w:firstLine="480" w:firstLineChars="200"/>
        <w:rPr>
          <w:sz w:val="24"/>
          <w:szCs w:val="22"/>
          <w:lang w:val="zh-CN"/>
        </w:rPr>
      </w:pPr>
      <w:r>
        <w:rPr>
          <w:sz w:val="24"/>
          <w:szCs w:val="22"/>
          <w:lang w:val="zh-CN"/>
        </w:rPr>
        <w:t>（3）《城市地价动态监测技术规范》（TD/T  1009-2007）；</w:t>
      </w:r>
    </w:p>
    <w:p>
      <w:pPr>
        <w:spacing w:line="480" w:lineRule="exact"/>
        <w:ind w:firstLine="480" w:firstLineChars="200"/>
        <w:rPr>
          <w:sz w:val="24"/>
          <w:szCs w:val="22"/>
          <w:lang w:val="zh-CN"/>
        </w:rPr>
      </w:pPr>
      <w:r>
        <w:rPr>
          <w:sz w:val="24"/>
          <w:szCs w:val="22"/>
          <w:lang w:val="zh-CN"/>
        </w:rPr>
        <w:t>（4）《土地利用现状分类》（GB/T  21010-20</w:t>
      </w:r>
      <w:r>
        <w:rPr>
          <w:rFonts w:hint="eastAsia"/>
          <w:sz w:val="24"/>
          <w:szCs w:val="22"/>
        </w:rPr>
        <w:t>1</w:t>
      </w:r>
      <w:r>
        <w:rPr>
          <w:sz w:val="24"/>
          <w:szCs w:val="22"/>
          <w:lang w:val="zh-CN"/>
        </w:rPr>
        <w:t>7）。</w:t>
      </w:r>
    </w:p>
    <w:p>
      <w:pPr>
        <w:spacing w:line="360" w:lineRule="auto"/>
        <w:ind w:firstLine="482" w:firstLineChars="200"/>
        <w:jc w:val="left"/>
        <w:outlineLvl w:val="3"/>
        <w:rPr>
          <w:b/>
          <w:sz w:val="24"/>
          <w:lang w:val="zh-CN"/>
        </w:rPr>
      </w:pPr>
      <w:r>
        <w:rPr>
          <w:b/>
          <w:sz w:val="24"/>
          <w:lang w:val="zh-CN"/>
        </w:rPr>
        <w:t>3、资料依据</w:t>
      </w:r>
    </w:p>
    <w:p>
      <w:pPr>
        <w:spacing w:line="480" w:lineRule="exact"/>
        <w:ind w:firstLine="480" w:firstLineChars="200"/>
        <w:rPr>
          <w:sz w:val="24"/>
          <w:szCs w:val="22"/>
          <w:lang w:val="zh-CN"/>
        </w:rPr>
      </w:pPr>
      <w:r>
        <w:rPr>
          <w:sz w:val="24"/>
          <w:szCs w:val="22"/>
          <w:lang w:val="zh-CN"/>
        </w:rPr>
        <w:t>（1）土地市场资料；</w:t>
      </w:r>
    </w:p>
    <w:p>
      <w:pPr>
        <w:spacing w:line="480" w:lineRule="exact"/>
        <w:ind w:firstLine="480" w:firstLineChars="200"/>
        <w:rPr>
          <w:sz w:val="24"/>
          <w:szCs w:val="22"/>
          <w:lang w:val="zh-CN"/>
        </w:rPr>
      </w:pPr>
      <w:r>
        <w:rPr>
          <w:sz w:val="24"/>
          <w:szCs w:val="22"/>
          <w:lang w:val="zh-CN"/>
        </w:rPr>
        <w:t>（2）土地利用现状资料；</w:t>
      </w:r>
    </w:p>
    <w:p>
      <w:pPr>
        <w:spacing w:line="480" w:lineRule="exact"/>
        <w:ind w:firstLine="480" w:firstLineChars="200"/>
        <w:rPr>
          <w:sz w:val="24"/>
          <w:szCs w:val="22"/>
          <w:lang w:val="zh-CN"/>
        </w:rPr>
      </w:pPr>
      <w:r>
        <w:rPr>
          <w:sz w:val="24"/>
          <w:szCs w:val="22"/>
          <w:lang w:val="zh-CN"/>
        </w:rPr>
        <w:t>（3）长沙县土地利用总体规划（2006-2020年）；</w:t>
      </w:r>
    </w:p>
    <w:p>
      <w:pPr>
        <w:spacing w:line="480" w:lineRule="exact"/>
        <w:ind w:firstLine="480" w:firstLineChars="200"/>
        <w:rPr>
          <w:sz w:val="24"/>
          <w:szCs w:val="22"/>
          <w:lang w:val="zh-CN"/>
        </w:rPr>
      </w:pPr>
      <w:r>
        <w:rPr>
          <w:sz w:val="24"/>
          <w:szCs w:val="22"/>
          <w:lang w:val="zh-CN"/>
        </w:rPr>
        <w:t>（4）长沙县城市总体规划（200</w:t>
      </w:r>
      <w:r>
        <w:rPr>
          <w:rFonts w:hint="eastAsia"/>
          <w:sz w:val="24"/>
          <w:szCs w:val="22"/>
        </w:rPr>
        <w:t>3</w:t>
      </w:r>
      <w:r>
        <w:rPr>
          <w:sz w:val="24"/>
          <w:szCs w:val="22"/>
          <w:lang w:val="zh-CN"/>
        </w:rPr>
        <w:t>—20</w:t>
      </w:r>
      <w:r>
        <w:rPr>
          <w:rFonts w:hint="eastAsia"/>
          <w:sz w:val="24"/>
          <w:szCs w:val="22"/>
        </w:rPr>
        <w:t>2</w:t>
      </w:r>
      <w:r>
        <w:rPr>
          <w:sz w:val="24"/>
          <w:szCs w:val="22"/>
          <w:lang w:val="zh-CN"/>
        </w:rPr>
        <w:t>0年）；</w:t>
      </w:r>
    </w:p>
    <w:p>
      <w:pPr>
        <w:spacing w:line="480" w:lineRule="exact"/>
        <w:ind w:firstLine="480" w:firstLineChars="200"/>
        <w:rPr>
          <w:sz w:val="24"/>
          <w:szCs w:val="22"/>
          <w:lang w:val="zh-CN"/>
        </w:rPr>
      </w:pPr>
      <w:r>
        <w:rPr>
          <w:sz w:val="24"/>
          <w:szCs w:val="22"/>
          <w:lang w:val="zh-CN"/>
        </w:rPr>
        <w:t>（5）长沙县基准地价更新技术报告（2013年）；</w:t>
      </w:r>
    </w:p>
    <w:p>
      <w:pPr>
        <w:spacing w:line="480" w:lineRule="exact"/>
        <w:ind w:firstLine="480" w:firstLineChars="200"/>
        <w:rPr>
          <w:sz w:val="24"/>
          <w:szCs w:val="22"/>
          <w:lang w:val="zh-CN"/>
        </w:rPr>
      </w:pPr>
      <w:r>
        <w:rPr>
          <w:sz w:val="24"/>
          <w:szCs w:val="22"/>
          <w:lang w:val="zh-CN"/>
        </w:rPr>
        <w:t>（6）长沙县国民经济和社会发展第十三个五年规划纲要；</w:t>
      </w:r>
    </w:p>
    <w:p>
      <w:pPr>
        <w:spacing w:line="480" w:lineRule="exact"/>
        <w:ind w:firstLine="480" w:firstLineChars="200"/>
        <w:rPr>
          <w:sz w:val="24"/>
          <w:szCs w:val="22"/>
          <w:lang w:val="zh-CN"/>
        </w:rPr>
      </w:pPr>
      <w:r>
        <w:rPr>
          <w:sz w:val="24"/>
          <w:szCs w:val="22"/>
          <w:lang w:val="zh-CN"/>
        </w:rPr>
        <w:t>（7）长沙县社会经济发展现状资料；</w:t>
      </w:r>
    </w:p>
    <w:p>
      <w:pPr>
        <w:spacing w:line="480" w:lineRule="exact"/>
        <w:ind w:firstLine="480" w:firstLineChars="200"/>
        <w:rPr>
          <w:sz w:val="24"/>
          <w:szCs w:val="22"/>
          <w:lang w:val="zh-CN"/>
        </w:rPr>
      </w:pPr>
      <w:r>
        <w:rPr>
          <w:sz w:val="24"/>
          <w:szCs w:val="22"/>
          <w:lang w:val="zh-CN"/>
        </w:rPr>
        <w:t>（8）长沙县土地定级估价工作相关文件。</w:t>
      </w:r>
    </w:p>
    <w:p>
      <w:pPr>
        <w:shd w:val="clear" w:color="auto" w:fill="FFFFFF"/>
        <w:spacing w:line="360" w:lineRule="auto"/>
        <w:ind w:firstLine="560" w:firstLineChars="200"/>
        <w:outlineLvl w:val="2"/>
        <w:rPr>
          <w:rFonts w:eastAsia="黑体"/>
          <w:sz w:val="28"/>
          <w:szCs w:val="28"/>
        </w:rPr>
      </w:pPr>
      <w:bookmarkStart w:id="157" w:name="_Toc8562"/>
      <w:bookmarkStart w:id="158" w:name="_Toc467846811"/>
      <w:r>
        <w:rPr>
          <w:rFonts w:eastAsia="黑体"/>
          <w:sz w:val="28"/>
          <w:szCs w:val="28"/>
        </w:rPr>
        <w:t>五、技术路线</w:t>
      </w:r>
      <w:bookmarkEnd w:id="157"/>
    </w:p>
    <w:p>
      <w:pPr>
        <w:spacing w:line="520" w:lineRule="exact"/>
        <w:ind w:firstLine="480" w:firstLineChars="200"/>
        <w:rPr>
          <w:sz w:val="24"/>
          <w:szCs w:val="24"/>
        </w:rPr>
      </w:pPr>
      <w:r>
        <w:rPr>
          <w:sz w:val="24"/>
          <w:szCs w:val="24"/>
        </w:rPr>
        <w:t>主要包括两个环节，即城区土地定级和城区基准地价更新。</w:t>
      </w:r>
    </w:p>
    <w:p>
      <w:pPr>
        <w:spacing w:line="520" w:lineRule="exact"/>
        <w:ind w:firstLine="480" w:firstLineChars="200"/>
        <w:rPr>
          <w:sz w:val="24"/>
          <w:szCs w:val="24"/>
        </w:rPr>
      </w:pPr>
      <w:r>
        <w:rPr>
          <w:sz w:val="24"/>
          <w:szCs w:val="24"/>
        </w:rPr>
        <w:t>其中城区土地定级技术路线为：将土地定级与基准地价评估相结合，以全新的计算机系统为技术手段，以均质地域为定级单元，通过科学测算及统计分析，采用多因素综合评判法确定定级单元总分值，根据模糊聚类原理确定土地级别分值界限，确定级别。</w:t>
      </w:r>
    </w:p>
    <w:p>
      <w:pPr>
        <w:spacing w:line="520" w:lineRule="exact"/>
        <w:ind w:firstLine="480" w:firstLineChars="200"/>
        <w:rPr>
          <w:sz w:val="24"/>
          <w:szCs w:val="24"/>
        </w:rPr>
      </w:pPr>
      <w:r>
        <w:rPr>
          <w:sz w:val="24"/>
          <w:szCs w:val="24"/>
        </w:rPr>
        <w:t>城区基准地价评估技术过程为：以土地定级为基础，根据市场资料，运用收益还原法、成本法、剩余法等测算市场交易样点地价，并进行修正和检验，然后利用定级成果，结合估价样点，建立均质地域总分值与均质地域平均价格的数学模型，测算级别基准地价，用成本法测算末级工矿仓储用地地价，最终得到商服、住宅、工矿仓储、</w:t>
      </w:r>
      <w:r>
        <w:rPr>
          <w:rFonts w:hint="eastAsia"/>
          <w:sz w:val="24"/>
          <w:szCs w:val="24"/>
        </w:rPr>
        <w:t>公共管理与公共服务</w:t>
      </w:r>
      <w:r>
        <w:rPr>
          <w:sz w:val="24"/>
          <w:szCs w:val="24"/>
        </w:rPr>
        <w:t>四种用地类型的级别基准地价。</w:t>
      </w:r>
    </w:p>
    <w:p>
      <w:pPr>
        <w:spacing w:line="360" w:lineRule="auto"/>
        <w:ind w:firstLine="411" w:firstLineChars="196"/>
        <w:jc w:val="center"/>
        <w:rPr>
          <w:sz w:val="24"/>
        </w:rPr>
      </w:pPr>
      <w:r>
        <w:rPr>
          <w:rFonts w:ascii="Times New Roman" w:hAnsi="Times New Roman" w:eastAsia="宋体" w:cs="Times New Roman"/>
          <w:kern w:val="2"/>
          <w:sz w:val="21"/>
          <w:lang w:val="en-US" w:eastAsia="zh-CN" w:bidi="ar-SA"/>
        </w:rPr>
        <w:pict>
          <v:shape id="图片 51" o:spid="_x0000_s1058" type="#_x0000_t75" style="height:503.45pt;width:355.3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spacing w:line="360" w:lineRule="auto"/>
        <w:ind w:firstLine="470" w:firstLineChars="196"/>
        <w:rPr>
          <w:sz w:val="24"/>
          <w:lang w:val="zh-CN"/>
        </w:rPr>
      </w:pPr>
    </w:p>
    <w:p>
      <w:pPr>
        <w:spacing w:line="360" w:lineRule="auto"/>
        <w:ind w:right="-84" w:rightChars="-40" w:firstLine="241"/>
        <w:jc w:val="center"/>
        <w:rPr>
          <w:b/>
          <w:bCs/>
          <w:sz w:val="24"/>
          <w:lang w:val="zh-CN"/>
        </w:rPr>
      </w:pPr>
      <w:r>
        <w:rPr>
          <w:b/>
          <w:bCs/>
          <w:sz w:val="24"/>
          <w:lang w:val="zh-CN"/>
        </w:rPr>
        <w:t>图1-</w:t>
      </w:r>
      <w:r>
        <w:rPr>
          <w:b/>
          <w:bCs/>
          <w:sz w:val="24"/>
        </w:rPr>
        <w:t>3</w:t>
      </w:r>
      <w:r>
        <w:rPr>
          <w:b/>
          <w:bCs/>
          <w:sz w:val="24"/>
          <w:lang w:val="zh-CN"/>
        </w:rPr>
        <w:t>-</w:t>
      </w:r>
      <w:r>
        <w:rPr>
          <w:rFonts w:hint="eastAsia"/>
          <w:b/>
          <w:bCs/>
          <w:sz w:val="24"/>
        </w:rPr>
        <w:t>2</w:t>
      </w:r>
      <w:r>
        <w:rPr>
          <w:b/>
          <w:bCs/>
          <w:sz w:val="24"/>
          <w:lang w:val="zh-CN"/>
        </w:rPr>
        <w:t xml:space="preserve"> </w:t>
      </w:r>
      <w:r>
        <w:rPr>
          <w:rFonts w:hint="eastAsia"/>
          <w:b/>
          <w:bCs/>
          <w:sz w:val="24"/>
          <w:lang w:val="zh-CN"/>
        </w:rPr>
        <w:t>长沙县</w:t>
      </w:r>
      <w:r>
        <w:rPr>
          <w:b/>
          <w:bCs/>
          <w:sz w:val="24"/>
          <w:lang w:val="zh-CN"/>
        </w:rPr>
        <w:t>基准地价更新技术路线</w:t>
      </w:r>
    </w:p>
    <w:p>
      <w:pPr>
        <w:spacing w:line="480" w:lineRule="exact"/>
        <w:ind w:firstLine="480" w:firstLineChars="200"/>
        <w:rPr>
          <w:sz w:val="24"/>
          <w:szCs w:val="22"/>
          <w:lang w:val="zh-CN"/>
        </w:rPr>
        <w:sectPr>
          <w:footerReference r:id="rId11" w:type="default"/>
          <w:pgSz w:w="11906" w:h="16838"/>
          <w:pgMar w:top="1440" w:right="1800" w:bottom="1440" w:left="1800" w:header="851" w:footer="992" w:gutter="0"/>
          <w:pgNumType w:start="1"/>
          <w:cols w:space="720" w:num="1"/>
          <w:docGrid w:type="lines" w:linePitch="312" w:charSpace="0"/>
        </w:sectPr>
      </w:pPr>
    </w:p>
    <w:p>
      <w:pPr>
        <w:shd w:val="clear" w:color="auto" w:fill="FFFFFF"/>
        <w:spacing w:line="360" w:lineRule="auto"/>
        <w:ind w:firstLine="560" w:firstLineChars="200"/>
        <w:outlineLvl w:val="2"/>
        <w:rPr>
          <w:rFonts w:eastAsia="黑体"/>
          <w:sz w:val="28"/>
          <w:szCs w:val="28"/>
        </w:rPr>
      </w:pPr>
      <w:bookmarkStart w:id="159" w:name="_Toc469296418"/>
      <w:bookmarkStart w:id="160" w:name="_Toc3427"/>
      <w:bookmarkStart w:id="161" w:name="_Toc470721269"/>
      <w:bookmarkStart w:id="162" w:name="_Toc23798"/>
      <w:r>
        <w:rPr>
          <w:rFonts w:hint="eastAsia" w:eastAsia="黑体"/>
          <w:sz w:val="28"/>
          <w:szCs w:val="28"/>
        </w:rPr>
        <w:t>六</w:t>
      </w:r>
      <w:r>
        <w:rPr>
          <w:rFonts w:eastAsia="黑体"/>
          <w:sz w:val="28"/>
          <w:szCs w:val="28"/>
        </w:rPr>
        <w:t>、工作范围</w:t>
      </w:r>
      <w:bookmarkEnd w:id="158"/>
      <w:bookmarkEnd w:id="159"/>
      <w:bookmarkEnd w:id="160"/>
      <w:bookmarkEnd w:id="161"/>
      <w:bookmarkEnd w:id="162"/>
    </w:p>
    <w:p>
      <w:pPr>
        <w:spacing w:line="480" w:lineRule="exact"/>
        <w:rPr>
          <w:b/>
          <w:bCs/>
          <w:sz w:val="28"/>
          <w:szCs w:val="24"/>
          <w:lang w:val="zh-CN"/>
        </w:rPr>
      </w:pPr>
      <w:r>
        <w:rPr>
          <w:rFonts w:hint="eastAsia"/>
          <w:b/>
          <w:bCs/>
          <w:sz w:val="28"/>
          <w:szCs w:val="24"/>
          <w:lang w:val="zh-CN"/>
        </w:rPr>
        <w:t>（一）城区基准地价更新范围</w:t>
      </w:r>
    </w:p>
    <w:p>
      <w:pPr>
        <w:spacing w:line="480" w:lineRule="exact"/>
        <w:ind w:firstLine="480" w:firstLineChars="200"/>
        <w:rPr>
          <w:sz w:val="24"/>
          <w:szCs w:val="22"/>
          <w:lang w:val="zh-CN"/>
        </w:rPr>
      </w:pPr>
      <w:r>
        <w:rPr>
          <w:sz w:val="24"/>
          <w:szCs w:val="22"/>
          <w:lang w:val="zh-CN"/>
        </w:rPr>
        <w:t>根据《城镇土地估价规程》（GB/T18508-2014）规定，</w:t>
      </w:r>
      <w:r>
        <w:rPr>
          <w:rFonts w:hint="eastAsia"/>
          <w:sz w:val="24"/>
          <w:szCs w:val="22"/>
          <w:lang w:val="zh-CN"/>
        </w:rPr>
        <w:t>基准地价更新对象为“在</w:t>
      </w:r>
      <w:r>
        <w:rPr>
          <w:sz w:val="24"/>
          <w:szCs w:val="22"/>
          <w:lang w:val="zh-CN"/>
        </w:rPr>
        <w:t>土地利用总体规划确定的城镇可建设用地范围内</w:t>
      </w:r>
      <w:r>
        <w:rPr>
          <w:rFonts w:hint="eastAsia"/>
          <w:sz w:val="24"/>
          <w:szCs w:val="22"/>
          <w:lang w:val="zh-CN"/>
        </w:rPr>
        <w:t>”</w:t>
      </w:r>
      <w:r>
        <w:rPr>
          <w:sz w:val="24"/>
          <w:szCs w:val="22"/>
          <w:lang w:val="zh-CN"/>
        </w:rPr>
        <w:t>，</w:t>
      </w:r>
      <w:r>
        <w:rPr>
          <w:rFonts w:hint="eastAsia"/>
          <w:sz w:val="24"/>
          <w:szCs w:val="22"/>
          <w:lang w:val="zh-CN"/>
        </w:rPr>
        <w:t>同时根据《城镇土地分等定级规程》（</w:t>
      </w:r>
      <w:r>
        <w:rPr>
          <w:rFonts w:hint="eastAsia"/>
          <w:sz w:val="24"/>
          <w:szCs w:val="22"/>
        </w:rPr>
        <w:t>GT</w:t>
      </w:r>
      <w:r>
        <w:rPr>
          <w:sz w:val="24"/>
          <w:szCs w:val="22"/>
          <w:lang w:val="zh-CN"/>
        </w:rPr>
        <w:t>/T1850</w:t>
      </w:r>
      <w:r>
        <w:rPr>
          <w:rFonts w:hint="eastAsia"/>
          <w:sz w:val="24"/>
          <w:szCs w:val="22"/>
        </w:rPr>
        <w:t>7</w:t>
      </w:r>
      <w:r>
        <w:rPr>
          <w:sz w:val="24"/>
          <w:szCs w:val="22"/>
          <w:lang w:val="zh-CN"/>
        </w:rPr>
        <w:t>-2014</w:t>
      </w:r>
      <w:r>
        <w:rPr>
          <w:rFonts w:hint="eastAsia"/>
          <w:sz w:val="24"/>
          <w:szCs w:val="22"/>
          <w:lang w:val="zh-CN"/>
        </w:rPr>
        <w:t>）要求：“城镇土地定级对象是土地利用总体规划确定的可作为城镇建设用地的土地”，在此基础上</w:t>
      </w:r>
      <w:r>
        <w:rPr>
          <w:sz w:val="24"/>
          <w:szCs w:val="22"/>
          <w:lang w:val="zh-CN"/>
        </w:rPr>
        <w:t>对土地进行定级和基准地价更新。</w:t>
      </w:r>
    </w:p>
    <w:p>
      <w:pPr>
        <w:spacing w:line="480" w:lineRule="exact"/>
        <w:ind w:firstLine="480" w:firstLineChars="200"/>
        <w:rPr>
          <w:sz w:val="24"/>
          <w:szCs w:val="22"/>
          <w:lang w:val="zh-CN"/>
        </w:rPr>
      </w:pPr>
      <w:r>
        <w:rPr>
          <w:rFonts w:hint="eastAsia"/>
          <w:sz w:val="24"/>
          <w:szCs w:val="22"/>
          <w:lang w:val="zh-CN"/>
        </w:rPr>
        <w:t>本次长沙县基准地价更新范围</w:t>
      </w:r>
      <w:r>
        <w:rPr>
          <w:sz w:val="24"/>
          <w:szCs w:val="22"/>
          <w:lang w:val="zh-CN"/>
        </w:rPr>
        <w:t>将</w:t>
      </w:r>
      <w:r>
        <w:rPr>
          <w:rFonts w:hint="eastAsia"/>
          <w:sz w:val="24"/>
          <w:szCs w:val="22"/>
          <w:lang w:val="zh-CN"/>
        </w:rPr>
        <w:t>以</w:t>
      </w:r>
      <w:r>
        <w:rPr>
          <w:sz w:val="24"/>
          <w:szCs w:val="22"/>
          <w:lang w:val="zh-CN"/>
        </w:rPr>
        <w:t>长沙县土地利用总体规划图（2006-2020）（2016修订版）</w:t>
      </w:r>
      <w:r>
        <w:rPr>
          <w:rFonts w:hint="eastAsia"/>
          <w:sz w:val="24"/>
          <w:szCs w:val="22"/>
          <w:lang w:val="zh-CN"/>
        </w:rPr>
        <w:t>（</w:t>
      </w:r>
      <w:r>
        <w:rPr>
          <w:sz w:val="24"/>
          <w:szCs w:val="22"/>
          <w:lang w:val="zh-CN"/>
        </w:rPr>
        <w:t>图1-</w:t>
      </w:r>
      <w:r>
        <w:rPr>
          <w:sz w:val="24"/>
          <w:szCs w:val="22"/>
        </w:rPr>
        <w:t>3</w:t>
      </w:r>
      <w:r>
        <w:rPr>
          <w:sz w:val="24"/>
          <w:szCs w:val="22"/>
          <w:lang w:val="zh-CN"/>
        </w:rPr>
        <w:t>-</w:t>
      </w:r>
      <w:r>
        <w:rPr>
          <w:rFonts w:hint="eastAsia"/>
          <w:sz w:val="24"/>
          <w:szCs w:val="22"/>
        </w:rPr>
        <w:t>3</w:t>
      </w:r>
      <w:r>
        <w:rPr>
          <w:rFonts w:hint="eastAsia"/>
          <w:sz w:val="24"/>
          <w:szCs w:val="22"/>
          <w:lang w:val="zh-CN"/>
        </w:rPr>
        <w:t>）</w:t>
      </w:r>
      <w:r>
        <w:rPr>
          <w:sz w:val="24"/>
          <w:szCs w:val="22"/>
          <w:lang w:val="zh-CN"/>
        </w:rPr>
        <w:t>与长沙市城市总体规划图（2003-2020）（</w:t>
      </w:r>
      <w:r>
        <w:rPr>
          <w:sz w:val="24"/>
          <w:szCs w:val="22"/>
        </w:rPr>
        <w:t>2014年修改</w:t>
      </w:r>
      <w:r>
        <w:rPr>
          <w:sz w:val="24"/>
          <w:szCs w:val="22"/>
          <w:lang w:val="zh-CN"/>
        </w:rPr>
        <w:t>）</w:t>
      </w:r>
      <w:r>
        <w:rPr>
          <w:rFonts w:hint="eastAsia"/>
          <w:sz w:val="24"/>
          <w:szCs w:val="22"/>
          <w:lang w:val="zh-CN"/>
        </w:rPr>
        <w:t>（</w:t>
      </w:r>
      <w:r>
        <w:rPr>
          <w:sz w:val="24"/>
          <w:szCs w:val="22"/>
          <w:lang w:val="zh-CN"/>
        </w:rPr>
        <w:t>图1-</w:t>
      </w:r>
      <w:r>
        <w:rPr>
          <w:sz w:val="24"/>
          <w:szCs w:val="22"/>
        </w:rPr>
        <w:t>3</w:t>
      </w:r>
      <w:r>
        <w:rPr>
          <w:sz w:val="24"/>
          <w:szCs w:val="22"/>
          <w:lang w:val="zh-CN"/>
        </w:rPr>
        <w:t>-</w:t>
      </w:r>
      <w:r>
        <w:rPr>
          <w:rFonts w:hint="eastAsia"/>
          <w:sz w:val="24"/>
          <w:szCs w:val="22"/>
        </w:rPr>
        <w:t>4</w:t>
      </w:r>
      <w:r>
        <w:rPr>
          <w:rFonts w:hint="eastAsia"/>
          <w:sz w:val="24"/>
          <w:szCs w:val="22"/>
          <w:lang w:val="zh-CN"/>
        </w:rPr>
        <w:t>）</w:t>
      </w:r>
      <w:r>
        <w:rPr>
          <w:rFonts w:hint="eastAsia"/>
          <w:sz w:val="24"/>
          <w:szCs w:val="22"/>
        </w:rPr>
        <w:t>为基础，</w:t>
      </w:r>
      <w:r>
        <w:rPr>
          <w:sz w:val="24"/>
          <w:szCs w:val="22"/>
          <w:lang w:val="zh-CN"/>
        </w:rPr>
        <w:t>叠加确定初步范围</w:t>
      </w:r>
      <w:r>
        <w:rPr>
          <w:rFonts w:hint="eastAsia"/>
          <w:sz w:val="24"/>
          <w:szCs w:val="22"/>
          <w:lang w:val="zh-CN"/>
        </w:rPr>
        <w:t>（图</w:t>
      </w:r>
      <w:r>
        <w:rPr>
          <w:rFonts w:hint="eastAsia"/>
          <w:sz w:val="24"/>
          <w:szCs w:val="22"/>
        </w:rPr>
        <w:t>1-3-5</w:t>
      </w:r>
      <w:r>
        <w:rPr>
          <w:rFonts w:hint="eastAsia"/>
          <w:sz w:val="24"/>
          <w:szCs w:val="22"/>
          <w:lang w:val="zh-CN"/>
        </w:rPr>
        <w:t>）</w:t>
      </w:r>
      <w:r>
        <w:rPr>
          <w:sz w:val="24"/>
          <w:szCs w:val="22"/>
          <w:lang w:val="zh-CN"/>
        </w:rPr>
        <w:t>，结合长沙县近期发展重点区域规划，并征询长沙县相关部门的意见，确定最终基准地价更新范围，总面积约为127平方公里。长沙县城区基准地价更新范围见图1-</w:t>
      </w:r>
      <w:r>
        <w:rPr>
          <w:sz w:val="24"/>
          <w:szCs w:val="22"/>
        </w:rPr>
        <w:t>3</w:t>
      </w:r>
      <w:r>
        <w:rPr>
          <w:sz w:val="24"/>
          <w:szCs w:val="22"/>
          <w:lang w:val="zh-CN"/>
        </w:rPr>
        <w:t>-</w:t>
      </w:r>
      <w:r>
        <w:rPr>
          <w:rFonts w:hint="eastAsia"/>
          <w:sz w:val="24"/>
          <w:szCs w:val="22"/>
        </w:rPr>
        <w:t>6</w:t>
      </w:r>
      <w:r>
        <w:rPr>
          <w:sz w:val="24"/>
          <w:szCs w:val="22"/>
          <w:lang w:val="zh-CN"/>
        </w:rPr>
        <w:t>。</w:t>
      </w:r>
    </w:p>
    <w:p>
      <w:pPr>
        <w:jc w:val="center"/>
      </w:pPr>
      <w:r>
        <w:rPr>
          <w:rFonts w:ascii="Times New Roman" w:hAnsi="Times New Roman" w:eastAsia="宋体" w:cs="Times New Roman"/>
          <w:kern w:val="2"/>
          <w:sz w:val="21"/>
          <w:lang w:val="en-US" w:eastAsia="zh-CN" w:bidi="ar-SA"/>
        </w:rPr>
        <w:pict>
          <v:shape id="图片 89" o:spid="_x0000_s1059" type="#_x0000_t75" style="height:372.7pt;width:310.3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spacing w:line="360" w:lineRule="auto"/>
        <w:ind w:right="-84" w:rightChars="-40" w:firstLine="241"/>
        <w:jc w:val="center"/>
        <w:rPr>
          <w:b/>
          <w:bCs/>
          <w:sz w:val="24"/>
          <w:szCs w:val="22"/>
          <w:lang w:val="zh-CN"/>
        </w:rPr>
      </w:pPr>
      <w:r>
        <w:rPr>
          <w:b/>
          <w:bCs/>
          <w:sz w:val="24"/>
          <w:szCs w:val="22"/>
          <w:lang w:val="zh-CN"/>
        </w:rPr>
        <w:t>图</w:t>
      </w:r>
      <w:r>
        <w:rPr>
          <w:b/>
          <w:bCs/>
          <w:sz w:val="24"/>
          <w:szCs w:val="22"/>
        </w:rPr>
        <w:t>1-</w:t>
      </w:r>
      <w:r>
        <w:rPr>
          <w:b/>
          <w:bCs/>
          <w:sz w:val="24"/>
          <w:szCs w:val="22"/>
          <w:lang w:val="zh-CN"/>
        </w:rPr>
        <w:t>3-</w:t>
      </w:r>
      <w:r>
        <w:rPr>
          <w:rFonts w:hint="eastAsia"/>
          <w:b/>
          <w:bCs/>
          <w:sz w:val="24"/>
          <w:szCs w:val="22"/>
        </w:rPr>
        <w:t>3</w:t>
      </w:r>
      <w:r>
        <w:rPr>
          <w:b/>
          <w:bCs/>
          <w:sz w:val="24"/>
          <w:szCs w:val="22"/>
        </w:rPr>
        <w:t xml:space="preserve"> </w:t>
      </w:r>
      <w:r>
        <w:rPr>
          <w:b/>
          <w:bCs/>
          <w:sz w:val="24"/>
          <w:szCs w:val="22"/>
          <w:lang w:val="zh-CN"/>
        </w:rPr>
        <w:t>长沙县土地利用总体规划图（2006-2020年）（2016年修订版）</w:t>
      </w:r>
    </w:p>
    <w:p>
      <w:pPr>
        <w:jc w:val="center"/>
        <w:rPr>
          <w:kern w:val="0"/>
          <w:sz w:val="24"/>
        </w:rPr>
      </w:pPr>
    </w:p>
    <w:p>
      <w:pPr>
        <w:jc w:val="center"/>
        <w:rPr>
          <w:kern w:val="0"/>
          <w:sz w:val="24"/>
        </w:rPr>
      </w:pPr>
      <w:r>
        <w:rPr>
          <w:rFonts w:ascii="Times New Roman" w:hAnsi="Times New Roman" w:eastAsia="宋体" w:cs="Times New Roman"/>
          <w:kern w:val="0"/>
          <w:sz w:val="24"/>
          <w:lang w:val="en-US" w:eastAsia="zh-CN" w:bidi="ar-SA"/>
        </w:rPr>
        <w:pict>
          <v:shape id="图片 97" o:spid="_x0000_s1060" type="#_x0000_t75" style="height:305.05pt;width:262.2pt;rotation:0f;" o:ole="f" fillcolor="#FFFFFF" filled="f" o:preferrelative="t" stroked="t" coordorigin="0,0" coordsize="21600,21600">
            <v:fill on="f" color2="#FFFFFF" focus="0%"/>
            <v:stroke color="#000000" color2="#FFFFFF" miterlimit="2"/>
            <v:imagedata cropbottom="1316f" gain="65536f" blacklevel="0f" gamma="0" o:title="" r:id="rId27"/>
            <o:lock v:ext="edit" position="f" selection="f" grouping="f" rotation="f" cropping="f" text="f" aspectratio="t"/>
            <w10:wrap type="none"/>
            <w10:anchorlock/>
          </v:shape>
        </w:pict>
      </w:r>
    </w:p>
    <w:p>
      <w:pPr>
        <w:shd w:val="clear" w:color="auto" w:fill="FFFFFF"/>
        <w:jc w:val="center"/>
        <w:rPr>
          <w:sz w:val="24"/>
        </w:rPr>
      </w:pPr>
      <w:r>
        <w:rPr>
          <w:b/>
          <w:bCs/>
          <w:sz w:val="24"/>
          <w:szCs w:val="22"/>
          <w:lang w:val="zh-CN"/>
        </w:rPr>
        <w:t>图</w:t>
      </w:r>
      <w:r>
        <w:rPr>
          <w:b/>
          <w:bCs/>
          <w:sz w:val="24"/>
          <w:szCs w:val="22"/>
        </w:rPr>
        <w:t>1-</w:t>
      </w:r>
      <w:r>
        <w:rPr>
          <w:b/>
          <w:bCs/>
          <w:sz w:val="24"/>
          <w:szCs w:val="22"/>
          <w:lang w:val="zh-CN"/>
        </w:rPr>
        <w:t>3-</w:t>
      </w:r>
      <w:r>
        <w:rPr>
          <w:rFonts w:hint="eastAsia"/>
          <w:b/>
          <w:bCs/>
          <w:sz w:val="24"/>
          <w:szCs w:val="22"/>
        </w:rPr>
        <w:t>4</w:t>
      </w:r>
      <w:r>
        <w:rPr>
          <w:b/>
          <w:bCs/>
          <w:sz w:val="24"/>
          <w:szCs w:val="22"/>
          <w:lang w:val="zh-CN"/>
        </w:rPr>
        <w:t xml:space="preserve"> 长沙市城市总体规划图（2003-2020年）（</w:t>
      </w:r>
      <w:r>
        <w:rPr>
          <w:b/>
          <w:bCs/>
          <w:sz w:val="24"/>
          <w:szCs w:val="22"/>
        </w:rPr>
        <w:t>2014年修改</w:t>
      </w:r>
      <w:r>
        <w:rPr>
          <w:b/>
          <w:bCs/>
          <w:sz w:val="24"/>
          <w:szCs w:val="22"/>
          <w:lang w:val="zh-CN"/>
        </w:rPr>
        <w:t>）</w:t>
      </w:r>
      <w:r>
        <w:rPr>
          <w:rFonts w:ascii="Times New Roman" w:hAnsi="Times New Roman" w:eastAsia="宋体" w:cs="Times New Roman"/>
          <w:kern w:val="2"/>
          <w:sz w:val="24"/>
          <w:lang w:val="en-US" w:eastAsia="zh-CN" w:bidi="ar-SA"/>
        </w:rPr>
        <w:pict>
          <v:shape id="图片 145" o:spid="_x0000_s1061" type="#_x0000_t75" style="height:340.65pt;width:275.6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shd w:val="clear" w:color="auto" w:fill="FFFFFF"/>
        <w:jc w:val="center"/>
        <w:rPr>
          <w:sz w:val="24"/>
        </w:rPr>
      </w:pPr>
      <w:r>
        <w:rPr>
          <w:b/>
          <w:bCs/>
          <w:sz w:val="24"/>
          <w:szCs w:val="22"/>
          <w:lang w:val="zh-CN"/>
        </w:rPr>
        <w:t>图</w:t>
      </w:r>
      <w:r>
        <w:rPr>
          <w:b/>
          <w:bCs/>
          <w:sz w:val="24"/>
          <w:szCs w:val="22"/>
        </w:rPr>
        <w:t>1-</w:t>
      </w:r>
      <w:r>
        <w:rPr>
          <w:b/>
          <w:bCs/>
          <w:sz w:val="24"/>
          <w:szCs w:val="22"/>
          <w:lang w:val="zh-CN"/>
        </w:rPr>
        <w:t>3-</w:t>
      </w:r>
      <w:r>
        <w:rPr>
          <w:rFonts w:hint="eastAsia"/>
          <w:b/>
          <w:bCs/>
          <w:sz w:val="24"/>
          <w:szCs w:val="22"/>
        </w:rPr>
        <w:t>5</w:t>
      </w:r>
      <w:r>
        <w:rPr>
          <w:b/>
          <w:bCs/>
          <w:sz w:val="24"/>
          <w:szCs w:val="22"/>
          <w:lang w:val="zh-CN"/>
        </w:rPr>
        <w:t xml:space="preserve"> 长沙市城市总体规划图（2003-2020年）（</w:t>
      </w:r>
      <w:r>
        <w:rPr>
          <w:b/>
          <w:bCs/>
          <w:sz w:val="24"/>
          <w:szCs w:val="22"/>
        </w:rPr>
        <w:t>2014年修改</w:t>
      </w:r>
      <w:r>
        <w:rPr>
          <w:b/>
          <w:bCs/>
          <w:sz w:val="24"/>
          <w:szCs w:val="22"/>
          <w:lang w:val="zh-CN"/>
        </w:rPr>
        <w:t>）</w:t>
      </w:r>
      <w:r>
        <w:rPr>
          <w:rFonts w:ascii="Times New Roman" w:hAnsi="Times New Roman" w:eastAsia="宋体" w:cs="Times New Roman"/>
          <w:kern w:val="2"/>
          <w:sz w:val="24"/>
          <w:lang w:val="en-US" w:eastAsia="zh-CN" w:bidi="ar-SA"/>
        </w:rPr>
        <w:pict>
          <v:shape id="图片 96" o:spid="_x0000_s1062" type="#_x0000_t75" style="height:365.6pt;width:284.5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spacing w:line="360" w:lineRule="auto"/>
        <w:ind w:right="-84" w:rightChars="-40" w:firstLine="241"/>
        <w:jc w:val="center"/>
        <w:rPr>
          <w:b/>
          <w:bCs/>
          <w:sz w:val="24"/>
          <w:szCs w:val="22"/>
          <w:lang w:val="zh-CN"/>
        </w:rPr>
      </w:pPr>
      <w:r>
        <w:rPr>
          <w:b/>
          <w:bCs/>
          <w:sz w:val="24"/>
          <w:szCs w:val="22"/>
          <w:lang w:val="zh-CN"/>
        </w:rPr>
        <w:t>图</w:t>
      </w:r>
      <w:r>
        <w:rPr>
          <w:b/>
          <w:bCs/>
          <w:sz w:val="24"/>
          <w:szCs w:val="22"/>
        </w:rPr>
        <w:t>1-</w:t>
      </w:r>
      <w:r>
        <w:rPr>
          <w:b/>
          <w:bCs/>
          <w:sz w:val="24"/>
          <w:szCs w:val="22"/>
          <w:lang w:val="zh-CN"/>
        </w:rPr>
        <w:t>3-</w:t>
      </w:r>
      <w:r>
        <w:rPr>
          <w:rFonts w:hint="eastAsia"/>
          <w:b/>
          <w:bCs/>
          <w:sz w:val="24"/>
          <w:szCs w:val="22"/>
        </w:rPr>
        <w:t>6</w:t>
      </w:r>
      <w:r>
        <w:rPr>
          <w:b/>
          <w:bCs/>
          <w:sz w:val="24"/>
          <w:szCs w:val="22"/>
        </w:rPr>
        <w:t xml:space="preserve"> </w:t>
      </w:r>
      <w:r>
        <w:rPr>
          <w:b/>
          <w:bCs/>
          <w:sz w:val="24"/>
          <w:szCs w:val="22"/>
          <w:lang w:val="zh-CN"/>
        </w:rPr>
        <w:t>长沙县城区基准地价更新范围图</w:t>
      </w:r>
    </w:p>
    <w:p>
      <w:pPr>
        <w:spacing w:line="480" w:lineRule="exact"/>
        <w:rPr>
          <w:b/>
          <w:bCs/>
          <w:sz w:val="28"/>
          <w:szCs w:val="24"/>
          <w:lang w:val="zh-CN"/>
        </w:rPr>
      </w:pPr>
      <w:r>
        <w:rPr>
          <w:rFonts w:hint="eastAsia"/>
          <w:b/>
          <w:bCs/>
          <w:sz w:val="28"/>
          <w:szCs w:val="24"/>
          <w:lang w:val="zh-CN"/>
        </w:rPr>
        <w:t>（二）建制镇基准地价更新范围</w:t>
      </w:r>
    </w:p>
    <w:p>
      <w:pPr>
        <w:spacing w:line="460" w:lineRule="exact"/>
        <w:ind w:firstLine="480" w:firstLineChars="200"/>
        <w:rPr>
          <w:rFonts w:hint="eastAsia"/>
          <w:sz w:val="24"/>
          <w:szCs w:val="22"/>
          <w:lang w:eastAsia="zh-CN"/>
        </w:rPr>
      </w:pPr>
      <w:r>
        <w:rPr>
          <w:sz w:val="24"/>
          <w:szCs w:val="22"/>
        </w:rPr>
        <w:t>根据长沙县2015年11月行政区划调整，此次长沙县乡镇更新范围为长沙县现辖13个建制镇：春华镇、江背镇、青山铺镇、开慧镇、金井镇、黄兴镇、黄花镇、果园镇、福临镇、北山镇、安沙镇、路口镇、高桥镇，2个街道办事处：榔梨街道办事处和长龙街道办事处，以及3个片区：开慧镇白沙片区、金井镇双江片区、空港城片区。各建制镇基准地价更新范围为镇政府所在地的土地利用总体规划和近期城市总体规划区相结合的范围</w:t>
      </w:r>
      <w:r>
        <w:rPr>
          <w:rFonts w:hint="eastAsia"/>
          <w:sz w:val="24"/>
          <w:szCs w:val="22"/>
          <w:lang w:eastAsia="zh-CN"/>
        </w:rPr>
        <w:t>。</w:t>
      </w:r>
      <w:bookmarkStart w:id="163" w:name="_Toc469296419"/>
      <w:bookmarkStart w:id="164" w:name="_Toc470721270"/>
      <w:bookmarkStart w:id="165" w:name="_Toc2484"/>
    </w:p>
    <w:p>
      <w:pPr>
        <w:shd w:val="clear" w:color="auto" w:fill="FFFFFF"/>
        <w:spacing w:line="360" w:lineRule="auto"/>
        <w:ind w:firstLine="560" w:firstLineChars="200"/>
        <w:outlineLvl w:val="2"/>
        <w:rPr>
          <w:rFonts w:eastAsia="黑体"/>
          <w:sz w:val="28"/>
          <w:szCs w:val="28"/>
        </w:rPr>
      </w:pPr>
      <w:bookmarkStart w:id="166" w:name="_Toc7017"/>
      <w:r>
        <w:rPr>
          <w:rFonts w:hint="eastAsia" w:eastAsia="黑体"/>
          <w:sz w:val="28"/>
          <w:szCs w:val="28"/>
        </w:rPr>
        <w:t>七</w:t>
      </w:r>
      <w:r>
        <w:rPr>
          <w:rFonts w:eastAsia="黑体"/>
          <w:sz w:val="28"/>
          <w:szCs w:val="28"/>
        </w:rPr>
        <w:t>、工作开展状况</w:t>
      </w:r>
      <w:bookmarkEnd w:id="163"/>
      <w:bookmarkEnd w:id="164"/>
      <w:bookmarkEnd w:id="165"/>
      <w:bookmarkEnd w:id="166"/>
    </w:p>
    <w:p>
      <w:pPr>
        <w:spacing w:line="360" w:lineRule="auto"/>
        <w:ind w:firstLine="482" w:firstLineChars="200"/>
        <w:jc w:val="left"/>
        <w:outlineLvl w:val="3"/>
        <w:rPr>
          <w:b/>
          <w:sz w:val="24"/>
        </w:rPr>
      </w:pPr>
      <w:bookmarkStart w:id="167" w:name="_Toc346093199"/>
      <w:bookmarkStart w:id="168" w:name="_Toc343776958"/>
      <w:r>
        <w:rPr>
          <w:b/>
          <w:sz w:val="24"/>
        </w:rPr>
        <w:t>1、组织准备</w:t>
      </w:r>
    </w:p>
    <w:p>
      <w:pPr>
        <w:spacing w:line="480" w:lineRule="exact"/>
        <w:ind w:firstLine="480" w:firstLineChars="200"/>
        <w:rPr>
          <w:sz w:val="24"/>
          <w:szCs w:val="22"/>
          <w:lang w:val="zh-CN"/>
        </w:rPr>
      </w:pPr>
      <w:r>
        <w:rPr>
          <w:sz w:val="24"/>
          <w:szCs w:val="22"/>
          <w:lang w:val="zh-CN"/>
        </w:rPr>
        <w:t>作为长沙县基准地价更新工作具体实施单位，长沙县国土资源局于2016年9月成立了领导小组，由主管土地供应的副局长任组长，土地供应科科长任副组长，组员包括土地供应科和其他相关科室工作人员，负责经费预算、文件起草、资料收集整理、指导基础国土资源所开展外业调查。</w:t>
      </w:r>
    </w:p>
    <w:p>
      <w:pPr>
        <w:spacing w:line="360" w:lineRule="auto"/>
        <w:ind w:firstLine="482" w:firstLineChars="200"/>
        <w:jc w:val="left"/>
        <w:outlineLvl w:val="3"/>
        <w:rPr>
          <w:b/>
          <w:sz w:val="24"/>
        </w:rPr>
      </w:pPr>
      <w:bookmarkStart w:id="169" w:name="_Toc343776961"/>
      <w:r>
        <w:rPr>
          <w:b/>
          <w:sz w:val="24"/>
        </w:rPr>
        <w:t>2、技术准备</w:t>
      </w:r>
      <w:bookmarkEnd w:id="169"/>
    </w:p>
    <w:p>
      <w:pPr>
        <w:spacing w:line="480" w:lineRule="exact"/>
        <w:ind w:firstLine="480" w:firstLineChars="200"/>
        <w:rPr>
          <w:sz w:val="24"/>
          <w:szCs w:val="22"/>
          <w:lang w:val="zh-CN"/>
        </w:rPr>
      </w:pPr>
      <w:r>
        <w:rPr>
          <w:sz w:val="24"/>
          <w:szCs w:val="22"/>
          <w:lang w:val="zh-CN"/>
        </w:rPr>
        <w:t>考虑到此次工作的难度及工作量大等实际情况，长沙县国土资源局选择了技术力量雄厚、专业队伍技术过硬、具有全国土地估价A级资质的长沙永信评估咨询有限责任公司为技术承担单位，具体负责技术工作和业务指导，技术单位依据工作难度和重点，确定了技术小组，拟定了调查方案，并对调查人员展开了技术培训。</w:t>
      </w:r>
    </w:p>
    <w:p>
      <w:pPr>
        <w:spacing w:line="360" w:lineRule="auto"/>
        <w:ind w:firstLine="482" w:firstLineChars="200"/>
        <w:jc w:val="left"/>
        <w:outlineLvl w:val="3"/>
        <w:rPr>
          <w:b/>
          <w:sz w:val="24"/>
        </w:rPr>
      </w:pPr>
      <w:bookmarkStart w:id="170" w:name="_Toc343776962"/>
      <w:r>
        <w:rPr>
          <w:b/>
          <w:sz w:val="24"/>
        </w:rPr>
        <w:t>3、资料收集</w:t>
      </w:r>
      <w:bookmarkEnd w:id="170"/>
    </w:p>
    <w:p>
      <w:pPr>
        <w:spacing w:line="440" w:lineRule="exact"/>
        <w:ind w:firstLine="480" w:firstLineChars="200"/>
        <w:jc w:val="left"/>
        <w:rPr>
          <w:sz w:val="24"/>
        </w:rPr>
      </w:pPr>
      <w:r>
        <w:rPr>
          <w:sz w:val="24"/>
          <w:szCs w:val="22"/>
          <w:lang w:val="zh-CN"/>
        </w:rPr>
        <w:t>资料收集包括部门资料收集和外业调查资料收集。其中外业调查资料收集过程采取技术人员、县国土资源局熟悉业务的工作人员及乡镇国土所人员统一协调组织的方式共同开展。从2016年10月24开始，历时一个月，完成定级资料与地价样点资料的收集工作。</w:t>
      </w:r>
    </w:p>
    <w:p>
      <w:pPr>
        <w:spacing w:line="360" w:lineRule="auto"/>
        <w:ind w:firstLine="482" w:firstLineChars="200"/>
        <w:jc w:val="left"/>
        <w:outlineLvl w:val="3"/>
        <w:rPr>
          <w:b/>
          <w:sz w:val="24"/>
        </w:rPr>
      </w:pPr>
      <w:bookmarkStart w:id="171" w:name="_Toc343776966"/>
      <w:r>
        <w:rPr>
          <w:b/>
          <w:sz w:val="24"/>
        </w:rPr>
        <w:t>4、形成初步成果</w:t>
      </w:r>
      <w:bookmarkEnd w:id="171"/>
    </w:p>
    <w:p>
      <w:pPr>
        <w:spacing w:line="480" w:lineRule="exact"/>
        <w:ind w:firstLine="480" w:firstLineChars="200"/>
        <w:rPr>
          <w:sz w:val="24"/>
          <w:szCs w:val="22"/>
          <w:lang w:val="zh-CN"/>
        </w:rPr>
      </w:pPr>
      <w:r>
        <w:rPr>
          <w:sz w:val="24"/>
          <w:szCs w:val="22"/>
          <w:lang w:val="zh-CN"/>
        </w:rPr>
        <w:t>2017年1月-5月，技术单位依据《城镇土地分等定级规程》和《城镇土地估价规程》，结合整理后的外业调查资料，开始进行基准地价更新成果的编制工作，先后完成样点上图、样点测算、土地级别划定、基准地价评估、乡镇分等等阶段性成果。2017年6月-7月，形成了城镇基准地价成果表、城镇基准地价成果图以及城镇基准地价更新简介材料。</w:t>
      </w:r>
    </w:p>
    <w:p>
      <w:pPr>
        <w:spacing w:line="360" w:lineRule="auto"/>
        <w:ind w:firstLine="482" w:firstLineChars="200"/>
        <w:jc w:val="left"/>
        <w:outlineLvl w:val="3"/>
        <w:rPr>
          <w:b/>
          <w:sz w:val="24"/>
        </w:rPr>
      </w:pPr>
      <w:r>
        <w:rPr>
          <w:b/>
          <w:sz w:val="24"/>
        </w:rPr>
        <w:t>5、成果对接</w:t>
      </w:r>
    </w:p>
    <w:p>
      <w:pPr>
        <w:spacing w:line="480" w:lineRule="exact"/>
        <w:ind w:firstLine="480" w:firstLineChars="200"/>
        <w:rPr>
          <w:sz w:val="24"/>
          <w:szCs w:val="22"/>
          <w:lang w:val="zh-CN"/>
        </w:rPr>
      </w:pPr>
      <w:r>
        <w:rPr>
          <w:sz w:val="24"/>
          <w:szCs w:val="22"/>
          <w:lang w:val="zh-CN"/>
        </w:rPr>
        <w:t>初步成果编制完成后，技术单位工作人员先后于2017年8月23日、2017年9月7日、2017年10月20日、2017年11月21日先后多达4次与长沙县国土资源局领导和相关科室进行对接及征求意见。参会人员主要就工作底图、更新范围、土地级别划定、基准地价水平、高铁新城区域与市区基准地价水平对接、公共服务用项目用地基准地价等问题充分进行了商讨，技术单位按照修改意见对成果进行了修改和完善。</w:t>
      </w:r>
      <w:bookmarkEnd w:id="167"/>
      <w:bookmarkEnd w:id="168"/>
    </w:p>
    <w:p>
      <w:pPr>
        <w:spacing w:line="360" w:lineRule="auto"/>
        <w:ind w:firstLine="402" w:firstLineChars="200"/>
        <w:jc w:val="center"/>
        <w:rPr>
          <w:b/>
          <w:sz w:val="24"/>
          <w:szCs w:val="22"/>
        </w:rPr>
      </w:pPr>
      <w:r>
        <w:rPr>
          <w:rFonts w:ascii="Times New Roman" w:hAnsi="Times New Roman" w:eastAsia="宋体" w:cs="Times New Roman"/>
          <w:b/>
          <w:kern w:val="2"/>
          <w:sz w:val="20"/>
          <w:lang w:val="en-US" w:eastAsia="zh-CN" w:bidi="ar-SA"/>
        </w:rPr>
        <w:pict>
          <v:shape id="图片 60" o:spid="_x0000_s1063" type="#_x0000_t75" style="position:absolute;left:0;margin-left:211.45pt;margin-top:6pt;height:188.2pt;width:283.4pt;mso-wrap-distance-bottom:0pt;mso-wrap-distance-top:0pt;rotation:0f;z-index:251716608;" o:ole="f" fillcolor="#FFFFFF" filled="f" o:preferrelative="t" stroked="f" coordorigin="0,0" coordsize="21600,21600">
            <v:fill on="f" color2="#FFFFFF" focus="0%"/>
            <v:imagedata gain="65536f" blacklevel="0f" gamma="0" o:title="" r:id="rId30"/>
            <o:lock v:ext="edit" position="f" selection="f" grouping="f" rotation="f" cropping="f" text="f" aspectratio="t"/>
            <w10:wrap type="topAndBottom"/>
          </v:shape>
        </w:pict>
      </w:r>
      <w:r>
        <w:rPr>
          <w:rFonts w:ascii="Times New Roman" w:hAnsi="Times New Roman" w:eastAsia="宋体" w:cs="Times New Roman"/>
          <w:b/>
          <w:kern w:val="2"/>
          <w:sz w:val="20"/>
          <w:lang w:val="en-US" w:eastAsia="zh-CN" w:bidi="ar-SA"/>
        </w:rPr>
        <w:pict>
          <v:shape id="图片 105" o:spid="_x0000_s1064" type="#_x0000_t75" style="position:absolute;left:0;margin-left:-80.1pt;margin-top:6.55pt;height:190.35pt;width:282.2pt;mso-wrap-distance-bottom:0pt;mso-wrap-distance-top:0pt;rotation:0f;z-index:251715584;" o:ole="f" fillcolor="#FFFFFF" filled="f" o:preferrelative="t" stroked="f" coordorigin="0,0" coordsize="21600,21600">
            <v:fill on="f" color2="#FFFFFF" focus="0%"/>
            <v:imagedata gain="65536f" blacklevel="0f" gamma="0" o:title="" r:id="rId31"/>
            <o:lock v:ext="edit" position="f" selection="f" grouping="f" rotation="f" cropping="f" text="f" aspectratio="t"/>
            <w10:wrap type="topAndBottom"/>
          </v:shape>
        </w:pict>
      </w:r>
      <w:r>
        <w:rPr>
          <w:b/>
          <w:sz w:val="20"/>
        </w:rPr>
        <w:t>图</w:t>
      </w:r>
      <w:r>
        <w:rPr>
          <w:b/>
          <w:sz w:val="20"/>
          <w:lang w:val="zh-CN"/>
        </w:rPr>
        <w:t>1-3-</w:t>
      </w:r>
      <w:r>
        <w:rPr>
          <w:rFonts w:hint="eastAsia"/>
          <w:b/>
          <w:sz w:val="20"/>
        </w:rPr>
        <w:t>6</w:t>
      </w:r>
      <w:r>
        <w:rPr>
          <w:b/>
          <w:sz w:val="20"/>
          <w:lang w:val="zh-CN"/>
        </w:rPr>
        <w:t xml:space="preserve"> 长沙县基准地价</w:t>
      </w:r>
      <w:r>
        <w:rPr>
          <w:rFonts w:hint="eastAsia"/>
          <w:b/>
          <w:sz w:val="20"/>
        </w:rPr>
        <w:t>局务会</w:t>
      </w:r>
    </w:p>
    <w:p>
      <w:pPr>
        <w:spacing w:line="360" w:lineRule="auto"/>
        <w:ind w:firstLine="482" w:firstLineChars="200"/>
        <w:jc w:val="left"/>
        <w:outlineLvl w:val="3"/>
        <w:rPr>
          <w:b/>
          <w:sz w:val="24"/>
          <w:szCs w:val="22"/>
        </w:rPr>
      </w:pPr>
      <w:r>
        <w:rPr>
          <w:b/>
          <w:sz w:val="24"/>
          <w:szCs w:val="22"/>
        </w:rPr>
        <w:t>6、召开听证会</w:t>
      </w:r>
    </w:p>
    <w:p>
      <w:pPr>
        <w:spacing w:line="520" w:lineRule="exact"/>
        <w:ind w:firstLine="480" w:firstLineChars="200"/>
        <w:rPr>
          <w:sz w:val="24"/>
          <w:szCs w:val="24"/>
        </w:rPr>
      </w:pPr>
      <w:r>
        <w:rPr>
          <w:sz w:val="24"/>
          <w:szCs w:val="24"/>
        </w:rPr>
        <w:t>长沙县国土资源局根据《国土资源听证规定》，于2018年4月在长沙县国土资源局网站发布“长沙县基准地价听证公告”，经一个月的报名，长沙县国土资源局于2018年5月4日组织召开了由市民代表、市直部门主管领导以及房地产开发商代表共同参加的听证会，技术单位根据听证会议纪要及时对成果进行了修改完善。</w:t>
      </w:r>
    </w:p>
    <w:p>
      <w:pPr>
        <w:spacing w:line="360" w:lineRule="auto"/>
        <w:ind w:firstLine="402" w:firstLineChars="200"/>
        <w:jc w:val="center"/>
        <w:rPr>
          <w:b/>
          <w:sz w:val="20"/>
        </w:rPr>
      </w:pPr>
      <w:bookmarkStart w:id="172" w:name="_Toc469296420"/>
      <w:bookmarkStart w:id="173" w:name="_Toc24635"/>
      <w:bookmarkStart w:id="174" w:name="_Toc3498"/>
      <w:bookmarkStart w:id="175" w:name="_Toc470721271"/>
      <w:bookmarkStart w:id="176" w:name="_Toc467846812"/>
      <w:r>
        <w:rPr>
          <w:rFonts w:ascii="Times New Roman" w:hAnsi="Times New Roman" w:eastAsia="宋体" w:cs="Times New Roman"/>
          <w:b/>
          <w:kern w:val="2"/>
          <w:sz w:val="20"/>
          <w:lang w:val="en-US" w:eastAsia="zh-CN" w:bidi="ar-SA"/>
        </w:rPr>
        <w:pict>
          <v:shape id="图片 136" o:spid="_x0000_s1065" type="#_x0000_t75" style="position:absolute;left:0;margin-left:206.3pt;margin-top:5.95pt;height:181.9pt;width:263.7pt;mso-wrap-distance-bottom:0pt;mso-wrap-distance-top:0pt;rotation:0f;z-index:251700224;" o:ole="f" fillcolor="#FFFFFF" filled="f" o:preferrelative="t" stroked="f" coordorigin="0,0" coordsize="21600,21600">
            <v:fill on="f" color2="#FFFFFF" focus="0%"/>
            <v:imagedata gain="65536f" blacklevel="0f" gamma="0" o:title="" r:id="rId32"/>
            <o:lock v:ext="edit" position="f" selection="f" grouping="f" rotation="f" cropping="f" text="f" aspectratio="t"/>
            <w10:wrap type="topAndBottom"/>
          </v:shape>
        </w:pict>
      </w:r>
      <w:r>
        <w:rPr>
          <w:rFonts w:ascii="Times New Roman" w:hAnsi="Times New Roman" w:eastAsia="宋体" w:cs="Times New Roman"/>
          <w:b/>
          <w:kern w:val="2"/>
          <w:sz w:val="20"/>
          <w:lang w:val="en-US" w:eastAsia="zh-CN" w:bidi="ar-SA"/>
        </w:rPr>
        <w:pict>
          <v:shape id="图片 135" o:spid="_x0000_s1066" type="#_x0000_t75" style="position:absolute;left:0;margin-left:-67.8pt;margin-top:7.35pt;height:179.5pt;width:262.85pt;mso-wrap-distance-bottom:0pt;mso-wrap-distance-top:0pt;rotation:0f;z-index:251699200;" o:ole="f" fillcolor="#FFFFFF" filled="f" o:preferrelative="t" stroked="f" coordorigin="0,0" coordsize="21600,21600">
            <v:fill on="f" color2="#FFFFFF" focus="0%"/>
            <v:imagedata gain="65536f" blacklevel="0f" gamma="0" o:title="" r:id="rId33"/>
            <o:lock v:ext="edit" position="f" selection="f" grouping="f" rotation="f" cropping="f" text="f" aspectratio="t"/>
            <w10:wrap type="topAndBottom"/>
          </v:shape>
        </w:pict>
      </w:r>
      <w:r>
        <w:rPr>
          <w:b/>
          <w:sz w:val="20"/>
        </w:rPr>
        <w:t>图</w:t>
      </w:r>
      <w:r>
        <w:rPr>
          <w:b/>
          <w:sz w:val="20"/>
          <w:lang w:val="zh-CN"/>
        </w:rPr>
        <w:t>1-3-</w:t>
      </w:r>
      <w:r>
        <w:rPr>
          <w:rFonts w:hint="eastAsia"/>
          <w:b/>
          <w:sz w:val="20"/>
        </w:rPr>
        <w:t xml:space="preserve">7 </w:t>
      </w:r>
      <w:r>
        <w:rPr>
          <w:b/>
          <w:sz w:val="20"/>
          <w:lang w:val="zh-CN"/>
        </w:rPr>
        <w:t>长沙县基准地价听证会</w:t>
      </w:r>
    </w:p>
    <w:p>
      <w:pPr>
        <w:numPr>
          <w:ilvl w:val="0"/>
          <w:numId w:val="3"/>
        </w:numPr>
        <w:spacing w:line="360" w:lineRule="auto"/>
        <w:ind w:firstLine="482" w:firstLineChars="200"/>
        <w:jc w:val="left"/>
        <w:outlineLvl w:val="3"/>
        <w:rPr>
          <w:b/>
          <w:sz w:val="24"/>
          <w:szCs w:val="22"/>
        </w:rPr>
      </w:pPr>
      <w:r>
        <w:rPr>
          <w:b/>
          <w:sz w:val="24"/>
          <w:szCs w:val="22"/>
        </w:rPr>
        <w:t>县政府常务会审验</w:t>
      </w:r>
    </w:p>
    <w:p>
      <w:pPr>
        <w:spacing w:line="520" w:lineRule="exact"/>
        <w:ind w:firstLine="480" w:firstLineChars="200"/>
        <w:rPr>
          <w:sz w:val="24"/>
          <w:szCs w:val="24"/>
        </w:rPr>
      </w:pPr>
      <w:r>
        <w:rPr>
          <w:sz w:val="24"/>
          <w:szCs w:val="24"/>
        </w:rPr>
        <w:t>2018年7月31日，长沙县政府就《长沙县基准地价更新成果》内容召开会议，对成果进行了审验并提出工矿仓储用地应沿用上一轮基准地价成果的意见。技术单位根据常务会议纪要对成果进一步的修改和完善。</w:t>
      </w:r>
    </w:p>
    <w:p>
      <w:pPr>
        <w:spacing w:line="360" w:lineRule="auto"/>
        <w:ind w:firstLine="480" w:firstLineChars="200"/>
        <w:jc w:val="center"/>
        <w:rPr>
          <w:b/>
          <w:sz w:val="20"/>
        </w:rPr>
      </w:pPr>
      <w:r>
        <w:rPr>
          <w:sz w:val="24"/>
          <w:szCs w:val="24"/>
        </w:rPr>
        <w:br w:type="page"/>
      </w:r>
    </w:p>
    <w:p>
      <w:pPr>
        <w:widowControl/>
        <w:jc w:val="center"/>
        <w:outlineLvl w:val="1"/>
        <w:rPr>
          <w:rFonts w:eastAsia="黑体"/>
          <w:sz w:val="32"/>
          <w:szCs w:val="32"/>
        </w:rPr>
      </w:pPr>
      <w:bookmarkStart w:id="177" w:name="_Toc25717"/>
      <w:bookmarkStart w:id="178" w:name="_Toc16183"/>
      <w:r>
        <w:rPr>
          <w:rFonts w:eastAsia="黑体"/>
          <w:sz w:val="32"/>
          <w:szCs w:val="32"/>
        </w:rPr>
        <w:t>第四章  资料调查收集与整理</w:t>
      </w:r>
      <w:bookmarkEnd w:id="66"/>
      <w:bookmarkEnd w:id="67"/>
      <w:bookmarkEnd w:id="172"/>
      <w:bookmarkEnd w:id="173"/>
      <w:bookmarkEnd w:id="174"/>
      <w:bookmarkEnd w:id="175"/>
      <w:bookmarkEnd w:id="176"/>
      <w:bookmarkEnd w:id="177"/>
      <w:bookmarkEnd w:id="178"/>
    </w:p>
    <w:p>
      <w:pPr>
        <w:spacing w:line="360" w:lineRule="auto"/>
        <w:ind w:firstLine="560" w:firstLineChars="200"/>
        <w:outlineLvl w:val="2"/>
        <w:rPr>
          <w:rFonts w:eastAsia="黑体"/>
          <w:sz w:val="28"/>
          <w:szCs w:val="28"/>
        </w:rPr>
      </w:pPr>
      <w:bookmarkStart w:id="179" w:name="_Toc470721272"/>
      <w:bookmarkStart w:id="180" w:name="_Toc28754"/>
      <w:bookmarkStart w:id="181" w:name="_Toc467846813"/>
      <w:bookmarkStart w:id="182" w:name="_Toc469296421"/>
      <w:bookmarkStart w:id="183" w:name="_Toc427343267"/>
      <w:bookmarkStart w:id="184" w:name="_Toc24538"/>
      <w:bookmarkStart w:id="185" w:name="_Toc271529410"/>
      <w:bookmarkStart w:id="186" w:name="_Toc248306019"/>
      <w:bookmarkStart w:id="187" w:name="_Toc248305582"/>
      <w:r>
        <w:rPr>
          <w:rFonts w:eastAsia="黑体"/>
          <w:sz w:val="28"/>
          <w:szCs w:val="28"/>
        </w:rPr>
        <w:t>一、资料收集的原则</w:t>
      </w:r>
      <w:bookmarkEnd w:id="179"/>
      <w:bookmarkEnd w:id="180"/>
      <w:bookmarkEnd w:id="181"/>
      <w:bookmarkEnd w:id="182"/>
      <w:bookmarkEnd w:id="183"/>
      <w:bookmarkEnd w:id="184"/>
    </w:p>
    <w:p>
      <w:pPr>
        <w:spacing w:line="360" w:lineRule="auto"/>
        <w:ind w:firstLine="482" w:firstLineChars="200"/>
        <w:rPr>
          <w:b/>
          <w:sz w:val="24"/>
          <w:szCs w:val="24"/>
          <w:lang w:val="zh-CN"/>
        </w:rPr>
      </w:pPr>
      <w:r>
        <w:rPr>
          <w:b/>
          <w:sz w:val="24"/>
          <w:szCs w:val="24"/>
          <w:lang w:val="zh-CN"/>
        </w:rPr>
        <w:t>1、规范性原则</w:t>
      </w:r>
    </w:p>
    <w:p>
      <w:pPr>
        <w:spacing w:line="480" w:lineRule="exact"/>
        <w:ind w:firstLine="480" w:firstLineChars="200"/>
        <w:rPr>
          <w:sz w:val="24"/>
          <w:szCs w:val="22"/>
          <w:lang w:val="zh-CN"/>
        </w:rPr>
      </w:pPr>
      <w:r>
        <w:rPr>
          <w:sz w:val="24"/>
          <w:szCs w:val="22"/>
          <w:lang w:val="zh-CN"/>
        </w:rPr>
        <w:t>即保持所有的资料的统一、实用。在调查前，统一调查表格、统计口径和调查方法，以获取规范的资料，既有利于准确测算，又有利于资料的重复利用和比较分析。</w:t>
      </w:r>
    </w:p>
    <w:p>
      <w:pPr>
        <w:spacing w:line="360" w:lineRule="auto"/>
        <w:ind w:firstLine="482" w:firstLineChars="200"/>
        <w:rPr>
          <w:b/>
          <w:sz w:val="24"/>
          <w:szCs w:val="24"/>
          <w:lang w:val="zh-CN"/>
        </w:rPr>
      </w:pPr>
      <w:r>
        <w:rPr>
          <w:b/>
          <w:sz w:val="24"/>
          <w:szCs w:val="24"/>
          <w:lang w:val="zh-CN"/>
        </w:rPr>
        <w:t>2、典型性原则</w:t>
      </w:r>
    </w:p>
    <w:p>
      <w:pPr>
        <w:spacing w:line="480" w:lineRule="exact"/>
        <w:ind w:firstLine="480" w:firstLineChars="200"/>
        <w:rPr>
          <w:sz w:val="24"/>
          <w:szCs w:val="22"/>
          <w:lang w:val="zh-CN"/>
        </w:rPr>
      </w:pPr>
      <w:r>
        <w:rPr>
          <w:sz w:val="24"/>
          <w:szCs w:val="22"/>
          <w:lang w:val="zh-CN"/>
        </w:rPr>
        <w:t>由于基准地价评估的资料涉及面广，数量多，而且分布广泛，故在资料收集中，要求所取得的资料同时具有典型性，能代表样本所在区域的特征，并在地域空间上合理分布，尽可能地反映样点所在区域的整体地价水平，以保证基准地价的代表性和一般性。</w:t>
      </w:r>
    </w:p>
    <w:p>
      <w:pPr>
        <w:spacing w:line="360" w:lineRule="auto"/>
        <w:ind w:firstLine="482" w:firstLineChars="200"/>
        <w:rPr>
          <w:b/>
          <w:sz w:val="24"/>
          <w:szCs w:val="24"/>
          <w:lang w:val="zh-CN"/>
        </w:rPr>
      </w:pPr>
      <w:r>
        <w:rPr>
          <w:b/>
          <w:sz w:val="24"/>
          <w:szCs w:val="24"/>
          <w:lang w:val="zh-CN"/>
        </w:rPr>
        <w:t>3、准确性原则</w:t>
      </w:r>
    </w:p>
    <w:p>
      <w:pPr>
        <w:spacing w:line="480" w:lineRule="exact"/>
        <w:ind w:firstLine="480" w:firstLineChars="200"/>
        <w:rPr>
          <w:sz w:val="24"/>
          <w:szCs w:val="22"/>
          <w:lang w:val="zh-CN"/>
        </w:rPr>
      </w:pPr>
      <w:r>
        <w:rPr>
          <w:sz w:val="24"/>
          <w:szCs w:val="22"/>
          <w:lang w:val="zh-CN"/>
        </w:rPr>
        <w:t>估价资料是基准地价更新的直接依据，其准确与否直接关系到基准地价成果的科学性。因此，在资料收集过程中，要力求准确，去伪存真，以尽可能避免失真资料对更新工作的消极影响。为了保证调查资料的准确、详实，除专业人员进行调查外，对样点进行复查，并随机抽查其他部分样点。</w:t>
      </w:r>
    </w:p>
    <w:p>
      <w:pPr>
        <w:spacing w:line="360" w:lineRule="auto"/>
        <w:ind w:firstLine="482" w:firstLineChars="200"/>
        <w:rPr>
          <w:b/>
          <w:sz w:val="24"/>
          <w:szCs w:val="24"/>
          <w:lang w:val="zh-CN"/>
        </w:rPr>
      </w:pPr>
      <w:r>
        <w:rPr>
          <w:b/>
          <w:sz w:val="24"/>
          <w:szCs w:val="24"/>
          <w:lang w:val="zh-CN"/>
        </w:rPr>
        <w:t>4、系统性原则</w:t>
      </w:r>
    </w:p>
    <w:p>
      <w:pPr>
        <w:spacing w:line="480" w:lineRule="exact"/>
        <w:ind w:firstLine="480" w:firstLineChars="200"/>
        <w:rPr>
          <w:sz w:val="24"/>
          <w:szCs w:val="22"/>
          <w:lang w:val="zh-CN"/>
        </w:rPr>
      </w:pPr>
      <w:r>
        <w:rPr>
          <w:sz w:val="24"/>
          <w:szCs w:val="22"/>
          <w:lang w:val="zh-CN"/>
        </w:rPr>
        <w:t>基准地价成果的综合性特点要求资料收集带有系统性，尽可能全面地收集到各种相关资料，并为获得全面、可靠的基准地价成果创造条件。</w:t>
      </w:r>
    </w:p>
    <w:p>
      <w:pPr>
        <w:spacing w:line="360" w:lineRule="auto"/>
        <w:ind w:firstLine="482" w:firstLineChars="200"/>
        <w:rPr>
          <w:b/>
          <w:sz w:val="24"/>
          <w:szCs w:val="24"/>
          <w:lang w:val="zh-CN"/>
        </w:rPr>
      </w:pPr>
      <w:r>
        <w:rPr>
          <w:b/>
          <w:sz w:val="24"/>
          <w:szCs w:val="24"/>
          <w:lang w:val="zh-CN"/>
        </w:rPr>
        <w:t>5、时效性原则</w:t>
      </w:r>
    </w:p>
    <w:p>
      <w:pPr>
        <w:spacing w:line="480" w:lineRule="exact"/>
        <w:ind w:firstLine="480" w:firstLineChars="200"/>
        <w:rPr>
          <w:sz w:val="24"/>
          <w:szCs w:val="22"/>
          <w:lang w:val="zh-CN"/>
        </w:rPr>
      </w:pPr>
      <w:r>
        <w:rPr>
          <w:sz w:val="24"/>
          <w:szCs w:val="22"/>
          <w:lang w:val="zh-CN"/>
        </w:rPr>
        <w:t>即要求样点资料均为近几年的交易资料，这样可使测算的地价易于进行时间修正，从而保证地价的现实性。因而，调查的重点须放在近期房租、地租、地价等市场资料上，以市场交易资料为依据。</w:t>
      </w:r>
    </w:p>
    <w:p>
      <w:pPr>
        <w:spacing w:line="360" w:lineRule="auto"/>
        <w:ind w:firstLine="482" w:firstLineChars="200"/>
        <w:rPr>
          <w:b/>
          <w:sz w:val="24"/>
          <w:szCs w:val="24"/>
          <w:lang w:val="zh-CN"/>
        </w:rPr>
      </w:pPr>
      <w:r>
        <w:rPr>
          <w:b/>
          <w:sz w:val="24"/>
          <w:szCs w:val="24"/>
          <w:lang w:val="zh-CN"/>
        </w:rPr>
        <w:t>6、重点性原则</w:t>
      </w:r>
    </w:p>
    <w:p>
      <w:pPr>
        <w:spacing w:line="480" w:lineRule="exact"/>
        <w:ind w:firstLine="480" w:firstLineChars="200"/>
        <w:rPr>
          <w:sz w:val="24"/>
          <w:szCs w:val="22"/>
          <w:lang w:val="zh-CN"/>
        </w:rPr>
      </w:pPr>
      <w:r>
        <w:rPr>
          <w:sz w:val="24"/>
          <w:szCs w:val="22"/>
          <w:lang w:val="zh-CN"/>
        </w:rPr>
        <w:t>在繁华商服中心区及地价变化幅度较大的区域，要求样点相对密集；对地价较稳定及城镇外围区域，样点可适当稀疏一些。</w:t>
      </w:r>
    </w:p>
    <w:p>
      <w:pPr>
        <w:spacing w:line="360" w:lineRule="auto"/>
        <w:ind w:firstLine="560" w:firstLineChars="200"/>
        <w:outlineLvl w:val="2"/>
        <w:rPr>
          <w:rFonts w:eastAsia="黑体"/>
          <w:sz w:val="28"/>
          <w:szCs w:val="28"/>
        </w:rPr>
      </w:pPr>
      <w:bookmarkStart w:id="188" w:name="_Toc14527"/>
      <w:bookmarkStart w:id="189" w:name="_Toc470721273"/>
      <w:bookmarkStart w:id="190" w:name="_Toc18235"/>
      <w:bookmarkStart w:id="191" w:name="_Toc467846814"/>
      <w:bookmarkStart w:id="192" w:name="_Toc469296422"/>
      <w:bookmarkStart w:id="193" w:name="_Toc427343268"/>
      <w:r>
        <w:rPr>
          <w:rFonts w:eastAsia="黑体"/>
          <w:sz w:val="28"/>
          <w:szCs w:val="28"/>
        </w:rPr>
        <w:t>二、资料收集的内容</w:t>
      </w:r>
      <w:bookmarkEnd w:id="188"/>
      <w:bookmarkEnd w:id="189"/>
      <w:bookmarkEnd w:id="190"/>
      <w:bookmarkEnd w:id="191"/>
      <w:bookmarkEnd w:id="192"/>
      <w:bookmarkEnd w:id="193"/>
    </w:p>
    <w:p>
      <w:pPr>
        <w:spacing w:line="360" w:lineRule="auto"/>
        <w:ind w:firstLine="482" w:firstLineChars="200"/>
        <w:rPr>
          <w:b/>
          <w:sz w:val="24"/>
          <w:szCs w:val="24"/>
          <w:lang w:val="zh-CN"/>
        </w:rPr>
      </w:pPr>
      <w:r>
        <w:rPr>
          <w:b/>
          <w:sz w:val="24"/>
          <w:szCs w:val="24"/>
          <w:lang w:val="zh-CN"/>
        </w:rPr>
        <w:t>1、土地级别划定资料</w:t>
      </w:r>
    </w:p>
    <w:p>
      <w:pPr>
        <w:spacing w:line="480" w:lineRule="exact"/>
        <w:ind w:firstLine="480" w:firstLineChars="200"/>
        <w:rPr>
          <w:sz w:val="24"/>
          <w:szCs w:val="22"/>
          <w:lang w:val="zh-CN"/>
        </w:rPr>
      </w:pPr>
      <w:r>
        <w:rPr>
          <w:sz w:val="24"/>
          <w:szCs w:val="22"/>
          <w:lang w:val="zh-CN"/>
        </w:rPr>
        <w:t>根据《城镇土地分等定级规程》（GB/T18507—2014）要求，在土地级别划定过程中主要需收集如下资料：</w:t>
      </w:r>
    </w:p>
    <w:p>
      <w:pPr>
        <w:spacing w:line="360" w:lineRule="auto"/>
        <w:ind w:firstLine="482" w:firstLineChars="200"/>
        <w:rPr>
          <w:b/>
          <w:sz w:val="24"/>
          <w:lang w:val="zh-CN"/>
        </w:rPr>
      </w:pPr>
      <w:r>
        <w:rPr>
          <w:b/>
          <w:sz w:val="24"/>
          <w:lang w:val="zh-CN"/>
        </w:rPr>
        <w:t xml:space="preserve">（1）繁华程度资料  </w:t>
      </w:r>
    </w:p>
    <w:p>
      <w:pPr>
        <w:spacing w:line="480" w:lineRule="exact"/>
        <w:ind w:firstLine="480" w:firstLineChars="200"/>
        <w:rPr>
          <w:sz w:val="24"/>
          <w:szCs w:val="22"/>
          <w:lang w:val="zh-CN"/>
        </w:rPr>
      </w:pPr>
      <w:r>
        <w:rPr>
          <w:sz w:val="24"/>
          <w:szCs w:val="22"/>
          <w:lang w:val="zh-CN"/>
        </w:rPr>
        <w:t>商服繁华影响度是指商服、服务业及金融业等的集聚程度及对土地质量的影响程度，是反映城市土地区位的重要指标，是土地定级因素中一项最基本和最关键的因素。商服中心中规模较大的商服服务业中心的营业额、占地面积、职工人数等指标最能直观地体现出某个区域的繁华程度。商服中心一般为城市中对企业、事业单位办公、选址和居民消费居住等日常生活产生吸引力的繁华地段，包括商场、集贸市场、金融（银行、证券交易）、中高级饭店、旅店、宾馆、酒店、影剧院等商服、服务业比较集中的城市的某些地区。其影响程度高低反映出该区域居民购物的方便程度和商服业的集聚程度，是反映土地经济区位的重要指标。</w:t>
      </w:r>
    </w:p>
    <w:p>
      <w:pPr>
        <w:spacing w:line="360" w:lineRule="auto"/>
        <w:ind w:firstLine="482" w:firstLineChars="200"/>
        <w:rPr>
          <w:b/>
          <w:sz w:val="24"/>
          <w:lang w:val="zh-CN"/>
        </w:rPr>
      </w:pPr>
      <w:r>
        <w:rPr>
          <w:b/>
          <w:sz w:val="24"/>
          <w:lang w:val="zh-CN"/>
        </w:rPr>
        <w:t>（2）交通条件方面的因素</w:t>
      </w:r>
    </w:p>
    <w:p>
      <w:pPr>
        <w:spacing w:line="480" w:lineRule="exact"/>
        <w:ind w:firstLine="480" w:firstLineChars="200"/>
        <w:rPr>
          <w:sz w:val="24"/>
          <w:szCs w:val="22"/>
          <w:lang w:val="zh-CN"/>
        </w:rPr>
      </w:pPr>
      <w:r>
        <w:rPr>
          <w:sz w:val="24"/>
          <w:szCs w:val="22"/>
          <w:lang w:val="zh-CN"/>
        </w:rPr>
        <w:t>具体包括道路通达度、公交便捷度和对外交通便利度。</w:t>
      </w:r>
    </w:p>
    <w:p>
      <w:pPr>
        <w:spacing w:line="480" w:lineRule="exact"/>
        <w:ind w:firstLine="480" w:firstLineChars="200"/>
        <w:rPr>
          <w:sz w:val="24"/>
          <w:szCs w:val="22"/>
          <w:lang w:val="zh-CN"/>
        </w:rPr>
      </w:pPr>
      <w:r>
        <w:rPr>
          <w:sz w:val="24"/>
          <w:szCs w:val="22"/>
          <w:lang w:val="zh-CN"/>
        </w:rPr>
        <w:t>1）道路通达度是指城市道路状况（包括道路等级、功能、宽度、道路网密度）和各区域道路通行能力的一种量度。其好坏反映该地区居民生产、生活出入的方便程度。按道路在城镇交通中的作用可分为：①主干道——联系城镇中主要工矿企业、交通枢纽和全市性公共活动场所的道路，是城镇中主要客货运输线；②次干道——联系城镇主干道之间的道路；③支路——各街坊之间的联系道路。根据长沙县城区道路网的分布，依据道路类型、级别标准、车流量、宽度及道路功能，长沙县城区道路分为主干道、次干道、支路等三种类型。</w:t>
      </w:r>
    </w:p>
    <w:p>
      <w:pPr>
        <w:spacing w:line="480" w:lineRule="exact"/>
        <w:ind w:firstLine="480" w:firstLineChars="200"/>
        <w:rPr>
          <w:sz w:val="24"/>
          <w:szCs w:val="22"/>
          <w:lang w:val="zh-CN"/>
        </w:rPr>
      </w:pPr>
      <w:r>
        <w:rPr>
          <w:sz w:val="24"/>
          <w:szCs w:val="22"/>
          <w:lang w:val="zh-CN"/>
        </w:rPr>
        <w:t>2）公交便捷度是指城市公交系统的方便程度。其好坏反映该区域居民生活出入的方便程度。长沙县土地定级主要通过公交线路数和公交站点的分布状况确定公交便捷度对土地的影响。</w:t>
      </w:r>
    </w:p>
    <w:p>
      <w:pPr>
        <w:spacing w:line="480" w:lineRule="exact"/>
        <w:ind w:firstLine="480" w:firstLineChars="200"/>
        <w:rPr>
          <w:sz w:val="24"/>
          <w:szCs w:val="22"/>
          <w:lang w:val="zh-CN"/>
        </w:rPr>
      </w:pPr>
      <w:r>
        <w:rPr>
          <w:sz w:val="24"/>
          <w:szCs w:val="22"/>
          <w:lang w:val="zh-CN"/>
        </w:rPr>
        <w:t>3）对外交通是区域对外联系的交通总称，主要指铁路、公路、水路和航空等形式，包括火车站、长途汽车站、码头、港口、机场等方便旅客出行的站点。其衡量指标一般是指交通站点的分布状况、疏密度、等级高低、对该区域人流、物流向城市外移动的方便程度和频率高低的影响。</w:t>
      </w:r>
    </w:p>
    <w:p>
      <w:pPr>
        <w:spacing w:line="360" w:lineRule="auto"/>
        <w:ind w:firstLine="482" w:firstLineChars="200"/>
        <w:rPr>
          <w:b/>
          <w:sz w:val="24"/>
          <w:lang w:val="zh-CN"/>
        </w:rPr>
      </w:pPr>
      <w:r>
        <w:rPr>
          <w:b/>
          <w:sz w:val="24"/>
          <w:lang w:val="zh-CN"/>
        </w:rPr>
        <w:t>（3）基本设施状况方面的资料</w:t>
      </w:r>
    </w:p>
    <w:p>
      <w:pPr>
        <w:spacing w:line="480" w:lineRule="exact"/>
        <w:ind w:firstLine="480" w:firstLineChars="200"/>
        <w:rPr>
          <w:sz w:val="24"/>
          <w:szCs w:val="22"/>
          <w:lang w:val="zh-CN"/>
        </w:rPr>
      </w:pPr>
      <w:r>
        <w:rPr>
          <w:sz w:val="24"/>
          <w:szCs w:val="22"/>
          <w:lang w:val="zh-CN"/>
        </w:rPr>
        <w:t>基本设施状况包括基础设施完善度和公用设施完备度两个指标。</w:t>
      </w:r>
    </w:p>
    <w:p>
      <w:pPr>
        <w:spacing w:line="480" w:lineRule="exact"/>
        <w:ind w:firstLine="480" w:firstLineChars="200"/>
        <w:rPr>
          <w:sz w:val="24"/>
          <w:szCs w:val="22"/>
          <w:lang w:val="zh-CN"/>
        </w:rPr>
      </w:pPr>
      <w:r>
        <w:rPr>
          <w:sz w:val="24"/>
          <w:szCs w:val="22"/>
          <w:lang w:val="zh-CN"/>
        </w:rPr>
        <w:t>其中基础设施情况主要包括电力、供水、排水、供气、供热、电讯的情况。收集内容包括：</w:t>
      </w:r>
    </w:p>
    <w:p>
      <w:pPr>
        <w:spacing w:line="480" w:lineRule="exact"/>
        <w:ind w:firstLine="480" w:firstLineChars="200"/>
        <w:rPr>
          <w:sz w:val="24"/>
          <w:szCs w:val="22"/>
          <w:lang w:val="zh-CN"/>
        </w:rPr>
      </w:pPr>
      <w:r>
        <w:rPr>
          <w:sz w:val="24"/>
          <w:szCs w:val="22"/>
          <w:lang w:val="zh-CN"/>
        </w:rPr>
        <w:t>1）基础设施的类型、数量、分布、投资等状况；</w:t>
      </w:r>
    </w:p>
    <w:p>
      <w:pPr>
        <w:spacing w:line="480" w:lineRule="exact"/>
        <w:ind w:firstLine="480" w:firstLineChars="200"/>
        <w:rPr>
          <w:sz w:val="24"/>
          <w:szCs w:val="22"/>
          <w:lang w:val="zh-CN"/>
        </w:rPr>
      </w:pPr>
      <w:r>
        <w:rPr>
          <w:sz w:val="24"/>
          <w:szCs w:val="22"/>
          <w:lang w:val="zh-CN"/>
        </w:rPr>
        <w:t>2）基础设施的技术水平、规模、级别等；</w:t>
      </w:r>
    </w:p>
    <w:p>
      <w:pPr>
        <w:spacing w:line="480" w:lineRule="exact"/>
        <w:ind w:firstLine="480" w:firstLineChars="200"/>
        <w:rPr>
          <w:sz w:val="24"/>
          <w:szCs w:val="22"/>
          <w:lang w:val="zh-CN"/>
        </w:rPr>
      </w:pPr>
      <w:r>
        <w:rPr>
          <w:sz w:val="24"/>
          <w:szCs w:val="22"/>
          <w:lang w:val="zh-CN"/>
        </w:rPr>
        <w:t>3）基础设施的保证率、持续率和可靠率及区域服务的优劣。</w:t>
      </w:r>
    </w:p>
    <w:p>
      <w:pPr>
        <w:spacing w:line="480" w:lineRule="exact"/>
        <w:ind w:firstLine="480" w:firstLineChars="200"/>
        <w:rPr>
          <w:sz w:val="24"/>
          <w:szCs w:val="22"/>
          <w:lang w:val="zh-CN"/>
        </w:rPr>
      </w:pPr>
      <w:r>
        <w:rPr>
          <w:sz w:val="24"/>
          <w:szCs w:val="22"/>
          <w:lang w:val="zh-CN"/>
        </w:rPr>
        <w:t>公用设施完备度也是衡量投入土地的社会物化劳动量的指标之一，主要指与日常生活密切相关的中小学、医院诊所、餐馆及商服中心以外的大型超市、农贸市场、体育场（馆）、公园、图书馆、影剧院等设施的完备程度。具体收集内容包括：</w:t>
      </w:r>
    </w:p>
    <w:p>
      <w:pPr>
        <w:spacing w:line="480" w:lineRule="exact"/>
        <w:ind w:firstLine="480" w:firstLineChars="200"/>
        <w:rPr>
          <w:sz w:val="24"/>
          <w:szCs w:val="22"/>
          <w:lang w:val="zh-CN"/>
        </w:rPr>
      </w:pPr>
      <w:r>
        <w:rPr>
          <w:sz w:val="24"/>
          <w:szCs w:val="22"/>
          <w:lang w:val="zh-CN"/>
        </w:rPr>
        <w:t>1）公用服务设施的类型、数量、分布等；</w:t>
      </w:r>
    </w:p>
    <w:p>
      <w:pPr>
        <w:spacing w:line="480" w:lineRule="exact"/>
        <w:ind w:firstLine="480" w:firstLineChars="200"/>
        <w:rPr>
          <w:sz w:val="24"/>
          <w:szCs w:val="22"/>
          <w:lang w:val="zh-CN"/>
        </w:rPr>
      </w:pPr>
      <w:r>
        <w:rPr>
          <w:sz w:val="24"/>
          <w:szCs w:val="22"/>
          <w:lang w:val="zh-CN"/>
        </w:rPr>
        <w:t>2）公用服务设施的技术水平、规模、级别、服务水平和服务范围等。</w:t>
      </w:r>
    </w:p>
    <w:p>
      <w:pPr>
        <w:spacing w:line="360" w:lineRule="auto"/>
        <w:ind w:firstLine="482" w:firstLineChars="200"/>
        <w:rPr>
          <w:b/>
          <w:sz w:val="24"/>
          <w:lang w:val="zh-CN"/>
        </w:rPr>
      </w:pPr>
      <w:r>
        <w:rPr>
          <w:b/>
          <w:sz w:val="24"/>
          <w:lang w:val="zh-CN"/>
        </w:rPr>
        <w:t>（4）环境条件方面的因素</w:t>
      </w:r>
    </w:p>
    <w:p>
      <w:pPr>
        <w:spacing w:line="480" w:lineRule="exact"/>
        <w:ind w:firstLine="480" w:firstLineChars="200"/>
        <w:rPr>
          <w:sz w:val="24"/>
          <w:szCs w:val="22"/>
          <w:lang w:val="zh-CN"/>
        </w:rPr>
      </w:pPr>
      <w:r>
        <w:rPr>
          <w:sz w:val="24"/>
          <w:szCs w:val="22"/>
          <w:lang w:val="zh-CN"/>
        </w:rPr>
        <w:t>主要包括景观条件优劣度、环境质量优劣度、自然条件优劣度和绿地覆盖度。其中环境污染主要指大气污染、噪声污染、水污染。而绿化状况对环境有一定积极影响；自然条件包括土地的工程地质、地形、地下水、洪水淹没等状况。具体包括：</w:t>
      </w:r>
    </w:p>
    <w:p>
      <w:pPr>
        <w:spacing w:line="480" w:lineRule="exact"/>
        <w:ind w:firstLine="480" w:firstLineChars="200"/>
        <w:rPr>
          <w:sz w:val="24"/>
          <w:szCs w:val="22"/>
          <w:lang w:val="zh-CN"/>
        </w:rPr>
      </w:pPr>
      <w:r>
        <w:rPr>
          <w:sz w:val="24"/>
          <w:szCs w:val="22"/>
          <w:lang w:val="zh-CN"/>
        </w:rPr>
        <w:t>1）公园、绿地、旅游景点的位置、面积、服务范围及规模等；</w:t>
      </w:r>
    </w:p>
    <w:p>
      <w:pPr>
        <w:spacing w:line="480" w:lineRule="exact"/>
        <w:ind w:firstLine="480" w:firstLineChars="200"/>
        <w:rPr>
          <w:sz w:val="24"/>
          <w:szCs w:val="22"/>
          <w:lang w:val="zh-CN"/>
        </w:rPr>
      </w:pPr>
      <w:r>
        <w:rPr>
          <w:sz w:val="24"/>
          <w:szCs w:val="22"/>
          <w:lang w:val="zh-CN"/>
        </w:rPr>
        <w:t>2）区域的地理环境、人文环境、生活环境的优劣；</w:t>
      </w:r>
    </w:p>
    <w:p>
      <w:pPr>
        <w:spacing w:line="480" w:lineRule="exact"/>
        <w:ind w:firstLine="480" w:firstLineChars="200"/>
        <w:rPr>
          <w:sz w:val="24"/>
          <w:szCs w:val="22"/>
          <w:lang w:val="zh-CN"/>
        </w:rPr>
      </w:pPr>
      <w:r>
        <w:rPr>
          <w:sz w:val="24"/>
          <w:szCs w:val="22"/>
          <w:lang w:val="zh-CN"/>
        </w:rPr>
        <w:t>3）地形、工程地质、岸线、水文和气候等条件；</w:t>
      </w:r>
    </w:p>
    <w:p>
      <w:pPr>
        <w:spacing w:line="480" w:lineRule="exact"/>
        <w:ind w:firstLine="480" w:firstLineChars="200"/>
        <w:rPr>
          <w:sz w:val="24"/>
          <w:szCs w:val="22"/>
          <w:lang w:val="zh-CN"/>
        </w:rPr>
      </w:pPr>
      <w:r>
        <w:rPr>
          <w:sz w:val="24"/>
          <w:szCs w:val="22"/>
          <w:lang w:val="zh-CN"/>
        </w:rPr>
        <w:t>4）各类污染状况、分布状况和环境质量指数等环境评价资料等。</w:t>
      </w:r>
    </w:p>
    <w:p>
      <w:pPr>
        <w:spacing w:line="360" w:lineRule="auto"/>
        <w:ind w:firstLine="482" w:firstLineChars="200"/>
        <w:rPr>
          <w:b/>
          <w:sz w:val="24"/>
          <w:lang w:val="zh-CN"/>
        </w:rPr>
      </w:pPr>
      <w:r>
        <w:rPr>
          <w:b/>
          <w:sz w:val="24"/>
          <w:lang w:val="zh-CN"/>
        </w:rPr>
        <w:t>（5）城市规划的影响因素</w:t>
      </w:r>
    </w:p>
    <w:p>
      <w:pPr>
        <w:spacing w:line="480" w:lineRule="exact"/>
        <w:ind w:firstLine="480" w:firstLineChars="200"/>
        <w:rPr>
          <w:sz w:val="24"/>
          <w:szCs w:val="22"/>
          <w:lang w:val="zh-CN"/>
        </w:rPr>
      </w:pPr>
      <w:r>
        <w:rPr>
          <w:sz w:val="24"/>
          <w:szCs w:val="22"/>
          <w:lang w:val="zh-CN"/>
        </w:rPr>
        <w:t>城市规划主要包括用地规划和道路规划，这两方面要素在基准地价3年更新周期内对土地级别划定具有较大影响。</w:t>
      </w:r>
    </w:p>
    <w:p>
      <w:pPr>
        <w:spacing w:line="360" w:lineRule="auto"/>
        <w:ind w:firstLine="482" w:firstLineChars="200"/>
        <w:rPr>
          <w:b/>
          <w:sz w:val="24"/>
          <w:szCs w:val="24"/>
          <w:lang w:val="zh-CN"/>
        </w:rPr>
      </w:pPr>
      <w:r>
        <w:rPr>
          <w:b/>
          <w:sz w:val="24"/>
          <w:szCs w:val="24"/>
          <w:lang w:val="zh-CN"/>
        </w:rPr>
        <w:t>2、地租、地价资料</w:t>
      </w:r>
    </w:p>
    <w:p>
      <w:pPr>
        <w:spacing w:line="480" w:lineRule="exact"/>
        <w:ind w:firstLine="480" w:firstLineChars="200"/>
        <w:rPr>
          <w:sz w:val="24"/>
          <w:szCs w:val="22"/>
          <w:lang w:val="zh-CN"/>
        </w:rPr>
      </w:pPr>
      <w:r>
        <w:rPr>
          <w:sz w:val="24"/>
          <w:szCs w:val="22"/>
          <w:lang w:val="zh-CN"/>
        </w:rPr>
        <w:t>（1）房地出租资料；</w:t>
      </w:r>
    </w:p>
    <w:p>
      <w:pPr>
        <w:spacing w:line="480" w:lineRule="exact"/>
        <w:ind w:firstLine="480" w:firstLineChars="200"/>
        <w:rPr>
          <w:sz w:val="24"/>
          <w:szCs w:val="22"/>
          <w:lang w:val="zh-CN"/>
        </w:rPr>
      </w:pPr>
      <w:r>
        <w:rPr>
          <w:sz w:val="24"/>
          <w:szCs w:val="22"/>
          <w:lang w:val="zh-CN"/>
        </w:rPr>
        <w:t>（2）土地使用权出让、转让资料；</w:t>
      </w:r>
    </w:p>
    <w:p>
      <w:pPr>
        <w:spacing w:line="480" w:lineRule="exact"/>
        <w:ind w:firstLine="480" w:firstLineChars="200"/>
        <w:rPr>
          <w:sz w:val="24"/>
          <w:szCs w:val="22"/>
          <w:lang w:val="zh-CN"/>
        </w:rPr>
      </w:pPr>
      <w:r>
        <w:rPr>
          <w:sz w:val="24"/>
          <w:szCs w:val="22"/>
          <w:lang w:val="zh-CN"/>
        </w:rPr>
        <w:t>（3）商品房及私房买卖资料；</w:t>
      </w:r>
    </w:p>
    <w:p>
      <w:pPr>
        <w:spacing w:line="480" w:lineRule="exact"/>
        <w:ind w:firstLine="480" w:firstLineChars="200"/>
        <w:rPr>
          <w:sz w:val="24"/>
          <w:szCs w:val="22"/>
          <w:lang w:val="zh-CN"/>
        </w:rPr>
      </w:pPr>
      <w:r>
        <w:rPr>
          <w:sz w:val="24"/>
          <w:szCs w:val="22"/>
          <w:lang w:val="zh-CN"/>
        </w:rPr>
        <w:t>（4）土地征用补偿、安置补助及地上物补偿标准资料；</w:t>
      </w:r>
    </w:p>
    <w:p>
      <w:pPr>
        <w:spacing w:line="480" w:lineRule="exact"/>
        <w:ind w:firstLine="480" w:firstLineChars="200"/>
        <w:rPr>
          <w:sz w:val="24"/>
          <w:szCs w:val="22"/>
          <w:lang w:val="zh-CN"/>
        </w:rPr>
      </w:pPr>
      <w:r>
        <w:rPr>
          <w:sz w:val="24"/>
          <w:szCs w:val="22"/>
          <w:lang w:val="zh-CN"/>
        </w:rPr>
        <w:t>（5）土地开发费用及有关税费征收标准；</w:t>
      </w:r>
    </w:p>
    <w:p>
      <w:pPr>
        <w:spacing w:line="480" w:lineRule="exact"/>
        <w:ind w:firstLine="480" w:firstLineChars="200"/>
        <w:rPr>
          <w:sz w:val="24"/>
          <w:szCs w:val="22"/>
          <w:lang w:val="zh-CN"/>
        </w:rPr>
      </w:pPr>
      <w:r>
        <w:rPr>
          <w:sz w:val="24"/>
          <w:szCs w:val="22"/>
          <w:lang w:val="zh-CN"/>
        </w:rPr>
        <w:t>（6）房屋拆迁补偿、房屋造价、房屋重置价、房屋经营及管理标准；</w:t>
      </w:r>
    </w:p>
    <w:p>
      <w:pPr>
        <w:spacing w:line="480" w:lineRule="exact"/>
        <w:ind w:firstLine="480" w:firstLineChars="200"/>
        <w:rPr>
          <w:sz w:val="24"/>
          <w:szCs w:val="22"/>
          <w:lang w:val="zh-CN"/>
        </w:rPr>
      </w:pPr>
      <w:r>
        <w:rPr>
          <w:sz w:val="24"/>
          <w:szCs w:val="22"/>
          <w:lang w:val="zh-CN"/>
        </w:rPr>
        <w:t>（7）房屋还原利率、土地还原利率等；</w:t>
      </w:r>
    </w:p>
    <w:p>
      <w:pPr>
        <w:spacing w:line="480" w:lineRule="exact"/>
        <w:ind w:firstLine="480" w:firstLineChars="200"/>
        <w:rPr>
          <w:sz w:val="24"/>
          <w:szCs w:val="22"/>
          <w:lang w:val="zh-CN"/>
        </w:rPr>
      </w:pPr>
      <w:r>
        <w:rPr>
          <w:sz w:val="24"/>
          <w:szCs w:val="22"/>
          <w:lang w:val="zh-CN"/>
        </w:rPr>
        <w:t>（8）银行存贷款利率；</w:t>
      </w:r>
    </w:p>
    <w:p>
      <w:pPr>
        <w:spacing w:line="480" w:lineRule="exact"/>
        <w:ind w:firstLine="480" w:firstLineChars="200"/>
        <w:rPr>
          <w:sz w:val="24"/>
          <w:szCs w:val="22"/>
          <w:lang w:val="zh-CN"/>
        </w:rPr>
      </w:pPr>
      <w:r>
        <w:rPr>
          <w:sz w:val="24"/>
          <w:szCs w:val="22"/>
          <w:lang w:val="zh-CN"/>
        </w:rPr>
        <w:t>（9）有关土地开发与经营管理的政策、法规和条例。</w:t>
      </w:r>
    </w:p>
    <w:p>
      <w:pPr>
        <w:spacing w:line="360" w:lineRule="auto"/>
        <w:ind w:firstLine="482" w:firstLineChars="200"/>
        <w:rPr>
          <w:b/>
          <w:sz w:val="24"/>
          <w:szCs w:val="24"/>
          <w:lang w:val="zh-CN"/>
        </w:rPr>
      </w:pPr>
      <w:r>
        <w:rPr>
          <w:b/>
          <w:sz w:val="24"/>
          <w:szCs w:val="24"/>
          <w:lang w:val="zh-CN"/>
        </w:rPr>
        <w:t>3、其他相关资料</w:t>
      </w:r>
    </w:p>
    <w:p>
      <w:pPr>
        <w:spacing w:line="480" w:lineRule="exact"/>
        <w:ind w:firstLine="480" w:firstLineChars="200"/>
        <w:rPr>
          <w:sz w:val="24"/>
          <w:szCs w:val="22"/>
          <w:lang w:val="zh-CN"/>
        </w:rPr>
      </w:pPr>
      <w:r>
        <w:rPr>
          <w:sz w:val="24"/>
          <w:szCs w:val="22"/>
          <w:lang w:val="zh-CN"/>
        </w:rPr>
        <w:t>（1）长沙县统计年鉴（201</w:t>
      </w:r>
      <w:r>
        <w:rPr>
          <w:sz w:val="24"/>
          <w:szCs w:val="22"/>
        </w:rPr>
        <w:t>4</w:t>
      </w:r>
      <w:r>
        <w:rPr>
          <w:sz w:val="24"/>
          <w:szCs w:val="22"/>
          <w:lang w:val="zh-CN"/>
        </w:rPr>
        <w:t>-201</w:t>
      </w:r>
      <w:r>
        <w:rPr>
          <w:rFonts w:hint="eastAsia"/>
          <w:sz w:val="24"/>
          <w:szCs w:val="22"/>
        </w:rPr>
        <w:t>7</w:t>
      </w:r>
      <w:r>
        <w:rPr>
          <w:sz w:val="24"/>
          <w:szCs w:val="22"/>
          <w:lang w:val="zh-CN"/>
        </w:rPr>
        <w:t>年）；</w:t>
      </w:r>
    </w:p>
    <w:p>
      <w:pPr>
        <w:spacing w:line="480" w:lineRule="exact"/>
        <w:ind w:firstLine="480" w:firstLineChars="200"/>
        <w:rPr>
          <w:sz w:val="24"/>
          <w:szCs w:val="22"/>
          <w:lang w:val="zh-CN"/>
        </w:rPr>
      </w:pPr>
      <w:r>
        <w:rPr>
          <w:sz w:val="24"/>
          <w:szCs w:val="22"/>
          <w:lang w:val="zh-CN"/>
        </w:rPr>
        <w:t>（2）长沙县国民经济和社会发展第十三个五年规划纲要；</w:t>
      </w:r>
    </w:p>
    <w:p>
      <w:pPr>
        <w:spacing w:line="480" w:lineRule="exact"/>
        <w:ind w:firstLine="480" w:firstLineChars="200"/>
        <w:rPr>
          <w:sz w:val="24"/>
          <w:szCs w:val="22"/>
          <w:lang w:val="zh-CN"/>
        </w:rPr>
      </w:pPr>
      <w:r>
        <w:rPr>
          <w:sz w:val="24"/>
          <w:szCs w:val="22"/>
          <w:lang w:val="zh-CN"/>
        </w:rPr>
        <w:t>（3）长沙县土地利用总体规划（2006-2020年2016修订版）文本、图件；</w:t>
      </w:r>
    </w:p>
    <w:p>
      <w:pPr>
        <w:spacing w:line="480" w:lineRule="exact"/>
        <w:ind w:firstLine="480" w:firstLineChars="200"/>
        <w:rPr>
          <w:sz w:val="24"/>
          <w:szCs w:val="22"/>
          <w:lang w:val="zh-CN"/>
        </w:rPr>
      </w:pPr>
      <w:r>
        <w:rPr>
          <w:sz w:val="24"/>
          <w:szCs w:val="22"/>
          <w:lang w:val="zh-CN"/>
        </w:rPr>
        <w:t>（4）长沙县城市总体规划（200</w:t>
      </w:r>
      <w:r>
        <w:rPr>
          <w:rFonts w:hint="eastAsia"/>
          <w:sz w:val="24"/>
          <w:szCs w:val="22"/>
        </w:rPr>
        <w:t>3</w:t>
      </w:r>
      <w:r>
        <w:rPr>
          <w:sz w:val="24"/>
          <w:szCs w:val="22"/>
          <w:lang w:val="zh-CN"/>
        </w:rPr>
        <w:t>—20</w:t>
      </w:r>
      <w:r>
        <w:rPr>
          <w:rFonts w:hint="eastAsia"/>
          <w:sz w:val="24"/>
          <w:szCs w:val="22"/>
        </w:rPr>
        <w:t>2</w:t>
      </w:r>
      <w:r>
        <w:rPr>
          <w:sz w:val="24"/>
          <w:szCs w:val="22"/>
          <w:lang w:val="zh-CN"/>
        </w:rPr>
        <w:t>0年）文本、图件；</w:t>
      </w:r>
    </w:p>
    <w:p>
      <w:pPr>
        <w:spacing w:line="480" w:lineRule="exact"/>
        <w:ind w:firstLine="480" w:firstLineChars="200"/>
        <w:rPr>
          <w:sz w:val="24"/>
          <w:szCs w:val="22"/>
          <w:lang w:val="zh-CN"/>
        </w:rPr>
      </w:pPr>
      <w:r>
        <w:rPr>
          <w:sz w:val="24"/>
          <w:szCs w:val="22"/>
          <w:lang w:val="zh-CN"/>
        </w:rPr>
        <w:t>（5）长沙县原基准地价更新报告、图件；</w:t>
      </w:r>
    </w:p>
    <w:p>
      <w:pPr>
        <w:spacing w:line="480" w:lineRule="exact"/>
        <w:ind w:firstLine="480" w:firstLineChars="200"/>
        <w:rPr>
          <w:sz w:val="24"/>
          <w:szCs w:val="22"/>
          <w:lang w:val="zh-CN"/>
        </w:rPr>
      </w:pPr>
      <w:r>
        <w:rPr>
          <w:sz w:val="24"/>
          <w:szCs w:val="22"/>
          <w:lang w:val="zh-CN"/>
        </w:rPr>
        <w:t>（6）长沙县城市重点发展方向发展重点的有关资料。</w:t>
      </w:r>
    </w:p>
    <w:p>
      <w:pPr>
        <w:spacing w:line="360" w:lineRule="auto"/>
        <w:ind w:firstLine="560" w:firstLineChars="200"/>
        <w:outlineLvl w:val="2"/>
        <w:rPr>
          <w:rFonts w:eastAsia="黑体"/>
          <w:sz w:val="28"/>
          <w:szCs w:val="28"/>
        </w:rPr>
      </w:pPr>
      <w:bookmarkStart w:id="194" w:name="_Toc427343269"/>
      <w:bookmarkStart w:id="195" w:name="_Toc467846815"/>
      <w:bookmarkStart w:id="196" w:name="_Toc9825"/>
      <w:bookmarkStart w:id="197" w:name="_Toc8403"/>
      <w:bookmarkStart w:id="198" w:name="_Toc470721274"/>
      <w:bookmarkStart w:id="199" w:name="_Toc469296423"/>
      <w:r>
        <w:rPr>
          <w:rFonts w:eastAsia="黑体"/>
          <w:sz w:val="28"/>
          <w:szCs w:val="28"/>
        </w:rPr>
        <w:t>三、资料收集的要求、程序和工作组织</w:t>
      </w:r>
      <w:bookmarkEnd w:id="194"/>
      <w:bookmarkEnd w:id="195"/>
      <w:bookmarkEnd w:id="196"/>
      <w:bookmarkEnd w:id="197"/>
      <w:bookmarkEnd w:id="198"/>
      <w:bookmarkEnd w:id="199"/>
    </w:p>
    <w:p>
      <w:pPr>
        <w:spacing w:line="360" w:lineRule="auto"/>
        <w:ind w:firstLine="482" w:firstLineChars="200"/>
        <w:jc w:val="left"/>
        <w:textAlignment w:val="baseline"/>
        <w:rPr>
          <w:b/>
          <w:sz w:val="24"/>
          <w:szCs w:val="24"/>
          <w:lang w:val="zh-CN"/>
        </w:rPr>
      </w:pPr>
      <w:bookmarkStart w:id="200" w:name="_Toc271529412"/>
      <w:r>
        <w:rPr>
          <w:b/>
          <w:sz w:val="24"/>
          <w:szCs w:val="24"/>
          <w:lang w:val="zh-CN"/>
        </w:rPr>
        <w:t>1、资料收集的一般要求</w:t>
      </w:r>
      <w:bookmarkEnd w:id="200"/>
    </w:p>
    <w:p>
      <w:pPr>
        <w:spacing w:line="480" w:lineRule="exact"/>
        <w:ind w:firstLine="480" w:firstLineChars="200"/>
        <w:rPr>
          <w:sz w:val="24"/>
          <w:szCs w:val="22"/>
          <w:lang w:val="zh-CN"/>
        </w:rPr>
      </w:pPr>
      <w:r>
        <w:rPr>
          <w:sz w:val="24"/>
          <w:szCs w:val="22"/>
          <w:lang w:val="zh-CN"/>
        </w:rPr>
        <w:t>（1）调查资料填入相应的调查表格中，力求规范；</w:t>
      </w:r>
    </w:p>
    <w:p>
      <w:pPr>
        <w:spacing w:line="480" w:lineRule="exact"/>
        <w:ind w:firstLine="480" w:firstLineChars="200"/>
        <w:rPr>
          <w:sz w:val="24"/>
          <w:szCs w:val="22"/>
          <w:lang w:val="zh-CN"/>
        </w:rPr>
      </w:pPr>
      <w:r>
        <w:rPr>
          <w:sz w:val="24"/>
          <w:szCs w:val="22"/>
          <w:lang w:val="zh-CN"/>
        </w:rPr>
        <w:t>（2）将调查、收集到的有关地价资料按实地位置标注在工作底图上；</w:t>
      </w:r>
    </w:p>
    <w:p>
      <w:pPr>
        <w:spacing w:line="480" w:lineRule="exact"/>
        <w:ind w:firstLine="480" w:firstLineChars="200"/>
        <w:rPr>
          <w:sz w:val="24"/>
          <w:szCs w:val="22"/>
          <w:lang w:val="zh-CN"/>
        </w:rPr>
      </w:pPr>
      <w:r>
        <w:rPr>
          <w:sz w:val="24"/>
          <w:szCs w:val="22"/>
          <w:lang w:val="zh-CN"/>
        </w:rPr>
        <w:t>（3）调查样点的数量首先必须满足数理统计要求，样本抽样采用分类不等比抽样调查，样本分布均匀，具有代表性；</w:t>
      </w:r>
    </w:p>
    <w:p>
      <w:pPr>
        <w:spacing w:line="480" w:lineRule="exact"/>
        <w:ind w:firstLine="480" w:firstLineChars="200"/>
        <w:rPr>
          <w:sz w:val="24"/>
          <w:szCs w:val="22"/>
          <w:lang w:val="zh-CN"/>
        </w:rPr>
      </w:pPr>
      <w:r>
        <w:rPr>
          <w:sz w:val="24"/>
          <w:szCs w:val="22"/>
          <w:lang w:val="zh-CN"/>
        </w:rPr>
        <w:t>（4）调查以均值地域为单位进行；每个级别样本总数不少于30个；</w:t>
      </w:r>
    </w:p>
    <w:p>
      <w:pPr>
        <w:spacing w:line="480" w:lineRule="exact"/>
        <w:ind w:firstLine="480" w:firstLineChars="200"/>
        <w:rPr>
          <w:sz w:val="24"/>
          <w:szCs w:val="22"/>
          <w:lang w:val="zh-CN"/>
        </w:rPr>
      </w:pPr>
      <w:r>
        <w:rPr>
          <w:sz w:val="24"/>
          <w:szCs w:val="22"/>
          <w:lang w:val="zh-CN"/>
        </w:rPr>
        <w:t>（5）在调查中，针对商服用地，要求在街道两侧、街头、街中、街尾尽可能均匀分布调查样点，对街角地要重点调查；样本间距在主干道不大于10m。一般街道不大于15m。针对住宅用地采取摸点，询问，走访各个房地产公司的销售楼盘和社区居委会了解住宅房屋出租情况，获取住宅用地评估的必要数据；对于样点分布较少的区域，可适当在其他区域加大调查密度，使样点在数量上达到要求；</w:t>
      </w:r>
    </w:p>
    <w:p>
      <w:pPr>
        <w:spacing w:line="480" w:lineRule="exact"/>
        <w:ind w:firstLine="480" w:firstLineChars="200"/>
        <w:rPr>
          <w:sz w:val="24"/>
          <w:szCs w:val="22"/>
          <w:lang w:val="zh-CN"/>
        </w:rPr>
      </w:pPr>
      <w:r>
        <w:rPr>
          <w:sz w:val="24"/>
          <w:szCs w:val="22"/>
          <w:lang w:val="zh-CN"/>
        </w:rPr>
        <w:t>（6）出让、转让、出租等地价资料以人民币元为单位，精确到小数点后一位。</w:t>
      </w:r>
    </w:p>
    <w:bookmarkEnd w:id="185"/>
    <w:bookmarkEnd w:id="186"/>
    <w:bookmarkEnd w:id="187"/>
    <w:p>
      <w:pPr>
        <w:widowControl/>
        <w:ind w:firstLine="482" w:firstLineChars="200"/>
        <w:jc w:val="left"/>
        <w:rPr>
          <w:b/>
          <w:sz w:val="24"/>
          <w:szCs w:val="24"/>
          <w:lang w:val="zh-CN"/>
        </w:rPr>
      </w:pPr>
      <w:r>
        <w:rPr>
          <w:b/>
          <w:sz w:val="24"/>
          <w:szCs w:val="24"/>
          <w:lang w:val="zh-CN"/>
        </w:rPr>
        <w:br w:type="page"/>
      </w:r>
    </w:p>
    <w:p>
      <w:pPr>
        <w:spacing w:line="360" w:lineRule="auto"/>
        <w:ind w:firstLine="482" w:firstLineChars="200"/>
        <w:jc w:val="left"/>
        <w:textAlignment w:val="baseline"/>
        <w:rPr>
          <w:b/>
          <w:sz w:val="24"/>
          <w:szCs w:val="24"/>
          <w:lang w:val="zh-CN"/>
        </w:rPr>
      </w:pPr>
      <w:r>
        <w:rPr>
          <w:b/>
          <w:sz w:val="24"/>
          <w:szCs w:val="24"/>
          <w:lang w:val="zh-CN"/>
        </w:rPr>
        <w:t>2、资料收集的程序</w:t>
      </w:r>
    </w:p>
    <w:p>
      <w:pPr>
        <w:spacing w:line="360" w:lineRule="auto"/>
        <w:ind w:firstLine="480" w:firstLineChars="200"/>
        <w:rPr>
          <w:sz w:val="24"/>
        </w:rPr>
      </w:pPr>
      <w:r>
        <w:rPr>
          <w:sz w:val="24"/>
        </w:rPr>
        <w:t>资料收集的基本程序主要包括八个方面，如图1-4-1所示：</w:t>
      </w:r>
    </w:p>
    <w:p>
      <w:pPr>
        <w:widowControl/>
        <w:spacing w:line="360" w:lineRule="auto"/>
        <w:jc w:val="center"/>
        <w:rPr>
          <w:rFonts w:eastAsia="黑体"/>
          <w:b/>
          <w:bCs/>
          <w:sz w:val="24"/>
          <w:szCs w:val="24"/>
          <w:lang w:val="zh-CN"/>
        </w:rPr>
      </w:pPr>
      <w:r>
        <w:rPr>
          <w:rFonts w:ascii="Times New Roman" w:hAnsi="Times New Roman" w:eastAsia="宋体" w:cs="Times New Roman"/>
          <w:kern w:val="2"/>
          <w:sz w:val="28"/>
          <w:lang w:val="en-US" w:eastAsia="zh-CN" w:bidi="ar-SA"/>
        </w:rPr>
        <w:pict>
          <v:group id="组合 1387" o:spid="_x0000_s1067" style="position:absolute;left:0;margin-left:1.7pt;margin-top:3.25pt;height:352.1pt;width:385.3pt;mso-wrap-distance-bottom:0pt;mso-wrap-distance-top:0pt;rotation:0f;z-index:251667456;" coordorigin="2734,5476" coordsize="7706,7042">
            <o:lock v:ext="edit" position="f" selection="f" grouping="f" rotation="f" cropping="f" text="f" aspectratio="f"/>
            <v:group id="组合 1388" o:spid="_x0000_s1068" style="position:absolute;left:2734;top:5476;height:3346;width:7706;rotation:0f;" coordorigin="2734,6856" coordsize="7706,3346">
              <o:lock v:ext="edit" position="f" selection="f" grouping="f" rotation="f" cropping="f" text="f" aspectratio="f"/>
              <v:group id="组合 1389" o:spid="_x0000_s1069" style="position:absolute;left:2734;top:8762;height:1440;width:7706;rotation:0f;" coordorigin="2734,8762" coordsize="7706,1440">
                <o:lock v:ext="edit" position="f" selection="f" grouping="f" rotation="f" cropping="f" text="f" aspectratio="f"/>
                <v:line id="直线 1390" o:spid="_x0000_s1070" style="position:absolute;left:6528;top:9950;flip:y;height:252;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1391" o:spid="_x0000_s1071" style="position:absolute;left:3903;top:9950;height:0;width:5665;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392" o:spid="_x0000_s1072" style="position:absolute;left:3905;top:9685;flip:y;height:251;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1393" o:spid="_x0000_s1073" style="position:absolute;left:6528;top:9682;flip:y;height:252;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1394" o:spid="_x0000_s1074" style="position:absolute;left:9559;top:9701;flip:y;height:252;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rect id="文本框 1395" o:spid="_x0000_s1075" style="position:absolute;left:2734;top:9346;flip:y;height:315;width:2337;rotation:0f;" o:ole="f" fillcolor="#FFFFFF" filled="t" o:preferrelative="t" stroked="t" coordsize="21600,21600">
                  <v:stroke color="#000000" color2="#FFFFFF" miterlimit="2"/>
                  <v:imagedata gain="65536f" blacklevel="0f" gamma="0"/>
                  <o:lock v:ext="edit" position="f" selection="f" grouping="f" rotation="f" cropping="f" text="f" aspectratio="f"/>
                  <v:textbox inset="0.00pt,0.00pt,0.00pt,0.00pt">
                    <w:txbxContent>
                      <w:p>
                        <w:pPr>
                          <w:jc w:val="center"/>
                        </w:pPr>
                        <w:r>
                          <w:rPr>
                            <w:rFonts w:hint="eastAsia"/>
                          </w:rPr>
                          <w:t>实地布点调查</w:t>
                        </w:r>
                      </w:p>
                    </w:txbxContent>
                  </v:textbox>
                </v:rect>
                <v:rect id="文本框 1396" o:spid="_x0000_s1076" style="position:absolute;left:5457;top:9353;flip:y;height:315;width:2337;rotation:0f;" o:ole="f" fillcolor="#FFFFFF" filled="t" o:preferrelative="t" stroked="t" coordsize="21600,21600">
                  <v:stroke color="#000000" color2="#FFFFFF" miterlimit="2"/>
                  <v:imagedata gain="65536f" blacklevel="0f" gamma="0"/>
                  <o:lock v:ext="edit" position="f" selection="f" grouping="f" rotation="f" cropping="f" text="f" aspectratio="f"/>
                  <v:textbox inset="0.00pt,0.00pt,0.00pt,0.00pt">
                    <w:txbxContent>
                      <w:p>
                        <w:pPr>
                          <w:jc w:val="center"/>
                        </w:pPr>
                        <w:r>
                          <w:rPr>
                            <w:rFonts w:hint="eastAsia"/>
                          </w:rPr>
                          <w:t>相关部门提供报表数据</w:t>
                        </w:r>
                      </w:p>
                    </w:txbxContent>
                  </v:textbox>
                </v:rect>
                <v:rect id="文本框 1397" o:spid="_x0000_s1077" style="position:absolute;left:8103;top:9355;flip:y;height:315;width:2337;rotation:0f;" o:ole="f" fillcolor="#FFFFFF" filled="t" o:preferrelative="t" stroked="t" coordsize="21600,21600">
                  <v:stroke color="#000000" color2="#FFFFFF" miterlimit="2"/>
                  <v:imagedata gain="65536f" blacklevel="0f" gamma="0"/>
                  <o:lock v:ext="edit" position="f" selection="f" grouping="f" rotation="f" cropping="f" text="f" aspectratio="f"/>
                  <v:textbox inset="0.00pt,0.00pt,0.00pt,0.00pt">
                    <w:txbxContent>
                      <w:p>
                        <w:pPr>
                          <w:jc w:val="center"/>
                        </w:pPr>
                        <w:r>
                          <w:rPr>
                            <w:rFonts w:hint="eastAsia"/>
                          </w:rPr>
                          <w:t>征询有关专家</w:t>
                        </w:r>
                      </w:p>
                    </w:txbxContent>
                  </v:textbox>
                </v:rect>
                <v:line id="直线 1398" o:spid="_x0000_s1078" style="position:absolute;left:6494;top:9092;flip:y;height:251;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rect id="文本框 1399" o:spid="_x0000_s1079" style="position:absolute;left:5424;top:8762;flip:y;height:315;width:2337;rotation:0f;" o:ole="f" fillcolor="#FFFFFF" filled="t" o:preferrelative="t" stroked="t" coordsize="21600,21600">
                  <v:stroke color="#000000" color2="#FFFFFF" miterlimit="2"/>
                  <v:imagedata gain="65536f" blacklevel="0f" gamma="0"/>
                  <o:lock v:ext="edit" position="f" selection="f" grouping="f" rotation="f" cropping="f" text="f" aspectratio="f"/>
                  <v:textbox inset="0.00pt,0.00pt,0.00pt,0.00pt">
                    <w:txbxContent>
                      <w:p>
                        <w:pPr>
                          <w:jc w:val="center"/>
                        </w:pPr>
                        <w:r>
                          <w:rPr>
                            <w:rFonts w:hint="eastAsia"/>
                          </w:rPr>
                          <w:t>整理核实</w:t>
                        </w:r>
                      </w:p>
                    </w:txbxContent>
                  </v:textbox>
                </v:rect>
              </v:group>
              <v:group id="组合 1400" o:spid="_x0000_s1080" style="position:absolute;left:3361;top:6856;height:1906;width:6481;rotation:0f;" coordorigin="3361,6856" coordsize="6481,1906">
                <o:lock v:ext="edit" position="f" selection="f" grouping="f" rotation="f" cropping="f" text="f" aspectratio="f"/>
                <v:group id="组合 1401" o:spid="_x0000_s1081" style="position:absolute;left:3783;top:6856;height:857;width:5684;rotation:0f;" coordorigin="3783,6856" coordsize="5684,857">
                  <o:lock v:ext="edit" position="f" selection="f" grouping="f" rotation="f" cropping="f" text="f" aspectratio="f"/>
                  <v:line id="直线 1402" o:spid="_x0000_s1082" style="position:absolute;left:3803;top:7447;height:0;width:5664;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403" o:spid="_x0000_s1083" style="position:absolute;left:3783;top:7444;flip:y;height:252;width: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404" o:spid="_x0000_s1084" style="position:absolute;left:7519;top:7451;flip:y;height:252;width: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405" o:spid="_x0000_s1085" style="position:absolute;left:9437;top:7461;flip:y;height:252;width: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406" o:spid="_x0000_s1086" style="position:absolute;left:5734;top:7451;flip:y;height:252;width: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407" o:spid="_x0000_s1087" style="position:absolute;left:6572;top:7185;flip:y;height:252;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rect id="文本框 1408" o:spid="_x0000_s1088" style="position:absolute;left:5501;top:6856;flip:y;height:315;width:2337;rotation:0f;" o:ole="f" fillcolor="#FFFFFF" filled="t" o:preferrelative="t" stroked="t" coordsize="21600,21600">
                    <v:stroke color="#000000" color2="#FFFFFF" miterlimit="2"/>
                    <v:imagedata gain="65536f" blacklevel="0f" gamma="0"/>
                    <o:lock v:ext="edit" position="f" selection="f" grouping="f" rotation="f" cropping="f" text="f" aspectratio="f"/>
                    <v:textbox inset="0.00pt,0.00pt,0.00pt,0.00pt">
                      <w:txbxContent>
                        <w:p>
                          <w:pPr>
                            <w:jc w:val="center"/>
                          </w:pPr>
                          <w:r>
                            <w:rPr>
                              <w:rFonts w:hint="eastAsia"/>
                            </w:rPr>
                            <w:t>估价应用</w:t>
                          </w:r>
                        </w:p>
                      </w:txbxContent>
                    </v:textbox>
                  </v:rect>
                </v:group>
                <v:group id="组合 1409" o:spid="_x0000_s1089" style="position:absolute;left:3361;top:7745;height:1017;width:6481;rotation:0f;" coordorigin="3361,7745" coordsize="6481,1017">
                  <o:lock v:ext="edit" position="f" selection="f" grouping="f" rotation="f" cropping="f" text="f" aspectratio="f"/>
                  <v:line id="直线 1410" o:spid="_x0000_s1090" style="position:absolute;left:3815;top:8604;height:0;width:5665;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411" o:spid="_x0000_s1091" style="position:absolute;left:3817;top:8338;flip:y;height:252;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1412" o:spid="_x0000_s1092" style="position:absolute;left:7552;top:8346;flip:y;height:251;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rect id="文本框 1413" o:spid="_x0000_s1093" style="position:absolute;left:3361;top:7745;flip:y;height:591;width:827;rotation:0f;" o:ole="f" fillcolor="#FFFFFF" filled="t" o:preferrelative="t" stroked="t" coordsize="21600,21600">
                    <v:stroke color="#000000" color2="#FFFFFF" miterlimit="2"/>
                    <v:imagedata gain="65536f" blacklevel="0f" gamma="0"/>
                    <o:lock v:ext="edit" position="f" selection="f" grouping="f" rotation="f" cropping="f" text="f" aspectratio="f"/>
                    <v:textbox inset="0.00pt,0.00pt,0.00pt,0.00pt">
                      <w:txbxContent>
                        <w:p>
                          <w:pPr>
                            <w:jc w:val="center"/>
                          </w:pPr>
                          <w:r>
                            <w:rPr>
                              <w:rFonts w:hint="eastAsia"/>
                            </w:rPr>
                            <w:t>基础</w:t>
                          </w:r>
                        </w:p>
                        <w:p>
                          <w:pPr>
                            <w:jc w:val="center"/>
                          </w:pPr>
                          <w:r>
                            <w:rPr>
                              <w:rFonts w:hint="eastAsia"/>
                            </w:rPr>
                            <w:t>图件</w:t>
                          </w:r>
                        </w:p>
                      </w:txbxContent>
                    </v:textbox>
                  </v:rect>
                  <v:line id="直线 1414" o:spid="_x0000_s1094" style="position:absolute;left:5767;top:8346;flip:y;height:251;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rect id="文本框 1415" o:spid="_x0000_s1095" style="position:absolute;left:5279;top:7755;flip:y;height:591;width:828;rotation:0f;" o:ole="f" fillcolor="#FFFFFF" filled="t" o:preferrelative="t" stroked="t" coordsize="21600,21600">
                    <v:stroke color="#000000" color2="#FFFFFF" miterlimit="2"/>
                    <v:imagedata gain="65536f" blacklevel="0f" gamma="0"/>
                    <o:lock v:ext="edit" position="f" selection="f" grouping="f" rotation="f" cropping="f" text="f" aspectratio="f"/>
                    <v:textbox inset="0.00pt,0.00pt,0.00pt,0.00pt">
                      <w:txbxContent>
                        <w:p>
                          <w:pPr>
                            <w:jc w:val="center"/>
                          </w:pPr>
                          <w:r>
                            <w:rPr>
                              <w:rFonts w:hint="eastAsia"/>
                            </w:rPr>
                            <w:t>统计</w:t>
                          </w:r>
                        </w:p>
                        <w:p>
                          <w:pPr>
                            <w:jc w:val="center"/>
                          </w:pPr>
                          <w:r>
                            <w:rPr>
                              <w:rFonts w:hint="eastAsia"/>
                            </w:rPr>
                            <w:t>报表</w:t>
                          </w:r>
                        </w:p>
                      </w:txbxContent>
                    </v:textbox>
                  </v:rect>
                  <v:rect id="文本框 1416" o:spid="_x0000_s1096" style="position:absolute;left:7119;top:7745;flip:y;height:591;width:827;rotation:0f;" o:ole="f" fillcolor="#FFFFFF" filled="t" o:preferrelative="t" stroked="t" coordsize="21600,21600">
                    <v:stroke color="#000000" color2="#FFFFFF" miterlimit="2"/>
                    <v:imagedata gain="65536f" blacklevel="0f" gamma="0"/>
                    <o:lock v:ext="edit" position="f" selection="f" grouping="f" rotation="f" cropping="f" text="f" aspectratio="f"/>
                    <v:textbox inset="0.00pt,0.00pt,0.00pt,0.00pt">
                      <w:txbxContent>
                        <w:p>
                          <w:pPr>
                            <w:jc w:val="center"/>
                          </w:pPr>
                          <w:r>
                            <w:rPr>
                              <w:rFonts w:hint="eastAsia"/>
                            </w:rPr>
                            <w:t>房地产</w:t>
                          </w:r>
                        </w:p>
                        <w:p>
                          <w:pPr>
                            <w:jc w:val="center"/>
                          </w:pPr>
                          <w:r>
                            <w:rPr>
                              <w:rFonts w:hint="eastAsia"/>
                            </w:rPr>
                            <w:t>交易资料</w:t>
                          </w:r>
                        </w:p>
                      </w:txbxContent>
                    </v:textbox>
                  </v:rect>
                  <v:rect id="文本框 1417" o:spid="_x0000_s1097" style="position:absolute;left:9015;top:7767;flip:y;height:590;width:827;rotation:0f;" o:ole="f" fillcolor="#FFFFFF" filled="t" o:preferrelative="t" stroked="t" coordsize="21600,21600">
                    <v:stroke color="#000000" color2="#FFFFFF" miterlimit="2"/>
                    <v:imagedata gain="65536f" blacklevel="0f" gamma="0"/>
                    <o:lock v:ext="edit" position="f" selection="f" grouping="f" rotation="f" cropping="f" text="f" aspectratio="f"/>
                    <v:textbox inset="0.00pt,0.00pt,0.00pt,0.00pt">
                      <w:txbxContent>
                        <w:p>
                          <w:pPr>
                            <w:jc w:val="center"/>
                          </w:pPr>
                          <w:r>
                            <w:rPr>
                              <w:rFonts w:hint="eastAsia"/>
                            </w:rPr>
                            <w:t>背景数</w:t>
                          </w:r>
                        </w:p>
                        <w:p>
                          <w:pPr>
                            <w:jc w:val="center"/>
                          </w:pPr>
                          <w:r>
                            <w:rPr>
                              <w:rFonts w:hint="eastAsia"/>
                            </w:rPr>
                            <w:t>据资料</w:t>
                          </w:r>
                        </w:p>
                      </w:txbxContent>
                    </v:textbox>
                  </v:rect>
                  <v:line id="直线 1418" o:spid="_x0000_s1098" style="position:absolute;left:6494;top:8510;flip:y;height:252;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group>
              </v:group>
            </v:group>
            <v:group id="组合 1419" o:spid="_x0000_s1099" style="position:absolute;left:5401;top:8829;height:3689;width:2469;rotation:0f;" coordorigin="5401,8829" coordsize="2469,3689">
              <o:lock v:ext="edit" position="f" selection="f" grouping="f" rotation="f" cropping="f" text="f" aspectratio="f"/>
              <v:group id="组合 1420" o:spid="_x0000_s1100" style="position:absolute;left:5422;top:10751;height:1767;width:2448;rotation:0f;" coordorigin="5422,10751" coordsize="2448,1767">
                <o:lock v:ext="edit" position="f" selection="f" grouping="f" rotation="f" cropping="f" text="f" aspectratio="f"/>
                <v:rect id="文本框 1421" o:spid="_x0000_s1101" style="position:absolute;left:5533;top:12203;flip:y;height:315;width:2337;rotation:0f;" o:ole="f" fillcolor="#FFFFFF" filled="t" o:preferrelative="t" stroked="t" coordsize="21600,21600">
                  <v:stroke color="#000000" color2="#FFFFFF" miterlimit="2"/>
                  <v:imagedata gain="65536f" blacklevel="0f" gamma="0"/>
                  <o:lock v:ext="edit" position="f" selection="f" grouping="f" rotation="f" cropping="f" text="f" aspectratio="f"/>
                  <v:textbox inset="0.00pt,0.00pt,0.00pt,0.00pt">
                    <w:txbxContent>
                      <w:p>
                        <w:pPr>
                          <w:jc w:val="center"/>
                        </w:pPr>
                        <w:r>
                          <w:rPr>
                            <w:rFonts w:hint="eastAsia"/>
                          </w:rPr>
                          <w:t>基准地价更新技术方案</w:t>
                        </w:r>
                      </w:p>
                    </w:txbxContent>
                  </v:textbox>
                </v:rect>
                <v:line id="直线 1422" o:spid="_x0000_s1102" style="position:absolute;left:6593;top:11915;flip:y;height:252;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rect id="文本框 1423" o:spid="_x0000_s1103" style="position:absolute;left:5522;top:11600;flip:y;height:315;width:2337;rotation:0f;" o:ole="f" fillcolor="#FFFFFF" filled="t" o:preferrelative="t" stroked="t" coordsize="21600,21600">
                  <v:stroke color="#000000" color2="#FFFFFF" miterlimit="2"/>
                  <v:imagedata gain="65536f" blacklevel="0f" gamma="0"/>
                  <o:lock v:ext="edit" position="f" selection="f" grouping="f" rotation="f" cropping="f" text="f" aspectratio="f"/>
                  <v:textbox inset="0.00pt,0.00pt,0.00pt,0.00pt">
                    <w:txbxContent>
                      <w:p>
                        <w:pPr>
                          <w:jc w:val="center"/>
                        </w:pPr>
                        <w:r>
                          <w:rPr>
                            <w:rFonts w:hint="eastAsia"/>
                          </w:rPr>
                          <w:t>制定工作方案</w:t>
                        </w:r>
                      </w:p>
                    </w:txbxContent>
                  </v:textbox>
                </v:rect>
                <v:line id="直线 1424" o:spid="_x0000_s1104" style="position:absolute;left:6593;top:11348;flip:y;height:252;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rect id="文本框 1425" o:spid="_x0000_s1105" style="position:absolute;left:5422;top:11009;flip:y;height:316;width:2337;rotation:0f;" o:ole="f" fillcolor="#FFFFFF" filled="t" o:preferrelative="t" stroked="t" coordsize="21600,21600">
                  <v:stroke color="#000000" color2="#FFFFFF" miterlimit="2"/>
                  <v:imagedata gain="65536f" blacklevel="0f" gamma="0"/>
                  <o:lock v:ext="edit" position="f" selection="f" grouping="f" rotation="f" cropping="f" text="f" aspectratio="f"/>
                  <v:textbox inset="0.00pt,0.00pt,0.00pt,0.00pt">
                    <w:txbxContent>
                      <w:p>
                        <w:pPr>
                          <w:jc w:val="center"/>
                        </w:pPr>
                        <w:r>
                          <w:rPr>
                            <w:rFonts w:hint="eastAsia"/>
                          </w:rPr>
                          <w:t>确定收集内容</w:t>
                        </w:r>
                      </w:p>
                    </w:txbxContent>
                  </v:textbox>
                </v:rect>
                <v:line id="直线 1426" o:spid="_x0000_s1106" style="position:absolute;left:6549;top:10751;flip:y;height:251;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group>
              <v:group id="组合 1427" o:spid="_x0000_s1107" style="position:absolute;left:5401;top:8829;height:1936;width:2370;rotation:0f;" coordorigin="5401,8829" coordsize="2370,1936">
                <o:lock v:ext="edit" position="f" selection="f" grouping="f" rotation="f" cropping="f" text="f" aspectratio="f"/>
                <v:rect id="文本框 1428" o:spid="_x0000_s1108" style="position:absolute;left:5412;top:10449;flip:y;height:316;width:2336;rotation:0f;" o:ole="f" fillcolor="#FFFFFF" filled="t" o:preferrelative="t" stroked="t" coordsize="21600,21600">
                  <v:stroke color="#000000" color2="#FFFFFF" miterlimit="2"/>
                  <v:imagedata gain="65536f" blacklevel="0f" gamma="0"/>
                  <o:lock v:ext="edit" position="f" selection="f" grouping="f" rotation="f" cropping="f" text="f" aspectratio="f"/>
                  <v:textbox inset="0.00pt,0.00pt,0.00pt,0.00pt">
                    <w:txbxContent>
                      <w:p>
                        <w:pPr>
                          <w:jc w:val="center"/>
                        </w:pPr>
                        <w:r>
                          <w:rPr>
                            <w:rFonts w:hint="eastAsia"/>
                          </w:rPr>
                          <w:t>表格设计</w:t>
                        </w:r>
                      </w:p>
                    </w:txbxContent>
                  </v:textbox>
                </v:rect>
                <v:line id="直线 1429" o:spid="_x0000_s1109" style="position:absolute;left:6538;top:10191;flip:y;height:251;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rect id="文本框 1430" o:spid="_x0000_s1110" style="position:absolute;left:5434;top:9889;flip:y;height:316;width:2337;rotation:0f;" o:ole="f" fillcolor="#FFFFFF" filled="t" o:preferrelative="t" stroked="t" coordsize="21600,21600">
                  <v:stroke color="#000000" color2="#FFFFFF" miterlimit="2"/>
                  <v:imagedata gain="65536f" blacklevel="0f" gamma="0"/>
                  <o:lock v:ext="edit" position="f" selection="f" grouping="f" rotation="f" cropping="f" text="f" aspectratio="f"/>
                  <v:textbox inset="0.00pt,0.00pt,0.00pt,0.00pt">
                    <w:txbxContent>
                      <w:p>
                        <w:pPr>
                          <w:jc w:val="center"/>
                        </w:pPr>
                        <w:r>
                          <w:rPr>
                            <w:rFonts w:hint="eastAsia"/>
                          </w:rPr>
                          <w:t>组织培训</w:t>
                        </w:r>
                      </w:p>
                    </w:txbxContent>
                  </v:textbox>
                </v:rect>
                <v:line id="直线 1431" o:spid="_x0000_s1111" style="position:absolute;left:6561;top:9630;flip:y;height:252;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rect id="文本框 1432" o:spid="_x0000_s1112" style="position:absolute;left:5401;top:8829;flip:y;height:316;width:2337;rotation:0f;" o:ole="f" fillcolor="#FFFFFF" filled="t" o:preferrelative="t" stroked="t" coordsize="21600,21600">
                  <v:stroke color="#000000" color2="#FFFFFF" miterlimit="2"/>
                  <v:imagedata gain="65536f" blacklevel="0f" gamma="0"/>
                  <o:lock v:ext="edit" position="f" selection="f" grouping="f" rotation="f" cropping="f" text="f" aspectratio="f"/>
                  <v:textbox inset="0.00pt,0.00pt,0.00pt,0.00pt">
                    <w:txbxContent>
                      <w:p>
                        <w:pPr>
                          <w:jc w:val="center"/>
                        </w:pPr>
                        <w:r>
                          <w:rPr>
                            <w:rFonts w:hint="eastAsia"/>
                          </w:rPr>
                          <w:t>资料调查</w:t>
                        </w:r>
                      </w:p>
                    </w:txbxContent>
                  </v:textbox>
                </v:rect>
                <v:rect id="文本框 1433" o:spid="_x0000_s1113" style="position:absolute;left:5422;top:9314;flip:y;height:316;width:2337;rotation:0f;" o:ole="f" fillcolor="#FFFFFF" filled="t" o:preferrelative="t" stroked="t" coordsize="21600,21600">
                  <v:stroke color="#000000" color2="#FFFFFF" miterlimit="2"/>
                  <v:imagedata gain="65536f" blacklevel="0f" gamma="0"/>
                  <o:lock v:ext="edit" position="f" selection="f" grouping="f" rotation="f" cropping="f" text="f" aspectratio="f"/>
                  <v:textbox inset="0.00pt,0.00pt,0.00pt,0.00pt">
                    <w:txbxContent>
                      <w:p>
                        <w:pPr>
                          <w:jc w:val="center"/>
                        </w:pPr>
                        <w:r>
                          <w:rPr>
                            <w:rFonts w:hint="eastAsia"/>
                          </w:rPr>
                          <w:t>划分均质区域</w:t>
                        </w:r>
                      </w:p>
                    </w:txbxContent>
                  </v:textbox>
                </v:rect>
                <v:line id="直线 1434" o:spid="_x0000_s1114" style="position:absolute;left:6549;top:9055;flip:y;height:252;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group>
            </v:group>
            <w10:wrap type="topAndBottom"/>
          </v:group>
        </w:pict>
      </w:r>
      <w:r>
        <w:rPr>
          <w:rFonts w:ascii="Times New Roman" w:hAnsi="Times New Roman" w:eastAsia="宋体" w:cs="Times New Roman"/>
          <w:kern w:val="2"/>
          <w:sz w:val="28"/>
          <w:lang w:val="en-US" w:eastAsia="zh-CN" w:bidi="ar-SA"/>
        </w:rPr>
        <w:pict>
          <v:line id="直线 1386" o:spid="_x0000_s1115" style="position:absolute;left:0;flip:y;margin-left:336.3pt;margin-top:15pt;height:12.6pt;width:0.05pt;rotation:0f;z-index:251666432;"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w:pict>
      </w:r>
      <w:r>
        <w:rPr>
          <w:rFonts w:eastAsia="黑体"/>
          <w:b/>
          <w:bCs/>
          <w:sz w:val="24"/>
          <w:szCs w:val="24"/>
          <w:lang w:val="zh-CN"/>
        </w:rPr>
        <w:t>图1-4-1  资料收集路线图</w:t>
      </w:r>
    </w:p>
    <w:p>
      <w:pPr>
        <w:spacing w:line="480" w:lineRule="exact"/>
        <w:ind w:firstLine="480" w:firstLineChars="200"/>
        <w:rPr>
          <w:sz w:val="24"/>
        </w:rPr>
      </w:pPr>
      <w:r>
        <w:rPr>
          <w:sz w:val="24"/>
        </w:rPr>
        <w:t>（1）拟定技术方案，包括明确技术路线和工作重点以及工作难点，确定调查范围；</w:t>
      </w:r>
    </w:p>
    <w:p>
      <w:pPr>
        <w:spacing w:line="480" w:lineRule="exact"/>
        <w:ind w:firstLine="480" w:firstLineChars="200"/>
        <w:rPr>
          <w:sz w:val="24"/>
        </w:rPr>
      </w:pPr>
      <w:r>
        <w:rPr>
          <w:sz w:val="24"/>
        </w:rPr>
        <w:t>（2）制定工作方案，包括工具、人员、时间、方法等方面的统筹安排；尤其是对调查时间和调查区域进行协调安排；</w:t>
      </w:r>
    </w:p>
    <w:p>
      <w:pPr>
        <w:spacing w:line="480" w:lineRule="exact"/>
        <w:ind w:firstLine="480" w:firstLineChars="200"/>
        <w:rPr>
          <w:sz w:val="24"/>
        </w:rPr>
      </w:pPr>
      <w:r>
        <w:rPr>
          <w:sz w:val="24"/>
        </w:rPr>
        <w:t>（3）确定收集内容；</w:t>
      </w:r>
    </w:p>
    <w:p>
      <w:pPr>
        <w:spacing w:line="480" w:lineRule="exact"/>
        <w:ind w:firstLine="480" w:firstLineChars="200"/>
        <w:rPr>
          <w:sz w:val="24"/>
        </w:rPr>
      </w:pPr>
      <w:r>
        <w:rPr>
          <w:sz w:val="24"/>
        </w:rPr>
        <w:t>（4）设计调查表格，主要包括房屋租赁调查表、房屋买卖调查表、土地使用权转让价格调查表、土地使用权出让价格调查表、商品房出售价格调查表、征地拆迁土地资料；</w:t>
      </w:r>
    </w:p>
    <w:p>
      <w:pPr>
        <w:spacing w:line="480" w:lineRule="exact"/>
        <w:ind w:firstLine="480" w:firstLineChars="200"/>
        <w:rPr>
          <w:sz w:val="24"/>
        </w:rPr>
      </w:pPr>
      <w:r>
        <w:rPr>
          <w:sz w:val="24"/>
        </w:rPr>
        <w:t>（5）对调查人员组织培训，确保资料收集和表格填写口径一致；</w:t>
      </w:r>
    </w:p>
    <w:p>
      <w:pPr>
        <w:spacing w:line="480" w:lineRule="exact"/>
        <w:ind w:firstLine="480" w:firstLineChars="200"/>
        <w:rPr>
          <w:sz w:val="24"/>
        </w:rPr>
      </w:pPr>
      <w:r>
        <w:rPr>
          <w:sz w:val="24"/>
        </w:rPr>
        <w:t>（6）根据长沙县土地市场状况、城镇利用现状等因素划分均质区域和区段；</w:t>
      </w:r>
    </w:p>
    <w:p>
      <w:pPr>
        <w:spacing w:line="480" w:lineRule="exact"/>
        <w:ind w:firstLine="480" w:firstLineChars="200"/>
        <w:rPr>
          <w:sz w:val="24"/>
        </w:rPr>
      </w:pPr>
      <w:r>
        <w:rPr>
          <w:sz w:val="24"/>
        </w:rPr>
        <w:t>（7）开始部门资料收集和样点调查工作；</w:t>
      </w:r>
    </w:p>
    <w:p>
      <w:pPr>
        <w:spacing w:line="480" w:lineRule="exact"/>
        <w:ind w:firstLine="480" w:firstLineChars="200"/>
        <w:rPr>
          <w:rFonts w:eastAsia="黑体"/>
          <w:bCs/>
          <w:sz w:val="28"/>
          <w:lang w:val="zh-CN"/>
        </w:rPr>
      </w:pPr>
      <w:r>
        <w:rPr>
          <w:sz w:val="24"/>
        </w:rPr>
        <w:t>（8）对资料进行整理归类。</w:t>
      </w:r>
      <w:r>
        <w:rPr>
          <w:rFonts w:eastAsia="黑体"/>
          <w:bCs/>
          <w:sz w:val="24"/>
          <w:szCs w:val="24"/>
          <w:lang w:val="zh-CN"/>
        </w:rPr>
        <w:t xml:space="preserve"> </w:t>
      </w:r>
    </w:p>
    <w:p>
      <w:pPr>
        <w:widowControl/>
        <w:spacing w:line="360" w:lineRule="auto"/>
        <w:ind w:firstLine="482" w:firstLineChars="200"/>
        <w:rPr>
          <w:b/>
          <w:sz w:val="24"/>
          <w:szCs w:val="24"/>
          <w:lang w:val="zh-CN"/>
        </w:rPr>
      </w:pPr>
      <w:r>
        <w:rPr>
          <w:b/>
          <w:sz w:val="24"/>
          <w:szCs w:val="24"/>
          <w:lang w:val="zh-CN"/>
        </w:rPr>
        <w:t>3、外业调查工作组织</w:t>
      </w:r>
    </w:p>
    <w:p>
      <w:pPr>
        <w:spacing w:line="480" w:lineRule="exact"/>
        <w:ind w:firstLine="480" w:firstLineChars="200"/>
        <w:rPr>
          <w:sz w:val="24"/>
          <w:szCs w:val="22"/>
          <w:lang w:val="zh-CN"/>
        </w:rPr>
      </w:pPr>
      <w:r>
        <w:rPr>
          <w:sz w:val="24"/>
          <w:szCs w:val="22"/>
          <w:lang w:val="zh-CN"/>
        </w:rPr>
        <w:t>（1）落实设备与工作场地。购买电脑、扫描仪等设备，并落实了工作场地。</w:t>
      </w:r>
    </w:p>
    <w:p>
      <w:pPr>
        <w:spacing w:line="480" w:lineRule="exact"/>
        <w:ind w:firstLine="480" w:firstLineChars="200"/>
        <w:rPr>
          <w:sz w:val="24"/>
          <w:szCs w:val="22"/>
          <w:lang w:val="zh-CN"/>
        </w:rPr>
      </w:pPr>
      <w:r>
        <w:rPr>
          <w:sz w:val="24"/>
          <w:szCs w:val="22"/>
          <w:lang w:val="zh-CN"/>
        </w:rPr>
        <w:t>（2）印制工作表格。依据《规程》的要求，结合</w:t>
      </w:r>
      <w:r>
        <w:rPr>
          <w:sz w:val="24"/>
          <w:szCs w:val="22"/>
        </w:rPr>
        <w:t>长沙县</w:t>
      </w:r>
      <w:r>
        <w:rPr>
          <w:sz w:val="24"/>
          <w:szCs w:val="22"/>
          <w:lang w:val="zh-CN"/>
        </w:rPr>
        <w:t>的特点，我们设计了一套符合本地实际的</w:t>
      </w:r>
      <w:r>
        <w:rPr>
          <w:sz w:val="24"/>
          <w:szCs w:val="22"/>
        </w:rPr>
        <w:t>长沙县</w:t>
      </w:r>
      <w:r>
        <w:rPr>
          <w:sz w:val="24"/>
          <w:szCs w:val="22"/>
          <w:lang w:val="zh-CN"/>
        </w:rPr>
        <w:t>基准地价更新表格30多种，并打印。</w:t>
      </w:r>
    </w:p>
    <w:p>
      <w:pPr>
        <w:spacing w:line="480" w:lineRule="exact"/>
        <w:ind w:firstLine="480" w:firstLineChars="200"/>
        <w:rPr>
          <w:sz w:val="24"/>
          <w:szCs w:val="22"/>
          <w:lang w:val="zh-CN"/>
        </w:rPr>
      </w:pPr>
      <w:r>
        <w:rPr>
          <w:sz w:val="24"/>
          <w:szCs w:val="22"/>
          <w:lang w:val="zh-CN"/>
        </w:rPr>
        <w:t>（3）人员培训。主要包括调查的范围、目的、工作对象、工作方法，详细讲述调查的基本要求以及调查表格的填写方法、样点的上图方法、各类型样点的调查方法，外业调查注意事项等；学习《城镇土地定级规程》、《城镇土地估价规程》。</w:t>
      </w:r>
    </w:p>
    <w:p>
      <w:pPr>
        <w:spacing w:line="480" w:lineRule="exact"/>
        <w:ind w:firstLine="480" w:firstLineChars="200"/>
        <w:rPr>
          <w:sz w:val="24"/>
          <w:szCs w:val="22"/>
          <w:lang w:val="zh-CN"/>
        </w:rPr>
      </w:pPr>
      <w:r>
        <w:rPr>
          <w:sz w:val="24"/>
          <w:szCs w:val="22"/>
          <w:lang w:val="zh-CN"/>
        </w:rPr>
        <w:t>（4）确定项目范围。</w:t>
      </w:r>
    </w:p>
    <w:p>
      <w:pPr>
        <w:spacing w:line="480" w:lineRule="exact"/>
        <w:ind w:firstLine="480" w:firstLineChars="200"/>
        <w:rPr>
          <w:sz w:val="24"/>
          <w:szCs w:val="22"/>
          <w:lang w:val="zh-CN"/>
        </w:rPr>
      </w:pPr>
      <w:r>
        <w:rPr>
          <w:sz w:val="24"/>
          <w:szCs w:val="22"/>
          <w:lang w:val="zh-CN"/>
        </w:rPr>
        <w:t>（5）召开相关部门协调会议。由于</w:t>
      </w:r>
      <w:r>
        <w:rPr>
          <w:sz w:val="24"/>
          <w:szCs w:val="22"/>
        </w:rPr>
        <w:t>长沙县</w:t>
      </w:r>
      <w:r>
        <w:rPr>
          <w:sz w:val="24"/>
          <w:szCs w:val="22"/>
          <w:lang w:val="zh-CN"/>
        </w:rPr>
        <w:t>基准地价更新项目工程量大，涉及面广，技术要求高，所需资料必须全面详实，为了保证资料真实可靠，由县国土资源局于201</w:t>
      </w:r>
      <w:r>
        <w:rPr>
          <w:sz w:val="24"/>
          <w:szCs w:val="22"/>
        </w:rPr>
        <w:t>6</w:t>
      </w:r>
      <w:r>
        <w:rPr>
          <w:sz w:val="24"/>
          <w:szCs w:val="22"/>
          <w:lang w:val="zh-CN"/>
        </w:rPr>
        <w:t>年1</w:t>
      </w:r>
      <w:r>
        <w:rPr>
          <w:sz w:val="24"/>
          <w:szCs w:val="22"/>
        </w:rPr>
        <w:t>1</w:t>
      </w:r>
      <w:r>
        <w:rPr>
          <w:sz w:val="24"/>
          <w:szCs w:val="22"/>
          <w:lang w:val="zh-CN"/>
        </w:rPr>
        <w:t>月召集多个与基准地价更新有关的部门开会，分配调查任务，做到人员落实，组织到位，确保部门资料顺利搜集。</w:t>
      </w:r>
    </w:p>
    <w:p>
      <w:pPr>
        <w:spacing w:line="480" w:lineRule="exact"/>
        <w:ind w:firstLine="480" w:firstLineChars="200"/>
        <w:rPr>
          <w:sz w:val="24"/>
          <w:szCs w:val="22"/>
          <w:lang w:val="zh-CN"/>
        </w:rPr>
      </w:pPr>
      <w:r>
        <w:rPr>
          <w:sz w:val="24"/>
          <w:szCs w:val="22"/>
          <w:lang w:val="zh-CN"/>
        </w:rPr>
        <w:t>（6）均质区域的划分。均质区域亦是指根据地段相连、地价相近的原则将城镇土地划分区片和区段。依据国标《城镇土地定级规程》（GB/T18507-2014）并结合长沙县的实际情况，本次基准地价更新选取交通条件、基础设施条件、公用服务设施条件及环境状况等因素作为划分均质区域的依据。按规划用途一致性、被几条街道自然包围的一个封闭区域、土地条件基本相似、同用途样点地价相近、线性地物明显、权属界限完整等标准划定均质区域，共划分了</w:t>
      </w:r>
      <w:r>
        <w:rPr>
          <w:sz w:val="24"/>
          <w:szCs w:val="22"/>
        </w:rPr>
        <w:t>36</w:t>
      </w:r>
      <w:r>
        <w:rPr>
          <w:sz w:val="24"/>
          <w:szCs w:val="22"/>
          <w:lang w:val="zh-CN"/>
        </w:rPr>
        <w:t>个均质区域。</w:t>
      </w:r>
    </w:p>
    <w:p>
      <w:pPr>
        <w:spacing w:line="360" w:lineRule="auto"/>
        <w:ind w:firstLine="560" w:firstLineChars="200"/>
        <w:outlineLvl w:val="2"/>
        <w:rPr>
          <w:rFonts w:eastAsia="黑体"/>
          <w:sz w:val="28"/>
          <w:szCs w:val="28"/>
        </w:rPr>
      </w:pPr>
      <w:bookmarkStart w:id="201" w:name="_Toc12541"/>
      <w:bookmarkStart w:id="202" w:name="_Toc470721275"/>
      <w:bookmarkStart w:id="203" w:name="_Toc467846816"/>
      <w:bookmarkStart w:id="204" w:name="_Toc26301"/>
      <w:bookmarkStart w:id="205" w:name="_Toc469296424"/>
      <w:r>
        <w:rPr>
          <w:rFonts w:eastAsia="黑体"/>
          <w:sz w:val="28"/>
          <w:szCs w:val="28"/>
        </w:rPr>
        <w:t>四、资料收集结果</w:t>
      </w:r>
      <w:bookmarkEnd w:id="201"/>
      <w:bookmarkEnd w:id="202"/>
      <w:bookmarkEnd w:id="203"/>
      <w:bookmarkEnd w:id="204"/>
      <w:bookmarkEnd w:id="205"/>
    </w:p>
    <w:p>
      <w:pPr>
        <w:spacing w:line="480" w:lineRule="exact"/>
        <w:ind w:firstLine="480" w:firstLineChars="200"/>
        <w:rPr>
          <w:sz w:val="24"/>
          <w:szCs w:val="22"/>
        </w:rPr>
      </w:pPr>
      <w:r>
        <w:rPr>
          <w:sz w:val="24"/>
          <w:szCs w:val="22"/>
        </w:rPr>
        <w:t>从2016年11月开始，技术单位委派16人分成8组进行长沙县土地定级与基准地价更新资料收集，到12月份底完成了土地级别划分和基准地价更新资料。具体资料见表1-4-1。</w:t>
      </w:r>
    </w:p>
    <w:p>
      <w:pPr>
        <w:widowControl/>
        <w:ind w:firstLine="482" w:firstLineChars="200"/>
        <w:jc w:val="left"/>
        <w:rPr>
          <w:rFonts w:eastAsia="黑体"/>
          <w:b/>
          <w:bCs/>
          <w:sz w:val="24"/>
        </w:rPr>
      </w:pPr>
      <w:r>
        <w:rPr>
          <w:b/>
          <w:bCs/>
          <w:sz w:val="24"/>
        </w:rPr>
        <w:br w:type="page"/>
      </w:r>
    </w:p>
    <w:p>
      <w:pPr>
        <w:tabs>
          <w:tab w:val="left" w:pos="720"/>
        </w:tabs>
        <w:spacing w:line="480" w:lineRule="exact"/>
        <w:jc w:val="center"/>
        <w:rPr>
          <w:b/>
          <w:sz w:val="24"/>
          <w:szCs w:val="22"/>
        </w:rPr>
      </w:pPr>
      <w:r>
        <w:rPr>
          <w:b/>
          <w:sz w:val="24"/>
          <w:szCs w:val="22"/>
        </w:rPr>
        <w:t>表1-4-1 长沙县土地级别划分资料汇总表</w:t>
      </w:r>
    </w:p>
    <w:tbl>
      <w:tblPr>
        <w:tblW w:w="93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56"/>
        <w:gridCol w:w="1269"/>
        <w:gridCol w:w="3471"/>
        <w:gridCol w:w="1418"/>
        <w:gridCol w:w="272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tblHeader/>
          <w:jc w:val="center"/>
        </w:trPr>
        <w:tc>
          <w:tcPr>
            <w:tcW w:w="1725"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b/>
                <w:color w:val="000000"/>
                <w:szCs w:val="21"/>
              </w:rPr>
            </w:pPr>
            <w:r>
              <w:rPr>
                <w:b/>
                <w:color w:val="000000"/>
                <w:szCs w:val="21"/>
              </w:rPr>
              <w:t>项目</w:t>
            </w:r>
          </w:p>
        </w:tc>
        <w:tc>
          <w:tcPr>
            <w:tcW w:w="347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color w:val="000000"/>
                <w:szCs w:val="21"/>
              </w:rPr>
            </w:pPr>
            <w:r>
              <w:rPr>
                <w:b/>
                <w:color w:val="000000"/>
                <w:szCs w:val="21"/>
              </w:rPr>
              <w:t>资料收集内容</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color w:val="000000"/>
                <w:szCs w:val="21"/>
              </w:rPr>
            </w:pPr>
            <w:r>
              <w:rPr>
                <w:b/>
                <w:color w:val="000000"/>
                <w:szCs w:val="21"/>
              </w:rPr>
              <w:t>资料来源</w:t>
            </w:r>
          </w:p>
        </w:tc>
        <w:tc>
          <w:tcPr>
            <w:tcW w:w="2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color w:val="000000"/>
                <w:szCs w:val="21"/>
              </w:rPr>
            </w:pPr>
            <w:r>
              <w:rPr>
                <w:b/>
                <w:color w:val="000000"/>
                <w:szCs w:val="21"/>
              </w:rPr>
              <w:t>成果（文本、图、表）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jc w:val="center"/>
        </w:trPr>
        <w:tc>
          <w:tcPr>
            <w:tcW w:w="1725"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Cs w:val="21"/>
              </w:rPr>
            </w:pPr>
            <w:r>
              <w:rPr>
                <w:color w:val="000000"/>
                <w:szCs w:val="21"/>
              </w:rPr>
              <w:t>一般资料</w:t>
            </w:r>
          </w:p>
        </w:tc>
        <w:tc>
          <w:tcPr>
            <w:tcW w:w="3471"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社会状况、历史状况、土地利用状况及地形、地质状况</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县政府、国土局、地图出版社、统计局</w:t>
            </w:r>
          </w:p>
        </w:tc>
        <w:tc>
          <w:tcPr>
            <w:tcW w:w="272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《长沙县统计年鉴》、长沙县土地利用现状图、工程地质图、地貌图、地形图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jc w:val="center"/>
        </w:trPr>
        <w:tc>
          <w:tcPr>
            <w:tcW w:w="1725"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Cs w:val="21"/>
              </w:rPr>
            </w:pPr>
            <w:r>
              <w:rPr>
                <w:color w:val="000000"/>
                <w:szCs w:val="21"/>
              </w:rPr>
              <w:t>商服繁华度</w:t>
            </w:r>
          </w:p>
        </w:tc>
        <w:tc>
          <w:tcPr>
            <w:tcW w:w="3471"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商服服务中心（含综合商场、商服街）的商店数量、位置、范围、经营项目、年营业额、占地面积、营业面积、职工人数等</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实地调查、工商局、税务局、商务局、统计局</w:t>
            </w:r>
          </w:p>
        </w:tc>
        <w:tc>
          <w:tcPr>
            <w:tcW w:w="272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商服中心分布图、商服中心统计资料（201</w:t>
            </w:r>
            <w:r>
              <w:rPr>
                <w:rFonts w:hint="eastAsia"/>
                <w:color w:val="000000"/>
                <w:szCs w:val="21"/>
              </w:rPr>
              <w:t>7</w:t>
            </w:r>
            <w:r>
              <w:rPr>
                <w:color w:val="000000"/>
                <w:szCs w:val="21"/>
              </w:rPr>
              <w:t>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79" w:hRule="atLeast"/>
          <w:jc w:val="center"/>
        </w:trPr>
        <w:tc>
          <w:tcPr>
            <w:tcW w:w="456" w:type="dxa"/>
            <w:vMerge w:val="restart"/>
            <w:tcBorders>
              <w:top w:val="single" w:color="auto" w:sz="4" w:space="0"/>
              <w:left w:val="single" w:color="auto" w:sz="4" w:space="0"/>
              <w:bottom w:val="single" w:color="auto" w:sz="4" w:space="0"/>
              <w:right w:val="single" w:color="auto" w:sz="4" w:space="0"/>
            </w:tcBorders>
            <w:vAlign w:val="center"/>
          </w:tcPr>
          <w:p>
            <w:pPr>
              <w:pStyle w:val="95"/>
              <w:widowControl w:val="0"/>
              <w:pBdr>
                <w:right w:val="none" w:color="auto" w:sz="0" w:space="0"/>
              </w:pBdr>
              <w:spacing w:before="0" w:beforeAutospacing="0" w:after="0" w:afterAutospacing="0" w:line="240" w:lineRule="exact"/>
              <w:rPr>
                <w:color w:val="000000"/>
                <w:kern w:val="2"/>
                <w:szCs w:val="21"/>
              </w:rPr>
            </w:pPr>
            <w:r>
              <w:rPr>
                <w:color w:val="000000"/>
                <w:kern w:val="2"/>
                <w:szCs w:val="21"/>
              </w:rPr>
              <w:t>交通条件</w:t>
            </w:r>
          </w:p>
        </w:tc>
        <w:tc>
          <w:tcPr>
            <w:tcW w:w="1269"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1、道路通达度</w:t>
            </w:r>
          </w:p>
        </w:tc>
        <w:tc>
          <w:tcPr>
            <w:tcW w:w="3471"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道路类型、车流量、道路长度及宽度、车道数、交通管制类型</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规建局、交警大队</w:t>
            </w:r>
          </w:p>
        </w:tc>
        <w:tc>
          <w:tcPr>
            <w:tcW w:w="272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长沙县道路现状等级图、长沙县现状道路调查表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74" w:hRule="atLeast"/>
          <w:jc w:val="center"/>
        </w:trPr>
        <w:tc>
          <w:tcPr>
            <w:tcW w:w="45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color w:val="000000"/>
                <w:szCs w:val="21"/>
              </w:rPr>
            </w:pPr>
          </w:p>
        </w:tc>
        <w:tc>
          <w:tcPr>
            <w:tcW w:w="1269" w:type="dxa"/>
            <w:tcBorders>
              <w:top w:val="single" w:color="auto" w:sz="4" w:space="0"/>
              <w:left w:val="single" w:color="auto" w:sz="4" w:space="0"/>
              <w:bottom w:val="single" w:color="auto" w:sz="4" w:space="0"/>
              <w:right w:val="single" w:color="auto" w:sz="4" w:space="0"/>
            </w:tcBorders>
            <w:vAlign w:val="center"/>
          </w:tcPr>
          <w:p>
            <w:pPr>
              <w:spacing w:line="240" w:lineRule="exact"/>
              <w:ind w:left="210" w:hanging="210" w:hangingChars="100"/>
              <w:jc w:val="center"/>
              <w:rPr>
                <w:color w:val="000000"/>
                <w:szCs w:val="21"/>
              </w:rPr>
            </w:pPr>
            <w:r>
              <w:rPr>
                <w:color w:val="000000"/>
                <w:szCs w:val="21"/>
              </w:rPr>
              <w:t>2、对外交通便利度</w:t>
            </w:r>
          </w:p>
        </w:tc>
        <w:tc>
          <w:tcPr>
            <w:tcW w:w="3471"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长途汽车站、位置、客运量、年货运量、职工人数</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长沙县交通局</w:t>
            </w:r>
          </w:p>
        </w:tc>
        <w:tc>
          <w:tcPr>
            <w:tcW w:w="272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长沙县交通旅游图、长途汽车站调查表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20" w:hRule="atLeast"/>
          <w:jc w:val="center"/>
        </w:trPr>
        <w:tc>
          <w:tcPr>
            <w:tcW w:w="456" w:type="dxa"/>
            <w:vMerge w:val="restart"/>
            <w:tcBorders>
              <w:top w:val="single" w:color="auto" w:sz="4" w:space="0"/>
              <w:left w:val="single" w:color="auto" w:sz="4" w:space="0"/>
              <w:right w:val="single" w:color="auto" w:sz="4" w:space="0"/>
            </w:tcBorders>
            <w:vAlign w:val="center"/>
          </w:tcPr>
          <w:p>
            <w:pPr>
              <w:spacing w:line="240" w:lineRule="exact"/>
              <w:jc w:val="center"/>
              <w:rPr>
                <w:color w:val="000000"/>
                <w:szCs w:val="21"/>
              </w:rPr>
            </w:pPr>
            <w:r>
              <w:rPr>
                <w:color w:val="000000"/>
                <w:szCs w:val="21"/>
              </w:rPr>
              <w:t>公   共   设   施</w:t>
            </w:r>
          </w:p>
        </w:tc>
        <w:tc>
          <w:tcPr>
            <w:tcW w:w="1269"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1、学校</w:t>
            </w:r>
          </w:p>
        </w:tc>
        <w:tc>
          <w:tcPr>
            <w:tcW w:w="3471"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位置、学校性质、占地面积、建筑面积、班级数、学校级别、学校人数、教师人数</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教育局（市、区）实地调查</w:t>
            </w:r>
          </w:p>
        </w:tc>
        <w:tc>
          <w:tcPr>
            <w:tcW w:w="272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长沙县中小学校分布图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20" w:hRule="atLeast"/>
          <w:jc w:val="center"/>
        </w:trPr>
        <w:tc>
          <w:tcPr>
            <w:tcW w:w="456" w:type="dxa"/>
            <w:vMerge w:val="continue"/>
            <w:tcBorders>
              <w:left w:val="single" w:color="auto" w:sz="4" w:space="0"/>
              <w:right w:val="single" w:color="auto" w:sz="4" w:space="0"/>
            </w:tcBorders>
            <w:vAlign w:val="center"/>
          </w:tcPr>
          <w:p>
            <w:pPr>
              <w:spacing w:line="240" w:lineRule="exact"/>
              <w:jc w:val="center"/>
              <w:rPr>
                <w:color w:val="000000"/>
                <w:szCs w:val="21"/>
              </w:rPr>
            </w:pPr>
          </w:p>
        </w:tc>
        <w:tc>
          <w:tcPr>
            <w:tcW w:w="126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Cs w:val="21"/>
              </w:rPr>
            </w:pPr>
            <w:r>
              <w:rPr>
                <w:color w:val="000000"/>
                <w:szCs w:val="21"/>
              </w:rPr>
              <w:t>2、医院（门诊部）</w:t>
            </w:r>
          </w:p>
        </w:tc>
        <w:tc>
          <w:tcPr>
            <w:tcW w:w="3471"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位置、占地面积、建筑面积、职工人数、医院等级、病床数、年就诊人数</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卫生局（市、区）</w:t>
            </w:r>
          </w:p>
        </w:tc>
        <w:tc>
          <w:tcPr>
            <w:tcW w:w="2728"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firstLineChars="200"/>
              <w:rPr>
                <w:color w:val="000000"/>
                <w:szCs w:val="21"/>
              </w:rPr>
            </w:pPr>
            <w:r>
              <w:rPr>
                <w:color w:val="000000"/>
                <w:szCs w:val="21"/>
              </w:rPr>
              <w:t>长沙县医院分布图</w:t>
            </w:r>
          </w:p>
          <w:p>
            <w:pPr>
              <w:spacing w:line="240" w:lineRule="exact"/>
              <w:ind w:firstLine="420" w:firstLineChars="200"/>
              <w:rPr>
                <w:color w:val="000000"/>
                <w:szCs w:val="21"/>
              </w:rPr>
            </w:pPr>
            <w:r>
              <w:rPr>
                <w:color w:val="000000"/>
                <w:szCs w:val="21"/>
              </w:rPr>
              <w:t>长沙县医院调查表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exact"/>
          <w:jc w:val="center"/>
        </w:trPr>
        <w:tc>
          <w:tcPr>
            <w:tcW w:w="456" w:type="dxa"/>
            <w:vMerge w:val="continue"/>
            <w:tcBorders>
              <w:left w:val="single" w:color="auto" w:sz="4" w:space="0"/>
              <w:right w:val="single" w:color="auto" w:sz="4" w:space="0"/>
            </w:tcBorders>
            <w:vAlign w:val="center"/>
          </w:tcPr>
          <w:p>
            <w:pPr>
              <w:spacing w:line="240" w:lineRule="exact"/>
              <w:jc w:val="center"/>
              <w:rPr>
                <w:color w:val="000000"/>
                <w:szCs w:val="21"/>
              </w:rPr>
            </w:pPr>
          </w:p>
        </w:tc>
        <w:tc>
          <w:tcPr>
            <w:tcW w:w="126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Cs w:val="21"/>
              </w:rPr>
            </w:pPr>
            <w:r>
              <w:rPr>
                <w:color w:val="000000"/>
                <w:szCs w:val="21"/>
              </w:rPr>
              <w:t>3、文体设施</w:t>
            </w:r>
          </w:p>
        </w:tc>
        <w:tc>
          <w:tcPr>
            <w:tcW w:w="3471"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位置、等级职能、座位数、占地面积、建筑面积、年营业额</w:t>
            </w:r>
          </w:p>
        </w:tc>
        <w:tc>
          <w:tcPr>
            <w:tcW w:w="1418" w:type="dxa"/>
            <w:tcBorders>
              <w:top w:val="single" w:color="auto" w:sz="4" w:space="0"/>
              <w:left w:val="single" w:color="auto" w:sz="4" w:space="0"/>
              <w:bottom w:val="single" w:color="auto" w:sz="4" w:space="0"/>
              <w:right w:val="single" w:color="auto" w:sz="4" w:space="0"/>
            </w:tcBorders>
            <w:vAlign w:val="center"/>
          </w:tcPr>
          <w:p>
            <w:pPr>
              <w:pStyle w:val="124"/>
              <w:widowControl w:val="0"/>
              <w:pBdr>
                <w:left w:val="none" w:color="auto" w:sz="0" w:space="0"/>
                <w:right w:val="none" w:color="auto" w:sz="0" w:space="0"/>
              </w:pBdr>
              <w:spacing w:before="0" w:beforeAutospacing="0" w:after="0" w:afterAutospacing="0" w:line="240" w:lineRule="exact"/>
              <w:jc w:val="both"/>
              <w:rPr>
                <w:rFonts w:ascii="Times New Roman" w:hAnsi="Times New Roman"/>
                <w:color w:val="000000"/>
                <w:kern w:val="2"/>
              </w:rPr>
            </w:pPr>
            <w:r>
              <w:rPr>
                <w:rFonts w:ascii="Times New Roman" w:hAnsi="Times New Roman"/>
                <w:color w:val="000000"/>
                <w:kern w:val="2"/>
              </w:rPr>
              <w:t>体育局、文化局等</w:t>
            </w:r>
          </w:p>
        </w:tc>
        <w:tc>
          <w:tcPr>
            <w:tcW w:w="272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长沙县文体设施分布图、调查表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exact"/>
          <w:jc w:val="center"/>
        </w:trPr>
        <w:tc>
          <w:tcPr>
            <w:tcW w:w="456" w:type="dxa"/>
            <w:vMerge w:val="continue"/>
            <w:tcBorders>
              <w:left w:val="single" w:color="auto" w:sz="4" w:space="0"/>
              <w:right w:val="single" w:color="auto" w:sz="4" w:space="0"/>
            </w:tcBorders>
            <w:vAlign w:val="center"/>
          </w:tcPr>
          <w:p>
            <w:pPr>
              <w:widowControl/>
              <w:spacing w:line="240" w:lineRule="exact"/>
              <w:jc w:val="center"/>
              <w:rPr>
                <w:color w:val="000000"/>
                <w:szCs w:val="21"/>
              </w:rPr>
            </w:pPr>
          </w:p>
        </w:tc>
        <w:tc>
          <w:tcPr>
            <w:tcW w:w="126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Cs w:val="21"/>
              </w:rPr>
            </w:pPr>
            <w:r>
              <w:rPr>
                <w:color w:val="000000"/>
                <w:szCs w:val="21"/>
              </w:rPr>
              <w:t>4、农贸市场</w:t>
            </w:r>
          </w:p>
        </w:tc>
        <w:tc>
          <w:tcPr>
            <w:tcW w:w="3471"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名称、位置、规模、年营业额、服务范围</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工商管理局</w:t>
            </w:r>
          </w:p>
        </w:tc>
        <w:tc>
          <w:tcPr>
            <w:tcW w:w="272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农贸市场调查表、分布图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center"/>
        </w:trPr>
        <w:tc>
          <w:tcPr>
            <w:tcW w:w="1725"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Cs w:val="21"/>
              </w:rPr>
            </w:pPr>
            <w:r>
              <w:rPr>
                <w:color w:val="000000"/>
                <w:szCs w:val="21"/>
              </w:rPr>
              <w:t>基础设施</w:t>
            </w:r>
          </w:p>
        </w:tc>
        <w:tc>
          <w:tcPr>
            <w:tcW w:w="3471"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电力、供水、排水、供热、等基础设施的类型、数量、分布、技术水平规模、级别、保证率及区域服务的优劣</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规建局、电业局、新奥燃气、</w:t>
            </w:r>
          </w:p>
        </w:tc>
        <w:tc>
          <w:tcPr>
            <w:tcW w:w="272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基础设施分布图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center"/>
        </w:trPr>
        <w:tc>
          <w:tcPr>
            <w:tcW w:w="1725"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Cs w:val="21"/>
              </w:rPr>
            </w:pPr>
            <w:r>
              <w:rPr>
                <w:color w:val="000000"/>
                <w:szCs w:val="21"/>
              </w:rPr>
              <w:t>环境条件</w:t>
            </w:r>
          </w:p>
        </w:tc>
        <w:tc>
          <w:tcPr>
            <w:tcW w:w="3471"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污水处理厂、大气污染源、废渣污染源分布、级别、占地面积、污染程度、城市内涝资料</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公共事业局、环保局、环境监测站</w:t>
            </w:r>
          </w:p>
        </w:tc>
        <w:tc>
          <w:tcPr>
            <w:tcW w:w="272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长沙县重点污染源、噪声污染源分布图、调查表</w:t>
            </w:r>
          </w:p>
          <w:p>
            <w:pPr>
              <w:spacing w:line="240" w:lineRule="exact"/>
              <w:rPr>
                <w:color w:val="000000"/>
                <w:szCs w:val="21"/>
              </w:rPr>
            </w:pPr>
            <w:r>
              <w:rPr>
                <w:color w:val="000000"/>
                <w:szCs w:val="21"/>
              </w:rPr>
              <w:t>洪涝区域分布图、调查表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center"/>
        </w:trPr>
        <w:tc>
          <w:tcPr>
            <w:tcW w:w="1725"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Cs w:val="21"/>
              </w:rPr>
            </w:pPr>
            <w:r>
              <w:rPr>
                <w:color w:val="000000"/>
                <w:szCs w:val="21"/>
              </w:rPr>
              <w:t>城市规划</w:t>
            </w:r>
          </w:p>
        </w:tc>
        <w:tc>
          <w:tcPr>
            <w:tcW w:w="3471"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城市总体规划文本、说明书、数据集、图件等，国民经济和社会发展“十三五”规划，商服中心、道路、对外交通、主要基础设施、主要公共设施的规划资料</w:t>
            </w:r>
          </w:p>
        </w:tc>
        <w:tc>
          <w:tcPr>
            <w:tcW w:w="1418" w:type="dxa"/>
            <w:tcBorders>
              <w:top w:val="single" w:color="auto" w:sz="4" w:space="0"/>
              <w:left w:val="single" w:color="auto" w:sz="4" w:space="0"/>
              <w:bottom w:val="single" w:color="auto" w:sz="4" w:space="0"/>
              <w:right w:val="single" w:color="auto" w:sz="4" w:space="0"/>
            </w:tcBorders>
            <w:vAlign w:val="center"/>
          </w:tcPr>
          <w:p>
            <w:pPr>
              <w:pStyle w:val="124"/>
              <w:widowControl w:val="0"/>
              <w:pBdr>
                <w:left w:val="none" w:color="auto" w:sz="0" w:space="0"/>
                <w:right w:val="none" w:color="auto" w:sz="0" w:space="0"/>
              </w:pBdr>
              <w:spacing w:before="0" w:beforeAutospacing="0" w:after="0" w:afterAutospacing="0" w:line="240" w:lineRule="exact"/>
              <w:jc w:val="left"/>
              <w:rPr>
                <w:rFonts w:ascii="Times New Roman" w:hAnsi="Times New Roman"/>
                <w:color w:val="000000"/>
                <w:kern w:val="2"/>
              </w:rPr>
            </w:pPr>
            <w:r>
              <w:rPr>
                <w:rFonts w:ascii="Times New Roman" w:hAnsi="Times New Roman"/>
                <w:color w:val="000000"/>
                <w:kern w:val="2"/>
              </w:rPr>
              <w:t>规建局</w:t>
            </w:r>
          </w:p>
        </w:tc>
        <w:tc>
          <w:tcPr>
            <w:tcW w:w="272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规划文本、图集、说明书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center"/>
        </w:trPr>
        <w:tc>
          <w:tcPr>
            <w:tcW w:w="1725"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Cs w:val="21"/>
              </w:rPr>
            </w:pPr>
            <w:r>
              <w:rPr>
                <w:color w:val="000000"/>
                <w:szCs w:val="21"/>
              </w:rPr>
              <w:t>城市障碍物</w:t>
            </w:r>
          </w:p>
        </w:tc>
        <w:tc>
          <w:tcPr>
            <w:tcW w:w="3471" w:type="dxa"/>
            <w:tcBorders>
              <w:top w:val="single" w:color="auto" w:sz="4" w:space="0"/>
              <w:left w:val="single" w:color="auto" w:sz="4" w:space="0"/>
              <w:bottom w:val="single" w:color="auto" w:sz="4" w:space="0"/>
              <w:right w:val="single" w:color="auto" w:sz="4" w:space="0"/>
            </w:tcBorders>
            <w:vAlign w:val="center"/>
          </w:tcPr>
          <w:p>
            <w:pPr>
              <w:pStyle w:val="95"/>
              <w:widowControl w:val="0"/>
              <w:pBdr>
                <w:right w:val="none" w:color="auto" w:sz="0" w:space="0"/>
              </w:pBdr>
              <w:spacing w:before="0" w:beforeAutospacing="0" w:after="0" w:afterAutospacing="0" w:line="240" w:lineRule="exact"/>
              <w:jc w:val="both"/>
              <w:rPr>
                <w:color w:val="000000"/>
                <w:kern w:val="2"/>
                <w:szCs w:val="21"/>
              </w:rPr>
            </w:pPr>
            <w:r>
              <w:rPr>
                <w:color w:val="000000"/>
                <w:kern w:val="2"/>
                <w:szCs w:val="21"/>
              </w:rPr>
              <w:t>河道宽度、桥梁宽度、车道数、数量</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河道管理处、桥梁管理处</w:t>
            </w:r>
          </w:p>
        </w:tc>
        <w:tc>
          <w:tcPr>
            <w:tcW w:w="272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地形图、交通图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64" w:hRule="atLeast"/>
          <w:jc w:val="center"/>
        </w:trPr>
        <w:tc>
          <w:tcPr>
            <w:tcW w:w="1725"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Cs w:val="21"/>
              </w:rPr>
            </w:pPr>
            <w:r>
              <w:rPr>
                <w:color w:val="000000"/>
                <w:szCs w:val="21"/>
              </w:rPr>
              <w:t>土地利用效益</w:t>
            </w:r>
          </w:p>
        </w:tc>
        <w:tc>
          <w:tcPr>
            <w:tcW w:w="3471"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现行房价、地价以及分布状况、各行业典型企业产值、销售额、流动资金与固定资产、税前及税后利润</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国土部门、统计局、经委、</w:t>
            </w:r>
          </w:p>
        </w:tc>
        <w:tc>
          <w:tcPr>
            <w:tcW w:w="2728" w:type="dxa"/>
            <w:tcBorders>
              <w:top w:val="single" w:color="auto" w:sz="4" w:space="0"/>
              <w:left w:val="single" w:color="auto" w:sz="4" w:space="0"/>
              <w:bottom w:val="single" w:color="auto" w:sz="4" w:space="0"/>
              <w:right w:val="single" w:color="auto" w:sz="4" w:space="0"/>
            </w:tcBorders>
            <w:vAlign w:val="center"/>
          </w:tcPr>
          <w:p>
            <w:pPr>
              <w:spacing w:line="240" w:lineRule="exact"/>
              <w:rPr>
                <w:color w:val="000000"/>
                <w:szCs w:val="21"/>
              </w:rPr>
            </w:pPr>
            <w:r>
              <w:rPr>
                <w:color w:val="000000"/>
                <w:szCs w:val="21"/>
              </w:rPr>
              <w:t>房价与地价分析资料、企业基本情况调查表、分布图</w:t>
            </w:r>
          </w:p>
        </w:tc>
      </w:tr>
    </w:tbl>
    <w:p>
      <w:pPr>
        <w:widowControl/>
        <w:ind w:firstLine="482" w:firstLineChars="200"/>
        <w:jc w:val="left"/>
        <w:rPr>
          <w:rFonts w:eastAsia="黑体"/>
          <w:b/>
          <w:bCs/>
          <w:sz w:val="24"/>
        </w:rPr>
      </w:pPr>
      <w:r>
        <w:rPr>
          <w:b/>
          <w:bCs/>
          <w:sz w:val="24"/>
        </w:rPr>
        <w:br w:type="page"/>
      </w:r>
    </w:p>
    <w:p>
      <w:pPr>
        <w:tabs>
          <w:tab w:val="left" w:pos="720"/>
        </w:tabs>
        <w:spacing w:line="480" w:lineRule="exact"/>
        <w:jc w:val="center"/>
        <w:rPr>
          <w:b/>
          <w:sz w:val="24"/>
          <w:szCs w:val="22"/>
        </w:rPr>
      </w:pPr>
      <w:r>
        <w:rPr>
          <w:b/>
          <w:sz w:val="24"/>
          <w:szCs w:val="22"/>
        </w:rPr>
        <w:t>表1-4-2  基准地价评估资料汇总表</w:t>
      </w:r>
    </w:p>
    <w:tbl>
      <w:tblP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584"/>
        <w:gridCol w:w="5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3" w:type="dxa"/>
            <w:vAlign w:val="center"/>
          </w:tcPr>
          <w:p>
            <w:pPr>
              <w:tabs>
                <w:tab w:val="left" w:pos="522"/>
              </w:tabs>
              <w:spacing w:line="460" w:lineRule="exact"/>
              <w:jc w:val="center"/>
              <w:rPr>
                <w:b/>
              </w:rPr>
            </w:pPr>
            <w:r>
              <w:rPr>
                <w:b/>
              </w:rPr>
              <w:t>序号</w:t>
            </w:r>
          </w:p>
        </w:tc>
        <w:tc>
          <w:tcPr>
            <w:tcW w:w="2584" w:type="dxa"/>
            <w:vAlign w:val="center"/>
          </w:tcPr>
          <w:p>
            <w:pPr>
              <w:tabs>
                <w:tab w:val="left" w:pos="522"/>
              </w:tabs>
              <w:spacing w:line="460" w:lineRule="exact"/>
              <w:jc w:val="center"/>
              <w:rPr>
                <w:b/>
              </w:rPr>
            </w:pPr>
            <w:r>
              <w:rPr>
                <w:b/>
              </w:rPr>
              <w:t>资料来源</w:t>
            </w:r>
          </w:p>
        </w:tc>
        <w:tc>
          <w:tcPr>
            <w:tcW w:w="5235" w:type="dxa"/>
            <w:vAlign w:val="center"/>
          </w:tcPr>
          <w:p>
            <w:pPr>
              <w:tabs>
                <w:tab w:val="left" w:pos="522"/>
              </w:tabs>
              <w:spacing w:line="460" w:lineRule="exact"/>
              <w:jc w:val="center"/>
              <w:rPr>
                <w:b/>
              </w:rPr>
            </w:pPr>
            <w:r>
              <w:rPr>
                <w:b/>
              </w:rPr>
              <w:t>收集资料内容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3" w:type="dxa"/>
            <w:vAlign w:val="center"/>
          </w:tcPr>
          <w:p>
            <w:pPr>
              <w:pStyle w:val="124"/>
              <w:widowControl w:val="0"/>
              <w:pBdr>
                <w:left w:val="none" w:color="auto" w:sz="0" w:space="0"/>
                <w:right w:val="none" w:color="auto" w:sz="0" w:space="0"/>
              </w:pBdr>
              <w:tabs>
                <w:tab w:val="left" w:pos="522"/>
              </w:tabs>
              <w:spacing w:before="0" w:beforeAutospacing="0" w:after="0" w:afterAutospacing="0" w:line="260" w:lineRule="exact"/>
              <w:rPr>
                <w:rFonts w:ascii="Times New Roman" w:hAnsi="Times New Roman"/>
                <w:kern w:val="2"/>
              </w:rPr>
            </w:pPr>
            <w:r>
              <w:rPr>
                <w:rFonts w:ascii="Times New Roman" w:hAnsi="Times New Roman"/>
                <w:kern w:val="2"/>
              </w:rPr>
              <w:t>1</w:t>
            </w:r>
          </w:p>
        </w:tc>
        <w:tc>
          <w:tcPr>
            <w:tcW w:w="2584" w:type="dxa"/>
            <w:vAlign w:val="center"/>
          </w:tcPr>
          <w:p>
            <w:pPr>
              <w:tabs>
                <w:tab w:val="left" w:pos="522"/>
              </w:tabs>
              <w:spacing w:line="260" w:lineRule="exact"/>
              <w:jc w:val="center"/>
            </w:pPr>
            <w:r>
              <w:t>土地管理部门</w:t>
            </w:r>
          </w:p>
        </w:tc>
        <w:tc>
          <w:tcPr>
            <w:tcW w:w="5235" w:type="dxa"/>
            <w:vAlign w:val="center"/>
          </w:tcPr>
          <w:p>
            <w:pPr>
              <w:tabs>
                <w:tab w:val="left" w:pos="522"/>
              </w:tabs>
              <w:spacing w:line="260" w:lineRule="exact"/>
              <w:jc w:val="center"/>
            </w:pPr>
            <w:r>
              <w:t>土地征用补偿及有关税费标准、土地出让转让等土地交易样点、征地样点、土地利用规划、原有基准地价资料、基本图件等。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703" w:type="dxa"/>
            <w:vAlign w:val="center"/>
          </w:tcPr>
          <w:p>
            <w:pPr>
              <w:tabs>
                <w:tab w:val="left" w:pos="522"/>
              </w:tabs>
              <w:spacing w:line="260" w:lineRule="exact"/>
              <w:jc w:val="center"/>
            </w:pPr>
            <w:r>
              <w:t>2</w:t>
            </w:r>
          </w:p>
        </w:tc>
        <w:tc>
          <w:tcPr>
            <w:tcW w:w="2584" w:type="dxa"/>
            <w:vAlign w:val="center"/>
          </w:tcPr>
          <w:p>
            <w:pPr>
              <w:pStyle w:val="124"/>
              <w:widowControl w:val="0"/>
              <w:pBdr>
                <w:left w:val="none" w:color="auto" w:sz="0" w:space="0"/>
                <w:right w:val="none" w:color="auto" w:sz="0" w:space="0"/>
              </w:pBdr>
              <w:tabs>
                <w:tab w:val="left" w:pos="522"/>
              </w:tabs>
              <w:spacing w:before="0" w:beforeAutospacing="0" w:after="0" w:afterAutospacing="0" w:line="260" w:lineRule="exact"/>
              <w:rPr>
                <w:rFonts w:ascii="Times New Roman" w:hAnsi="Times New Roman"/>
                <w:kern w:val="2"/>
              </w:rPr>
            </w:pPr>
            <w:r>
              <w:rPr>
                <w:rFonts w:ascii="Times New Roman" w:hAnsi="Times New Roman"/>
                <w:kern w:val="2"/>
              </w:rPr>
              <w:t>土地（房地产）评估机构</w:t>
            </w:r>
          </w:p>
        </w:tc>
        <w:tc>
          <w:tcPr>
            <w:tcW w:w="5235" w:type="dxa"/>
            <w:vAlign w:val="center"/>
          </w:tcPr>
          <w:p>
            <w:pPr>
              <w:tabs>
                <w:tab w:val="left" w:pos="522"/>
              </w:tabs>
              <w:spacing w:line="260" w:lineRule="exact"/>
              <w:jc w:val="center"/>
            </w:pPr>
            <w:r>
              <w:t>常用估价参数的原有取值范围、市场交易资料、评估案例。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703" w:type="dxa"/>
            <w:vAlign w:val="center"/>
          </w:tcPr>
          <w:p>
            <w:pPr>
              <w:tabs>
                <w:tab w:val="left" w:pos="522"/>
              </w:tabs>
              <w:spacing w:line="260" w:lineRule="exact"/>
              <w:jc w:val="center"/>
            </w:pPr>
            <w:r>
              <w:t>3</w:t>
            </w:r>
          </w:p>
        </w:tc>
        <w:tc>
          <w:tcPr>
            <w:tcW w:w="2584" w:type="dxa"/>
            <w:vAlign w:val="center"/>
          </w:tcPr>
          <w:p>
            <w:pPr>
              <w:tabs>
                <w:tab w:val="left" w:pos="522"/>
              </w:tabs>
              <w:spacing w:line="260" w:lineRule="exact"/>
              <w:jc w:val="center"/>
            </w:pPr>
            <w:r>
              <w:t>房地产开发公司</w:t>
            </w:r>
          </w:p>
        </w:tc>
        <w:tc>
          <w:tcPr>
            <w:tcW w:w="5235" w:type="dxa"/>
            <w:vAlign w:val="center"/>
          </w:tcPr>
          <w:p>
            <w:pPr>
              <w:pStyle w:val="71"/>
              <w:widowControl w:val="0"/>
              <w:pBdr>
                <w:bottom w:val="none" w:color="auto" w:sz="0" w:space="0"/>
              </w:pBdr>
              <w:tabs>
                <w:tab w:val="left" w:pos="522"/>
              </w:tabs>
              <w:spacing w:before="0" w:beforeAutospacing="0" w:after="0" w:afterAutospacing="0" w:line="260" w:lineRule="exact"/>
              <w:jc w:val="center"/>
              <w:rPr>
                <w:rFonts w:ascii="Times New Roman" w:hAnsi="Times New Roman"/>
                <w:kern w:val="2"/>
              </w:rPr>
            </w:pPr>
            <w:r>
              <w:rPr>
                <w:rFonts w:ascii="Times New Roman" w:hAnsi="Times New Roman"/>
                <w:kern w:val="2"/>
              </w:rPr>
              <w:t>商品房开发的利润及各项成本支出数据、商品房销售资料。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703" w:type="dxa"/>
            <w:vAlign w:val="center"/>
          </w:tcPr>
          <w:p>
            <w:pPr>
              <w:tabs>
                <w:tab w:val="left" w:pos="522"/>
              </w:tabs>
              <w:spacing w:line="260" w:lineRule="exact"/>
              <w:jc w:val="center"/>
            </w:pPr>
            <w:r>
              <w:t>4</w:t>
            </w:r>
          </w:p>
        </w:tc>
        <w:tc>
          <w:tcPr>
            <w:tcW w:w="2584" w:type="dxa"/>
            <w:vAlign w:val="center"/>
          </w:tcPr>
          <w:p>
            <w:pPr>
              <w:tabs>
                <w:tab w:val="left" w:pos="522"/>
              </w:tabs>
              <w:spacing w:line="260" w:lineRule="exact"/>
              <w:jc w:val="center"/>
            </w:pPr>
            <w:r>
              <w:t>房屋管理部门、房产交易所</w:t>
            </w:r>
          </w:p>
        </w:tc>
        <w:tc>
          <w:tcPr>
            <w:tcW w:w="5235" w:type="dxa"/>
            <w:vAlign w:val="center"/>
          </w:tcPr>
          <w:p>
            <w:pPr>
              <w:tabs>
                <w:tab w:val="left" w:pos="522"/>
              </w:tabs>
              <w:spacing w:line="260" w:lineRule="exact"/>
              <w:jc w:val="center"/>
            </w:pPr>
            <w:r>
              <w:t>私房买卖、出租样点、房产交易税费、手续费标准。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703" w:type="dxa"/>
            <w:vAlign w:val="center"/>
          </w:tcPr>
          <w:p>
            <w:pPr>
              <w:tabs>
                <w:tab w:val="left" w:pos="522"/>
              </w:tabs>
              <w:spacing w:line="260" w:lineRule="exact"/>
              <w:jc w:val="center"/>
            </w:pPr>
            <w:r>
              <w:t>5</w:t>
            </w:r>
          </w:p>
        </w:tc>
        <w:tc>
          <w:tcPr>
            <w:tcW w:w="2584" w:type="dxa"/>
            <w:vAlign w:val="center"/>
          </w:tcPr>
          <w:p>
            <w:pPr>
              <w:tabs>
                <w:tab w:val="left" w:pos="522"/>
              </w:tabs>
              <w:spacing w:line="260" w:lineRule="exact"/>
              <w:jc w:val="center"/>
            </w:pPr>
            <w:r>
              <w:t>人民银行</w:t>
            </w:r>
          </w:p>
        </w:tc>
        <w:tc>
          <w:tcPr>
            <w:tcW w:w="5235" w:type="dxa"/>
            <w:vAlign w:val="center"/>
          </w:tcPr>
          <w:p>
            <w:pPr>
              <w:tabs>
                <w:tab w:val="left" w:pos="522"/>
              </w:tabs>
              <w:spacing w:line="260" w:lineRule="exact"/>
              <w:jc w:val="center"/>
            </w:pPr>
            <w:r>
              <w:t>存、贷款利率。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703" w:type="dxa"/>
            <w:vAlign w:val="center"/>
          </w:tcPr>
          <w:p>
            <w:pPr>
              <w:tabs>
                <w:tab w:val="left" w:pos="522"/>
              </w:tabs>
              <w:spacing w:line="260" w:lineRule="exact"/>
              <w:jc w:val="center"/>
            </w:pPr>
            <w:r>
              <w:t>6</w:t>
            </w:r>
          </w:p>
        </w:tc>
        <w:tc>
          <w:tcPr>
            <w:tcW w:w="2584" w:type="dxa"/>
            <w:vAlign w:val="center"/>
          </w:tcPr>
          <w:p>
            <w:pPr>
              <w:tabs>
                <w:tab w:val="left" w:pos="522"/>
              </w:tabs>
              <w:spacing w:line="260" w:lineRule="exact"/>
              <w:jc w:val="center"/>
            </w:pPr>
            <w:r>
              <w:t>建设管理部门、物价部门</w:t>
            </w:r>
          </w:p>
        </w:tc>
        <w:tc>
          <w:tcPr>
            <w:tcW w:w="5235" w:type="dxa"/>
            <w:vAlign w:val="center"/>
          </w:tcPr>
          <w:p>
            <w:pPr>
              <w:pStyle w:val="71"/>
              <w:widowControl w:val="0"/>
              <w:pBdr>
                <w:bottom w:val="none" w:color="auto" w:sz="0" w:space="0"/>
              </w:pBdr>
              <w:tabs>
                <w:tab w:val="left" w:pos="522"/>
              </w:tabs>
              <w:spacing w:before="0" w:beforeAutospacing="0" w:after="0" w:afterAutospacing="0" w:line="260" w:lineRule="exact"/>
              <w:jc w:val="center"/>
              <w:rPr>
                <w:rFonts w:ascii="Times New Roman" w:hAnsi="Times New Roman"/>
                <w:kern w:val="2"/>
              </w:rPr>
            </w:pPr>
            <w:r>
              <w:rPr>
                <w:rFonts w:ascii="Times New Roman" w:hAnsi="Times New Roman"/>
                <w:kern w:val="2"/>
              </w:rPr>
              <w:t>规划资料、重置价等建筑造价信息、土地开发配套费、</w:t>
            </w:r>
            <w:r>
              <w:rPr>
                <w:rFonts w:ascii="Times New Roman" w:hAnsi="Times New Roman"/>
              </w:rPr>
              <w:t>有关建筑造价信息。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03" w:type="dxa"/>
            <w:vAlign w:val="center"/>
          </w:tcPr>
          <w:p>
            <w:pPr>
              <w:tabs>
                <w:tab w:val="left" w:pos="522"/>
              </w:tabs>
              <w:spacing w:line="260" w:lineRule="exact"/>
              <w:jc w:val="center"/>
            </w:pPr>
            <w:r>
              <w:t>7</w:t>
            </w:r>
          </w:p>
        </w:tc>
        <w:tc>
          <w:tcPr>
            <w:tcW w:w="2584" w:type="dxa"/>
            <w:vAlign w:val="center"/>
          </w:tcPr>
          <w:p>
            <w:pPr>
              <w:tabs>
                <w:tab w:val="left" w:pos="522"/>
              </w:tabs>
              <w:spacing w:line="260" w:lineRule="exact"/>
              <w:jc w:val="center"/>
            </w:pPr>
            <w:r>
              <w:t>地税局</w:t>
            </w:r>
          </w:p>
        </w:tc>
        <w:tc>
          <w:tcPr>
            <w:tcW w:w="5235" w:type="dxa"/>
            <w:vAlign w:val="center"/>
          </w:tcPr>
          <w:p>
            <w:pPr>
              <w:pStyle w:val="71"/>
              <w:widowControl w:val="0"/>
              <w:pBdr>
                <w:bottom w:val="none" w:color="auto" w:sz="0" w:space="0"/>
              </w:pBdr>
              <w:tabs>
                <w:tab w:val="left" w:pos="522"/>
              </w:tabs>
              <w:spacing w:before="0" w:beforeAutospacing="0" w:after="0" w:afterAutospacing="0" w:line="260" w:lineRule="exact"/>
              <w:jc w:val="center"/>
              <w:rPr>
                <w:rFonts w:ascii="Times New Roman" w:hAnsi="Times New Roman"/>
                <w:kern w:val="2"/>
              </w:rPr>
            </w:pPr>
            <w:r>
              <w:rPr>
                <w:rFonts w:ascii="Times New Roman" w:hAnsi="Times New Roman"/>
                <w:kern w:val="2"/>
              </w:rPr>
              <w:t>有关土地、房屋的各种税收文件、标准。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03" w:type="dxa"/>
            <w:vAlign w:val="center"/>
          </w:tcPr>
          <w:p>
            <w:pPr>
              <w:tabs>
                <w:tab w:val="left" w:pos="522"/>
              </w:tabs>
              <w:spacing w:line="260" w:lineRule="exact"/>
              <w:jc w:val="center"/>
            </w:pPr>
            <w:r>
              <w:t>8</w:t>
            </w:r>
          </w:p>
        </w:tc>
        <w:tc>
          <w:tcPr>
            <w:tcW w:w="2584" w:type="dxa"/>
            <w:vAlign w:val="center"/>
          </w:tcPr>
          <w:p>
            <w:pPr>
              <w:tabs>
                <w:tab w:val="left" w:pos="522"/>
              </w:tabs>
              <w:spacing w:line="260" w:lineRule="exact"/>
              <w:jc w:val="center"/>
            </w:pPr>
            <w:r>
              <w:t>工业（商服）开发公司</w:t>
            </w:r>
          </w:p>
        </w:tc>
        <w:tc>
          <w:tcPr>
            <w:tcW w:w="5235" w:type="dxa"/>
            <w:vAlign w:val="center"/>
          </w:tcPr>
          <w:p>
            <w:pPr>
              <w:tabs>
                <w:tab w:val="left" w:pos="522"/>
              </w:tabs>
              <w:spacing w:line="260" w:lineRule="exact"/>
              <w:jc w:val="center"/>
            </w:pPr>
            <w:r>
              <w:t>工业、商服土地开发中的各项费用概况。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03" w:type="dxa"/>
            <w:vAlign w:val="center"/>
          </w:tcPr>
          <w:p>
            <w:pPr>
              <w:tabs>
                <w:tab w:val="left" w:pos="522"/>
              </w:tabs>
              <w:spacing w:line="260" w:lineRule="exact"/>
              <w:jc w:val="center"/>
            </w:pPr>
            <w:r>
              <w:t>9</w:t>
            </w:r>
          </w:p>
        </w:tc>
        <w:tc>
          <w:tcPr>
            <w:tcW w:w="2584" w:type="dxa"/>
            <w:vAlign w:val="center"/>
          </w:tcPr>
          <w:p>
            <w:pPr>
              <w:tabs>
                <w:tab w:val="left" w:pos="522"/>
              </w:tabs>
              <w:spacing w:line="260" w:lineRule="exact"/>
              <w:jc w:val="center"/>
            </w:pPr>
            <w:r>
              <w:t>统计局</w:t>
            </w:r>
          </w:p>
        </w:tc>
        <w:tc>
          <w:tcPr>
            <w:tcW w:w="5235" w:type="dxa"/>
            <w:vAlign w:val="center"/>
          </w:tcPr>
          <w:p>
            <w:pPr>
              <w:tabs>
                <w:tab w:val="left" w:pos="522"/>
              </w:tabs>
              <w:spacing w:line="260" w:lineRule="exact"/>
              <w:jc w:val="center"/>
            </w:pPr>
            <w:r>
              <w:t>近年经济发展指标、其他有关统计分析资料等。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03" w:type="dxa"/>
            <w:vAlign w:val="center"/>
          </w:tcPr>
          <w:p>
            <w:pPr>
              <w:tabs>
                <w:tab w:val="left" w:pos="522"/>
              </w:tabs>
              <w:spacing w:line="260" w:lineRule="exact"/>
              <w:jc w:val="center"/>
            </w:pPr>
            <w:r>
              <w:t>10</w:t>
            </w:r>
          </w:p>
        </w:tc>
        <w:tc>
          <w:tcPr>
            <w:tcW w:w="2584" w:type="dxa"/>
            <w:vAlign w:val="center"/>
          </w:tcPr>
          <w:p>
            <w:pPr>
              <w:tabs>
                <w:tab w:val="left" w:pos="522"/>
              </w:tabs>
              <w:spacing w:line="260" w:lineRule="exact"/>
              <w:jc w:val="center"/>
            </w:pPr>
            <w:r>
              <w:t>临街商铺</w:t>
            </w:r>
          </w:p>
        </w:tc>
        <w:tc>
          <w:tcPr>
            <w:tcW w:w="5235" w:type="dxa"/>
            <w:vAlign w:val="center"/>
          </w:tcPr>
          <w:p>
            <w:pPr>
              <w:tabs>
                <w:tab w:val="left" w:pos="522"/>
              </w:tabs>
              <w:spacing w:line="260" w:lineRule="exact"/>
              <w:jc w:val="center"/>
            </w:pPr>
            <w:r>
              <w:t>铺面出租资料。</w:t>
            </w:r>
          </w:p>
        </w:tc>
      </w:tr>
    </w:tbl>
    <w:p>
      <w:pPr>
        <w:spacing w:line="360" w:lineRule="auto"/>
        <w:ind w:firstLine="560" w:firstLineChars="200"/>
        <w:outlineLvl w:val="2"/>
        <w:rPr>
          <w:rFonts w:eastAsia="黑体"/>
          <w:sz w:val="28"/>
          <w:szCs w:val="28"/>
        </w:rPr>
      </w:pPr>
      <w:bookmarkStart w:id="206" w:name="_Toc467846817"/>
      <w:bookmarkStart w:id="207" w:name="_Toc271529420"/>
      <w:bookmarkStart w:id="208" w:name="_Toc24050"/>
      <w:bookmarkStart w:id="209" w:name="_Toc469296425"/>
      <w:bookmarkStart w:id="210" w:name="_Toc470721276"/>
      <w:bookmarkStart w:id="211" w:name="_Toc22330"/>
      <w:bookmarkStart w:id="212" w:name="_Toc271529419"/>
      <w:r>
        <w:rPr>
          <w:rFonts w:eastAsia="黑体"/>
          <w:sz w:val="28"/>
          <w:szCs w:val="28"/>
        </w:rPr>
        <w:t>五、样点资料</w:t>
      </w:r>
      <w:bookmarkEnd w:id="206"/>
      <w:bookmarkEnd w:id="207"/>
      <w:r>
        <w:rPr>
          <w:rFonts w:eastAsia="黑体"/>
          <w:sz w:val="28"/>
          <w:szCs w:val="28"/>
        </w:rPr>
        <w:t>整理</w:t>
      </w:r>
      <w:bookmarkEnd w:id="208"/>
      <w:bookmarkEnd w:id="209"/>
      <w:bookmarkEnd w:id="210"/>
      <w:bookmarkEnd w:id="211"/>
    </w:p>
    <w:p>
      <w:pPr>
        <w:spacing w:line="360" w:lineRule="auto"/>
        <w:ind w:firstLine="482" w:firstLineChars="200"/>
        <w:jc w:val="left"/>
        <w:textAlignment w:val="baseline"/>
        <w:rPr>
          <w:b/>
          <w:sz w:val="24"/>
          <w:szCs w:val="24"/>
          <w:lang w:val="zh-CN"/>
        </w:rPr>
      </w:pPr>
      <w:bookmarkStart w:id="213" w:name="_Toc271529416"/>
      <w:r>
        <w:rPr>
          <w:b/>
          <w:sz w:val="24"/>
          <w:szCs w:val="24"/>
          <w:lang w:val="zh-CN"/>
        </w:rPr>
        <w:t>1、样点资料的检查</w:t>
      </w:r>
      <w:bookmarkEnd w:id="213"/>
    </w:p>
    <w:p>
      <w:pPr>
        <w:spacing w:line="480" w:lineRule="exact"/>
        <w:ind w:firstLine="480" w:firstLineChars="200"/>
        <w:rPr>
          <w:sz w:val="24"/>
          <w:szCs w:val="22"/>
          <w:lang w:val="zh-CN"/>
        </w:rPr>
      </w:pPr>
      <w:r>
        <w:rPr>
          <w:sz w:val="24"/>
          <w:szCs w:val="22"/>
          <w:lang w:val="zh-CN"/>
        </w:rPr>
        <w:t>为了保证外业调查资料的真实、可靠，在整个调查过程中，建立了一套严格的检查制度。各作业组调查的资料，首先由调查者自检，如有遗漏和不实，及时补充和改正；然后调查者互检，进一步检查并纠正错误；最后由调查组负责人通过抽查方式检查。检查通过后的全部资料还要经过技术组统一复查、评议。此外，还重点检查了房地出租、出售资料。由于目前土地市场有待进一步完善，在房地产交易过程中，交易双方为少交税费，常有瞒价行为。因此，为了保证房地出租、出售价格的真实性，一方面，按不同地段、用地类型、区位条件对重要样点进行抽查，并对瞒价程度、瞒价类型进行调查；另一方面，对有缺项、数据明显矛盾、租金或售价明显偏低、偏高的样点重新进行调查。如经过检查、判断或重新调查后出现调查表格中关键数据空缺、填写不符合要求或数据明显与实际不符的样点，应将其剔除。</w:t>
      </w:r>
    </w:p>
    <w:p>
      <w:pPr>
        <w:spacing w:line="360" w:lineRule="auto"/>
        <w:ind w:firstLine="482" w:firstLineChars="200"/>
        <w:jc w:val="left"/>
        <w:textAlignment w:val="baseline"/>
        <w:rPr>
          <w:b/>
          <w:sz w:val="24"/>
          <w:szCs w:val="24"/>
          <w:lang w:val="zh-CN"/>
        </w:rPr>
      </w:pPr>
      <w:bookmarkStart w:id="214" w:name="_Toc271529417"/>
      <w:r>
        <w:rPr>
          <w:b/>
          <w:sz w:val="24"/>
          <w:szCs w:val="24"/>
          <w:lang w:val="zh-CN"/>
        </w:rPr>
        <w:t>2、样点资料的补充</w:t>
      </w:r>
      <w:bookmarkEnd w:id="214"/>
    </w:p>
    <w:p>
      <w:pPr>
        <w:spacing w:line="480" w:lineRule="exact"/>
        <w:ind w:firstLine="480" w:firstLineChars="200"/>
        <w:rPr>
          <w:sz w:val="24"/>
          <w:szCs w:val="22"/>
          <w:lang w:val="zh-CN"/>
        </w:rPr>
      </w:pPr>
      <w:r>
        <w:rPr>
          <w:sz w:val="24"/>
          <w:szCs w:val="22"/>
          <w:lang w:val="zh-CN"/>
        </w:rPr>
        <w:t>为了保证调查资料的全面性、典型性，在资料初步收齐并标图的基础上，由技术组对资料进行全面审查，对未调查的资料和调查面不够广泛且分布过于集中的资料进行补充。特别是对房地出租、出售资料，根据土地市场样点分布图，结合商服路线图、住宅区片图，对明显缺乏样点或样点偏少的商服路段、住宅区片进行补充调查。</w:t>
      </w:r>
    </w:p>
    <w:p>
      <w:pPr>
        <w:spacing w:line="360" w:lineRule="auto"/>
        <w:ind w:firstLine="482" w:firstLineChars="200"/>
        <w:jc w:val="left"/>
        <w:textAlignment w:val="baseline"/>
        <w:rPr>
          <w:b/>
          <w:sz w:val="24"/>
          <w:szCs w:val="24"/>
          <w:lang w:val="zh-CN"/>
        </w:rPr>
      </w:pPr>
      <w:bookmarkStart w:id="215" w:name="_Toc271529418"/>
      <w:r>
        <w:rPr>
          <w:b/>
          <w:sz w:val="24"/>
          <w:szCs w:val="24"/>
          <w:lang w:val="zh-CN"/>
        </w:rPr>
        <w:t>3、样点资料的汇总</w:t>
      </w:r>
      <w:bookmarkEnd w:id="215"/>
    </w:p>
    <w:p>
      <w:pPr>
        <w:spacing w:line="480" w:lineRule="exact"/>
        <w:ind w:firstLine="480" w:firstLineChars="200"/>
        <w:rPr>
          <w:sz w:val="24"/>
          <w:szCs w:val="22"/>
          <w:lang w:val="zh-CN"/>
        </w:rPr>
      </w:pPr>
      <w:r>
        <w:rPr>
          <w:sz w:val="24"/>
          <w:szCs w:val="22"/>
          <w:lang w:val="zh-CN"/>
        </w:rPr>
        <w:t>评估工作人员通过不同方法和途径，进行了资料收集与调查，调查中坚持资料来源于市场、反映当前最新房地产市场状况，保证了调查资料的真实性和可靠性。资料整理主要有以下几个方面的内容：其一剔除项目不全、填报数据不符合要求或数据明显异常的样点；其二将初审合格的样本资料，分别按均质区域、土地用途、地价的交易方式进行归类；其三、对调查的资料按一定的标准统一编号、统一上图。</w:t>
      </w:r>
    </w:p>
    <w:p>
      <w:pPr>
        <w:spacing w:line="480" w:lineRule="exact"/>
        <w:ind w:firstLine="480" w:firstLineChars="200"/>
        <w:rPr>
          <w:sz w:val="24"/>
          <w:szCs w:val="22"/>
          <w:lang w:val="zh-CN"/>
        </w:rPr>
      </w:pPr>
      <w:r>
        <w:rPr>
          <w:sz w:val="24"/>
          <w:szCs w:val="22"/>
          <w:lang w:val="zh-CN"/>
        </w:rPr>
        <w:t>经统计汇总，共收集到各类有效样点</w:t>
      </w:r>
      <w:r>
        <w:rPr>
          <w:rFonts w:hint="eastAsia"/>
          <w:sz w:val="24"/>
          <w:szCs w:val="22"/>
        </w:rPr>
        <w:t>1018</w:t>
      </w:r>
      <w:r>
        <w:rPr>
          <w:sz w:val="24"/>
          <w:szCs w:val="22"/>
          <w:lang w:val="zh-CN"/>
        </w:rPr>
        <w:t>个，按各交易类型统计各用途的样点数量如表1-4-3。样点分布图件见图1-4-2。</w:t>
      </w:r>
    </w:p>
    <w:p>
      <w:pPr>
        <w:tabs>
          <w:tab w:val="left" w:pos="720"/>
        </w:tabs>
        <w:spacing w:line="480" w:lineRule="exact"/>
        <w:jc w:val="center"/>
        <w:rPr>
          <w:b/>
          <w:sz w:val="24"/>
          <w:szCs w:val="22"/>
        </w:rPr>
      </w:pPr>
      <w:r>
        <w:rPr>
          <w:b/>
          <w:sz w:val="24"/>
          <w:szCs w:val="22"/>
        </w:rPr>
        <w:t>表1-4-3  　长沙县城区基准地价成果更新样点统计表</w:t>
      </w: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8"/>
        <w:gridCol w:w="1265"/>
        <w:gridCol w:w="1265"/>
        <w:gridCol w:w="1265"/>
        <w:gridCol w:w="126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6" w:hRule="atLeast"/>
        </w:trPr>
        <w:tc>
          <w:tcPr>
            <w:tcW w:w="2198" w:type="dxa"/>
            <w:vAlign w:val="center"/>
          </w:tcPr>
          <w:p>
            <w:pPr>
              <w:ind w:right="-105" w:rightChars="-50"/>
              <w:jc w:val="center"/>
              <w:rPr>
                <w:bCs/>
                <w:sz w:val="24"/>
              </w:rPr>
            </w:pPr>
            <w:r>
              <w:rPr>
                <w:bCs/>
                <w:sz w:val="24"/>
              </w:rPr>
              <w:t>交易类型样点数量（个）</w:t>
            </w:r>
          </w:p>
          <w:p>
            <w:pPr>
              <w:ind w:right="-105" w:rightChars="-50"/>
              <w:jc w:val="center"/>
              <w:rPr>
                <w:bCs/>
                <w:sz w:val="24"/>
              </w:rPr>
            </w:pPr>
            <w:r>
              <w:rPr>
                <w:bCs/>
                <w:sz w:val="24"/>
              </w:rPr>
              <w:t>用地类型</w:t>
            </w:r>
          </w:p>
        </w:tc>
        <w:tc>
          <w:tcPr>
            <w:tcW w:w="1265" w:type="dxa"/>
            <w:vAlign w:val="center"/>
          </w:tcPr>
          <w:p>
            <w:pPr>
              <w:pStyle w:val="124"/>
              <w:widowControl w:val="0"/>
              <w:pBdr>
                <w:left w:val="none" w:color="auto" w:sz="0" w:space="0"/>
                <w:right w:val="none" w:color="auto" w:sz="0" w:space="0"/>
              </w:pBdr>
              <w:spacing w:before="0" w:beforeAutospacing="0" w:after="0" w:afterAutospacing="0"/>
              <w:rPr>
                <w:rFonts w:ascii="Times New Roman" w:hAnsi="Times New Roman"/>
                <w:bCs/>
                <w:kern w:val="2"/>
                <w:sz w:val="24"/>
                <w:szCs w:val="24"/>
              </w:rPr>
            </w:pPr>
            <w:r>
              <w:rPr>
                <w:rFonts w:ascii="Times New Roman" w:hAnsi="Times New Roman"/>
                <w:bCs/>
                <w:kern w:val="2"/>
                <w:sz w:val="24"/>
                <w:szCs w:val="24"/>
              </w:rPr>
              <w:t>房屋</w:t>
            </w:r>
          </w:p>
          <w:p>
            <w:pPr>
              <w:pStyle w:val="124"/>
              <w:widowControl w:val="0"/>
              <w:pBdr>
                <w:left w:val="none" w:color="auto" w:sz="0" w:space="0"/>
                <w:right w:val="none" w:color="auto" w:sz="0" w:space="0"/>
              </w:pBdr>
              <w:spacing w:before="0" w:beforeAutospacing="0" w:after="0" w:afterAutospacing="0"/>
              <w:rPr>
                <w:rFonts w:ascii="Times New Roman" w:hAnsi="Times New Roman"/>
                <w:bCs/>
                <w:kern w:val="2"/>
                <w:sz w:val="24"/>
                <w:szCs w:val="24"/>
              </w:rPr>
            </w:pPr>
            <w:r>
              <w:rPr>
                <w:rFonts w:ascii="Times New Roman" w:hAnsi="Times New Roman"/>
                <w:bCs/>
                <w:kern w:val="2"/>
                <w:sz w:val="24"/>
                <w:szCs w:val="24"/>
              </w:rPr>
              <w:t>出租</w:t>
            </w:r>
          </w:p>
        </w:tc>
        <w:tc>
          <w:tcPr>
            <w:tcW w:w="1265" w:type="dxa"/>
            <w:vAlign w:val="center"/>
          </w:tcPr>
          <w:p>
            <w:pPr>
              <w:jc w:val="center"/>
              <w:rPr>
                <w:bCs/>
                <w:sz w:val="24"/>
              </w:rPr>
            </w:pPr>
            <w:r>
              <w:rPr>
                <w:bCs/>
                <w:sz w:val="24"/>
              </w:rPr>
              <w:t>商品房</w:t>
            </w:r>
          </w:p>
          <w:p>
            <w:pPr>
              <w:jc w:val="center"/>
              <w:rPr>
                <w:bCs/>
                <w:sz w:val="24"/>
              </w:rPr>
            </w:pPr>
            <w:r>
              <w:rPr>
                <w:bCs/>
                <w:sz w:val="24"/>
              </w:rPr>
              <w:t>出售</w:t>
            </w:r>
          </w:p>
        </w:tc>
        <w:tc>
          <w:tcPr>
            <w:tcW w:w="1265" w:type="dxa"/>
            <w:vAlign w:val="center"/>
          </w:tcPr>
          <w:p>
            <w:pPr>
              <w:jc w:val="center"/>
              <w:rPr>
                <w:bCs/>
                <w:sz w:val="24"/>
              </w:rPr>
            </w:pPr>
            <w:r>
              <w:rPr>
                <w:bCs/>
                <w:sz w:val="24"/>
              </w:rPr>
              <w:t>房屋</w:t>
            </w:r>
          </w:p>
          <w:p>
            <w:pPr>
              <w:jc w:val="center"/>
              <w:rPr>
                <w:bCs/>
                <w:sz w:val="24"/>
              </w:rPr>
            </w:pPr>
            <w:r>
              <w:rPr>
                <w:bCs/>
                <w:sz w:val="24"/>
              </w:rPr>
              <w:t>买卖</w:t>
            </w:r>
          </w:p>
        </w:tc>
        <w:tc>
          <w:tcPr>
            <w:tcW w:w="1264" w:type="dxa"/>
            <w:vAlign w:val="center"/>
          </w:tcPr>
          <w:p>
            <w:pPr>
              <w:jc w:val="center"/>
              <w:rPr>
                <w:bCs/>
                <w:sz w:val="24"/>
              </w:rPr>
            </w:pPr>
            <w:r>
              <w:rPr>
                <w:bCs/>
                <w:sz w:val="24"/>
              </w:rPr>
              <w:t>土地转让（转让）</w:t>
            </w:r>
          </w:p>
        </w:tc>
        <w:tc>
          <w:tcPr>
            <w:tcW w:w="1265" w:type="dxa"/>
            <w:vAlign w:val="center"/>
          </w:tcPr>
          <w:p>
            <w:pPr>
              <w:jc w:val="center"/>
              <w:rPr>
                <w:bCs/>
                <w:sz w:val="24"/>
              </w:rPr>
            </w:pPr>
            <w:r>
              <w:rPr>
                <w:bCs/>
                <w:sz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198" w:type="dxa"/>
            <w:vAlign w:val="center"/>
          </w:tcPr>
          <w:p>
            <w:pPr>
              <w:spacing w:line="240" w:lineRule="exact"/>
              <w:jc w:val="center"/>
              <w:rPr>
                <w:sz w:val="24"/>
              </w:rPr>
            </w:pPr>
            <w:r>
              <w:rPr>
                <w:sz w:val="24"/>
              </w:rPr>
              <w:t>商  业</w:t>
            </w:r>
          </w:p>
        </w:tc>
        <w:tc>
          <w:tcPr>
            <w:tcW w:w="1265" w:type="dxa"/>
            <w:vAlign w:val="center"/>
          </w:tcPr>
          <w:p>
            <w:pPr>
              <w:spacing w:line="240" w:lineRule="exact"/>
              <w:jc w:val="center"/>
              <w:rPr>
                <w:color w:val="000000"/>
                <w:sz w:val="24"/>
                <w:szCs w:val="24"/>
              </w:rPr>
            </w:pPr>
            <w:r>
              <w:rPr>
                <w:rFonts w:hint="eastAsia"/>
                <w:color w:val="000000"/>
                <w:szCs w:val="21"/>
              </w:rPr>
              <w:t>5</w:t>
            </w:r>
            <w:r>
              <w:rPr>
                <w:color w:val="000000"/>
                <w:szCs w:val="21"/>
              </w:rPr>
              <w:t>15</w:t>
            </w:r>
          </w:p>
        </w:tc>
        <w:tc>
          <w:tcPr>
            <w:tcW w:w="1265" w:type="dxa"/>
            <w:vAlign w:val="center"/>
          </w:tcPr>
          <w:p>
            <w:pPr>
              <w:spacing w:line="240" w:lineRule="exact"/>
              <w:jc w:val="center"/>
              <w:rPr>
                <w:color w:val="000000"/>
                <w:sz w:val="24"/>
                <w:szCs w:val="24"/>
              </w:rPr>
            </w:pPr>
            <w:r>
              <w:rPr>
                <w:rFonts w:hint="eastAsia"/>
                <w:color w:val="000000"/>
                <w:szCs w:val="21"/>
              </w:rPr>
              <w:t>4</w:t>
            </w:r>
            <w:r>
              <w:rPr>
                <w:color w:val="000000"/>
                <w:szCs w:val="21"/>
              </w:rPr>
              <w:t>2</w:t>
            </w:r>
          </w:p>
        </w:tc>
        <w:tc>
          <w:tcPr>
            <w:tcW w:w="1265" w:type="dxa"/>
            <w:vAlign w:val="center"/>
          </w:tcPr>
          <w:p>
            <w:pPr>
              <w:spacing w:line="240" w:lineRule="exact"/>
              <w:jc w:val="center"/>
              <w:rPr>
                <w:color w:val="000000"/>
                <w:sz w:val="24"/>
                <w:szCs w:val="24"/>
              </w:rPr>
            </w:pPr>
            <w:r>
              <w:rPr>
                <w:rFonts w:hint="eastAsia"/>
                <w:color w:val="000000"/>
                <w:szCs w:val="21"/>
              </w:rPr>
              <w:t>1</w:t>
            </w:r>
            <w:r>
              <w:rPr>
                <w:color w:val="000000"/>
                <w:szCs w:val="21"/>
              </w:rPr>
              <w:t>5</w:t>
            </w:r>
          </w:p>
        </w:tc>
        <w:tc>
          <w:tcPr>
            <w:tcW w:w="1264" w:type="dxa"/>
            <w:vAlign w:val="center"/>
          </w:tcPr>
          <w:p>
            <w:pPr>
              <w:spacing w:line="240" w:lineRule="exact"/>
              <w:jc w:val="center"/>
              <w:rPr>
                <w:color w:val="000000"/>
                <w:sz w:val="24"/>
                <w:szCs w:val="24"/>
              </w:rPr>
            </w:pPr>
            <w:r>
              <w:rPr>
                <w:rFonts w:hint="eastAsia"/>
                <w:color w:val="000000"/>
                <w:szCs w:val="21"/>
              </w:rPr>
              <w:t>13</w:t>
            </w:r>
          </w:p>
        </w:tc>
        <w:tc>
          <w:tcPr>
            <w:tcW w:w="1265" w:type="dxa"/>
            <w:vAlign w:val="center"/>
          </w:tcPr>
          <w:p>
            <w:pPr>
              <w:spacing w:line="240" w:lineRule="exact"/>
              <w:jc w:val="center"/>
              <w:rPr>
                <w:color w:val="000000"/>
                <w:sz w:val="24"/>
                <w:szCs w:val="24"/>
              </w:rPr>
            </w:pPr>
            <w:r>
              <w:rPr>
                <w:rFonts w:hint="eastAsia"/>
                <w:color w:val="000000"/>
                <w:szCs w:val="21"/>
              </w:rPr>
              <w:t>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198" w:type="dxa"/>
            <w:vAlign w:val="center"/>
          </w:tcPr>
          <w:p>
            <w:pPr>
              <w:spacing w:line="240" w:lineRule="exact"/>
              <w:jc w:val="center"/>
              <w:rPr>
                <w:sz w:val="24"/>
              </w:rPr>
            </w:pPr>
            <w:r>
              <w:rPr>
                <w:sz w:val="24"/>
              </w:rPr>
              <w:t>住  宅</w:t>
            </w:r>
          </w:p>
        </w:tc>
        <w:tc>
          <w:tcPr>
            <w:tcW w:w="1265" w:type="dxa"/>
            <w:vAlign w:val="center"/>
          </w:tcPr>
          <w:p>
            <w:pPr>
              <w:spacing w:line="240" w:lineRule="exact"/>
              <w:jc w:val="center"/>
              <w:rPr>
                <w:color w:val="000000"/>
                <w:sz w:val="24"/>
                <w:szCs w:val="24"/>
              </w:rPr>
            </w:pPr>
            <w:r>
              <w:rPr>
                <w:rFonts w:hint="eastAsia"/>
                <w:color w:val="000000"/>
                <w:szCs w:val="21"/>
              </w:rPr>
              <w:t>163</w:t>
            </w:r>
          </w:p>
        </w:tc>
        <w:tc>
          <w:tcPr>
            <w:tcW w:w="1265" w:type="dxa"/>
            <w:vAlign w:val="center"/>
          </w:tcPr>
          <w:p>
            <w:pPr>
              <w:spacing w:line="240" w:lineRule="exact"/>
              <w:jc w:val="center"/>
              <w:rPr>
                <w:color w:val="000000"/>
                <w:sz w:val="24"/>
                <w:szCs w:val="24"/>
              </w:rPr>
            </w:pPr>
            <w:r>
              <w:rPr>
                <w:rFonts w:hint="eastAsia"/>
                <w:color w:val="000000"/>
                <w:szCs w:val="21"/>
              </w:rPr>
              <w:t>98</w:t>
            </w:r>
          </w:p>
        </w:tc>
        <w:tc>
          <w:tcPr>
            <w:tcW w:w="1265" w:type="dxa"/>
            <w:vAlign w:val="center"/>
          </w:tcPr>
          <w:p>
            <w:pPr>
              <w:spacing w:line="240" w:lineRule="exact"/>
              <w:jc w:val="center"/>
              <w:rPr>
                <w:color w:val="000000"/>
                <w:sz w:val="24"/>
                <w:szCs w:val="24"/>
              </w:rPr>
            </w:pPr>
            <w:r>
              <w:rPr>
                <w:color w:val="000000"/>
                <w:szCs w:val="21"/>
              </w:rPr>
              <w:t>121</w:t>
            </w:r>
          </w:p>
        </w:tc>
        <w:tc>
          <w:tcPr>
            <w:tcW w:w="1264" w:type="dxa"/>
            <w:vAlign w:val="center"/>
          </w:tcPr>
          <w:p>
            <w:pPr>
              <w:spacing w:line="240" w:lineRule="exact"/>
              <w:jc w:val="center"/>
              <w:rPr>
                <w:color w:val="000000"/>
                <w:sz w:val="24"/>
                <w:szCs w:val="24"/>
              </w:rPr>
            </w:pPr>
            <w:r>
              <w:rPr>
                <w:color w:val="000000"/>
                <w:szCs w:val="21"/>
              </w:rPr>
              <w:t>12</w:t>
            </w:r>
          </w:p>
        </w:tc>
        <w:tc>
          <w:tcPr>
            <w:tcW w:w="1265" w:type="dxa"/>
            <w:vAlign w:val="center"/>
          </w:tcPr>
          <w:p>
            <w:pPr>
              <w:spacing w:line="240" w:lineRule="exact"/>
              <w:jc w:val="center"/>
              <w:rPr>
                <w:color w:val="000000"/>
                <w:sz w:val="24"/>
                <w:szCs w:val="24"/>
              </w:rPr>
            </w:pPr>
            <w:r>
              <w:rPr>
                <w:color w:val="000000"/>
                <w:szCs w:val="21"/>
              </w:rPr>
              <w:t>3</w:t>
            </w:r>
            <w:r>
              <w:rPr>
                <w:rFonts w:hint="eastAsia"/>
                <w:color w:val="000000"/>
                <w:szCs w:val="21"/>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198" w:type="dxa"/>
            <w:vAlign w:val="center"/>
          </w:tcPr>
          <w:p>
            <w:pPr>
              <w:spacing w:line="240" w:lineRule="exact"/>
              <w:jc w:val="center"/>
              <w:rPr>
                <w:sz w:val="24"/>
              </w:rPr>
            </w:pPr>
            <w:r>
              <w:rPr>
                <w:sz w:val="24"/>
              </w:rPr>
              <w:t>工  业</w:t>
            </w:r>
          </w:p>
        </w:tc>
        <w:tc>
          <w:tcPr>
            <w:tcW w:w="1265" w:type="dxa"/>
            <w:vAlign w:val="center"/>
          </w:tcPr>
          <w:p>
            <w:pPr>
              <w:spacing w:line="240" w:lineRule="exact"/>
              <w:jc w:val="center"/>
              <w:rPr>
                <w:color w:val="000000"/>
                <w:sz w:val="24"/>
                <w:szCs w:val="24"/>
              </w:rPr>
            </w:pPr>
            <w:r>
              <w:rPr>
                <w:color w:val="000000"/>
                <w:szCs w:val="21"/>
              </w:rPr>
              <w:t>12</w:t>
            </w:r>
          </w:p>
        </w:tc>
        <w:tc>
          <w:tcPr>
            <w:tcW w:w="1265" w:type="dxa"/>
            <w:vAlign w:val="center"/>
          </w:tcPr>
          <w:p>
            <w:pPr>
              <w:spacing w:line="240" w:lineRule="exact"/>
              <w:jc w:val="center"/>
              <w:rPr>
                <w:color w:val="000000"/>
                <w:sz w:val="24"/>
                <w:szCs w:val="24"/>
              </w:rPr>
            </w:pPr>
            <w:r>
              <w:rPr>
                <w:rFonts w:hint="eastAsia"/>
                <w:color w:val="000000"/>
                <w:szCs w:val="21"/>
              </w:rPr>
              <w:t>0</w:t>
            </w:r>
          </w:p>
        </w:tc>
        <w:tc>
          <w:tcPr>
            <w:tcW w:w="1265" w:type="dxa"/>
            <w:vAlign w:val="center"/>
          </w:tcPr>
          <w:p>
            <w:pPr>
              <w:spacing w:line="240" w:lineRule="exact"/>
              <w:jc w:val="center"/>
              <w:rPr>
                <w:color w:val="000000"/>
                <w:sz w:val="24"/>
                <w:szCs w:val="24"/>
              </w:rPr>
            </w:pPr>
            <w:r>
              <w:rPr>
                <w:rFonts w:hint="eastAsia"/>
                <w:color w:val="000000"/>
                <w:szCs w:val="21"/>
              </w:rPr>
              <w:t>3</w:t>
            </w:r>
          </w:p>
        </w:tc>
        <w:tc>
          <w:tcPr>
            <w:tcW w:w="1264" w:type="dxa"/>
            <w:vAlign w:val="center"/>
          </w:tcPr>
          <w:p>
            <w:pPr>
              <w:spacing w:line="240" w:lineRule="exact"/>
              <w:jc w:val="center"/>
              <w:rPr>
                <w:color w:val="000000"/>
                <w:sz w:val="24"/>
                <w:szCs w:val="24"/>
              </w:rPr>
            </w:pPr>
            <w:r>
              <w:rPr>
                <w:rFonts w:hint="eastAsia"/>
                <w:color w:val="000000"/>
                <w:szCs w:val="21"/>
              </w:rPr>
              <w:t>24</w:t>
            </w:r>
          </w:p>
        </w:tc>
        <w:tc>
          <w:tcPr>
            <w:tcW w:w="1265" w:type="dxa"/>
            <w:vAlign w:val="center"/>
          </w:tcPr>
          <w:p>
            <w:pPr>
              <w:spacing w:line="240" w:lineRule="exact"/>
              <w:jc w:val="center"/>
              <w:rPr>
                <w:color w:val="000000"/>
                <w:sz w:val="24"/>
                <w:szCs w:val="24"/>
              </w:rPr>
            </w:pPr>
            <w:r>
              <w:rPr>
                <w:rFonts w:hint="eastAsia"/>
                <w:color w:val="000000"/>
                <w:szCs w:val="21"/>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198" w:type="dxa"/>
            <w:vAlign w:val="center"/>
          </w:tcPr>
          <w:p>
            <w:pPr>
              <w:spacing w:line="240" w:lineRule="exact"/>
              <w:jc w:val="center"/>
              <w:rPr>
                <w:sz w:val="24"/>
              </w:rPr>
            </w:pPr>
            <w:r>
              <w:rPr>
                <w:sz w:val="24"/>
              </w:rPr>
              <w:t>合  计</w:t>
            </w:r>
          </w:p>
        </w:tc>
        <w:tc>
          <w:tcPr>
            <w:tcW w:w="1265" w:type="dxa"/>
            <w:vAlign w:val="center"/>
          </w:tcPr>
          <w:p>
            <w:pPr>
              <w:spacing w:line="240" w:lineRule="exact"/>
              <w:jc w:val="center"/>
              <w:rPr>
                <w:color w:val="000000"/>
                <w:sz w:val="24"/>
                <w:szCs w:val="24"/>
              </w:rPr>
            </w:pPr>
            <w:r>
              <w:rPr>
                <w:color w:val="000000"/>
                <w:szCs w:val="21"/>
              </w:rPr>
              <w:t>813</w:t>
            </w:r>
          </w:p>
        </w:tc>
        <w:tc>
          <w:tcPr>
            <w:tcW w:w="1265" w:type="dxa"/>
            <w:vAlign w:val="center"/>
          </w:tcPr>
          <w:p>
            <w:pPr>
              <w:spacing w:line="240" w:lineRule="exact"/>
              <w:jc w:val="center"/>
              <w:rPr>
                <w:color w:val="000000"/>
                <w:sz w:val="24"/>
                <w:szCs w:val="24"/>
              </w:rPr>
            </w:pPr>
            <w:r>
              <w:rPr>
                <w:color w:val="000000"/>
                <w:szCs w:val="21"/>
              </w:rPr>
              <w:t>147</w:t>
            </w:r>
          </w:p>
        </w:tc>
        <w:tc>
          <w:tcPr>
            <w:tcW w:w="1265" w:type="dxa"/>
            <w:vAlign w:val="center"/>
          </w:tcPr>
          <w:p>
            <w:pPr>
              <w:spacing w:line="240" w:lineRule="exact"/>
              <w:jc w:val="center"/>
              <w:rPr>
                <w:color w:val="000000"/>
                <w:sz w:val="24"/>
                <w:szCs w:val="24"/>
              </w:rPr>
            </w:pPr>
            <w:r>
              <w:rPr>
                <w:color w:val="000000"/>
                <w:szCs w:val="21"/>
              </w:rPr>
              <w:t>156</w:t>
            </w:r>
          </w:p>
        </w:tc>
        <w:tc>
          <w:tcPr>
            <w:tcW w:w="1264" w:type="dxa"/>
            <w:vAlign w:val="center"/>
          </w:tcPr>
          <w:p>
            <w:pPr>
              <w:spacing w:line="240" w:lineRule="exact"/>
              <w:jc w:val="center"/>
              <w:rPr>
                <w:color w:val="000000"/>
                <w:sz w:val="24"/>
                <w:szCs w:val="24"/>
              </w:rPr>
            </w:pPr>
            <w:r>
              <w:rPr>
                <w:color w:val="000000"/>
                <w:szCs w:val="21"/>
              </w:rPr>
              <w:t>69</w:t>
            </w:r>
          </w:p>
        </w:tc>
        <w:tc>
          <w:tcPr>
            <w:tcW w:w="1265" w:type="dxa"/>
            <w:vAlign w:val="center"/>
          </w:tcPr>
          <w:p>
            <w:pPr>
              <w:spacing w:line="240" w:lineRule="exact"/>
              <w:jc w:val="center"/>
              <w:rPr>
                <w:color w:val="000000"/>
                <w:sz w:val="24"/>
                <w:szCs w:val="24"/>
              </w:rPr>
            </w:pPr>
            <w:r>
              <w:rPr>
                <w:color w:val="000000"/>
                <w:szCs w:val="21"/>
              </w:rPr>
              <w:t>1</w:t>
            </w:r>
            <w:r>
              <w:rPr>
                <w:rFonts w:hint="eastAsia"/>
                <w:color w:val="000000"/>
                <w:szCs w:val="21"/>
              </w:rPr>
              <w:t>018</w:t>
            </w:r>
          </w:p>
        </w:tc>
      </w:tr>
    </w:tbl>
    <w:p>
      <w:pPr>
        <w:spacing w:line="360" w:lineRule="auto"/>
        <w:ind w:firstLine="482" w:firstLineChars="200"/>
        <w:jc w:val="left"/>
        <w:textAlignment w:val="baseline"/>
        <w:rPr>
          <w:b/>
          <w:sz w:val="24"/>
          <w:szCs w:val="24"/>
          <w:lang w:val="zh-CN"/>
        </w:rPr>
      </w:pPr>
      <w:r>
        <w:rPr>
          <w:b/>
          <w:sz w:val="24"/>
          <w:szCs w:val="24"/>
          <w:lang w:val="zh-CN"/>
        </w:rPr>
        <w:t>4、样点资料的整理归档与验收</w:t>
      </w:r>
    </w:p>
    <w:p>
      <w:pPr>
        <w:spacing w:line="480" w:lineRule="exact"/>
        <w:ind w:firstLine="480" w:firstLineChars="200"/>
        <w:rPr>
          <w:sz w:val="24"/>
          <w:szCs w:val="22"/>
          <w:lang w:val="zh-CN"/>
        </w:rPr>
      </w:pPr>
      <w:r>
        <w:rPr>
          <w:sz w:val="24"/>
          <w:szCs w:val="22"/>
          <w:lang w:val="zh-CN"/>
        </w:rPr>
        <w:t>对完成检查的调查表格、文字资料按类型进行整理，装订成册，形成档案卷，并按数据处理要求对调查图件进行整饰。对初步整理好的资料，由技术组进行全面验收，验收的重点在于外业资料的全面性、规范性和真实性。</w:t>
      </w:r>
    </w:p>
    <w:p>
      <w:pPr>
        <w:spacing w:line="360" w:lineRule="auto"/>
        <w:ind w:firstLine="482" w:firstLineChars="200"/>
        <w:jc w:val="left"/>
        <w:textAlignment w:val="baseline"/>
        <w:rPr>
          <w:b/>
          <w:sz w:val="24"/>
          <w:szCs w:val="24"/>
          <w:lang w:val="zh-CN"/>
        </w:rPr>
      </w:pPr>
      <w:r>
        <w:rPr>
          <w:b/>
          <w:sz w:val="24"/>
          <w:szCs w:val="24"/>
          <w:lang w:val="zh-CN"/>
        </w:rPr>
        <w:t>5、样点资料的输入</w:t>
      </w:r>
    </w:p>
    <w:p>
      <w:pPr>
        <w:spacing w:line="480" w:lineRule="exact"/>
        <w:ind w:firstLine="480" w:firstLineChars="200"/>
        <w:rPr>
          <w:sz w:val="24"/>
          <w:szCs w:val="22"/>
          <w:lang w:val="zh-CN"/>
        </w:rPr>
      </w:pPr>
      <w:r>
        <w:rPr>
          <w:sz w:val="24"/>
          <w:szCs w:val="22"/>
          <w:lang w:val="zh-CN"/>
        </w:rPr>
        <w:t>样点输入工作主要包括两部分：</w:t>
      </w:r>
    </w:p>
    <w:p>
      <w:pPr>
        <w:spacing w:line="480" w:lineRule="exact"/>
        <w:ind w:firstLine="480" w:firstLineChars="200"/>
        <w:rPr>
          <w:sz w:val="24"/>
          <w:szCs w:val="22"/>
          <w:lang w:val="zh-CN"/>
        </w:rPr>
      </w:pPr>
      <w:r>
        <w:rPr>
          <w:sz w:val="24"/>
          <w:szCs w:val="22"/>
          <w:lang w:val="zh-CN"/>
        </w:rPr>
        <w:t>（1）调查表格和数据的输入。</w:t>
      </w:r>
    </w:p>
    <w:p>
      <w:pPr>
        <w:spacing w:line="480" w:lineRule="exact"/>
        <w:ind w:firstLine="480" w:firstLineChars="200"/>
        <w:rPr>
          <w:sz w:val="24"/>
          <w:szCs w:val="22"/>
          <w:lang w:val="zh-CN"/>
        </w:rPr>
      </w:pPr>
      <w:r>
        <w:rPr>
          <w:sz w:val="24"/>
          <w:szCs w:val="22"/>
          <w:lang w:val="zh-CN"/>
        </w:rPr>
        <w:t>将调查表中的样点数据按调查区域、路段统一编号填入样点地价统计表中。根据统计表格的不同形式和内容，建立起相应的长沙县地价样点资料信息库。</w:t>
      </w:r>
    </w:p>
    <w:p>
      <w:pPr>
        <w:spacing w:line="480" w:lineRule="exact"/>
        <w:ind w:firstLine="480" w:firstLineChars="200"/>
        <w:rPr>
          <w:sz w:val="24"/>
          <w:szCs w:val="22"/>
          <w:lang w:val="zh-CN"/>
        </w:rPr>
      </w:pPr>
      <w:r>
        <w:rPr>
          <w:sz w:val="24"/>
          <w:szCs w:val="22"/>
          <w:lang w:val="zh-CN"/>
        </w:rPr>
        <w:t>根据实际情况需要，对地价样点和路线价区段，根据土地用途、镇区、交易类型的不同，制定了统一的编码方案。</w:t>
      </w:r>
    </w:p>
    <w:p>
      <w:pPr>
        <w:spacing w:line="480" w:lineRule="exact"/>
        <w:ind w:firstLine="480" w:firstLineChars="200"/>
        <w:rPr>
          <w:sz w:val="24"/>
          <w:szCs w:val="22"/>
          <w:lang w:val="zh-CN"/>
        </w:rPr>
      </w:pPr>
      <w:r>
        <w:rPr>
          <w:sz w:val="24"/>
          <w:szCs w:val="22"/>
          <w:lang w:val="zh-CN"/>
        </w:rPr>
        <w:t>1）地价样点编码方案</w:t>
      </w:r>
      <w:r>
        <w:rPr>
          <w:sz w:val="24"/>
          <w:szCs w:val="22"/>
          <w:lang w:val="zh-CN"/>
        </w:rPr>
        <w:tab/>
      </w:r>
    </w:p>
    <w:p>
      <w:pPr>
        <w:spacing w:line="480" w:lineRule="exact"/>
        <w:ind w:firstLine="480" w:firstLineChars="200"/>
        <w:rPr>
          <w:sz w:val="24"/>
          <w:szCs w:val="22"/>
          <w:lang w:val="zh-CN"/>
        </w:rPr>
      </w:pPr>
      <w:r>
        <w:rPr>
          <w:sz w:val="24"/>
          <w:szCs w:val="22"/>
          <w:lang w:val="zh-CN"/>
        </w:rPr>
        <w:t>按如下序列编排：均质区域编号-交易类型编号-用途编号-样点号。交易类型编号：1-房屋租赁、2-房屋买卖、3-土地转让、4-土地出让、5-商品房出售；用途编号：1-商服（办公）、2-住宅、3-工矿仓储；样点号以两位数为准，不到两位者在数字前加0。</w:t>
      </w:r>
    </w:p>
    <w:p>
      <w:pPr>
        <w:spacing w:line="480" w:lineRule="exact"/>
        <w:ind w:firstLine="480" w:firstLineChars="200"/>
        <w:rPr>
          <w:sz w:val="24"/>
          <w:szCs w:val="22"/>
          <w:lang w:val="zh-CN"/>
        </w:rPr>
      </w:pPr>
      <w:r>
        <w:rPr>
          <w:sz w:val="24"/>
          <w:szCs w:val="22"/>
          <w:lang w:val="zh-CN"/>
        </w:rPr>
        <w:t>编号举例：如是2001均质区域的租赁类型，商服用途，第01号样点，则其编号为2001-1-1-01。</w:t>
      </w:r>
    </w:p>
    <w:p>
      <w:pPr>
        <w:spacing w:line="480" w:lineRule="exact"/>
        <w:ind w:firstLine="480" w:firstLineChars="200"/>
        <w:rPr>
          <w:sz w:val="24"/>
          <w:szCs w:val="22"/>
          <w:lang w:val="zh-CN"/>
        </w:rPr>
      </w:pPr>
      <w:r>
        <w:rPr>
          <w:sz w:val="24"/>
          <w:szCs w:val="22"/>
          <w:lang w:val="zh-CN"/>
        </w:rPr>
        <w:t xml:space="preserve">2）区片号编码方案 </w:t>
      </w:r>
    </w:p>
    <w:p>
      <w:pPr>
        <w:spacing w:line="480" w:lineRule="exact"/>
        <w:ind w:firstLine="480" w:firstLineChars="200"/>
        <w:rPr>
          <w:sz w:val="24"/>
          <w:szCs w:val="22"/>
          <w:lang w:val="zh-CN"/>
        </w:rPr>
      </w:pPr>
      <w:r>
        <w:rPr>
          <w:sz w:val="24"/>
          <w:szCs w:val="22"/>
          <w:lang w:val="zh-CN"/>
        </w:rPr>
        <w:t xml:space="preserve">例子：01 </w:t>
      </w:r>
    </w:p>
    <w:p>
      <w:pPr>
        <w:spacing w:line="480" w:lineRule="exact"/>
        <w:ind w:firstLine="480" w:firstLineChars="200"/>
        <w:rPr>
          <w:sz w:val="24"/>
          <w:szCs w:val="22"/>
          <w:lang w:val="zh-CN"/>
        </w:rPr>
      </w:pPr>
      <w:r>
        <w:rPr>
          <w:sz w:val="24"/>
          <w:szCs w:val="22"/>
          <w:lang w:val="zh-CN"/>
        </w:rPr>
        <w:t>第1，2位表示镇区编码。</w:t>
      </w:r>
    </w:p>
    <w:p>
      <w:pPr>
        <w:spacing w:line="480" w:lineRule="exact"/>
        <w:ind w:firstLine="480" w:firstLineChars="200"/>
        <w:rPr>
          <w:sz w:val="24"/>
          <w:szCs w:val="22"/>
          <w:lang w:val="zh-CN"/>
        </w:rPr>
      </w:pPr>
      <w:r>
        <w:rPr>
          <w:sz w:val="24"/>
          <w:szCs w:val="22"/>
          <w:lang w:val="zh-CN"/>
        </w:rPr>
        <w:t>按照上述编码方案，将数据录入Excel，SPSS软件中，进行便捷的计算、统计和分析。将样点属性由Excel导入MapGIS软件中，绘制样点地价图。</w:t>
      </w:r>
    </w:p>
    <w:p>
      <w:pPr>
        <w:spacing w:line="480" w:lineRule="exact"/>
        <w:ind w:firstLine="480" w:firstLineChars="200"/>
        <w:rPr>
          <w:sz w:val="24"/>
          <w:szCs w:val="22"/>
          <w:lang w:val="zh-CN"/>
        </w:rPr>
      </w:pPr>
      <w:r>
        <w:rPr>
          <w:sz w:val="24"/>
          <w:szCs w:val="22"/>
          <w:lang w:val="zh-CN"/>
        </w:rPr>
        <w:t>（2）工作底图的输入。</w:t>
      </w:r>
    </w:p>
    <w:p>
      <w:pPr>
        <w:spacing w:line="480" w:lineRule="exact"/>
        <w:ind w:firstLine="480" w:firstLineChars="200"/>
        <w:rPr>
          <w:sz w:val="24"/>
          <w:szCs w:val="22"/>
          <w:lang w:val="zh-CN"/>
        </w:rPr>
      </w:pPr>
      <w:r>
        <w:rPr>
          <w:sz w:val="24"/>
          <w:szCs w:val="22"/>
          <w:lang w:val="zh-CN"/>
        </w:rPr>
        <w:t>将样点数据调查过程中分区绘制的样点草图统一转绘到工作底图上，工作底图采用的是长沙县城市总体规划图，根据估价的需要，选择重要地图要素进行输入，运用专业绘图软件对图形进行处理，编绘成基准地价成果的工作底图。</w:t>
      </w:r>
    </w:p>
    <w:p>
      <w:pPr>
        <w:spacing w:line="360" w:lineRule="auto"/>
        <w:ind w:firstLine="480" w:firstLineChars="200"/>
        <w:jc w:val="center"/>
        <w:rPr>
          <w:b/>
          <w:sz w:val="30"/>
        </w:rPr>
      </w:pPr>
      <w:r>
        <w:rPr>
          <w:rFonts w:ascii="Times New Roman" w:hAnsi="Times New Roman" w:eastAsia="宋体" w:cs="Times New Roman"/>
          <w:kern w:val="2"/>
          <w:sz w:val="24"/>
          <w:lang w:val="en-US" w:eastAsia="zh-CN" w:bidi="ar-SA"/>
        </w:rPr>
        <w:pict>
          <v:shape id="图片 29" o:spid="_x0000_s1116" type="#_x0000_t75" style="height:258.8pt;width:182.75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bookmarkEnd w:id="212"/>
    </w:p>
    <w:p>
      <w:pPr>
        <w:pStyle w:val="34"/>
        <w:spacing w:before="0" w:after="0" w:line="300" w:lineRule="auto"/>
        <w:ind w:left="0" w:firstLine="482" w:firstLineChars="200"/>
        <w:rPr>
          <w:b/>
          <w:bCs/>
          <w:sz w:val="24"/>
        </w:rPr>
      </w:pPr>
      <w:r>
        <w:rPr>
          <w:b/>
          <w:bCs/>
          <w:sz w:val="24"/>
        </w:rPr>
        <w:t>图1-4-2 城区样点分布图</w:t>
      </w:r>
    </w:p>
    <w:p>
      <w:pPr>
        <w:pStyle w:val="35"/>
        <w:tabs>
          <w:tab w:val="right" w:leader="dot" w:pos="8845"/>
        </w:tabs>
        <w:spacing w:line="360" w:lineRule="auto"/>
        <w:ind w:left="0"/>
        <w:jc w:val="center"/>
        <w:outlineLvl w:val="0"/>
        <w:rPr>
          <w:rFonts w:eastAsia="黑体"/>
          <w:sz w:val="44"/>
          <w:szCs w:val="44"/>
        </w:rPr>
      </w:pPr>
      <w:r>
        <w:br w:type="page"/>
      </w:r>
      <w:bookmarkStart w:id="216" w:name="_Toc470721277"/>
      <w:bookmarkStart w:id="217" w:name="_Toc1147"/>
      <w:bookmarkStart w:id="218" w:name="_Toc248306021"/>
      <w:bookmarkStart w:id="219" w:name="_Toc7535"/>
      <w:bookmarkStart w:id="220" w:name="_Toc18693"/>
      <w:bookmarkStart w:id="221" w:name="_Toc25061"/>
      <w:bookmarkStart w:id="222" w:name="_Toc467846818"/>
      <w:bookmarkStart w:id="223" w:name="_Toc248305584"/>
      <w:bookmarkStart w:id="224" w:name="_Toc469296426"/>
      <w:r>
        <w:rPr>
          <w:rFonts w:eastAsia="黑体"/>
          <w:sz w:val="44"/>
          <w:szCs w:val="44"/>
        </w:rPr>
        <w:t>第二篇  城区土地定级</w:t>
      </w:r>
      <w:bookmarkEnd w:id="68"/>
      <w:bookmarkEnd w:id="69"/>
      <w:bookmarkEnd w:id="70"/>
      <w:bookmarkEnd w:id="216"/>
      <w:bookmarkEnd w:id="217"/>
      <w:bookmarkEnd w:id="218"/>
      <w:bookmarkEnd w:id="219"/>
      <w:bookmarkEnd w:id="220"/>
      <w:bookmarkEnd w:id="221"/>
      <w:bookmarkEnd w:id="222"/>
      <w:bookmarkEnd w:id="223"/>
      <w:bookmarkEnd w:id="224"/>
    </w:p>
    <w:p>
      <w:pPr>
        <w:widowControl/>
        <w:jc w:val="center"/>
        <w:outlineLvl w:val="1"/>
        <w:rPr>
          <w:rFonts w:eastAsia="黑体"/>
          <w:sz w:val="32"/>
          <w:szCs w:val="32"/>
        </w:rPr>
      </w:pPr>
      <w:bookmarkStart w:id="225" w:name="_Toc248305585"/>
      <w:bookmarkStart w:id="226" w:name="_Toc469296427"/>
      <w:bookmarkStart w:id="227" w:name="_Toc19469"/>
      <w:bookmarkStart w:id="228" w:name="_Toc6979"/>
      <w:bookmarkStart w:id="229" w:name="_Toc169216914"/>
      <w:bookmarkStart w:id="230" w:name="_Toc213589778"/>
      <w:bookmarkStart w:id="231" w:name="_Toc9468"/>
      <w:bookmarkStart w:id="232" w:name="_Toc169216333"/>
      <w:bookmarkStart w:id="233" w:name="_Toc470721278"/>
      <w:bookmarkStart w:id="234" w:name="_Toc248306022"/>
      <w:bookmarkStart w:id="235" w:name="_Toc467846819"/>
      <w:bookmarkStart w:id="236" w:name="_Toc8714"/>
      <w:r>
        <w:rPr>
          <w:rFonts w:eastAsia="黑体"/>
          <w:sz w:val="32"/>
          <w:szCs w:val="32"/>
        </w:rPr>
        <w:t>第一章  土地定级技术路线和方法</w:t>
      </w:r>
      <w:bookmarkEnd w:id="225"/>
      <w:bookmarkEnd w:id="226"/>
      <w:bookmarkEnd w:id="227"/>
      <w:bookmarkEnd w:id="228"/>
      <w:bookmarkEnd w:id="229"/>
      <w:bookmarkEnd w:id="230"/>
      <w:bookmarkEnd w:id="231"/>
      <w:bookmarkEnd w:id="232"/>
      <w:bookmarkEnd w:id="233"/>
      <w:bookmarkEnd w:id="234"/>
      <w:bookmarkEnd w:id="235"/>
      <w:bookmarkEnd w:id="236"/>
    </w:p>
    <w:p>
      <w:pPr>
        <w:spacing w:line="360" w:lineRule="auto"/>
        <w:ind w:firstLine="560" w:firstLineChars="200"/>
        <w:outlineLvl w:val="2"/>
        <w:rPr>
          <w:rFonts w:eastAsia="黑体"/>
          <w:sz w:val="28"/>
          <w:szCs w:val="28"/>
        </w:rPr>
      </w:pPr>
      <w:bookmarkStart w:id="237" w:name="_Toc4909"/>
      <w:bookmarkStart w:id="238" w:name="_Toc467846820"/>
      <w:bookmarkStart w:id="239" w:name="_Toc30798"/>
      <w:bookmarkStart w:id="240" w:name="_Toc169216334"/>
      <w:bookmarkStart w:id="241" w:name="_Toc470721279"/>
      <w:bookmarkStart w:id="242" w:name="_Toc248306023"/>
      <w:bookmarkStart w:id="243" w:name="_Toc469296428"/>
      <w:bookmarkStart w:id="244" w:name="_Toc169216915"/>
      <w:bookmarkStart w:id="245" w:name="_Toc213589779"/>
      <w:bookmarkStart w:id="246" w:name="_Toc248305586"/>
      <w:r>
        <w:rPr>
          <w:rFonts w:eastAsia="黑体"/>
          <w:sz w:val="28"/>
          <w:szCs w:val="28"/>
        </w:rPr>
        <w:t>一、土地定级原则</w:t>
      </w:r>
      <w:bookmarkEnd w:id="237"/>
      <w:bookmarkEnd w:id="238"/>
      <w:bookmarkEnd w:id="239"/>
      <w:bookmarkEnd w:id="240"/>
      <w:bookmarkEnd w:id="241"/>
      <w:bookmarkEnd w:id="242"/>
      <w:bookmarkEnd w:id="243"/>
      <w:bookmarkEnd w:id="244"/>
      <w:bookmarkEnd w:id="245"/>
      <w:bookmarkEnd w:id="246"/>
    </w:p>
    <w:p>
      <w:pPr>
        <w:spacing w:line="480" w:lineRule="exact"/>
        <w:ind w:firstLine="480" w:firstLineChars="200"/>
        <w:rPr>
          <w:sz w:val="24"/>
          <w:lang w:val="zh-CN"/>
        </w:rPr>
      </w:pPr>
      <w:r>
        <w:rPr>
          <w:sz w:val="24"/>
          <w:lang w:val="zh-CN"/>
        </w:rPr>
        <w:t>土地定级是在特定的目的下，根据城镇土地的经济、自然属性及其在社会经济活动中的地位、作用，对城镇土地使用价值进行综合分析，揭示城镇内部土地质量的地域差异的过程。由于土地定级是一项涉及面广、工作量大、技术性强的工作，其成果将在较长时期内使用，并对城镇的建设，经济的发展和房地产市场的发育状况都将起到一定的影响。因此，土地定级工作要做到公正、合理、科学，在一定原则的指导下，作出客观的评价。本次土地定级遵守中华人民共和国国家标准《城镇土地分等定级规程》，同时结合长沙县具体情况及其特点，遵循以下原则进行土地定级工作。</w:t>
      </w:r>
    </w:p>
    <w:p>
      <w:pPr>
        <w:spacing w:line="360" w:lineRule="auto"/>
        <w:ind w:firstLine="482" w:firstLineChars="200"/>
        <w:rPr>
          <w:b/>
          <w:sz w:val="24"/>
          <w:szCs w:val="24"/>
          <w:lang w:val="zh-CN"/>
        </w:rPr>
      </w:pPr>
      <w:r>
        <w:rPr>
          <w:b/>
          <w:sz w:val="24"/>
          <w:szCs w:val="24"/>
          <w:lang w:val="zh-CN"/>
        </w:rPr>
        <w:t>1、综合分析原则</w:t>
      </w:r>
    </w:p>
    <w:p>
      <w:pPr>
        <w:spacing w:line="480" w:lineRule="exact"/>
        <w:ind w:firstLine="480" w:firstLineChars="200"/>
        <w:rPr>
          <w:sz w:val="24"/>
          <w:szCs w:val="22"/>
          <w:lang w:val="zh-CN"/>
        </w:rPr>
      </w:pPr>
      <w:r>
        <w:rPr>
          <w:sz w:val="24"/>
          <w:szCs w:val="22"/>
          <w:lang w:val="zh-CN"/>
        </w:rPr>
        <w:t>影响土地利用综合效益的因素是多种多样的，因此，土地级别既要能反映土地在经济效益上的差异，也要能反映经济、社会、生态等综合效益的差异。综合分析原则不仅在定级因素选择上可避免片面性，在定级目标、范围的确定以及对级别进行动态预测等方面也都必须遵循这一原则。</w:t>
      </w:r>
    </w:p>
    <w:p>
      <w:pPr>
        <w:spacing w:line="360" w:lineRule="auto"/>
        <w:ind w:firstLine="482" w:firstLineChars="200"/>
        <w:rPr>
          <w:b/>
          <w:sz w:val="24"/>
          <w:szCs w:val="24"/>
          <w:lang w:val="zh-CN"/>
        </w:rPr>
      </w:pPr>
      <w:r>
        <w:rPr>
          <w:b/>
          <w:sz w:val="24"/>
          <w:szCs w:val="24"/>
          <w:lang w:val="zh-CN"/>
        </w:rPr>
        <w:t>2、主导因素原则</w:t>
      </w:r>
    </w:p>
    <w:p>
      <w:pPr>
        <w:spacing w:line="480" w:lineRule="exact"/>
        <w:ind w:firstLine="480" w:firstLineChars="200"/>
        <w:rPr>
          <w:sz w:val="24"/>
          <w:szCs w:val="22"/>
          <w:lang w:val="zh-CN"/>
        </w:rPr>
      </w:pPr>
      <w:r>
        <w:rPr>
          <w:sz w:val="24"/>
          <w:szCs w:val="22"/>
          <w:lang w:val="zh-CN"/>
        </w:rPr>
        <w:t>主导因素原则与综合分析原则并不矛盾，二者相辅相成。虽然影响土地级别的因素众多，但在定级中应重点分析对土地定级起控制和主导作用的因素，突出主导因素影响，抓住主要矛盾。如在任何城市都是必选的繁华程度和交通条件等因素。否则，会导致因素之间相互抵消而不能反映客观差异。</w:t>
      </w:r>
    </w:p>
    <w:p>
      <w:pPr>
        <w:spacing w:line="360" w:lineRule="auto"/>
        <w:ind w:firstLine="482" w:firstLineChars="200"/>
        <w:rPr>
          <w:b/>
          <w:sz w:val="24"/>
          <w:szCs w:val="24"/>
          <w:lang w:val="zh-CN"/>
        </w:rPr>
      </w:pPr>
      <w:r>
        <w:rPr>
          <w:b/>
          <w:sz w:val="24"/>
          <w:szCs w:val="24"/>
          <w:lang w:val="zh-CN"/>
        </w:rPr>
        <w:t>3、地域分异原则</w:t>
      </w:r>
    </w:p>
    <w:p>
      <w:pPr>
        <w:spacing w:line="480" w:lineRule="exact"/>
        <w:ind w:firstLine="480" w:firstLineChars="200"/>
        <w:rPr>
          <w:sz w:val="24"/>
          <w:szCs w:val="22"/>
          <w:lang w:val="zh-CN"/>
        </w:rPr>
      </w:pPr>
      <w:r>
        <w:rPr>
          <w:sz w:val="24"/>
          <w:szCs w:val="22"/>
          <w:lang w:val="zh-CN"/>
        </w:rPr>
        <w:t>土地的地域差异规律是土地的自然和社会经济各要素不同组合的结果，它反映了地域间土地生产力或利用效益上的差别。城区内部的地域差异也明显存在，如建成区与城乡结合部；商服区、住宅（办公）区、工矿（仓储）区的地域分异等。地域差异明显存在但又不是一成不变的，在土地定级中应掌握土地区位条件和特性的分布与组合规律，并分析各个由于区位条件不同形成的地域分异状况，将均质地域划归同一土地级别。</w:t>
      </w:r>
    </w:p>
    <w:p>
      <w:pPr>
        <w:spacing w:line="360" w:lineRule="auto"/>
        <w:ind w:firstLine="482" w:firstLineChars="200"/>
        <w:rPr>
          <w:b/>
          <w:sz w:val="24"/>
          <w:szCs w:val="24"/>
          <w:lang w:val="zh-CN"/>
        </w:rPr>
      </w:pPr>
      <w:r>
        <w:rPr>
          <w:b/>
          <w:sz w:val="24"/>
          <w:szCs w:val="24"/>
          <w:lang w:val="zh-CN"/>
        </w:rPr>
        <w:t>4、土地收益原则</w:t>
      </w:r>
    </w:p>
    <w:p>
      <w:pPr>
        <w:spacing w:line="480" w:lineRule="exact"/>
        <w:ind w:firstLine="480" w:firstLineChars="200"/>
        <w:rPr>
          <w:sz w:val="24"/>
          <w:szCs w:val="22"/>
          <w:lang w:val="zh-CN"/>
        </w:rPr>
      </w:pPr>
      <w:r>
        <w:rPr>
          <w:sz w:val="24"/>
          <w:szCs w:val="22"/>
          <w:lang w:val="zh-CN"/>
        </w:rPr>
        <w:t>土地定级应符合城镇内部的土地收益分布规律。</w:t>
      </w:r>
    </w:p>
    <w:p>
      <w:pPr>
        <w:spacing w:line="360" w:lineRule="auto"/>
        <w:ind w:firstLine="482" w:firstLineChars="200"/>
        <w:rPr>
          <w:b/>
          <w:sz w:val="24"/>
          <w:szCs w:val="24"/>
          <w:lang w:val="zh-CN"/>
        </w:rPr>
      </w:pPr>
      <w:r>
        <w:rPr>
          <w:b/>
          <w:sz w:val="24"/>
          <w:szCs w:val="24"/>
          <w:lang w:val="zh-CN"/>
        </w:rPr>
        <w:t>5、定量与定性分析结合原则</w:t>
      </w:r>
    </w:p>
    <w:p>
      <w:pPr>
        <w:spacing w:line="480" w:lineRule="exact"/>
        <w:ind w:firstLine="480" w:firstLineChars="200"/>
        <w:rPr>
          <w:sz w:val="24"/>
          <w:szCs w:val="22"/>
          <w:lang w:val="zh-CN"/>
        </w:rPr>
      </w:pPr>
      <w:r>
        <w:rPr>
          <w:sz w:val="24"/>
          <w:szCs w:val="22"/>
          <w:lang w:val="zh-CN"/>
        </w:rPr>
        <w:t>土地定级应尽量将定性的、经验性的分析进行量化。城镇土地定级的初步方案确定以定量分析为主，最终方案宜以定性分析为主。</w:t>
      </w:r>
    </w:p>
    <w:p>
      <w:pPr>
        <w:spacing w:line="360" w:lineRule="auto"/>
        <w:ind w:firstLine="482" w:firstLineChars="200"/>
        <w:rPr>
          <w:b/>
          <w:sz w:val="24"/>
          <w:szCs w:val="24"/>
          <w:lang w:val="zh-CN"/>
        </w:rPr>
      </w:pPr>
      <w:r>
        <w:rPr>
          <w:b/>
          <w:sz w:val="24"/>
          <w:szCs w:val="24"/>
        </w:rPr>
        <w:t>6</w:t>
      </w:r>
      <w:r>
        <w:rPr>
          <w:b/>
          <w:sz w:val="24"/>
          <w:szCs w:val="24"/>
          <w:lang w:val="zh-CN"/>
        </w:rPr>
        <w:t>、定级与估计相结合原则</w:t>
      </w:r>
    </w:p>
    <w:p>
      <w:pPr>
        <w:spacing w:line="480" w:lineRule="exact"/>
        <w:ind w:firstLine="480" w:firstLineChars="200"/>
        <w:rPr>
          <w:sz w:val="24"/>
          <w:szCs w:val="22"/>
          <w:lang w:val="zh-CN"/>
        </w:rPr>
      </w:pPr>
      <w:r>
        <w:rPr>
          <w:sz w:val="24"/>
          <w:szCs w:val="22"/>
          <w:lang w:val="zh-CN"/>
        </w:rPr>
        <w:t>土地定级已不是一个单独的工作过程，它和估价的关系紧密相连。随着土地市场的发展，交易案例的增多，土地定级可以根据土地市场资料，以地价的差异确定土地的级别。实践证明，这是一种提高土地定级科学性、合理性的有效途径。</w:t>
      </w:r>
    </w:p>
    <w:p>
      <w:pPr>
        <w:spacing w:line="360" w:lineRule="auto"/>
        <w:ind w:firstLine="560" w:firstLineChars="200"/>
        <w:outlineLvl w:val="2"/>
        <w:rPr>
          <w:rFonts w:eastAsia="黑体"/>
          <w:sz w:val="28"/>
          <w:szCs w:val="28"/>
        </w:rPr>
      </w:pPr>
      <w:bookmarkStart w:id="247" w:name="_Toc211"/>
      <w:bookmarkStart w:id="248" w:name="_Toc469296429"/>
      <w:bookmarkStart w:id="249" w:name="_Toc467846821"/>
      <w:bookmarkStart w:id="250" w:name="_Toc169216916"/>
      <w:bookmarkStart w:id="251" w:name="_Toc169216335"/>
      <w:bookmarkStart w:id="252" w:name="_Toc345"/>
      <w:bookmarkStart w:id="253" w:name="_Toc213589780"/>
      <w:bookmarkStart w:id="254" w:name="_Toc470721280"/>
      <w:r>
        <w:rPr>
          <w:rFonts w:eastAsia="黑体"/>
          <w:sz w:val="28"/>
          <w:szCs w:val="28"/>
        </w:rPr>
        <w:t>二、土地定级的技术路线</w:t>
      </w:r>
      <w:bookmarkEnd w:id="247"/>
      <w:bookmarkEnd w:id="248"/>
      <w:bookmarkEnd w:id="249"/>
      <w:bookmarkEnd w:id="250"/>
      <w:bookmarkEnd w:id="251"/>
      <w:bookmarkEnd w:id="252"/>
      <w:bookmarkEnd w:id="253"/>
      <w:bookmarkEnd w:id="254"/>
    </w:p>
    <w:p>
      <w:pPr>
        <w:spacing w:line="360" w:lineRule="auto"/>
        <w:ind w:firstLine="480" w:firstLineChars="200"/>
        <w:rPr>
          <w:sz w:val="24"/>
          <w:lang w:val="zh-CN"/>
        </w:rPr>
      </w:pPr>
      <w:r>
        <w:rPr>
          <w:sz w:val="24"/>
          <w:lang w:val="zh-CN"/>
        </w:rPr>
        <w:t>我国城镇土地级别更新的方法目前主要有两种方式，即多因素综合评定法、级差收益测算法。</w:t>
      </w:r>
    </w:p>
    <w:p>
      <w:pPr>
        <w:spacing w:line="360" w:lineRule="auto"/>
        <w:ind w:firstLine="482" w:firstLineChars="200"/>
        <w:rPr>
          <w:b/>
          <w:sz w:val="24"/>
          <w:szCs w:val="24"/>
          <w:lang w:val="zh-CN"/>
        </w:rPr>
      </w:pPr>
      <w:r>
        <w:rPr>
          <w:b/>
          <w:sz w:val="24"/>
          <w:szCs w:val="24"/>
          <w:lang w:val="zh-CN"/>
        </w:rPr>
        <w:t>1、多因素综合评定法</w:t>
      </w:r>
    </w:p>
    <w:p>
      <w:pPr>
        <w:spacing w:line="360" w:lineRule="auto"/>
        <w:ind w:firstLine="480" w:firstLineChars="200"/>
        <w:rPr>
          <w:sz w:val="24"/>
          <w:lang w:val="zh-CN"/>
        </w:rPr>
      </w:pPr>
      <w:r>
        <w:rPr>
          <w:sz w:val="24"/>
          <w:lang w:val="zh-CN"/>
        </w:rPr>
        <w:t>多因素综合评定法是根据一定的目标原则，以土地单元为样本，选择对土地单元发生作用的</w:t>
      </w:r>
      <w:bookmarkStart w:id="1187" w:name="_GoBack"/>
      <w:bookmarkEnd w:id="1187"/>
      <w:r>
        <w:rPr>
          <w:sz w:val="24"/>
          <w:lang w:val="zh-CN"/>
        </w:rPr>
        <w:t>因素因子作为评价指标，并赋予相应的权重值，然后用加权分值和的公式进行累加，用适宜的标准划分土地级别。</w:t>
      </w:r>
    </w:p>
    <w:p>
      <w:pPr>
        <w:spacing w:line="360" w:lineRule="auto"/>
        <w:ind w:firstLine="480" w:firstLineChars="200"/>
        <w:rPr>
          <w:sz w:val="24"/>
          <w:lang w:val="zh-CN"/>
        </w:rPr>
      </w:pPr>
      <w:r>
        <w:rPr>
          <w:sz w:val="24"/>
          <w:lang w:val="zh-CN"/>
        </w:rPr>
        <w:t>主要步骤包括：（1）资料收集；（2）定级因素选择与权重确定；（3）测算定级因素的作用分及作用半径；（4）因素作用分值及单元总分值计算；（5）土地级别划分。</w:t>
      </w:r>
    </w:p>
    <w:p>
      <w:pPr>
        <w:spacing w:line="360" w:lineRule="auto"/>
        <w:ind w:firstLine="480" w:firstLineChars="200"/>
        <w:rPr>
          <w:sz w:val="24"/>
          <w:lang w:val="zh-CN"/>
        </w:rPr>
      </w:pPr>
      <w:r>
        <w:rPr>
          <w:sz w:val="24"/>
          <w:lang w:val="zh-CN"/>
        </w:rPr>
        <w:t>这种方法的优点是能考虑各种与土地质量直接相关的因素，不仅包含与土地有关的经济因素，而且包含非经济因素，排除了非土地因素的干扰。其评价方法采用定性与定量相结合，把经验转化为科学指标，把复杂的对事物的总结直接判断转化为对事物某些方面的单项判断，避免了主观随意性，保证了土地级别的统一性和科学性，简单易行，便于操作。不足之处是对土地与区位条件的关系研究得不够，评价结果采用总分值表示土地级别差异，不能直接反映各级土地的级差收益。</w:t>
      </w:r>
    </w:p>
    <w:p>
      <w:pPr>
        <w:spacing w:line="360" w:lineRule="auto"/>
        <w:ind w:firstLine="482" w:firstLineChars="200"/>
        <w:rPr>
          <w:b/>
          <w:sz w:val="24"/>
          <w:szCs w:val="24"/>
          <w:lang w:val="zh-CN"/>
        </w:rPr>
      </w:pPr>
      <w:r>
        <w:rPr>
          <w:b/>
          <w:sz w:val="24"/>
          <w:szCs w:val="24"/>
          <w:lang w:val="zh-CN"/>
        </w:rPr>
        <w:t>2、级差收益测算法</w:t>
      </w:r>
    </w:p>
    <w:p>
      <w:pPr>
        <w:spacing w:line="360" w:lineRule="auto"/>
        <w:ind w:firstLine="480" w:firstLineChars="200"/>
        <w:rPr>
          <w:sz w:val="24"/>
          <w:lang w:val="zh-CN"/>
        </w:rPr>
      </w:pPr>
      <w:r>
        <w:rPr>
          <w:sz w:val="24"/>
          <w:lang w:val="zh-CN"/>
        </w:rPr>
        <w:t>级差收益测算法首先凭经验初步划分土地级别，然后以发挥土地最大使用效益的商服企业利润进行分析，从中剔除非土地因素如资金、劳动力等带来的影响，建立合适的经济模型，测算土地的级差收益，从而划分土地级别。</w:t>
      </w:r>
    </w:p>
    <w:p>
      <w:pPr>
        <w:spacing w:line="360" w:lineRule="auto"/>
        <w:ind w:firstLine="480" w:firstLineChars="200"/>
        <w:rPr>
          <w:sz w:val="24"/>
          <w:lang w:val="zh-CN"/>
        </w:rPr>
      </w:pPr>
      <w:r>
        <w:rPr>
          <w:sz w:val="24"/>
          <w:lang w:val="zh-CN"/>
        </w:rPr>
        <w:t>这种方法的优点是评价结果可以直接用货币形式表现，能较好的反映城市土地的经济效益差异，能使土地进入市场，不足之处在于凭经验划分的土地级别，主观随意性大，在不准确的级别上难以计算出准确的级差收益。同时，我国社会平均利润尚未形成，真实的级差收益难以衡量，非土地因素影响难以排除，只考虑商服企业效益划分级别也不够全面，划分的土地级别很少能成为商服用地级别。</w:t>
      </w:r>
    </w:p>
    <w:p>
      <w:pPr>
        <w:spacing w:line="460" w:lineRule="exact"/>
        <w:ind w:firstLine="539"/>
        <w:rPr>
          <w:sz w:val="24"/>
        </w:rPr>
      </w:pPr>
      <w:bookmarkStart w:id="255" w:name="_Toc169216340"/>
      <w:bookmarkStart w:id="256" w:name="_Toc169216921"/>
      <w:bookmarkStart w:id="257" w:name="_Toc213589784"/>
      <w:bookmarkStart w:id="258" w:name="_Toc248306024"/>
      <w:bookmarkStart w:id="259" w:name="_Toc248305587"/>
      <w:r>
        <w:rPr>
          <w:sz w:val="24"/>
          <w:lang w:val="zh-CN"/>
        </w:rPr>
        <w:t>由于以上两种方法各有优缺点，因此在进行城市土地定级时，应该因地制宜的选取不同方法。根据《城镇土地分等定级规程》要求和实际情况，</w:t>
      </w:r>
      <w:r>
        <w:rPr>
          <w:sz w:val="24"/>
        </w:rPr>
        <w:t>本次在长沙县定级过程中商服用地、住宅用地和</w:t>
      </w:r>
      <w:r>
        <w:rPr>
          <w:rFonts w:hint="eastAsia"/>
          <w:sz w:val="24"/>
        </w:rPr>
        <w:t>公共管理与公共服务用地</w:t>
      </w:r>
      <w:r>
        <w:rPr>
          <w:sz w:val="24"/>
        </w:rPr>
        <w:t>选择了多因素综合定级；工矿仓储用地选择了多因素</w:t>
      </w:r>
      <w:r>
        <w:rPr>
          <w:rFonts w:hint="eastAsia"/>
          <w:sz w:val="24"/>
        </w:rPr>
        <w:t>分类</w:t>
      </w:r>
      <w:r>
        <w:rPr>
          <w:sz w:val="24"/>
        </w:rPr>
        <w:t>定级。具体原因如下：</w:t>
      </w:r>
    </w:p>
    <w:p>
      <w:pPr>
        <w:spacing w:line="460" w:lineRule="exact"/>
        <w:ind w:firstLine="539"/>
        <w:rPr>
          <w:sz w:val="24"/>
        </w:rPr>
      </w:pPr>
      <w:r>
        <w:rPr>
          <w:sz w:val="24"/>
        </w:rPr>
        <w:t>其一：根据城市总体规划和城市发展现状，目前商</w:t>
      </w:r>
      <w:r>
        <w:rPr>
          <w:rFonts w:hint="eastAsia"/>
          <w:sz w:val="24"/>
        </w:rPr>
        <w:t>服、</w:t>
      </w:r>
      <w:r>
        <w:rPr>
          <w:sz w:val="24"/>
        </w:rPr>
        <w:t>住</w:t>
      </w:r>
      <w:r>
        <w:rPr>
          <w:rFonts w:hint="eastAsia"/>
          <w:sz w:val="24"/>
        </w:rPr>
        <w:t>宅和公共管理与公共服务用地</w:t>
      </w:r>
      <w:r>
        <w:rPr>
          <w:sz w:val="24"/>
        </w:rPr>
        <w:t>都是基于功能分区而同步发展，整体分布情况大致相同，根据《城镇土地分等定级规程》有关要求，商服和住宅定级的因素因子大致相同，</w:t>
      </w:r>
      <w:r>
        <w:rPr>
          <w:rFonts w:hint="eastAsia"/>
          <w:sz w:val="24"/>
        </w:rPr>
        <w:t>而</w:t>
      </w:r>
      <w:r>
        <w:rPr>
          <w:sz w:val="24"/>
        </w:rPr>
        <w:t>公共管理与公共服务用地</w:t>
      </w:r>
      <w:r>
        <w:rPr>
          <w:rFonts w:hint="eastAsia"/>
          <w:sz w:val="24"/>
        </w:rPr>
        <w:t>应</w:t>
      </w:r>
      <w:r>
        <w:rPr>
          <w:sz w:val="24"/>
        </w:rPr>
        <w:t>根据城市发展进程及规划要求进行合理配置的，与</w:t>
      </w:r>
      <w:r>
        <w:rPr>
          <w:rFonts w:hint="eastAsia"/>
          <w:sz w:val="24"/>
        </w:rPr>
        <w:t>商</w:t>
      </w:r>
      <w:r>
        <w:rPr>
          <w:sz w:val="24"/>
        </w:rPr>
        <w:t>服和住宅用地存在相互依存、相互影响促进的关系，所以本次将商</w:t>
      </w:r>
      <w:r>
        <w:rPr>
          <w:rFonts w:hint="eastAsia"/>
          <w:sz w:val="24"/>
        </w:rPr>
        <w:t>服、</w:t>
      </w:r>
      <w:r>
        <w:rPr>
          <w:sz w:val="24"/>
        </w:rPr>
        <w:t>住</w:t>
      </w:r>
      <w:r>
        <w:rPr>
          <w:rFonts w:hint="eastAsia"/>
          <w:sz w:val="24"/>
        </w:rPr>
        <w:t>宅和公共管理与公共服务用地</w:t>
      </w:r>
      <w:r>
        <w:rPr>
          <w:sz w:val="24"/>
        </w:rPr>
        <w:t>用地一起合并采用多因素综合定级。</w:t>
      </w:r>
    </w:p>
    <w:p>
      <w:pPr>
        <w:spacing w:line="460" w:lineRule="exact"/>
        <w:ind w:firstLine="539"/>
        <w:rPr>
          <w:sz w:val="24"/>
        </w:rPr>
      </w:pPr>
      <w:r>
        <w:rPr>
          <w:sz w:val="24"/>
        </w:rPr>
        <w:t>其二：根据《湖南省人民政府关于节约集约用地的若干意见》有关要求，园区要按照建设“两型社会”的要求，进一步优化开发区（园区）的空间布局，优化产业结构，新上工矿仓储项目必须安排在具有相应产业功能的开发区（园区）或城镇的工矿仓储集中区内。所以工矿仓储用地具有分布集中，非常集聚的特点，一个县域内的工矿仓储用地往往集中分布在一两个开发区内，</w:t>
      </w:r>
      <w:r>
        <w:rPr>
          <w:rFonts w:hint="eastAsia"/>
          <w:sz w:val="24"/>
        </w:rPr>
        <w:t>长沙县城区工矿仓储用地主要分布在长浏高速以南的国家级经开区-长沙市经济技术开发区内，所以</w:t>
      </w:r>
      <w:r>
        <w:rPr>
          <w:sz w:val="24"/>
        </w:rPr>
        <w:t>工矿仓储用地宜单独采取分类定级。</w:t>
      </w:r>
    </w:p>
    <w:p>
      <w:pPr>
        <w:spacing w:line="360" w:lineRule="auto"/>
        <w:ind w:firstLine="480" w:firstLineChars="200"/>
        <w:rPr>
          <w:sz w:val="24"/>
          <w:lang w:val="zh-CN"/>
        </w:rPr>
      </w:pPr>
      <w:r>
        <w:rPr>
          <w:sz w:val="24"/>
          <w:lang w:val="zh-CN"/>
        </w:rPr>
        <w:t>本次级别划分的技术路线可以概括为：在全面收集影响长沙县土地质量的因素因子资料的基础上，采用计算机系统为辅助手段定级，划分为均匀网格，按网格法（50*50）直接划定单元，划分的单元面积不大于0.25hm</w:t>
      </w:r>
      <w:r>
        <w:rPr>
          <w:sz w:val="24"/>
          <w:vertAlign w:val="superscript"/>
          <w:lang w:val="zh-CN"/>
        </w:rPr>
        <w:t>2</w:t>
      </w:r>
      <w:r>
        <w:rPr>
          <w:sz w:val="24"/>
          <w:lang w:val="zh-CN"/>
        </w:rPr>
        <w:t>，然后对各因素因子进行缓冲分析，并测算出各网格的功能分值，再根据模糊聚类原理，初步确定各用途土地级别，最后根据土地市场交易资料测算、专家评议及实地踏勘等多种方法相互验证、相互补充，确定土地级别。</w:t>
      </w:r>
    </w:p>
    <w:p>
      <w:pPr>
        <w:spacing w:line="360" w:lineRule="auto"/>
        <w:ind w:firstLine="560" w:firstLineChars="200"/>
        <w:outlineLvl w:val="2"/>
        <w:rPr>
          <w:rFonts w:eastAsia="黑体"/>
          <w:sz w:val="28"/>
          <w:szCs w:val="28"/>
        </w:rPr>
      </w:pPr>
      <w:bookmarkStart w:id="260" w:name="_Toc5060"/>
      <w:bookmarkStart w:id="261" w:name="_Toc470721281"/>
      <w:bookmarkStart w:id="262" w:name="_Toc467846822"/>
      <w:bookmarkStart w:id="263" w:name="_Toc271529425"/>
      <w:bookmarkStart w:id="264" w:name="_Toc469296430"/>
      <w:bookmarkStart w:id="265" w:name="_Toc4835"/>
      <w:r>
        <w:rPr>
          <w:rFonts w:eastAsia="黑体"/>
          <w:sz w:val="28"/>
          <w:szCs w:val="28"/>
        </w:rPr>
        <w:t>三、土地定级的工作步骤</w:t>
      </w:r>
      <w:bookmarkEnd w:id="260"/>
      <w:bookmarkEnd w:id="261"/>
      <w:bookmarkEnd w:id="262"/>
      <w:bookmarkEnd w:id="263"/>
      <w:bookmarkEnd w:id="264"/>
      <w:bookmarkEnd w:id="265"/>
    </w:p>
    <w:p>
      <w:pPr>
        <w:spacing w:line="360" w:lineRule="auto"/>
        <w:ind w:firstLine="480" w:firstLineChars="200"/>
        <w:rPr>
          <w:sz w:val="24"/>
          <w:szCs w:val="24"/>
          <w:lang w:val="zh-CN"/>
        </w:rPr>
      </w:pPr>
      <w:r>
        <w:rPr>
          <w:sz w:val="24"/>
          <w:szCs w:val="24"/>
          <w:lang w:val="zh-CN"/>
        </w:rPr>
        <w:t>根据《城镇土地分等定级规程》，本次</w:t>
      </w:r>
      <w:r>
        <w:rPr>
          <w:sz w:val="24"/>
          <w:lang w:val="zh-CN"/>
        </w:rPr>
        <w:t>长沙县</w:t>
      </w:r>
      <w:r>
        <w:rPr>
          <w:sz w:val="24"/>
          <w:szCs w:val="24"/>
          <w:lang w:val="zh-CN"/>
        </w:rPr>
        <w:t>土地级别划分的工作步骤如下：</w:t>
      </w:r>
    </w:p>
    <w:p>
      <w:pPr>
        <w:spacing w:line="360" w:lineRule="auto"/>
        <w:ind w:firstLine="482" w:firstLineChars="200"/>
        <w:rPr>
          <w:b/>
          <w:sz w:val="24"/>
          <w:szCs w:val="24"/>
          <w:lang w:val="zh-CN"/>
        </w:rPr>
      </w:pPr>
      <w:r>
        <w:rPr>
          <w:b/>
          <w:sz w:val="24"/>
          <w:szCs w:val="24"/>
          <w:lang w:val="zh-CN"/>
        </w:rPr>
        <w:t>1、划定定级单元</w:t>
      </w:r>
    </w:p>
    <w:p>
      <w:pPr>
        <w:spacing w:line="360" w:lineRule="auto"/>
        <w:ind w:firstLine="480" w:firstLineChars="200"/>
        <w:rPr>
          <w:sz w:val="24"/>
          <w:szCs w:val="24"/>
          <w:lang w:val="zh-CN"/>
        </w:rPr>
      </w:pPr>
      <w:r>
        <w:rPr>
          <w:sz w:val="24"/>
          <w:lang w:val="zh-CN"/>
        </w:rPr>
        <w:t>采用计算机系统为辅助手段定级，划分为均匀网格，按网格法直接划定单元，划分的单元面积不大于0.25hm</w:t>
      </w:r>
      <w:r>
        <w:rPr>
          <w:sz w:val="24"/>
          <w:vertAlign w:val="superscript"/>
          <w:lang w:val="zh-CN"/>
        </w:rPr>
        <w:t>2</w:t>
      </w:r>
      <w:r>
        <w:rPr>
          <w:sz w:val="24"/>
          <w:szCs w:val="24"/>
          <w:lang w:val="zh-CN"/>
        </w:rPr>
        <w:t>。</w:t>
      </w:r>
    </w:p>
    <w:p>
      <w:pPr>
        <w:spacing w:line="360" w:lineRule="auto"/>
        <w:ind w:firstLine="482" w:firstLineChars="200"/>
        <w:rPr>
          <w:b/>
          <w:sz w:val="24"/>
          <w:szCs w:val="24"/>
          <w:lang w:val="zh-CN"/>
        </w:rPr>
      </w:pPr>
      <w:r>
        <w:rPr>
          <w:b/>
          <w:sz w:val="24"/>
          <w:szCs w:val="24"/>
          <w:lang w:val="zh-CN"/>
        </w:rPr>
        <w:t>2、确定级别划定的综合因素因子体系</w:t>
      </w:r>
    </w:p>
    <w:p>
      <w:pPr>
        <w:spacing w:line="360" w:lineRule="auto"/>
        <w:ind w:firstLine="480" w:firstLineChars="200"/>
        <w:rPr>
          <w:sz w:val="24"/>
          <w:szCs w:val="24"/>
          <w:lang w:val="zh-CN"/>
        </w:rPr>
      </w:pPr>
      <w:r>
        <w:rPr>
          <w:sz w:val="24"/>
          <w:szCs w:val="24"/>
          <w:lang w:val="zh-CN"/>
        </w:rPr>
        <w:t>从分析影响</w:t>
      </w:r>
      <w:r>
        <w:rPr>
          <w:sz w:val="24"/>
          <w:lang w:val="zh-CN"/>
        </w:rPr>
        <w:t>长沙县</w:t>
      </w:r>
      <w:r>
        <w:rPr>
          <w:sz w:val="24"/>
          <w:szCs w:val="24"/>
          <w:lang w:val="zh-CN"/>
        </w:rPr>
        <w:t>土地质量的自然、经济、社会和环境条件入手，建立综合定级和商服、住宅、工矿仓储</w:t>
      </w:r>
      <w:r>
        <w:rPr>
          <w:rFonts w:hint="eastAsia"/>
          <w:sz w:val="24"/>
          <w:szCs w:val="24"/>
          <w:lang w:val="zh-CN"/>
        </w:rPr>
        <w:t>和公共管理与公共服务</w:t>
      </w:r>
      <w:r>
        <w:rPr>
          <w:sz w:val="24"/>
          <w:szCs w:val="24"/>
          <w:lang w:val="zh-CN"/>
        </w:rPr>
        <w:t>用地分用途定级因素因子体系。</w:t>
      </w:r>
    </w:p>
    <w:p>
      <w:pPr>
        <w:spacing w:line="360" w:lineRule="auto"/>
        <w:ind w:firstLine="482" w:firstLineChars="200"/>
        <w:rPr>
          <w:b/>
          <w:sz w:val="24"/>
          <w:szCs w:val="24"/>
          <w:lang w:val="zh-CN"/>
        </w:rPr>
      </w:pPr>
      <w:r>
        <w:rPr>
          <w:b/>
          <w:sz w:val="24"/>
          <w:szCs w:val="24"/>
          <w:lang w:val="zh-CN"/>
        </w:rPr>
        <w:t>3、确定各因素因子权重</w:t>
      </w:r>
    </w:p>
    <w:p>
      <w:pPr>
        <w:spacing w:line="360" w:lineRule="auto"/>
        <w:ind w:firstLine="480" w:firstLineChars="200"/>
        <w:rPr>
          <w:sz w:val="24"/>
          <w:szCs w:val="24"/>
          <w:lang w:val="zh-CN"/>
        </w:rPr>
      </w:pPr>
      <w:r>
        <w:rPr>
          <w:sz w:val="24"/>
          <w:szCs w:val="24"/>
          <w:lang w:val="zh-CN"/>
        </w:rPr>
        <w:t>因素因子权重的确定采用特尔菲法。首先，选择长沙县土地、规划、建设、科研等各方面的专家对定级因素进行评分；其次，分析各专家两轮打分结果；最后，依据各专家意见的集中程度，综合确定各因素因子的权重值。</w:t>
      </w:r>
    </w:p>
    <w:p>
      <w:pPr>
        <w:spacing w:line="360" w:lineRule="auto"/>
        <w:ind w:firstLine="482" w:firstLineChars="200"/>
        <w:rPr>
          <w:b/>
          <w:sz w:val="24"/>
          <w:szCs w:val="24"/>
          <w:lang w:val="zh-CN"/>
        </w:rPr>
      </w:pPr>
      <w:r>
        <w:rPr>
          <w:b/>
          <w:sz w:val="24"/>
          <w:szCs w:val="24"/>
          <w:lang w:val="zh-CN"/>
        </w:rPr>
        <w:t>4、定级资料收集</w:t>
      </w:r>
    </w:p>
    <w:p>
      <w:pPr>
        <w:spacing w:line="360" w:lineRule="auto"/>
        <w:ind w:firstLine="480" w:firstLineChars="200"/>
        <w:rPr>
          <w:sz w:val="24"/>
          <w:szCs w:val="24"/>
          <w:lang w:val="zh-CN"/>
        </w:rPr>
      </w:pPr>
      <w:r>
        <w:rPr>
          <w:sz w:val="24"/>
          <w:szCs w:val="24"/>
          <w:lang w:val="zh-CN"/>
        </w:rPr>
        <w:t>全面收集调查区内选择用于综合定级和商服、住宅、工矿仓储用地分用途定级资料。主要包括：商服繁华度、道路通达度、公交便捷度、对外交通便利度、基础设施完善度、公用设施完备度、环境质量优劣度、人口密度、规划条件、产业集聚度等等。</w:t>
      </w:r>
    </w:p>
    <w:p>
      <w:pPr>
        <w:spacing w:line="360" w:lineRule="auto"/>
        <w:ind w:firstLine="482" w:firstLineChars="200"/>
        <w:rPr>
          <w:b/>
          <w:sz w:val="24"/>
          <w:szCs w:val="24"/>
          <w:lang w:val="zh-CN"/>
        </w:rPr>
      </w:pPr>
      <w:r>
        <w:rPr>
          <w:b/>
          <w:sz w:val="24"/>
          <w:szCs w:val="24"/>
          <w:lang w:val="zh-CN"/>
        </w:rPr>
        <w:t>5、计算各因素得分情况</w:t>
      </w:r>
    </w:p>
    <w:p>
      <w:pPr>
        <w:spacing w:line="360" w:lineRule="auto"/>
        <w:ind w:firstLine="480" w:firstLineChars="200"/>
        <w:rPr>
          <w:sz w:val="24"/>
          <w:szCs w:val="24"/>
          <w:lang w:val="zh-CN"/>
        </w:rPr>
      </w:pPr>
      <w:r>
        <w:rPr>
          <w:sz w:val="24"/>
          <w:szCs w:val="24"/>
          <w:lang w:val="zh-CN"/>
        </w:rPr>
        <w:t>根据所调查资料，采用《定级规程》规定的方法对定级因素进行量化， 计算各因素因子的标准化值。</w:t>
      </w:r>
    </w:p>
    <w:p>
      <w:pPr>
        <w:spacing w:line="360" w:lineRule="auto"/>
        <w:ind w:firstLine="482" w:firstLineChars="200"/>
        <w:rPr>
          <w:b/>
          <w:sz w:val="24"/>
          <w:szCs w:val="24"/>
          <w:lang w:val="zh-CN"/>
        </w:rPr>
      </w:pPr>
      <w:r>
        <w:rPr>
          <w:b/>
          <w:sz w:val="24"/>
          <w:szCs w:val="24"/>
          <w:lang w:val="zh-CN"/>
        </w:rPr>
        <w:t>6、计算各定级单元所得分值</w:t>
      </w:r>
    </w:p>
    <w:p>
      <w:pPr>
        <w:spacing w:line="360" w:lineRule="auto"/>
        <w:ind w:firstLine="480" w:firstLineChars="200"/>
        <w:rPr>
          <w:sz w:val="24"/>
          <w:szCs w:val="24"/>
          <w:lang w:val="zh-CN"/>
        </w:rPr>
      </w:pPr>
      <w:r>
        <w:rPr>
          <w:sz w:val="24"/>
          <w:szCs w:val="24"/>
          <w:lang w:val="zh-CN"/>
        </w:rPr>
        <w:t>按照累加法，测算各定级单元格所得综合分。</w:t>
      </w:r>
    </w:p>
    <w:p>
      <w:pPr>
        <w:spacing w:line="360" w:lineRule="auto"/>
        <w:ind w:firstLine="482" w:firstLineChars="200"/>
        <w:rPr>
          <w:b/>
          <w:sz w:val="24"/>
          <w:szCs w:val="24"/>
          <w:lang w:val="zh-CN"/>
        </w:rPr>
      </w:pPr>
      <w:r>
        <w:rPr>
          <w:b/>
          <w:sz w:val="24"/>
          <w:szCs w:val="24"/>
          <w:lang w:val="zh-CN"/>
        </w:rPr>
        <w:t>7、确定土地级别</w:t>
      </w:r>
    </w:p>
    <w:p>
      <w:pPr>
        <w:spacing w:line="360" w:lineRule="auto"/>
        <w:ind w:firstLine="480" w:firstLineChars="200"/>
        <w:rPr>
          <w:sz w:val="24"/>
          <w:szCs w:val="24"/>
          <w:lang w:val="zh-CN"/>
        </w:rPr>
      </w:pPr>
      <w:r>
        <w:rPr>
          <w:sz w:val="24"/>
          <w:szCs w:val="24"/>
          <w:lang w:val="zh-CN"/>
        </w:rPr>
        <w:t>根据定级规程中规定的方法，遵循土地质量在空间区位的一致性和差异性等原则，以定级单元总分值计算结果为依据，通过模糊聚类法初步划分综合的以及商服、住宅和工矿仓储用地用地土地级别，同时参考市场交易资料，对级别区域进行调整。</w:t>
      </w:r>
    </w:p>
    <w:p>
      <w:pPr>
        <w:spacing w:line="360" w:lineRule="auto"/>
        <w:ind w:firstLine="482" w:firstLineChars="200"/>
        <w:rPr>
          <w:b/>
          <w:sz w:val="24"/>
          <w:szCs w:val="24"/>
          <w:lang w:val="zh-CN"/>
        </w:rPr>
      </w:pPr>
      <w:r>
        <w:rPr>
          <w:b/>
          <w:sz w:val="24"/>
          <w:szCs w:val="24"/>
          <w:lang w:val="zh-CN"/>
        </w:rPr>
        <w:t>8、土地级别确定与检验</w:t>
      </w:r>
    </w:p>
    <w:p>
      <w:pPr>
        <w:spacing w:line="360" w:lineRule="auto"/>
        <w:ind w:firstLine="480" w:firstLineChars="200"/>
        <w:rPr>
          <w:sz w:val="24"/>
          <w:szCs w:val="24"/>
          <w:lang w:val="zh-CN"/>
        </w:rPr>
      </w:pPr>
      <w:r>
        <w:rPr>
          <w:sz w:val="24"/>
          <w:szCs w:val="24"/>
          <w:lang w:val="zh-CN"/>
        </w:rPr>
        <w:t>根据土地市场交易资料测算、专家评议及实地踏勘等多种方法相互验证、相互补充，最终确定土地级别。首先对各均质地域内平均地价进行测算，确定各土地级别相对应的地价区间，在图上将处于同一地价区间的相邻地域勾画连片，得到综合土地级别，并以此来验证上述级别划分结果；其次，运用专家评议和实地踏勘校正等方法，最终确定土地级别和其界线。</w:t>
      </w:r>
      <w:bookmarkStart w:id="266" w:name="_Toc191210012"/>
      <w:bookmarkStart w:id="267" w:name="_Toc271529426"/>
    </w:p>
    <w:p>
      <w:pPr>
        <w:spacing w:line="360" w:lineRule="auto"/>
        <w:ind w:firstLine="560" w:firstLineChars="200"/>
        <w:outlineLvl w:val="2"/>
        <w:rPr>
          <w:rFonts w:eastAsia="黑体"/>
          <w:sz w:val="28"/>
          <w:szCs w:val="28"/>
        </w:rPr>
      </w:pPr>
      <w:bookmarkStart w:id="268" w:name="_Toc467846823"/>
      <w:bookmarkStart w:id="269" w:name="_Toc6264"/>
      <w:bookmarkStart w:id="270" w:name="_Toc10158"/>
      <w:bookmarkStart w:id="271" w:name="_Toc470721282"/>
      <w:bookmarkStart w:id="272" w:name="_Toc469296431"/>
      <w:r>
        <w:rPr>
          <w:rFonts w:eastAsia="黑体"/>
          <w:sz w:val="28"/>
          <w:szCs w:val="28"/>
        </w:rPr>
        <w:t>四、土地定级的技术方法</w:t>
      </w:r>
      <w:bookmarkEnd w:id="266"/>
      <w:bookmarkEnd w:id="267"/>
      <w:bookmarkEnd w:id="268"/>
      <w:bookmarkEnd w:id="269"/>
      <w:bookmarkEnd w:id="270"/>
      <w:bookmarkEnd w:id="271"/>
      <w:bookmarkEnd w:id="272"/>
    </w:p>
    <w:p>
      <w:pPr>
        <w:spacing w:line="360" w:lineRule="auto"/>
        <w:ind w:firstLine="480" w:firstLineChars="200"/>
        <w:rPr>
          <w:sz w:val="24"/>
          <w:szCs w:val="24"/>
        </w:rPr>
      </w:pPr>
      <w:r>
        <w:rPr>
          <w:sz w:val="24"/>
          <w:szCs w:val="24"/>
        </w:rPr>
        <w:t xml:space="preserve">1、应用地理信息系统（GIS）技术，建立长沙县土地定级信息数据库。 </w:t>
      </w:r>
    </w:p>
    <w:p>
      <w:pPr>
        <w:spacing w:line="360" w:lineRule="auto"/>
        <w:ind w:firstLine="480" w:firstLineChars="200"/>
        <w:rPr>
          <w:sz w:val="24"/>
          <w:szCs w:val="24"/>
        </w:rPr>
      </w:pPr>
      <w:r>
        <w:rPr>
          <w:sz w:val="24"/>
          <w:szCs w:val="24"/>
        </w:rPr>
        <w:t>2、请熟悉长沙县土地利用状况的专家采用特尔斐法确定影响综合土地级别的因素。</w:t>
      </w:r>
    </w:p>
    <w:p>
      <w:pPr>
        <w:spacing w:line="360" w:lineRule="auto"/>
        <w:ind w:firstLine="480" w:firstLineChars="200"/>
        <w:rPr>
          <w:sz w:val="24"/>
          <w:szCs w:val="24"/>
        </w:rPr>
      </w:pPr>
      <w:r>
        <w:rPr>
          <w:sz w:val="24"/>
          <w:szCs w:val="24"/>
        </w:rPr>
        <w:t>3、采用特尔斐测定法测算土地定级因素权重值；</w:t>
      </w:r>
    </w:p>
    <w:p>
      <w:pPr>
        <w:spacing w:line="360" w:lineRule="auto"/>
        <w:ind w:firstLine="480" w:firstLineChars="200"/>
        <w:rPr>
          <w:sz w:val="24"/>
          <w:szCs w:val="24"/>
        </w:rPr>
      </w:pPr>
      <w:r>
        <w:rPr>
          <w:sz w:val="24"/>
          <w:szCs w:val="24"/>
        </w:rPr>
        <w:t>4、土地定级因子评价指标值标准化处理采用位序标准化方法，定级因素的作用分采用相对值法和距离递减法计算，按[0，100]区间赋分，因素指标优劣与作用分的关系按正相关设置，因素条件越好，作用分越高；</w:t>
      </w:r>
    </w:p>
    <w:p>
      <w:pPr>
        <w:spacing w:line="360" w:lineRule="auto"/>
        <w:ind w:firstLine="480" w:firstLineChars="200"/>
        <w:rPr>
          <w:sz w:val="24"/>
          <w:szCs w:val="24"/>
        </w:rPr>
      </w:pPr>
      <w:r>
        <w:rPr>
          <w:sz w:val="24"/>
          <w:szCs w:val="24"/>
        </w:rPr>
        <w:t>5、采用网格法将定级区域划分为若干以道路、河流或自然界线为分界线的土地定级单元。</w:t>
      </w:r>
    </w:p>
    <w:p>
      <w:pPr>
        <w:spacing w:line="360" w:lineRule="auto"/>
        <w:ind w:firstLine="480" w:firstLineChars="200"/>
        <w:rPr>
          <w:sz w:val="24"/>
          <w:szCs w:val="24"/>
        </w:rPr>
      </w:pPr>
      <w:r>
        <w:rPr>
          <w:sz w:val="24"/>
          <w:szCs w:val="24"/>
        </w:rPr>
        <w:t>6、采用多因素综合加权法计算定级因素总分值和定级单元总分值。</w:t>
      </w:r>
    </w:p>
    <w:p>
      <w:pPr>
        <w:spacing w:line="360" w:lineRule="auto"/>
        <w:ind w:firstLine="480" w:firstLineChars="200"/>
        <w:rPr>
          <w:sz w:val="24"/>
          <w:szCs w:val="24"/>
        </w:rPr>
      </w:pPr>
      <w:r>
        <w:rPr>
          <w:sz w:val="24"/>
          <w:szCs w:val="24"/>
        </w:rPr>
        <w:t>7、采用总分频率曲线法等分析方法，分析土地定级因素因子综合影响强度的空间分布和分异规律，初步划分综合土地级别。</w:t>
      </w:r>
    </w:p>
    <w:p>
      <w:pPr>
        <w:spacing w:line="360" w:lineRule="auto"/>
        <w:ind w:firstLine="480" w:firstLineChars="200"/>
        <w:rPr>
          <w:sz w:val="24"/>
          <w:szCs w:val="24"/>
        </w:rPr>
      </w:pPr>
      <w:r>
        <w:rPr>
          <w:sz w:val="24"/>
          <w:szCs w:val="24"/>
        </w:rPr>
        <w:t>8、采用土地市场交易资料测算法测算各类土地的级别基准地价，理论验证并通过专家评议方法确定所划分的综合土地级别。</w:t>
      </w:r>
    </w:p>
    <w:p>
      <w:pPr>
        <w:spacing w:line="360" w:lineRule="auto"/>
        <w:ind w:firstLine="480" w:firstLineChars="200"/>
        <w:rPr>
          <w:sz w:val="24"/>
          <w:szCs w:val="24"/>
        </w:rPr>
      </w:pPr>
      <w:r>
        <w:rPr>
          <w:sz w:val="24"/>
          <w:szCs w:val="24"/>
        </w:rPr>
        <w:t>9、采用等值线法、晕线法等计算机制图技术，自动绘制土地定级因素作用分值图、总分图和土地级别图。</w:t>
      </w:r>
    </w:p>
    <w:bookmarkEnd w:id="255"/>
    <w:bookmarkEnd w:id="256"/>
    <w:bookmarkEnd w:id="257"/>
    <w:bookmarkEnd w:id="258"/>
    <w:bookmarkEnd w:id="259"/>
    <w:p>
      <w:pPr>
        <w:widowControl/>
        <w:jc w:val="center"/>
        <w:outlineLvl w:val="1"/>
        <w:rPr>
          <w:rFonts w:eastAsia="黑体"/>
          <w:sz w:val="32"/>
          <w:szCs w:val="32"/>
        </w:rPr>
      </w:pPr>
      <w:bookmarkStart w:id="273" w:name="_Toc188413452"/>
      <w:bookmarkStart w:id="274" w:name="_Toc427343273"/>
      <w:bookmarkStart w:id="275" w:name="_Toc191210013"/>
      <w:bookmarkStart w:id="276" w:name="_Toc181516341"/>
      <w:bookmarkStart w:id="277" w:name="_Toc271529428"/>
      <w:bookmarkStart w:id="278" w:name="_Toc181362958"/>
      <w:r>
        <w:rPr>
          <w:rFonts w:eastAsia="黑体"/>
          <w:sz w:val="30"/>
          <w:szCs w:val="30"/>
        </w:rPr>
        <w:br w:type="page"/>
      </w:r>
      <w:bookmarkStart w:id="279" w:name="_Toc470721283"/>
      <w:bookmarkStart w:id="280" w:name="_Toc469296432"/>
      <w:bookmarkStart w:id="281" w:name="_Toc28562"/>
      <w:bookmarkStart w:id="282" w:name="_Toc24260"/>
      <w:bookmarkStart w:id="283" w:name="_Toc32238"/>
      <w:bookmarkStart w:id="284" w:name="_Toc467846824"/>
      <w:bookmarkStart w:id="285" w:name="_Toc7732"/>
      <w:r>
        <w:rPr>
          <w:rFonts w:eastAsia="黑体"/>
          <w:sz w:val="32"/>
          <w:szCs w:val="32"/>
        </w:rPr>
        <w:t>第二章  土地定级因素选择和权重确定</w:t>
      </w:r>
      <w:bookmarkEnd w:id="273"/>
      <w:bookmarkEnd w:id="274"/>
      <w:bookmarkEnd w:id="275"/>
      <w:bookmarkEnd w:id="276"/>
      <w:bookmarkEnd w:id="277"/>
      <w:bookmarkEnd w:id="278"/>
      <w:bookmarkEnd w:id="279"/>
      <w:bookmarkEnd w:id="280"/>
      <w:bookmarkEnd w:id="281"/>
      <w:bookmarkEnd w:id="282"/>
      <w:bookmarkEnd w:id="283"/>
      <w:bookmarkEnd w:id="284"/>
      <w:bookmarkEnd w:id="285"/>
      <w:bookmarkStart w:id="286" w:name="_Toc271529429"/>
      <w:bookmarkStart w:id="287" w:name="_Toc191210014"/>
    </w:p>
    <w:p>
      <w:pPr>
        <w:spacing w:line="360" w:lineRule="auto"/>
        <w:ind w:firstLine="560" w:firstLineChars="200"/>
        <w:outlineLvl w:val="2"/>
        <w:rPr>
          <w:rFonts w:eastAsia="黑体"/>
          <w:sz w:val="28"/>
          <w:szCs w:val="28"/>
        </w:rPr>
      </w:pPr>
      <w:bookmarkStart w:id="288" w:name="_Toc9231"/>
      <w:bookmarkStart w:id="289" w:name="_Toc467846825"/>
      <w:bookmarkStart w:id="290" w:name="_Toc469296433"/>
      <w:bookmarkStart w:id="291" w:name="_Toc470721284"/>
      <w:bookmarkStart w:id="292" w:name="_Toc11305"/>
      <w:r>
        <w:rPr>
          <w:rFonts w:eastAsia="黑体"/>
          <w:sz w:val="28"/>
          <w:szCs w:val="28"/>
        </w:rPr>
        <w:t>一、土地定级因素选择</w:t>
      </w:r>
      <w:bookmarkEnd w:id="286"/>
      <w:bookmarkEnd w:id="287"/>
      <w:bookmarkEnd w:id="288"/>
      <w:bookmarkEnd w:id="289"/>
      <w:bookmarkEnd w:id="290"/>
      <w:bookmarkEnd w:id="291"/>
      <w:bookmarkEnd w:id="292"/>
    </w:p>
    <w:p>
      <w:pPr>
        <w:spacing w:line="360" w:lineRule="auto"/>
        <w:ind w:firstLine="480" w:firstLineChars="200"/>
        <w:rPr>
          <w:sz w:val="24"/>
          <w:szCs w:val="24"/>
        </w:rPr>
      </w:pPr>
      <w:r>
        <w:rPr>
          <w:sz w:val="24"/>
          <w:szCs w:val="24"/>
        </w:rPr>
        <w:t>土地定级因素选择的目的是建立起一个对土地级别有重要影响，因素指标值有较大的变化范围，对不同区位的影响有较大差异的因素体系。因此，土地定级因素的选择是土地定级的基础和关键，其选择的合理性、科学性直接关系到城市土地定级和基准地价更新成果的科学性和准确性。</w:t>
      </w:r>
    </w:p>
    <w:p>
      <w:pPr>
        <w:spacing w:line="360" w:lineRule="auto"/>
        <w:ind w:firstLine="482" w:firstLineChars="200"/>
        <w:rPr>
          <w:b/>
          <w:color w:val="000000"/>
          <w:sz w:val="24"/>
          <w:szCs w:val="24"/>
        </w:rPr>
      </w:pPr>
      <w:r>
        <w:rPr>
          <w:b/>
          <w:color w:val="000000"/>
          <w:sz w:val="24"/>
          <w:szCs w:val="24"/>
        </w:rPr>
        <w:t>1、定级因素选择原则</w:t>
      </w:r>
    </w:p>
    <w:p>
      <w:pPr>
        <w:spacing w:line="360" w:lineRule="auto"/>
        <w:ind w:firstLine="480" w:firstLineChars="200"/>
        <w:rPr>
          <w:sz w:val="24"/>
          <w:szCs w:val="24"/>
        </w:rPr>
      </w:pPr>
      <w:r>
        <w:rPr>
          <w:sz w:val="24"/>
          <w:szCs w:val="24"/>
        </w:rPr>
        <w:t>（1）主导性原则。所选的因素对土地质量影响大，对土地级别影响明显；</w:t>
      </w:r>
    </w:p>
    <w:p>
      <w:pPr>
        <w:spacing w:line="360" w:lineRule="auto"/>
        <w:ind w:firstLine="480" w:firstLineChars="200"/>
        <w:rPr>
          <w:sz w:val="24"/>
          <w:szCs w:val="24"/>
        </w:rPr>
      </w:pPr>
      <w:r>
        <w:rPr>
          <w:sz w:val="24"/>
          <w:szCs w:val="24"/>
        </w:rPr>
        <w:t>（2）土地收益差异性原则。能够反映土地质量的差异，体现城市土地区位经济效益；</w:t>
      </w:r>
    </w:p>
    <w:p>
      <w:pPr>
        <w:spacing w:line="360" w:lineRule="auto"/>
        <w:ind w:firstLine="480" w:firstLineChars="200"/>
        <w:rPr>
          <w:sz w:val="24"/>
          <w:szCs w:val="24"/>
        </w:rPr>
      </w:pPr>
      <w:r>
        <w:rPr>
          <w:sz w:val="24"/>
          <w:szCs w:val="24"/>
        </w:rPr>
        <w:t>（3）可持续性原则。考虑土地现状的同时，也考虑土地的发展潜力；</w:t>
      </w:r>
    </w:p>
    <w:p>
      <w:pPr>
        <w:spacing w:line="360" w:lineRule="auto"/>
        <w:ind w:firstLine="480" w:firstLineChars="200"/>
        <w:rPr>
          <w:sz w:val="24"/>
          <w:szCs w:val="24"/>
        </w:rPr>
      </w:pPr>
      <w:r>
        <w:rPr>
          <w:sz w:val="24"/>
          <w:szCs w:val="24"/>
        </w:rPr>
        <w:t>（4）因地制宜原则。所选的因素能反映长沙县的实际情况，能体现城市土地区位经济效益；</w:t>
      </w:r>
    </w:p>
    <w:p>
      <w:pPr>
        <w:spacing w:line="360" w:lineRule="auto"/>
        <w:ind w:firstLine="480" w:firstLineChars="200"/>
        <w:rPr>
          <w:sz w:val="24"/>
          <w:szCs w:val="24"/>
        </w:rPr>
      </w:pPr>
      <w:r>
        <w:rPr>
          <w:sz w:val="24"/>
          <w:szCs w:val="24"/>
        </w:rPr>
        <w:t>（5）易操作性原则。所选的因素易于获取相关资料和量化处理。</w:t>
      </w:r>
    </w:p>
    <w:p>
      <w:pPr>
        <w:spacing w:line="360" w:lineRule="auto"/>
        <w:ind w:firstLine="482" w:firstLineChars="200"/>
        <w:rPr>
          <w:b/>
          <w:color w:val="000000"/>
          <w:sz w:val="24"/>
          <w:szCs w:val="24"/>
        </w:rPr>
      </w:pPr>
      <w:r>
        <w:rPr>
          <w:b/>
          <w:color w:val="000000"/>
          <w:sz w:val="24"/>
          <w:szCs w:val="24"/>
        </w:rPr>
        <w:t>2、土地定级因素说明</w:t>
      </w:r>
    </w:p>
    <w:p>
      <w:pPr>
        <w:spacing w:line="360" w:lineRule="auto"/>
        <w:ind w:firstLine="480" w:firstLineChars="200"/>
        <w:rPr>
          <w:b/>
          <w:sz w:val="24"/>
          <w:szCs w:val="24"/>
        </w:rPr>
      </w:pPr>
      <w:r>
        <w:rPr>
          <w:sz w:val="24"/>
          <w:szCs w:val="24"/>
        </w:rPr>
        <w:t>依据《城镇土地分等定级规程》（GB/T18507-2014），土地定级因素包含以下因素。</w:t>
      </w:r>
    </w:p>
    <w:p>
      <w:pPr>
        <w:spacing w:line="360" w:lineRule="auto"/>
        <w:ind w:firstLine="482" w:firstLineChars="200"/>
        <w:rPr>
          <w:b/>
          <w:sz w:val="24"/>
          <w:szCs w:val="24"/>
        </w:rPr>
      </w:pPr>
      <w:r>
        <w:rPr>
          <w:b/>
          <w:sz w:val="24"/>
          <w:szCs w:val="24"/>
        </w:rPr>
        <w:t xml:space="preserve">（1）商服繁华影响度  </w:t>
      </w:r>
    </w:p>
    <w:p>
      <w:pPr>
        <w:spacing w:line="360" w:lineRule="auto"/>
        <w:ind w:firstLine="480" w:firstLineChars="200"/>
        <w:rPr>
          <w:sz w:val="24"/>
          <w:szCs w:val="24"/>
        </w:rPr>
      </w:pPr>
      <w:r>
        <w:rPr>
          <w:sz w:val="24"/>
          <w:szCs w:val="24"/>
        </w:rPr>
        <w:t>商服繁华影响度是指商服、服务业及金融业等的集聚程度及对土地质量的影响程度，是反映城市土地区位的重要指标，是土地定级因素中一项最基本和最关键的因素。商服中心中规模较大的商服服务业中心的营业额、占地面积、职工人数等指标最能直观地体现出某个区域的繁华程度。</w:t>
      </w:r>
    </w:p>
    <w:p>
      <w:pPr>
        <w:spacing w:line="360" w:lineRule="auto"/>
        <w:ind w:firstLine="480" w:firstLineChars="200"/>
        <w:rPr>
          <w:sz w:val="24"/>
          <w:szCs w:val="24"/>
        </w:rPr>
      </w:pPr>
      <w:r>
        <w:rPr>
          <w:sz w:val="24"/>
          <w:szCs w:val="24"/>
        </w:rPr>
        <w:t>商服中心一般为城市中对企业、事业单位办公、选址和居民消费居住等日常生活产生吸引力的繁华地段，包括商场、集贸市场、金融（银行、证券交易）、中高级饭店、旅店、宾馆、酒店、影剧院等商服、服务业比较集中的城市的某些地区。其影响程度高低反映出该区域居民购物的方便程度和商服业的集聚程度，是反映土地经济区位的重要指标。</w:t>
      </w:r>
    </w:p>
    <w:p>
      <w:pPr>
        <w:spacing w:line="360" w:lineRule="auto"/>
        <w:ind w:firstLine="480" w:firstLineChars="200"/>
        <w:rPr>
          <w:sz w:val="24"/>
          <w:szCs w:val="24"/>
        </w:rPr>
      </w:pPr>
      <w:r>
        <w:rPr>
          <w:sz w:val="24"/>
          <w:szCs w:val="24"/>
        </w:rPr>
        <w:t>根据长沙县商服中心的商店数量、经营项目、利润额、营业面积等，分长沙县商服中心为一级和二级两个级别。</w:t>
      </w:r>
    </w:p>
    <w:p>
      <w:pPr>
        <w:spacing w:line="360" w:lineRule="auto"/>
        <w:ind w:firstLine="482" w:firstLineChars="200"/>
        <w:rPr>
          <w:b/>
          <w:sz w:val="24"/>
          <w:szCs w:val="24"/>
        </w:rPr>
      </w:pPr>
      <w:r>
        <w:rPr>
          <w:b/>
          <w:sz w:val="24"/>
          <w:szCs w:val="24"/>
        </w:rPr>
        <w:t>（2）交通条件</w:t>
      </w:r>
    </w:p>
    <w:p>
      <w:pPr>
        <w:spacing w:line="360" w:lineRule="auto"/>
        <w:ind w:firstLine="480" w:firstLineChars="200"/>
        <w:rPr>
          <w:sz w:val="24"/>
          <w:szCs w:val="24"/>
        </w:rPr>
      </w:pPr>
      <w:r>
        <w:rPr>
          <w:sz w:val="24"/>
          <w:szCs w:val="24"/>
        </w:rPr>
        <w:t>交通条件是指到达某特定土地区位的交通运输条件，是城镇土地定级的重要因素之一。它的状况好坏，一方面影响土地上人流、物流的移动成本；另一方面还影响社会经济活动中人与人、物与物之间的交往接触的频率、机会和便利程度，因此经济区位产生的影响能否转化为实质性效益就受到通达性的制约。城市土地的交通条件主要由道路通达度、公交便捷度（含</w:t>
      </w:r>
      <w:r>
        <w:rPr>
          <w:rFonts w:hint="eastAsia"/>
          <w:sz w:val="24"/>
          <w:szCs w:val="24"/>
        </w:rPr>
        <w:t>轨道交通</w:t>
      </w:r>
      <w:r>
        <w:rPr>
          <w:sz w:val="24"/>
          <w:szCs w:val="24"/>
        </w:rPr>
        <w:t>）、对外交通便利度因素构成。</w:t>
      </w:r>
    </w:p>
    <w:p>
      <w:pPr>
        <w:spacing w:line="360" w:lineRule="auto"/>
        <w:ind w:firstLine="482" w:firstLineChars="200"/>
        <w:rPr>
          <w:b/>
          <w:sz w:val="24"/>
          <w:szCs w:val="24"/>
        </w:rPr>
      </w:pPr>
      <w:r>
        <w:rPr>
          <w:b/>
          <w:sz w:val="24"/>
          <w:szCs w:val="24"/>
        </w:rPr>
        <w:sym w:font="Wingdings" w:char="F081"/>
      </w:r>
      <w:r>
        <w:rPr>
          <w:b/>
          <w:sz w:val="24"/>
          <w:szCs w:val="24"/>
        </w:rPr>
        <w:t xml:space="preserve"> 道路通达度</w:t>
      </w:r>
    </w:p>
    <w:p>
      <w:pPr>
        <w:spacing w:line="360" w:lineRule="auto"/>
        <w:ind w:firstLine="480" w:firstLineChars="200"/>
        <w:rPr>
          <w:sz w:val="24"/>
          <w:szCs w:val="24"/>
        </w:rPr>
      </w:pPr>
      <w:r>
        <w:rPr>
          <w:sz w:val="24"/>
          <w:szCs w:val="24"/>
        </w:rPr>
        <w:t>道路通达度是指城市道路状况（包括道路等级、功能、宽度、道路网密度）和各区域道路通行能力的一种量度。其好坏反映该地区居民生产、生活出入的方便程度。</w:t>
      </w:r>
    </w:p>
    <w:p>
      <w:pPr>
        <w:spacing w:line="360" w:lineRule="auto"/>
        <w:ind w:firstLine="480" w:firstLineChars="200"/>
        <w:rPr>
          <w:sz w:val="24"/>
          <w:szCs w:val="24"/>
        </w:rPr>
      </w:pPr>
      <w:r>
        <w:rPr>
          <w:sz w:val="24"/>
          <w:szCs w:val="24"/>
        </w:rPr>
        <w:t>按道路在城镇交通中的作用可分为:①主干道—联系城镇中主要工矿企业、交通枢纽和全市性公共活动场所的道路，是城镇中主要客货运输线；②次干道—联系城镇主干道之间的道路；③支路—各街坊之间的联系道路。根据长沙县道路网的分布，依据道路类型、级别标准、车流量、宽度及道路功能，长沙县道路分为主干道、次干道、支路等三种类型。主干道红线宽度40m，次干道红线宽度30m，支路宽度15m。</w:t>
      </w:r>
    </w:p>
    <w:p>
      <w:pPr>
        <w:spacing w:line="360" w:lineRule="auto"/>
        <w:ind w:firstLine="482" w:firstLineChars="200"/>
        <w:rPr>
          <w:b/>
          <w:sz w:val="24"/>
          <w:szCs w:val="24"/>
        </w:rPr>
      </w:pPr>
      <w:r>
        <w:rPr>
          <w:b/>
          <w:sz w:val="24"/>
          <w:szCs w:val="24"/>
        </w:rPr>
        <w:sym w:font="Wingdings" w:char="F082"/>
      </w:r>
      <w:r>
        <w:rPr>
          <w:b/>
          <w:sz w:val="24"/>
          <w:szCs w:val="24"/>
        </w:rPr>
        <w:t xml:space="preserve"> 公交便捷度</w:t>
      </w:r>
    </w:p>
    <w:p>
      <w:pPr>
        <w:spacing w:line="480" w:lineRule="exact"/>
        <w:ind w:firstLine="480" w:firstLineChars="200"/>
        <w:rPr>
          <w:sz w:val="24"/>
          <w:szCs w:val="22"/>
          <w:lang w:val="zh-CN"/>
        </w:rPr>
      </w:pPr>
      <w:r>
        <w:rPr>
          <w:sz w:val="24"/>
          <w:szCs w:val="22"/>
          <w:lang w:val="zh-CN"/>
        </w:rPr>
        <w:t>公交便捷度是指城市公交系统的方便程度。其好坏反映该区域居民生活出入的方便程度，是反映土地交通区位的重要指标。公共交通是城市人流移动的主要工具之一，尤其是在大城市、人流移动的成本、消耗的时间以及人们接触交往的机会、频率都要受制于公交状况。因此公交便捷状况成为影响土地优劣的主要因素。长沙县土地定级主要通过公交线路数、公交站点、</w:t>
      </w:r>
      <w:r>
        <w:rPr>
          <w:rFonts w:hint="eastAsia"/>
          <w:sz w:val="24"/>
          <w:szCs w:val="22"/>
          <w:lang w:val="zh-CN"/>
        </w:rPr>
        <w:t>轨道交通</w:t>
      </w:r>
      <w:r>
        <w:rPr>
          <w:sz w:val="24"/>
          <w:szCs w:val="22"/>
          <w:lang w:val="zh-CN"/>
        </w:rPr>
        <w:t>站的分布状况确定公交便捷度对土地的影响。</w:t>
      </w:r>
    </w:p>
    <w:p>
      <w:pPr>
        <w:spacing w:line="360" w:lineRule="auto"/>
        <w:ind w:firstLine="482" w:firstLineChars="200"/>
        <w:rPr>
          <w:b/>
          <w:sz w:val="24"/>
          <w:szCs w:val="24"/>
        </w:rPr>
      </w:pPr>
      <w:r>
        <w:rPr>
          <w:b/>
          <w:sz w:val="24"/>
          <w:szCs w:val="24"/>
        </w:rPr>
        <w:t>（3）基本设施状况</w:t>
      </w:r>
    </w:p>
    <w:p>
      <w:pPr>
        <w:spacing w:line="480" w:lineRule="exact"/>
        <w:ind w:firstLine="480" w:firstLineChars="200"/>
        <w:rPr>
          <w:sz w:val="24"/>
          <w:szCs w:val="22"/>
          <w:lang w:val="zh-CN"/>
        </w:rPr>
      </w:pPr>
      <w:r>
        <w:rPr>
          <w:sz w:val="24"/>
          <w:szCs w:val="22"/>
          <w:lang w:val="zh-CN"/>
        </w:rPr>
        <w:t>城市基本设施是投入土地的社会物化劳动量的直接体现，是人类生产和生活活动的基本条件，其完善与完备程度直接影响城市居民生产、生活的方便程度，影响生产效率、投资效益的高低，对土地质量产生重大影响。按城市基本设施的作用和功能，可将其分为基础设施和公用设施两大类。</w:t>
      </w:r>
    </w:p>
    <w:p>
      <w:pPr>
        <w:spacing w:line="360" w:lineRule="auto"/>
        <w:ind w:firstLine="482" w:firstLineChars="200"/>
        <w:rPr>
          <w:b/>
          <w:sz w:val="24"/>
          <w:szCs w:val="24"/>
        </w:rPr>
      </w:pPr>
      <w:r>
        <w:rPr>
          <w:b/>
          <w:sz w:val="24"/>
          <w:szCs w:val="24"/>
        </w:rPr>
        <w:sym w:font="Wingdings" w:char="F081"/>
      </w:r>
      <w:r>
        <w:rPr>
          <w:b/>
          <w:sz w:val="24"/>
          <w:szCs w:val="24"/>
        </w:rPr>
        <w:t xml:space="preserve"> 基础设施完善度</w:t>
      </w:r>
    </w:p>
    <w:p>
      <w:pPr>
        <w:spacing w:line="480" w:lineRule="exact"/>
        <w:ind w:firstLine="480" w:firstLineChars="200"/>
        <w:rPr>
          <w:sz w:val="24"/>
          <w:szCs w:val="22"/>
          <w:lang w:val="zh-CN"/>
        </w:rPr>
      </w:pPr>
      <w:r>
        <w:rPr>
          <w:sz w:val="24"/>
          <w:szCs w:val="22"/>
          <w:lang w:val="zh-CN"/>
        </w:rPr>
        <w:t>基础设施完善度是投入土地社会化劳动量的直接体现，反映对城市土地开发程度的高低，主要指供水、排水、供电、通讯、供气等。这些生活设施的好坏，反映了一个城市基础设施的配套程度、服务水平和保障率，也是投资环境好坏的标志。本次选择供水、排水、供电、供气等四类设施来衡量长沙县基础设施的差异。</w:t>
      </w:r>
    </w:p>
    <w:p>
      <w:pPr>
        <w:spacing w:line="360" w:lineRule="auto"/>
        <w:ind w:firstLine="482" w:firstLineChars="200"/>
        <w:rPr>
          <w:b/>
          <w:sz w:val="24"/>
          <w:szCs w:val="24"/>
        </w:rPr>
      </w:pPr>
      <w:r>
        <w:rPr>
          <w:b/>
          <w:sz w:val="24"/>
          <w:szCs w:val="24"/>
        </w:rPr>
        <w:sym w:font="Wingdings" w:char="F082"/>
      </w:r>
      <w:r>
        <w:rPr>
          <w:b/>
          <w:sz w:val="24"/>
          <w:szCs w:val="24"/>
        </w:rPr>
        <w:t xml:space="preserve"> 公用设施完备度</w:t>
      </w:r>
    </w:p>
    <w:p>
      <w:pPr>
        <w:spacing w:line="480" w:lineRule="exact"/>
        <w:ind w:firstLine="480" w:firstLineChars="200"/>
        <w:rPr>
          <w:sz w:val="24"/>
          <w:szCs w:val="22"/>
          <w:lang w:val="zh-CN"/>
        </w:rPr>
      </w:pPr>
      <w:r>
        <w:rPr>
          <w:sz w:val="24"/>
          <w:szCs w:val="22"/>
          <w:lang w:val="zh-CN"/>
        </w:rPr>
        <w:t>公用设施完备度也是衡量投入土地的社会物化劳动量的指标之一，主要指与日常生活密切相关的中小学、医院、大型超市、公园及景点以及包括体育场（馆）、文化馆、图书馆、影剧院等在内的文体设施。它们都体现了土地社会物化劳动的投入量，同时也是衡量土地社会及生态效益好坏的重要指标。公用设施完本与否将会影响社会经济活动及人民生活是否更顺利、更便利，影响人民生活得是否更舒适。</w:t>
      </w:r>
    </w:p>
    <w:p>
      <w:pPr>
        <w:spacing w:line="480" w:lineRule="exact"/>
        <w:ind w:firstLine="480" w:firstLineChars="200"/>
        <w:rPr>
          <w:sz w:val="24"/>
          <w:szCs w:val="22"/>
          <w:lang w:val="zh-CN"/>
        </w:rPr>
      </w:pPr>
      <w:r>
        <w:rPr>
          <w:sz w:val="24"/>
          <w:szCs w:val="22"/>
          <w:lang w:val="zh-CN"/>
        </w:rPr>
        <w:t>根据各设施与长沙县居民生活的密切程度，考虑各设施在长沙县空间分布的差异性，本次长沙县土地定级主要考虑大中小学、医院、农贸市场、文体设施等公用设施的影响。</w:t>
      </w:r>
    </w:p>
    <w:p>
      <w:pPr>
        <w:spacing w:line="360" w:lineRule="auto"/>
        <w:ind w:firstLine="482" w:firstLineChars="200"/>
        <w:rPr>
          <w:b/>
          <w:sz w:val="24"/>
          <w:szCs w:val="24"/>
        </w:rPr>
      </w:pPr>
      <w:r>
        <w:rPr>
          <w:b/>
          <w:sz w:val="24"/>
          <w:szCs w:val="24"/>
        </w:rPr>
        <w:t>（4）环境条件</w:t>
      </w:r>
    </w:p>
    <w:p>
      <w:pPr>
        <w:spacing w:line="480" w:lineRule="exact"/>
        <w:ind w:firstLine="480" w:firstLineChars="200"/>
        <w:rPr>
          <w:sz w:val="24"/>
          <w:szCs w:val="22"/>
          <w:lang w:val="zh-CN"/>
        </w:rPr>
      </w:pPr>
      <w:r>
        <w:rPr>
          <w:sz w:val="24"/>
          <w:szCs w:val="22"/>
          <w:lang w:val="zh-CN"/>
        </w:rPr>
        <w:t>在社会发展的进程中，不论是工作还是生活，人们对环境质量的要求越来越高。目前，环境问题不仅困扰城市的发展，事关居民的身心健康，同时也直接影响土地的使用，造成土地质量的差异。环境状况包括环境质量、绿化水平和土地开发的自然条件等，环境质量的好坏直接决定土地使用价值的高低，因此环境条件也是土地定级的重要因素之一。具体包括环境质量优劣度、绿地覆盖率、自然条件优劣度和景观条件优劣度等因素。根据长沙县的城市实际建设情况及城市规划等情况，本次选择环境质量优劣度和自然条件优劣度两个指标进行评定。</w:t>
      </w:r>
    </w:p>
    <w:p>
      <w:pPr>
        <w:spacing w:line="360" w:lineRule="auto"/>
        <w:ind w:firstLine="482" w:firstLineChars="200"/>
        <w:rPr>
          <w:b/>
          <w:sz w:val="24"/>
          <w:szCs w:val="24"/>
        </w:rPr>
      </w:pPr>
      <w:r>
        <w:rPr>
          <w:b/>
          <w:sz w:val="24"/>
          <w:szCs w:val="24"/>
        </w:rPr>
        <w:sym w:font="Wingdings" w:char="F081"/>
      </w:r>
      <w:r>
        <w:rPr>
          <w:b/>
          <w:sz w:val="24"/>
          <w:szCs w:val="24"/>
        </w:rPr>
        <w:t xml:space="preserve"> 环境质量优劣度</w:t>
      </w:r>
    </w:p>
    <w:p>
      <w:pPr>
        <w:spacing w:line="480" w:lineRule="exact"/>
        <w:ind w:firstLine="480" w:firstLineChars="200"/>
        <w:rPr>
          <w:sz w:val="24"/>
          <w:szCs w:val="24"/>
        </w:rPr>
      </w:pPr>
      <w:r>
        <w:rPr>
          <w:sz w:val="24"/>
          <w:szCs w:val="24"/>
        </w:rPr>
        <w:t>环境条件优劣度是综合反映环境条件的重要指标，以不同的生态效应和社会效应直接影响人们的生产生活，进而对土地质量好坏、土地价格的高低产生影响。环境质量是环境污染状况的综合反映。一直以来，对人们居住生活影响最大的指标主要有大气污染、噪声污染、水污染。根据长沙县的实际，本次定级主要对城区内的三废污染程度进行区域评价。</w:t>
      </w:r>
    </w:p>
    <w:p>
      <w:pPr>
        <w:spacing w:line="360" w:lineRule="auto"/>
        <w:ind w:firstLine="482" w:firstLineChars="200"/>
        <w:rPr>
          <w:b/>
          <w:sz w:val="24"/>
          <w:szCs w:val="24"/>
        </w:rPr>
      </w:pPr>
      <w:r>
        <w:rPr>
          <w:b/>
          <w:sz w:val="24"/>
          <w:szCs w:val="24"/>
        </w:rPr>
        <w:sym w:font="Wingdings" w:char="F082"/>
      </w:r>
      <w:r>
        <w:rPr>
          <w:b/>
          <w:sz w:val="24"/>
          <w:szCs w:val="24"/>
        </w:rPr>
        <w:t xml:space="preserve"> 自然条件优劣度</w:t>
      </w:r>
    </w:p>
    <w:p>
      <w:pPr>
        <w:spacing w:line="480" w:lineRule="exact"/>
        <w:ind w:firstLine="480" w:firstLineChars="200"/>
        <w:rPr>
          <w:sz w:val="24"/>
          <w:szCs w:val="24"/>
        </w:rPr>
      </w:pPr>
      <w:r>
        <w:rPr>
          <w:sz w:val="24"/>
          <w:szCs w:val="24"/>
        </w:rPr>
        <w:t>自然条件包括土地的工程地质、地形、地下水、洪水淹没等状况，自然条件优劣度直接影响生产布局，从而影响土地利用。根据水文水系、地震地质、工程地质条件以及农田保护、基础设施周边控制等要求，评定用地的自然条件优劣度。根据长沙县城区城市现状、自然条件、城市建设的制约因素等特点，选择工程地质状况、洪涝灾害来衡量土地的自然条件差异。</w:t>
      </w:r>
    </w:p>
    <w:p>
      <w:pPr>
        <w:spacing w:line="420" w:lineRule="exact"/>
        <w:ind w:firstLine="482" w:firstLineChars="200"/>
        <w:rPr>
          <w:b/>
          <w:sz w:val="24"/>
          <w:szCs w:val="24"/>
        </w:rPr>
      </w:pPr>
      <w:r>
        <w:rPr>
          <w:rFonts w:hint="eastAsia"/>
          <w:b/>
          <w:sz w:val="24"/>
          <w:szCs w:val="24"/>
        </w:rPr>
        <w:t>（5）人口状况</w:t>
      </w:r>
    </w:p>
    <w:p>
      <w:pPr>
        <w:spacing w:line="480" w:lineRule="exact"/>
        <w:ind w:firstLine="480" w:firstLineChars="200"/>
        <w:rPr>
          <w:sz w:val="24"/>
          <w:szCs w:val="24"/>
        </w:rPr>
      </w:pPr>
      <w:r>
        <w:rPr>
          <w:sz w:val="24"/>
          <w:szCs w:val="24"/>
        </w:rPr>
        <w:t>人口状况的主要表征因素是人口密度，人口密度指城市一定区域内单位面积的人口数量，是反映人口集聚程度的指标，可以在一定程度上体现城市土地的投入与开发强度。对商服用地而言，人口密度大，消费需求也就高，反之就低，从而影响商服、的消费需求；对住宅用地而言，人口密度过低，则城市基本设施少，服务及便利程度低，影响人们前来投资置业，而人口密度过大，则人均占用设施少，住房紧张，环境质量差，对土地产生负面影响，只有在人口密度适宜的地区最适合人类居住。</w:t>
      </w:r>
    </w:p>
    <w:p>
      <w:pPr>
        <w:spacing w:line="420" w:lineRule="exact"/>
        <w:ind w:firstLine="482" w:firstLineChars="200"/>
        <w:rPr>
          <w:b/>
          <w:sz w:val="24"/>
          <w:szCs w:val="24"/>
        </w:rPr>
      </w:pPr>
      <w:r>
        <w:rPr>
          <w:rFonts w:hint="eastAsia"/>
          <w:b/>
          <w:sz w:val="24"/>
          <w:szCs w:val="24"/>
        </w:rPr>
        <w:t>（6）</w:t>
      </w:r>
      <w:r>
        <w:rPr>
          <w:b/>
          <w:sz w:val="24"/>
          <w:szCs w:val="24"/>
        </w:rPr>
        <w:t>产业集聚规模</w:t>
      </w:r>
    </w:p>
    <w:p>
      <w:pPr>
        <w:spacing w:line="480" w:lineRule="exact"/>
        <w:ind w:firstLine="480" w:firstLineChars="200"/>
        <w:rPr>
          <w:sz w:val="24"/>
          <w:szCs w:val="24"/>
        </w:rPr>
      </w:pPr>
      <w:r>
        <w:rPr>
          <w:sz w:val="24"/>
          <w:szCs w:val="24"/>
        </w:rPr>
        <w:t>产业集聚影响度是体现城镇</w:t>
      </w:r>
      <w:r>
        <w:rPr>
          <w:rFonts w:hint="eastAsia"/>
          <w:sz w:val="24"/>
          <w:szCs w:val="24"/>
        </w:rPr>
        <w:t>工业</w:t>
      </w:r>
      <w:r>
        <w:rPr>
          <w:sz w:val="24"/>
          <w:szCs w:val="24"/>
        </w:rPr>
        <w:t>企业在地域上集中所引起的区域集聚规模效益的大小，进而影响土地利用的效益大小。当一定的产业在地域上集聚形成一定规模时，一方面能降低企业之间的原材料及产品运输的成本，提高市场信息的交流；另一方面又可以共同利用基础设施、劳动力等资源，因而产生集聚效益，使得各企业都从集聚中取得较大的经济效益。产业集聚一般分为同类产业及其配套产业的集聚和不同类产业的集聚。前者由于各产业之间存在前后向产业联系，产业联系紧密，产业集聚后取得的集聚效益较大，产业集聚影响度较强；后者由于产业间相关性较差，仅在空间上集聚，共同利用基础设施、劳动力资源等，因而产业集聚影响度要弱一些。</w:t>
      </w:r>
    </w:p>
    <w:p>
      <w:pPr>
        <w:spacing w:line="420" w:lineRule="exact"/>
        <w:ind w:firstLine="482" w:firstLineChars="200"/>
        <w:rPr>
          <w:b/>
          <w:sz w:val="24"/>
          <w:szCs w:val="24"/>
        </w:rPr>
      </w:pPr>
      <w:r>
        <w:rPr>
          <w:b/>
          <w:sz w:val="24"/>
          <w:szCs w:val="24"/>
        </w:rPr>
        <w:t>（</w:t>
      </w:r>
      <w:r>
        <w:rPr>
          <w:rFonts w:hint="eastAsia"/>
          <w:b/>
          <w:sz w:val="24"/>
          <w:szCs w:val="24"/>
        </w:rPr>
        <w:t>7</w:t>
      </w:r>
      <w:r>
        <w:rPr>
          <w:b/>
          <w:sz w:val="24"/>
          <w:szCs w:val="24"/>
        </w:rPr>
        <w:t>）城市规划</w:t>
      </w:r>
    </w:p>
    <w:p>
      <w:pPr>
        <w:spacing w:line="480" w:lineRule="exact"/>
        <w:ind w:firstLine="480" w:firstLineChars="200"/>
        <w:rPr>
          <w:sz w:val="24"/>
          <w:szCs w:val="24"/>
        </w:rPr>
      </w:pPr>
      <w:r>
        <w:rPr>
          <w:sz w:val="24"/>
          <w:szCs w:val="24"/>
        </w:rPr>
        <w:t>城市规划主要包括用地规划和道路规划，这两方面要素在基准地价3年更新周期内对土地级别划定具有较大影响。</w:t>
      </w:r>
    </w:p>
    <w:p>
      <w:pPr>
        <w:spacing w:line="360" w:lineRule="auto"/>
        <w:ind w:firstLine="482" w:firstLineChars="200"/>
        <w:rPr>
          <w:b/>
          <w:color w:val="000000"/>
          <w:sz w:val="24"/>
          <w:szCs w:val="24"/>
        </w:rPr>
      </w:pPr>
      <w:r>
        <w:rPr>
          <w:b/>
          <w:color w:val="000000"/>
          <w:sz w:val="24"/>
          <w:szCs w:val="24"/>
        </w:rPr>
        <w:t>3、土地定级因素确定</w:t>
      </w:r>
    </w:p>
    <w:p>
      <w:pPr>
        <w:spacing w:line="480" w:lineRule="exact"/>
        <w:ind w:firstLine="480" w:firstLineChars="200"/>
        <w:rPr>
          <w:sz w:val="24"/>
          <w:szCs w:val="24"/>
        </w:rPr>
      </w:pPr>
      <w:r>
        <w:rPr>
          <w:sz w:val="24"/>
          <w:szCs w:val="24"/>
        </w:rPr>
        <w:t>依据《城镇土地分等定级规程》（GB/T18507-2014）及专家意见，最终确定长沙县</w:t>
      </w:r>
      <w:r>
        <w:rPr>
          <w:rFonts w:hint="eastAsia"/>
          <w:sz w:val="24"/>
          <w:szCs w:val="24"/>
        </w:rPr>
        <w:t>城区</w:t>
      </w:r>
      <w:r>
        <w:rPr>
          <w:sz w:val="24"/>
          <w:szCs w:val="24"/>
        </w:rPr>
        <w:t>土地综合定级因素因子体系表2-2-1。</w:t>
      </w:r>
    </w:p>
    <w:p>
      <w:pPr>
        <w:tabs>
          <w:tab w:val="left" w:pos="720"/>
        </w:tabs>
        <w:spacing w:line="400" w:lineRule="exact"/>
        <w:jc w:val="center"/>
        <w:rPr>
          <w:rFonts w:hint="eastAsia"/>
          <w:b/>
          <w:spacing w:val="-6"/>
          <w:sz w:val="24"/>
          <w:szCs w:val="22"/>
        </w:rPr>
      </w:pPr>
      <w:r>
        <w:rPr>
          <w:b/>
          <w:spacing w:val="-6"/>
          <w:sz w:val="24"/>
          <w:szCs w:val="22"/>
        </w:rPr>
        <w:t>表2-2-1长沙县</w:t>
      </w:r>
      <w:r>
        <w:rPr>
          <w:rFonts w:hint="eastAsia"/>
          <w:b/>
          <w:spacing w:val="-6"/>
          <w:sz w:val="24"/>
          <w:szCs w:val="22"/>
        </w:rPr>
        <w:t>城区</w:t>
      </w:r>
      <w:r>
        <w:rPr>
          <w:b/>
          <w:spacing w:val="-6"/>
          <w:sz w:val="24"/>
          <w:szCs w:val="22"/>
        </w:rPr>
        <w:t>土地</w:t>
      </w:r>
      <w:r>
        <w:rPr>
          <w:rFonts w:hint="eastAsia"/>
          <w:b/>
          <w:spacing w:val="-6"/>
          <w:sz w:val="24"/>
          <w:szCs w:val="22"/>
        </w:rPr>
        <w:t>商服用地、住宅用地和公共管理与公共服务用地</w:t>
      </w:r>
    </w:p>
    <w:p>
      <w:pPr>
        <w:tabs>
          <w:tab w:val="left" w:pos="720"/>
        </w:tabs>
        <w:spacing w:line="400" w:lineRule="exact"/>
        <w:jc w:val="center"/>
        <w:rPr>
          <w:b/>
          <w:spacing w:val="-20"/>
          <w:sz w:val="24"/>
          <w:szCs w:val="22"/>
        </w:rPr>
      </w:pPr>
      <w:r>
        <w:rPr>
          <w:b/>
          <w:spacing w:val="-6"/>
          <w:sz w:val="24"/>
          <w:szCs w:val="22"/>
        </w:rPr>
        <w:t>综合定级因素因子体系</w:t>
      </w:r>
    </w:p>
    <w:tbl>
      <w:tblP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2526"/>
        <w:gridCol w:w="4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Align w:val="center"/>
          </w:tcPr>
          <w:p>
            <w:pPr>
              <w:widowControl/>
              <w:jc w:val="center"/>
              <w:rPr>
                <w:b/>
                <w:kern w:val="0"/>
                <w:szCs w:val="21"/>
              </w:rPr>
            </w:pPr>
            <w:r>
              <w:rPr>
                <w:b/>
                <w:kern w:val="0"/>
                <w:szCs w:val="21"/>
              </w:rPr>
              <w:t>因素层</w:t>
            </w:r>
          </w:p>
        </w:tc>
        <w:tc>
          <w:tcPr>
            <w:tcW w:w="2526" w:type="dxa"/>
            <w:vAlign w:val="center"/>
          </w:tcPr>
          <w:p>
            <w:pPr>
              <w:jc w:val="center"/>
              <w:rPr>
                <w:b/>
                <w:kern w:val="0"/>
                <w:szCs w:val="21"/>
              </w:rPr>
            </w:pPr>
            <w:r>
              <w:rPr>
                <w:b/>
                <w:kern w:val="0"/>
                <w:szCs w:val="21"/>
              </w:rPr>
              <w:t>因子层</w:t>
            </w:r>
          </w:p>
        </w:tc>
        <w:tc>
          <w:tcPr>
            <w:tcW w:w="4414" w:type="dxa"/>
            <w:vAlign w:val="center"/>
          </w:tcPr>
          <w:p>
            <w:pPr>
              <w:jc w:val="center"/>
              <w:rPr>
                <w:b/>
                <w:kern w:val="0"/>
                <w:szCs w:val="21"/>
              </w:rPr>
            </w:pPr>
            <w:r>
              <w:rPr>
                <w:b/>
                <w:kern w:val="0"/>
                <w:szCs w:val="21"/>
              </w:rPr>
              <w:t>指标层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Align w:val="center"/>
          </w:tcPr>
          <w:p>
            <w:pPr>
              <w:widowControl/>
              <w:jc w:val="center"/>
              <w:rPr>
                <w:kern w:val="0"/>
                <w:szCs w:val="21"/>
              </w:rPr>
            </w:pPr>
            <w:r>
              <w:rPr>
                <w:kern w:val="0"/>
                <w:szCs w:val="21"/>
              </w:rPr>
              <w:t>繁华程度</w:t>
            </w:r>
          </w:p>
        </w:tc>
        <w:tc>
          <w:tcPr>
            <w:tcW w:w="2526" w:type="dxa"/>
            <w:vAlign w:val="center"/>
          </w:tcPr>
          <w:p>
            <w:pPr>
              <w:jc w:val="center"/>
              <w:rPr>
                <w:kern w:val="0"/>
                <w:szCs w:val="21"/>
              </w:rPr>
            </w:pPr>
            <w:r>
              <w:rPr>
                <w:kern w:val="0"/>
                <w:szCs w:val="21"/>
              </w:rPr>
              <w:t>商服繁华影响度</w:t>
            </w:r>
          </w:p>
        </w:tc>
        <w:tc>
          <w:tcPr>
            <w:tcW w:w="4414" w:type="dxa"/>
            <w:vAlign w:val="center"/>
          </w:tcPr>
          <w:p>
            <w:pPr>
              <w:jc w:val="center"/>
              <w:rPr>
                <w:kern w:val="0"/>
                <w:szCs w:val="21"/>
              </w:rPr>
            </w:pPr>
            <w:r>
              <w:rPr>
                <w:kern w:val="0"/>
                <w:szCs w:val="21"/>
              </w:rPr>
              <w:t>距离商服中心距离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Merge w:val="restart"/>
            <w:vAlign w:val="center"/>
          </w:tcPr>
          <w:p>
            <w:pPr>
              <w:widowControl/>
              <w:jc w:val="center"/>
              <w:rPr>
                <w:kern w:val="0"/>
                <w:szCs w:val="21"/>
              </w:rPr>
            </w:pPr>
            <w:r>
              <w:rPr>
                <w:kern w:val="0"/>
                <w:szCs w:val="21"/>
              </w:rPr>
              <w:t>交通条件</w:t>
            </w:r>
          </w:p>
        </w:tc>
        <w:tc>
          <w:tcPr>
            <w:tcW w:w="2526" w:type="dxa"/>
            <w:vAlign w:val="center"/>
          </w:tcPr>
          <w:p>
            <w:pPr>
              <w:jc w:val="center"/>
              <w:rPr>
                <w:kern w:val="0"/>
                <w:szCs w:val="21"/>
              </w:rPr>
            </w:pPr>
            <w:r>
              <w:rPr>
                <w:kern w:val="0"/>
                <w:szCs w:val="21"/>
              </w:rPr>
              <w:t>道路通达度</w:t>
            </w:r>
          </w:p>
        </w:tc>
        <w:tc>
          <w:tcPr>
            <w:tcW w:w="4414" w:type="dxa"/>
            <w:vAlign w:val="center"/>
          </w:tcPr>
          <w:p>
            <w:pPr>
              <w:jc w:val="center"/>
              <w:rPr>
                <w:kern w:val="0"/>
                <w:szCs w:val="21"/>
              </w:rPr>
            </w:pPr>
            <w:r>
              <w:rPr>
                <w:kern w:val="0"/>
                <w:szCs w:val="21"/>
              </w:rPr>
              <w:t>通过道路等级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Merge w:val="continue"/>
            <w:vAlign w:val="center"/>
          </w:tcPr>
          <w:p>
            <w:pPr>
              <w:widowControl/>
              <w:jc w:val="center"/>
              <w:rPr>
                <w:kern w:val="0"/>
                <w:szCs w:val="21"/>
              </w:rPr>
            </w:pPr>
          </w:p>
        </w:tc>
        <w:tc>
          <w:tcPr>
            <w:tcW w:w="2526" w:type="dxa"/>
            <w:vMerge w:val="restart"/>
            <w:vAlign w:val="center"/>
          </w:tcPr>
          <w:p>
            <w:pPr>
              <w:jc w:val="center"/>
              <w:rPr>
                <w:kern w:val="0"/>
                <w:szCs w:val="21"/>
              </w:rPr>
            </w:pPr>
            <w:r>
              <w:rPr>
                <w:kern w:val="0"/>
                <w:szCs w:val="21"/>
              </w:rPr>
              <w:t>公交便捷度</w:t>
            </w:r>
          </w:p>
        </w:tc>
        <w:tc>
          <w:tcPr>
            <w:tcW w:w="4414" w:type="dxa"/>
            <w:vAlign w:val="center"/>
          </w:tcPr>
          <w:p>
            <w:pPr>
              <w:jc w:val="center"/>
              <w:rPr>
                <w:kern w:val="0"/>
                <w:szCs w:val="21"/>
              </w:rPr>
            </w:pPr>
            <w:r>
              <w:rPr>
                <w:kern w:val="0"/>
                <w:szCs w:val="21"/>
              </w:rPr>
              <w:t>公交线路数量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82" w:type="dxa"/>
            <w:vMerge w:val="continue"/>
            <w:vAlign w:val="center"/>
          </w:tcPr>
          <w:p>
            <w:pPr>
              <w:widowControl/>
              <w:jc w:val="center"/>
              <w:rPr>
                <w:kern w:val="0"/>
                <w:szCs w:val="21"/>
              </w:rPr>
            </w:pPr>
          </w:p>
        </w:tc>
        <w:tc>
          <w:tcPr>
            <w:tcW w:w="2526" w:type="dxa"/>
            <w:vMerge w:val="continue"/>
            <w:vAlign w:val="center"/>
          </w:tcPr>
          <w:p>
            <w:pPr>
              <w:widowControl/>
              <w:jc w:val="center"/>
              <w:rPr>
                <w:kern w:val="0"/>
                <w:szCs w:val="21"/>
              </w:rPr>
            </w:pPr>
          </w:p>
        </w:tc>
        <w:tc>
          <w:tcPr>
            <w:tcW w:w="4414" w:type="dxa"/>
            <w:vAlign w:val="center"/>
          </w:tcPr>
          <w:p>
            <w:pPr>
              <w:widowControl/>
              <w:jc w:val="center"/>
              <w:rPr>
                <w:kern w:val="0"/>
                <w:szCs w:val="21"/>
              </w:rPr>
            </w:pPr>
            <w:r>
              <w:rPr>
                <w:kern w:val="0"/>
                <w:szCs w:val="21"/>
              </w:rPr>
              <w:t>距离公交站点（</w:t>
            </w:r>
            <w:r>
              <w:rPr>
                <w:rFonts w:hint="eastAsia"/>
                <w:kern w:val="0"/>
                <w:szCs w:val="21"/>
              </w:rPr>
              <w:t>轨道交通</w:t>
            </w:r>
            <w:r>
              <w:rPr>
                <w:kern w:val="0"/>
                <w:szCs w:val="21"/>
              </w:rPr>
              <w:t>站）距离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Merge w:val="restart"/>
            <w:vAlign w:val="center"/>
          </w:tcPr>
          <w:p>
            <w:pPr>
              <w:widowControl/>
              <w:jc w:val="center"/>
              <w:rPr>
                <w:kern w:val="0"/>
                <w:szCs w:val="21"/>
              </w:rPr>
            </w:pPr>
            <w:r>
              <w:rPr>
                <w:kern w:val="0"/>
                <w:szCs w:val="21"/>
              </w:rPr>
              <w:t>基本设施</w:t>
            </w:r>
          </w:p>
        </w:tc>
        <w:tc>
          <w:tcPr>
            <w:tcW w:w="2526" w:type="dxa"/>
            <w:vMerge w:val="restart"/>
            <w:vAlign w:val="center"/>
          </w:tcPr>
          <w:p>
            <w:pPr>
              <w:jc w:val="center"/>
              <w:rPr>
                <w:kern w:val="0"/>
                <w:szCs w:val="21"/>
              </w:rPr>
            </w:pPr>
            <w:r>
              <w:rPr>
                <w:kern w:val="0"/>
                <w:szCs w:val="21"/>
              </w:rPr>
              <w:t>基础设施完善度</w:t>
            </w:r>
          </w:p>
        </w:tc>
        <w:tc>
          <w:tcPr>
            <w:tcW w:w="4414" w:type="dxa"/>
            <w:vAlign w:val="center"/>
          </w:tcPr>
          <w:p>
            <w:pPr>
              <w:widowControl/>
              <w:jc w:val="center"/>
              <w:rPr>
                <w:kern w:val="0"/>
                <w:szCs w:val="21"/>
              </w:rPr>
            </w:pPr>
            <w:r>
              <w:rPr>
                <w:color w:val="000000"/>
                <w:kern w:val="0"/>
                <w:szCs w:val="21"/>
              </w:rPr>
              <w:t>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Merge w:val="continue"/>
            <w:vAlign w:val="center"/>
          </w:tcPr>
          <w:p>
            <w:pPr>
              <w:widowControl/>
              <w:jc w:val="center"/>
              <w:rPr>
                <w:kern w:val="0"/>
                <w:szCs w:val="21"/>
              </w:rPr>
            </w:pPr>
          </w:p>
        </w:tc>
        <w:tc>
          <w:tcPr>
            <w:tcW w:w="2526" w:type="dxa"/>
            <w:vMerge w:val="continue"/>
            <w:vAlign w:val="center"/>
          </w:tcPr>
          <w:p>
            <w:pPr>
              <w:widowControl/>
              <w:jc w:val="center"/>
              <w:rPr>
                <w:kern w:val="0"/>
                <w:szCs w:val="21"/>
              </w:rPr>
            </w:pPr>
          </w:p>
        </w:tc>
        <w:tc>
          <w:tcPr>
            <w:tcW w:w="4414" w:type="dxa"/>
            <w:vAlign w:val="center"/>
          </w:tcPr>
          <w:p>
            <w:pPr>
              <w:widowControl/>
              <w:jc w:val="center"/>
              <w:rPr>
                <w:kern w:val="0"/>
                <w:szCs w:val="21"/>
              </w:rPr>
            </w:pPr>
            <w:r>
              <w:rPr>
                <w:color w:val="000000"/>
                <w:kern w:val="0"/>
                <w:szCs w:val="21"/>
              </w:rPr>
              <w:t>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Merge w:val="continue"/>
            <w:vAlign w:val="center"/>
          </w:tcPr>
          <w:p>
            <w:pPr>
              <w:widowControl/>
              <w:jc w:val="center"/>
              <w:rPr>
                <w:kern w:val="0"/>
                <w:szCs w:val="21"/>
              </w:rPr>
            </w:pPr>
          </w:p>
        </w:tc>
        <w:tc>
          <w:tcPr>
            <w:tcW w:w="2526" w:type="dxa"/>
            <w:vMerge w:val="continue"/>
            <w:vAlign w:val="center"/>
          </w:tcPr>
          <w:p>
            <w:pPr>
              <w:widowControl/>
              <w:jc w:val="center"/>
              <w:rPr>
                <w:kern w:val="0"/>
                <w:szCs w:val="21"/>
              </w:rPr>
            </w:pPr>
          </w:p>
        </w:tc>
        <w:tc>
          <w:tcPr>
            <w:tcW w:w="4414" w:type="dxa"/>
            <w:vAlign w:val="center"/>
          </w:tcPr>
          <w:p>
            <w:pPr>
              <w:widowControl/>
              <w:jc w:val="center"/>
              <w:rPr>
                <w:kern w:val="0"/>
                <w:szCs w:val="21"/>
              </w:rPr>
            </w:pPr>
            <w:r>
              <w:rPr>
                <w:color w:val="000000"/>
                <w:kern w:val="0"/>
                <w:szCs w:val="21"/>
              </w:rPr>
              <w:t>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Merge w:val="continue"/>
            <w:vAlign w:val="center"/>
          </w:tcPr>
          <w:p>
            <w:pPr>
              <w:widowControl/>
              <w:jc w:val="center"/>
              <w:rPr>
                <w:kern w:val="0"/>
                <w:szCs w:val="21"/>
              </w:rPr>
            </w:pPr>
          </w:p>
        </w:tc>
        <w:tc>
          <w:tcPr>
            <w:tcW w:w="2526" w:type="dxa"/>
            <w:vMerge w:val="continue"/>
            <w:vAlign w:val="center"/>
          </w:tcPr>
          <w:p>
            <w:pPr>
              <w:widowControl/>
              <w:jc w:val="center"/>
              <w:rPr>
                <w:kern w:val="0"/>
                <w:szCs w:val="21"/>
              </w:rPr>
            </w:pPr>
          </w:p>
        </w:tc>
        <w:tc>
          <w:tcPr>
            <w:tcW w:w="4414" w:type="dxa"/>
            <w:vAlign w:val="center"/>
          </w:tcPr>
          <w:p>
            <w:pPr>
              <w:widowControl/>
              <w:jc w:val="center"/>
              <w:rPr>
                <w:kern w:val="0"/>
                <w:szCs w:val="21"/>
              </w:rPr>
            </w:pPr>
            <w:r>
              <w:rPr>
                <w:color w:val="000000"/>
                <w:kern w:val="0"/>
                <w:szCs w:val="21"/>
              </w:rPr>
              <w:t>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Merge w:val="continue"/>
            <w:vAlign w:val="center"/>
          </w:tcPr>
          <w:p>
            <w:pPr>
              <w:widowControl/>
              <w:jc w:val="center"/>
              <w:rPr>
                <w:kern w:val="0"/>
                <w:szCs w:val="21"/>
              </w:rPr>
            </w:pPr>
          </w:p>
        </w:tc>
        <w:tc>
          <w:tcPr>
            <w:tcW w:w="2526" w:type="dxa"/>
            <w:vMerge w:val="restart"/>
            <w:vAlign w:val="center"/>
          </w:tcPr>
          <w:p>
            <w:pPr>
              <w:jc w:val="center"/>
              <w:rPr>
                <w:kern w:val="0"/>
                <w:szCs w:val="21"/>
              </w:rPr>
            </w:pPr>
            <w:r>
              <w:rPr>
                <w:kern w:val="0"/>
                <w:szCs w:val="21"/>
              </w:rPr>
              <w:t>公用设施完备度</w:t>
            </w:r>
          </w:p>
        </w:tc>
        <w:tc>
          <w:tcPr>
            <w:tcW w:w="4414" w:type="dxa"/>
            <w:vAlign w:val="center"/>
          </w:tcPr>
          <w:p>
            <w:pPr>
              <w:jc w:val="center"/>
              <w:rPr>
                <w:kern w:val="0"/>
                <w:szCs w:val="21"/>
              </w:rPr>
            </w:pPr>
            <w:r>
              <w:rPr>
                <w:kern w:val="0"/>
                <w:szCs w:val="21"/>
              </w:rPr>
              <w:t>距离医院距离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Merge w:val="continue"/>
            <w:vAlign w:val="center"/>
          </w:tcPr>
          <w:p>
            <w:pPr>
              <w:widowControl/>
              <w:jc w:val="center"/>
              <w:rPr>
                <w:kern w:val="0"/>
                <w:szCs w:val="21"/>
              </w:rPr>
            </w:pPr>
          </w:p>
        </w:tc>
        <w:tc>
          <w:tcPr>
            <w:tcW w:w="2526" w:type="dxa"/>
            <w:vMerge w:val="continue"/>
            <w:vAlign w:val="center"/>
          </w:tcPr>
          <w:p>
            <w:pPr>
              <w:widowControl/>
              <w:jc w:val="center"/>
              <w:rPr>
                <w:kern w:val="0"/>
                <w:szCs w:val="21"/>
              </w:rPr>
            </w:pPr>
          </w:p>
        </w:tc>
        <w:tc>
          <w:tcPr>
            <w:tcW w:w="4414" w:type="dxa"/>
            <w:vAlign w:val="center"/>
          </w:tcPr>
          <w:p>
            <w:pPr>
              <w:jc w:val="center"/>
              <w:rPr>
                <w:kern w:val="0"/>
                <w:szCs w:val="21"/>
              </w:rPr>
            </w:pPr>
            <w:r>
              <w:rPr>
                <w:kern w:val="0"/>
                <w:szCs w:val="21"/>
              </w:rPr>
              <w:t>距离中小学距离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Merge w:val="continue"/>
            <w:vAlign w:val="center"/>
          </w:tcPr>
          <w:p>
            <w:pPr>
              <w:widowControl/>
              <w:jc w:val="center"/>
              <w:rPr>
                <w:kern w:val="0"/>
                <w:szCs w:val="21"/>
              </w:rPr>
            </w:pPr>
          </w:p>
        </w:tc>
        <w:tc>
          <w:tcPr>
            <w:tcW w:w="2526" w:type="dxa"/>
            <w:vMerge w:val="continue"/>
            <w:vAlign w:val="center"/>
          </w:tcPr>
          <w:p>
            <w:pPr>
              <w:widowControl/>
              <w:jc w:val="center"/>
              <w:rPr>
                <w:kern w:val="0"/>
                <w:szCs w:val="21"/>
              </w:rPr>
            </w:pPr>
          </w:p>
        </w:tc>
        <w:tc>
          <w:tcPr>
            <w:tcW w:w="4414" w:type="dxa"/>
            <w:vAlign w:val="center"/>
          </w:tcPr>
          <w:p>
            <w:pPr>
              <w:jc w:val="center"/>
              <w:rPr>
                <w:kern w:val="0"/>
                <w:szCs w:val="21"/>
              </w:rPr>
            </w:pPr>
            <w:r>
              <w:rPr>
                <w:kern w:val="0"/>
                <w:szCs w:val="21"/>
              </w:rPr>
              <w:t>距离农贸市场距离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Merge w:val="continue"/>
            <w:vAlign w:val="center"/>
          </w:tcPr>
          <w:p>
            <w:pPr>
              <w:widowControl/>
              <w:jc w:val="center"/>
              <w:rPr>
                <w:kern w:val="0"/>
                <w:szCs w:val="21"/>
              </w:rPr>
            </w:pPr>
          </w:p>
        </w:tc>
        <w:tc>
          <w:tcPr>
            <w:tcW w:w="2526" w:type="dxa"/>
            <w:vMerge w:val="continue"/>
            <w:vAlign w:val="center"/>
          </w:tcPr>
          <w:p>
            <w:pPr>
              <w:widowControl/>
              <w:jc w:val="center"/>
              <w:rPr>
                <w:kern w:val="0"/>
                <w:szCs w:val="21"/>
              </w:rPr>
            </w:pPr>
          </w:p>
        </w:tc>
        <w:tc>
          <w:tcPr>
            <w:tcW w:w="4414" w:type="dxa"/>
            <w:vAlign w:val="center"/>
          </w:tcPr>
          <w:p>
            <w:pPr>
              <w:jc w:val="center"/>
              <w:rPr>
                <w:kern w:val="0"/>
                <w:szCs w:val="21"/>
              </w:rPr>
            </w:pPr>
            <w:r>
              <w:rPr>
                <w:kern w:val="0"/>
                <w:szCs w:val="21"/>
              </w:rPr>
              <w:t>距离文体设施距离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Merge w:val="restart"/>
            <w:vAlign w:val="center"/>
          </w:tcPr>
          <w:p>
            <w:pPr>
              <w:widowControl/>
              <w:jc w:val="center"/>
              <w:rPr>
                <w:kern w:val="0"/>
                <w:szCs w:val="21"/>
              </w:rPr>
            </w:pPr>
            <w:r>
              <w:rPr>
                <w:kern w:val="0"/>
                <w:szCs w:val="21"/>
              </w:rPr>
              <w:t>环境条件</w:t>
            </w:r>
          </w:p>
        </w:tc>
        <w:tc>
          <w:tcPr>
            <w:tcW w:w="2526" w:type="dxa"/>
            <w:vMerge w:val="restart"/>
            <w:vAlign w:val="center"/>
          </w:tcPr>
          <w:p>
            <w:pPr>
              <w:jc w:val="center"/>
              <w:rPr>
                <w:kern w:val="0"/>
                <w:szCs w:val="21"/>
              </w:rPr>
            </w:pPr>
            <w:r>
              <w:rPr>
                <w:kern w:val="0"/>
                <w:szCs w:val="21"/>
              </w:rPr>
              <w:t>环境质量优劣度</w:t>
            </w:r>
          </w:p>
        </w:tc>
        <w:tc>
          <w:tcPr>
            <w:tcW w:w="4414" w:type="dxa"/>
            <w:vAlign w:val="center"/>
          </w:tcPr>
          <w:p>
            <w:pPr>
              <w:jc w:val="center"/>
              <w:rPr>
                <w:kern w:val="0"/>
                <w:szCs w:val="21"/>
              </w:rPr>
            </w:pPr>
            <w:r>
              <w:rPr>
                <w:kern w:val="0"/>
                <w:szCs w:val="21"/>
              </w:rPr>
              <w:t>绿地覆盖率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Merge w:val="continue"/>
            <w:vAlign w:val="center"/>
          </w:tcPr>
          <w:p>
            <w:pPr>
              <w:widowControl/>
              <w:jc w:val="center"/>
              <w:rPr>
                <w:kern w:val="0"/>
                <w:szCs w:val="21"/>
              </w:rPr>
            </w:pPr>
          </w:p>
        </w:tc>
        <w:tc>
          <w:tcPr>
            <w:tcW w:w="2526" w:type="dxa"/>
            <w:vMerge w:val="continue"/>
            <w:vAlign w:val="center"/>
          </w:tcPr>
          <w:p>
            <w:pPr>
              <w:widowControl/>
              <w:jc w:val="center"/>
              <w:rPr>
                <w:kern w:val="0"/>
                <w:szCs w:val="21"/>
              </w:rPr>
            </w:pPr>
          </w:p>
        </w:tc>
        <w:tc>
          <w:tcPr>
            <w:tcW w:w="4414" w:type="dxa"/>
            <w:vAlign w:val="center"/>
          </w:tcPr>
          <w:p>
            <w:pPr>
              <w:jc w:val="center"/>
              <w:rPr>
                <w:kern w:val="0"/>
                <w:szCs w:val="21"/>
              </w:rPr>
            </w:pPr>
            <w:r>
              <w:rPr>
                <w:kern w:val="0"/>
                <w:szCs w:val="21"/>
              </w:rPr>
              <w:t>三废污染程度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Merge w:val="continue"/>
            <w:vAlign w:val="center"/>
          </w:tcPr>
          <w:p>
            <w:pPr>
              <w:widowControl/>
              <w:jc w:val="center"/>
              <w:rPr>
                <w:kern w:val="0"/>
                <w:szCs w:val="21"/>
              </w:rPr>
            </w:pPr>
          </w:p>
        </w:tc>
        <w:tc>
          <w:tcPr>
            <w:tcW w:w="2526" w:type="dxa"/>
            <w:vMerge w:val="restart"/>
            <w:vAlign w:val="center"/>
          </w:tcPr>
          <w:p>
            <w:pPr>
              <w:jc w:val="center"/>
              <w:rPr>
                <w:kern w:val="0"/>
                <w:szCs w:val="21"/>
              </w:rPr>
            </w:pPr>
            <w:r>
              <w:rPr>
                <w:kern w:val="0"/>
                <w:szCs w:val="21"/>
              </w:rPr>
              <w:t>自然条件优劣度</w:t>
            </w:r>
          </w:p>
        </w:tc>
        <w:tc>
          <w:tcPr>
            <w:tcW w:w="4414" w:type="dxa"/>
            <w:vAlign w:val="center"/>
          </w:tcPr>
          <w:p>
            <w:pPr>
              <w:jc w:val="center"/>
              <w:rPr>
                <w:kern w:val="0"/>
                <w:szCs w:val="21"/>
              </w:rPr>
            </w:pPr>
            <w:r>
              <w:rPr>
                <w:kern w:val="0"/>
                <w:szCs w:val="21"/>
              </w:rPr>
              <w:t>地形、地质优劣情况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Merge w:val="continue"/>
            <w:vAlign w:val="center"/>
          </w:tcPr>
          <w:p>
            <w:pPr>
              <w:widowControl/>
              <w:jc w:val="center"/>
              <w:rPr>
                <w:kern w:val="0"/>
                <w:szCs w:val="21"/>
              </w:rPr>
            </w:pPr>
          </w:p>
        </w:tc>
        <w:tc>
          <w:tcPr>
            <w:tcW w:w="2526" w:type="dxa"/>
            <w:vMerge w:val="continue"/>
            <w:vAlign w:val="center"/>
          </w:tcPr>
          <w:p>
            <w:pPr>
              <w:widowControl/>
              <w:jc w:val="center"/>
              <w:rPr>
                <w:kern w:val="0"/>
                <w:szCs w:val="21"/>
              </w:rPr>
            </w:pPr>
          </w:p>
        </w:tc>
        <w:tc>
          <w:tcPr>
            <w:tcW w:w="4414" w:type="dxa"/>
            <w:vAlign w:val="center"/>
          </w:tcPr>
          <w:p>
            <w:pPr>
              <w:jc w:val="center"/>
              <w:rPr>
                <w:kern w:val="0"/>
                <w:szCs w:val="21"/>
              </w:rPr>
            </w:pPr>
            <w:r>
              <w:rPr>
                <w:kern w:val="0"/>
                <w:szCs w:val="21"/>
              </w:rPr>
              <w:t>洪涝灾害频率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Merge w:val="restart"/>
            <w:vAlign w:val="center"/>
          </w:tcPr>
          <w:p>
            <w:pPr>
              <w:widowControl/>
              <w:jc w:val="center"/>
              <w:rPr>
                <w:kern w:val="0"/>
                <w:szCs w:val="21"/>
              </w:rPr>
            </w:pPr>
            <w:r>
              <w:rPr>
                <w:kern w:val="0"/>
                <w:szCs w:val="21"/>
              </w:rPr>
              <w:t>其他方面</w:t>
            </w:r>
          </w:p>
        </w:tc>
        <w:tc>
          <w:tcPr>
            <w:tcW w:w="2526" w:type="dxa"/>
            <w:vMerge w:val="restart"/>
            <w:vAlign w:val="center"/>
          </w:tcPr>
          <w:p>
            <w:pPr>
              <w:jc w:val="center"/>
              <w:rPr>
                <w:kern w:val="0"/>
                <w:szCs w:val="21"/>
              </w:rPr>
            </w:pPr>
            <w:r>
              <w:rPr>
                <w:kern w:val="0"/>
                <w:szCs w:val="21"/>
              </w:rPr>
              <w:t>城市规划</w:t>
            </w:r>
          </w:p>
        </w:tc>
        <w:tc>
          <w:tcPr>
            <w:tcW w:w="4414" w:type="dxa"/>
            <w:vAlign w:val="center"/>
          </w:tcPr>
          <w:p>
            <w:pPr>
              <w:jc w:val="center"/>
              <w:rPr>
                <w:szCs w:val="21"/>
              </w:rPr>
            </w:pPr>
            <w:r>
              <w:rPr>
                <w:szCs w:val="21"/>
              </w:rPr>
              <w:t>道路规划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vMerge w:val="continue"/>
            <w:vAlign w:val="center"/>
          </w:tcPr>
          <w:p>
            <w:pPr>
              <w:widowControl/>
              <w:jc w:val="center"/>
              <w:rPr>
                <w:b/>
                <w:kern w:val="0"/>
                <w:szCs w:val="21"/>
              </w:rPr>
            </w:pPr>
          </w:p>
        </w:tc>
        <w:tc>
          <w:tcPr>
            <w:tcW w:w="2526" w:type="dxa"/>
            <w:vMerge w:val="continue"/>
            <w:vAlign w:val="center"/>
          </w:tcPr>
          <w:p>
            <w:pPr>
              <w:widowControl/>
              <w:jc w:val="center"/>
              <w:rPr>
                <w:b/>
                <w:kern w:val="0"/>
                <w:szCs w:val="21"/>
              </w:rPr>
            </w:pPr>
          </w:p>
        </w:tc>
        <w:tc>
          <w:tcPr>
            <w:tcW w:w="4414" w:type="dxa"/>
            <w:vAlign w:val="center"/>
          </w:tcPr>
          <w:p>
            <w:pPr>
              <w:jc w:val="center"/>
              <w:rPr>
                <w:b/>
                <w:kern w:val="0"/>
                <w:szCs w:val="21"/>
              </w:rPr>
            </w:pPr>
            <w:r>
              <w:rPr>
                <w:szCs w:val="21"/>
              </w:rPr>
              <w:t>用地规划</w:t>
            </w:r>
          </w:p>
        </w:tc>
      </w:tr>
    </w:tbl>
    <w:p>
      <w:pPr>
        <w:tabs>
          <w:tab w:val="left" w:pos="720"/>
        </w:tabs>
        <w:spacing w:line="480" w:lineRule="exact"/>
        <w:jc w:val="center"/>
        <w:rPr>
          <w:b/>
          <w:sz w:val="24"/>
          <w:szCs w:val="22"/>
        </w:rPr>
      </w:pPr>
      <w:bookmarkStart w:id="293" w:name="_Toc469296434"/>
      <w:bookmarkStart w:id="294" w:name="_Toc191210015"/>
      <w:bookmarkStart w:id="295" w:name="_Toc467846826"/>
      <w:bookmarkStart w:id="296" w:name="_Toc470721285"/>
      <w:bookmarkStart w:id="297" w:name="_Toc29620"/>
      <w:bookmarkStart w:id="298" w:name="_Toc271529430"/>
      <w:r>
        <w:rPr>
          <w:b/>
          <w:sz w:val="24"/>
          <w:szCs w:val="22"/>
        </w:rPr>
        <w:t>表</w:t>
      </w:r>
      <w:r>
        <w:rPr>
          <w:rFonts w:hint="eastAsia"/>
          <w:b/>
          <w:sz w:val="24"/>
          <w:szCs w:val="22"/>
        </w:rPr>
        <w:t>2</w:t>
      </w:r>
      <w:r>
        <w:rPr>
          <w:b/>
          <w:sz w:val="24"/>
          <w:szCs w:val="22"/>
        </w:rPr>
        <w:t>-</w:t>
      </w:r>
      <w:r>
        <w:rPr>
          <w:rFonts w:hint="eastAsia"/>
          <w:b/>
          <w:sz w:val="24"/>
          <w:szCs w:val="22"/>
        </w:rPr>
        <w:t>2</w:t>
      </w:r>
      <w:r>
        <w:rPr>
          <w:b/>
          <w:sz w:val="24"/>
          <w:szCs w:val="22"/>
        </w:rPr>
        <w:t>-2</w:t>
      </w:r>
      <w:r>
        <w:rPr>
          <w:rFonts w:hint="eastAsia"/>
          <w:b/>
          <w:sz w:val="24"/>
          <w:szCs w:val="22"/>
        </w:rPr>
        <w:t>长沙县</w:t>
      </w:r>
      <w:r>
        <w:rPr>
          <w:b/>
          <w:sz w:val="24"/>
          <w:szCs w:val="22"/>
        </w:rPr>
        <w:t>城区工矿仓储</w:t>
      </w:r>
      <w:r>
        <w:rPr>
          <w:rFonts w:hint="eastAsia"/>
          <w:b/>
          <w:sz w:val="24"/>
          <w:szCs w:val="22"/>
        </w:rPr>
        <w:t>用地</w:t>
      </w:r>
      <w:r>
        <w:rPr>
          <w:b/>
          <w:sz w:val="24"/>
          <w:szCs w:val="22"/>
        </w:rPr>
        <w:t>定级因素因子体系</w:t>
      </w:r>
    </w:p>
    <w:tbl>
      <w:tblP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2339"/>
        <w:gridCol w:w="3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272" w:type="dxa"/>
            <w:vAlign w:val="center"/>
          </w:tcPr>
          <w:p>
            <w:pPr>
              <w:widowControl/>
              <w:jc w:val="center"/>
              <w:rPr>
                <w:kern w:val="0"/>
                <w:szCs w:val="21"/>
              </w:rPr>
            </w:pPr>
            <w:r>
              <w:rPr>
                <w:kern w:val="0"/>
                <w:szCs w:val="21"/>
              </w:rPr>
              <w:t>因素层</w:t>
            </w:r>
          </w:p>
        </w:tc>
        <w:tc>
          <w:tcPr>
            <w:tcW w:w="2339" w:type="dxa"/>
            <w:vAlign w:val="center"/>
          </w:tcPr>
          <w:p>
            <w:pPr>
              <w:widowControl/>
              <w:jc w:val="center"/>
              <w:rPr>
                <w:kern w:val="0"/>
                <w:szCs w:val="21"/>
              </w:rPr>
            </w:pPr>
            <w:r>
              <w:rPr>
                <w:kern w:val="0"/>
                <w:szCs w:val="21"/>
              </w:rPr>
              <w:t>因子层</w:t>
            </w:r>
          </w:p>
        </w:tc>
        <w:tc>
          <w:tcPr>
            <w:tcW w:w="3911" w:type="dxa"/>
            <w:vAlign w:val="center"/>
          </w:tcPr>
          <w:p>
            <w:pPr>
              <w:widowControl/>
              <w:jc w:val="center"/>
              <w:rPr>
                <w:kern w:val="0"/>
                <w:szCs w:val="21"/>
              </w:rPr>
            </w:pPr>
            <w:r>
              <w:rPr>
                <w:kern w:val="0"/>
                <w:szCs w:val="21"/>
              </w:rPr>
              <w:t>指标层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272" w:type="dxa"/>
            <w:vMerge w:val="restart"/>
            <w:vAlign w:val="center"/>
          </w:tcPr>
          <w:p>
            <w:pPr>
              <w:widowControl/>
              <w:jc w:val="center"/>
              <w:rPr>
                <w:kern w:val="0"/>
                <w:szCs w:val="21"/>
              </w:rPr>
            </w:pPr>
            <w:r>
              <w:rPr>
                <w:kern w:val="0"/>
                <w:szCs w:val="21"/>
              </w:rPr>
              <w:t>交通条件</w:t>
            </w:r>
          </w:p>
        </w:tc>
        <w:tc>
          <w:tcPr>
            <w:tcW w:w="2339" w:type="dxa"/>
            <w:vAlign w:val="center"/>
          </w:tcPr>
          <w:p>
            <w:pPr>
              <w:widowControl/>
              <w:jc w:val="center"/>
              <w:rPr>
                <w:kern w:val="0"/>
                <w:szCs w:val="21"/>
              </w:rPr>
            </w:pPr>
            <w:r>
              <w:rPr>
                <w:kern w:val="0"/>
                <w:szCs w:val="21"/>
              </w:rPr>
              <w:t>道路通达度</w:t>
            </w:r>
          </w:p>
        </w:tc>
        <w:tc>
          <w:tcPr>
            <w:tcW w:w="3911" w:type="dxa"/>
            <w:vAlign w:val="center"/>
          </w:tcPr>
          <w:p>
            <w:pPr>
              <w:widowControl/>
              <w:jc w:val="center"/>
              <w:rPr>
                <w:kern w:val="0"/>
                <w:szCs w:val="21"/>
              </w:rPr>
            </w:pPr>
            <w:r>
              <w:rPr>
                <w:kern w:val="0"/>
                <w:szCs w:val="21"/>
              </w:rPr>
              <w:t>临近道路状况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2272" w:type="dxa"/>
            <w:vMerge w:val="continue"/>
            <w:vAlign w:val="center"/>
          </w:tcPr>
          <w:p>
            <w:pPr>
              <w:widowControl/>
              <w:jc w:val="center"/>
              <w:rPr>
                <w:kern w:val="0"/>
                <w:szCs w:val="21"/>
              </w:rPr>
            </w:pPr>
          </w:p>
        </w:tc>
        <w:tc>
          <w:tcPr>
            <w:tcW w:w="2339" w:type="dxa"/>
            <w:vMerge w:val="restart"/>
            <w:vAlign w:val="center"/>
          </w:tcPr>
          <w:p>
            <w:pPr>
              <w:widowControl/>
              <w:jc w:val="center"/>
              <w:rPr>
                <w:kern w:val="0"/>
                <w:szCs w:val="21"/>
              </w:rPr>
            </w:pPr>
            <w:r>
              <w:rPr>
                <w:kern w:val="0"/>
                <w:szCs w:val="21"/>
              </w:rPr>
              <w:t>对外交通便利度</w:t>
            </w:r>
          </w:p>
        </w:tc>
        <w:tc>
          <w:tcPr>
            <w:tcW w:w="3911" w:type="dxa"/>
            <w:vAlign w:val="center"/>
          </w:tcPr>
          <w:p>
            <w:pPr>
              <w:widowControl/>
              <w:jc w:val="center"/>
              <w:rPr>
                <w:kern w:val="0"/>
                <w:szCs w:val="21"/>
              </w:rPr>
            </w:pPr>
            <w:r>
              <w:rPr>
                <w:kern w:val="0"/>
                <w:szCs w:val="21"/>
              </w:rPr>
              <w:t>距最近长途汽车站距离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2272" w:type="dxa"/>
            <w:vMerge w:val="continue"/>
            <w:vAlign w:val="center"/>
          </w:tcPr>
          <w:p>
            <w:pPr>
              <w:widowControl/>
              <w:jc w:val="center"/>
              <w:rPr>
                <w:kern w:val="0"/>
                <w:szCs w:val="21"/>
              </w:rPr>
            </w:pPr>
          </w:p>
        </w:tc>
        <w:tc>
          <w:tcPr>
            <w:tcW w:w="2339" w:type="dxa"/>
            <w:vMerge w:val="continue"/>
            <w:vAlign w:val="center"/>
          </w:tcPr>
          <w:p>
            <w:pPr>
              <w:widowControl/>
              <w:jc w:val="center"/>
              <w:rPr>
                <w:kern w:val="0"/>
                <w:szCs w:val="21"/>
              </w:rPr>
            </w:pPr>
          </w:p>
        </w:tc>
        <w:tc>
          <w:tcPr>
            <w:tcW w:w="3911" w:type="dxa"/>
            <w:vAlign w:val="center"/>
          </w:tcPr>
          <w:p>
            <w:pPr>
              <w:widowControl/>
              <w:jc w:val="center"/>
              <w:rPr>
                <w:kern w:val="0"/>
                <w:szCs w:val="21"/>
              </w:rPr>
            </w:pPr>
            <w:r>
              <w:rPr>
                <w:kern w:val="0"/>
                <w:szCs w:val="21"/>
              </w:rPr>
              <w:t>距火车站距离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272" w:type="dxa"/>
            <w:vMerge w:val="restart"/>
            <w:vAlign w:val="center"/>
          </w:tcPr>
          <w:p>
            <w:pPr>
              <w:widowControl/>
              <w:jc w:val="center"/>
              <w:rPr>
                <w:kern w:val="0"/>
                <w:szCs w:val="21"/>
              </w:rPr>
            </w:pPr>
            <w:r>
              <w:rPr>
                <w:kern w:val="0"/>
                <w:szCs w:val="21"/>
              </w:rPr>
              <w:t>基本设施状况</w:t>
            </w:r>
          </w:p>
        </w:tc>
        <w:tc>
          <w:tcPr>
            <w:tcW w:w="2339" w:type="dxa"/>
            <w:vMerge w:val="restart"/>
            <w:vAlign w:val="center"/>
          </w:tcPr>
          <w:p>
            <w:pPr>
              <w:widowControl/>
              <w:jc w:val="center"/>
              <w:rPr>
                <w:kern w:val="0"/>
                <w:szCs w:val="21"/>
              </w:rPr>
            </w:pPr>
            <w:r>
              <w:rPr>
                <w:kern w:val="0"/>
                <w:szCs w:val="21"/>
              </w:rPr>
              <w:t>基础设施完善度</w:t>
            </w:r>
          </w:p>
        </w:tc>
        <w:tc>
          <w:tcPr>
            <w:tcW w:w="3911" w:type="dxa"/>
            <w:vAlign w:val="center"/>
          </w:tcPr>
          <w:p>
            <w:pPr>
              <w:widowControl/>
              <w:jc w:val="center"/>
              <w:rPr>
                <w:kern w:val="0"/>
                <w:szCs w:val="21"/>
              </w:rPr>
            </w:pPr>
            <w:r>
              <w:rPr>
                <w:color w:val="000000"/>
                <w:kern w:val="0"/>
                <w:szCs w:val="21"/>
              </w:rPr>
              <w:t>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272" w:type="dxa"/>
            <w:vMerge w:val="continue"/>
            <w:vAlign w:val="center"/>
          </w:tcPr>
          <w:p>
            <w:pPr>
              <w:widowControl/>
              <w:jc w:val="center"/>
              <w:rPr>
                <w:kern w:val="0"/>
                <w:szCs w:val="21"/>
              </w:rPr>
            </w:pPr>
          </w:p>
        </w:tc>
        <w:tc>
          <w:tcPr>
            <w:tcW w:w="2339" w:type="dxa"/>
            <w:vMerge w:val="continue"/>
            <w:vAlign w:val="center"/>
          </w:tcPr>
          <w:p>
            <w:pPr>
              <w:widowControl/>
              <w:jc w:val="center"/>
              <w:rPr>
                <w:kern w:val="0"/>
                <w:szCs w:val="21"/>
              </w:rPr>
            </w:pPr>
          </w:p>
        </w:tc>
        <w:tc>
          <w:tcPr>
            <w:tcW w:w="3911" w:type="dxa"/>
            <w:vAlign w:val="center"/>
          </w:tcPr>
          <w:p>
            <w:pPr>
              <w:widowControl/>
              <w:jc w:val="center"/>
              <w:rPr>
                <w:kern w:val="0"/>
                <w:szCs w:val="21"/>
              </w:rPr>
            </w:pPr>
            <w:r>
              <w:rPr>
                <w:color w:val="000000"/>
                <w:kern w:val="0"/>
                <w:szCs w:val="21"/>
              </w:rPr>
              <w:t>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272" w:type="dxa"/>
            <w:vMerge w:val="continue"/>
            <w:vAlign w:val="center"/>
          </w:tcPr>
          <w:p>
            <w:pPr>
              <w:widowControl/>
              <w:jc w:val="center"/>
              <w:rPr>
                <w:kern w:val="0"/>
                <w:szCs w:val="21"/>
              </w:rPr>
            </w:pPr>
          </w:p>
        </w:tc>
        <w:tc>
          <w:tcPr>
            <w:tcW w:w="2339" w:type="dxa"/>
            <w:vMerge w:val="continue"/>
            <w:vAlign w:val="center"/>
          </w:tcPr>
          <w:p>
            <w:pPr>
              <w:widowControl/>
              <w:jc w:val="center"/>
              <w:rPr>
                <w:kern w:val="0"/>
                <w:szCs w:val="21"/>
              </w:rPr>
            </w:pPr>
          </w:p>
        </w:tc>
        <w:tc>
          <w:tcPr>
            <w:tcW w:w="3911" w:type="dxa"/>
            <w:vAlign w:val="center"/>
          </w:tcPr>
          <w:p>
            <w:pPr>
              <w:widowControl/>
              <w:jc w:val="center"/>
              <w:rPr>
                <w:kern w:val="0"/>
                <w:szCs w:val="21"/>
              </w:rPr>
            </w:pPr>
            <w:r>
              <w:rPr>
                <w:color w:val="000000"/>
                <w:kern w:val="0"/>
                <w:szCs w:val="21"/>
              </w:rPr>
              <w:t>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272" w:type="dxa"/>
            <w:vMerge w:val="continue"/>
            <w:vAlign w:val="center"/>
          </w:tcPr>
          <w:p>
            <w:pPr>
              <w:widowControl/>
              <w:jc w:val="center"/>
              <w:rPr>
                <w:kern w:val="0"/>
                <w:szCs w:val="21"/>
              </w:rPr>
            </w:pPr>
          </w:p>
        </w:tc>
        <w:tc>
          <w:tcPr>
            <w:tcW w:w="2339" w:type="dxa"/>
            <w:vMerge w:val="continue"/>
            <w:vAlign w:val="center"/>
          </w:tcPr>
          <w:p>
            <w:pPr>
              <w:widowControl/>
              <w:jc w:val="center"/>
              <w:rPr>
                <w:kern w:val="0"/>
                <w:szCs w:val="21"/>
              </w:rPr>
            </w:pPr>
          </w:p>
        </w:tc>
        <w:tc>
          <w:tcPr>
            <w:tcW w:w="3911" w:type="dxa"/>
            <w:vAlign w:val="center"/>
          </w:tcPr>
          <w:p>
            <w:pPr>
              <w:widowControl/>
              <w:jc w:val="center"/>
              <w:rPr>
                <w:kern w:val="0"/>
                <w:szCs w:val="21"/>
              </w:rPr>
            </w:pPr>
            <w:r>
              <w:rPr>
                <w:color w:val="000000"/>
                <w:kern w:val="0"/>
                <w:szCs w:val="21"/>
              </w:rPr>
              <w:t>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272" w:type="dxa"/>
            <w:vMerge w:val="restart"/>
            <w:vAlign w:val="center"/>
          </w:tcPr>
          <w:p>
            <w:pPr>
              <w:widowControl/>
              <w:jc w:val="center"/>
              <w:rPr>
                <w:kern w:val="0"/>
                <w:szCs w:val="21"/>
              </w:rPr>
            </w:pPr>
            <w:r>
              <w:rPr>
                <w:kern w:val="0"/>
                <w:szCs w:val="21"/>
              </w:rPr>
              <w:t>环境条件</w:t>
            </w:r>
          </w:p>
        </w:tc>
        <w:tc>
          <w:tcPr>
            <w:tcW w:w="2339" w:type="dxa"/>
            <w:vMerge w:val="restart"/>
            <w:vAlign w:val="center"/>
          </w:tcPr>
          <w:p>
            <w:pPr>
              <w:widowControl/>
              <w:jc w:val="center"/>
              <w:rPr>
                <w:kern w:val="0"/>
                <w:szCs w:val="21"/>
              </w:rPr>
            </w:pPr>
            <w:r>
              <w:rPr>
                <w:kern w:val="0"/>
                <w:szCs w:val="21"/>
              </w:rPr>
              <w:t>自然条件优劣度</w:t>
            </w:r>
          </w:p>
        </w:tc>
        <w:tc>
          <w:tcPr>
            <w:tcW w:w="3911" w:type="dxa"/>
            <w:vAlign w:val="center"/>
          </w:tcPr>
          <w:p>
            <w:pPr>
              <w:jc w:val="center"/>
              <w:rPr>
                <w:kern w:val="0"/>
                <w:szCs w:val="21"/>
              </w:rPr>
            </w:pPr>
            <w:r>
              <w:rPr>
                <w:kern w:val="0"/>
                <w:szCs w:val="21"/>
              </w:rPr>
              <w:t>地形、地质优劣情况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272" w:type="dxa"/>
            <w:vMerge w:val="continue"/>
            <w:vAlign w:val="center"/>
          </w:tcPr>
          <w:p>
            <w:pPr>
              <w:widowControl/>
              <w:jc w:val="center"/>
              <w:rPr>
                <w:kern w:val="0"/>
                <w:szCs w:val="21"/>
              </w:rPr>
            </w:pPr>
          </w:p>
        </w:tc>
        <w:tc>
          <w:tcPr>
            <w:tcW w:w="2339" w:type="dxa"/>
            <w:vMerge w:val="continue"/>
            <w:vAlign w:val="center"/>
          </w:tcPr>
          <w:p>
            <w:pPr>
              <w:widowControl/>
              <w:jc w:val="center"/>
              <w:rPr>
                <w:kern w:val="0"/>
                <w:szCs w:val="21"/>
              </w:rPr>
            </w:pPr>
          </w:p>
        </w:tc>
        <w:tc>
          <w:tcPr>
            <w:tcW w:w="3911" w:type="dxa"/>
            <w:vAlign w:val="center"/>
          </w:tcPr>
          <w:p>
            <w:pPr>
              <w:jc w:val="center"/>
              <w:rPr>
                <w:kern w:val="0"/>
                <w:szCs w:val="21"/>
              </w:rPr>
            </w:pPr>
            <w:r>
              <w:rPr>
                <w:kern w:val="0"/>
                <w:szCs w:val="21"/>
              </w:rPr>
              <w:t>洪涝灾害频率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272" w:type="dxa"/>
            <w:vAlign w:val="center"/>
          </w:tcPr>
          <w:p>
            <w:pPr>
              <w:widowControl/>
              <w:jc w:val="center"/>
              <w:rPr>
                <w:kern w:val="0"/>
                <w:szCs w:val="21"/>
              </w:rPr>
            </w:pPr>
            <w:r>
              <w:rPr>
                <w:kern w:val="0"/>
                <w:szCs w:val="21"/>
              </w:rPr>
              <w:t>产业集聚效益</w:t>
            </w:r>
          </w:p>
        </w:tc>
        <w:tc>
          <w:tcPr>
            <w:tcW w:w="2339" w:type="dxa"/>
            <w:vAlign w:val="center"/>
          </w:tcPr>
          <w:p>
            <w:pPr>
              <w:widowControl/>
              <w:jc w:val="center"/>
              <w:rPr>
                <w:kern w:val="0"/>
                <w:szCs w:val="21"/>
              </w:rPr>
            </w:pPr>
            <w:r>
              <w:rPr>
                <w:kern w:val="0"/>
                <w:szCs w:val="21"/>
              </w:rPr>
              <w:t>产业集聚影响度</w:t>
            </w:r>
          </w:p>
        </w:tc>
        <w:tc>
          <w:tcPr>
            <w:tcW w:w="3911" w:type="dxa"/>
            <w:vAlign w:val="center"/>
          </w:tcPr>
          <w:p>
            <w:pPr>
              <w:widowControl/>
              <w:jc w:val="center"/>
              <w:rPr>
                <w:kern w:val="0"/>
                <w:szCs w:val="21"/>
              </w:rPr>
            </w:pPr>
            <w:r>
              <w:rPr>
                <w:kern w:val="0"/>
                <w:szCs w:val="21"/>
              </w:rPr>
              <w:t>产业集聚影响度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272" w:type="dxa"/>
            <w:vMerge w:val="restart"/>
            <w:vAlign w:val="center"/>
          </w:tcPr>
          <w:p>
            <w:pPr>
              <w:widowControl/>
              <w:jc w:val="center"/>
              <w:rPr>
                <w:kern w:val="0"/>
                <w:szCs w:val="21"/>
              </w:rPr>
            </w:pPr>
            <w:r>
              <w:rPr>
                <w:kern w:val="0"/>
                <w:szCs w:val="21"/>
              </w:rPr>
              <w:t>城市规划</w:t>
            </w:r>
          </w:p>
        </w:tc>
        <w:tc>
          <w:tcPr>
            <w:tcW w:w="2339" w:type="dxa"/>
            <w:vMerge w:val="restart"/>
            <w:vAlign w:val="center"/>
          </w:tcPr>
          <w:p>
            <w:pPr>
              <w:widowControl/>
              <w:jc w:val="center"/>
              <w:rPr>
                <w:kern w:val="0"/>
                <w:szCs w:val="21"/>
              </w:rPr>
            </w:pPr>
            <w:r>
              <w:rPr>
                <w:kern w:val="0"/>
                <w:szCs w:val="21"/>
              </w:rPr>
              <w:t>城市规划</w:t>
            </w:r>
          </w:p>
        </w:tc>
        <w:tc>
          <w:tcPr>
            <w:tcW w:w="3911" w:type="dxa"/>
            <w:vAlign w:val="center"/>
          </w:tcPr>
          <w:p>
            <w:pPr>
              <w:widowControl/>
              <w:jc w:val="center"/>
              <w:rPr>
                <w:kern w:val="0"/>
                <w:szCs w:val="21"/>
              </w:rPr>
            </w:pPr>
            <w:r>
              <w:rPr>
                <w:kern w:val="0"/>
                <w:szCs w:val="21"/>
              </w:rPr>
              <w:t>用地规划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272" w:type="dxa"/>
            <w:vMerge w:val="continue"/>
            <w:vAlign w:val="center"/>
          </w:tcPr>
          <w:p>
            <w:pPr>
              <w:widowControl/>
              <w:jc w:val="center"/>
              <w:rPr>
                <w:kern w:val="0"/>
                <w:szCs w:val="21"/>
              </w:rPr>
            </w:pPr>
          </w:p>
        </w:tc>
        <w:tc>
          <w:tcPr>
            <w:tcW w:w="2339" w:type="dxa"/>
            <w:vMerge w:val="continue"/>
            <w:vAlign w:val="center"/>
          </w:tcPr>
          <w:p>
            <w:pPr>
              <w:widowControl/>
              <w:jc w:val="center"/>
              <w:rPr>
                <w:kern w:val="0"/>
                <w:szCs w:val="21"/>
              </w:rPr>
            </w:pPr>
          </w:p>
        </w:tc>
        <w:tc>
          <w:tcPr>
            <w:tcW w:w="3911" w:type="dxa"/>
            <w:vAlign w:val="center"/>
          </w:tcPr>
          <w:p>
            <w:pPr>
              <w:widowControl/>
              <w:jc w:val="center"/>
              <w:rPr>
                <w:kern w:val="0"/>
                <w:szCs w:val="21"/>
              </w:rPr>
            </w:pPr>
            <w:r>
              <w:rPr>
                <w:kern w:val="0"/>
                <w:szCs w:val="21"/>
              </w:rPr>
              <w:t>道路规划</w:t>
            </w:r>
          </w:p>
        </w:tc>
      </w:tr>
    </w:tbl>
    <w:p>
      <w:pPr>
        <w:spacing w:line="360" w:lineRule="auto"/>
        <w:ind w:firstLine="560" w:firstLineChars="200"/>
        <w:outlineLvl w:val="2"/>
        <w:rPr>
          <w:rFonts w:eastAsia="黑体"/>
          <w:sz w:val="28"/>
          <w:szCs w:val="28"/>
        </w:rPr>
      </w:pPr>
      <w:bookmarkStart w:id="299" w:name="_Toc21690"/>
      <w:r>
        <w:rPr>
          <w:rFonts w:eastAsia="黑体"/>
          <w:sz w:val="28"/>
          <w:szCs w:val="28"/>
        </w:rPr>
        <w:t>二、土地定级因素</w:t>
      </w:r>
      <w:r>
        <w:rPr>
          <w:rFonts w:hint="eastAsia" w:eastAsia="黑体"/>
          <w:sz w:val="28"/>
          <w:szCs w:val="28"/>
        </w:rPr>
        <w:t>、因子</w:t>
      </w:r>
      <w:r>
        <w:rPr>
          <w:rFonts w:eastAsia="黑体"/>
          <w:sz w:val="28"/>
          <w:szCs w:val="28"/>
        </w:rPr>
        <w:t>权重确定</w:t>
      </w:r>
      <w:bookmarkEnd w:id="293"/>
      <w:bookmarkEnd w:id="294"/>
      <w:bookmarkEnd w:id="295"/>
      <w:bookmarkEnd w:id="296"/>
      <w:bookmarkEnd w:id="297"/>
      <w:bookmarkEnd w:id="298"/>
      <w:bookmarkEnd w:id="299"/>
    </w:p>
    <w:p>
      <w:pPr>
        <w:spacing w:line="360" w:lineRule="auto"/>
        <w:ind w:firstLine="482" w:firstLineChars="200"/>
        <w:rPr>
          <w:b/>
          <w:color w:val="000000"/>
          <w:sz w:val="24"/>
          <w:szCs w:val="24"/>
        </w:rPr>
      </w:pPr>
      <w:r>
        <w:rPr>
          <w:rFonts w:hint="eastAsia"/>
          <w:b/>
          <w:color w:val="000000"/>
          <w:sz w:val="24"/>
          <w:szCs w:val="24"/>
        </w:rPr>
        <w:t>1、</w:t>
      </w:r>
      <w:r>
        <w:rPr>
          <w:b/>
          <w:color w:val="000000"/>
          <w:sz w:val="24"/>
          <w:szCs w:val="24"/>
        </w:rPr>
        <w:t>定级因素、因子权重确定原则</w:t>
      </w:r>
    </w:p>
    <w:p>
      <w:pPr>
        <w:spacing w:line="360" w:lineRule="auto"/>
        <w:ind w:firstLine="480" w:firstLineChars="200"/>
        <w:rPr>
          <w:sz w:val="24"/>
          <w:szCs w:val="24"/>
        </w:rPr>
      </w:pPr>
      <w:r>
        <w:rPr>
          <w:sz w:val="24"/>
          <w:szCs w:val="24"/>
        </w:rPr>
        <w:t>1、权重值与因素对土地质量影响的大小成正比，数值在0-1之间，各选定因素的权重值之和为1；</w:t>
      </w:r>
    </w:p>
    <w:p>
      <w:pPr>
        <w:spacing w:line="360" w:lineRule="auto"/>
        <w:ind w:firstLine="480" w:firstLineChars="200"/>
        <w:rPr>
          <w:sz w:val="24"/>
          <w:szCs w:val="24"/>
        </w:rPr>
      </w:pPr>
      <w:r>
        <w:rPr>
          <w:sz w:val="24"/>
          <w:szCs w:val="24"/>
        </w:rPr>
        <w:t>2、因素涉及的因子权重值在0-1之间，每个因素对应的选定因子的权重值之和为1；</w:t>
      </w:r>
    </w:p>
    <w:p>
      <w:pPr>
        <w:spacing w:line="360" w:lineRule="auto"/>
        <w:ind w:firstLine="480" w:firstLineChars="200"/>
        <w:rPr>
          <w:sz w:val="24"/>
          <w:szCs w:val="24"/>
        </w:rPr>
      </w:pPr>
      <w:r>
        <w:rPr>
          <w:sz w:val="24"/>
          <w:szCs w:val="24"/>
        </w:rPr>
        <w:t>3、各因素重要性顺序和权重值范围，其中定级时参照定级规程中表E.1；</w:t>
      </w:r>
    </w:p>
    <w:p>
      <w:pPr>
        <w:spacing w:line="360" w:lineRule="auto"/>
        <w:ind w:firstLine="480" w:firstLineChars="200"/>
        <w:rPr>
          <w:sz w:val="24"/>
          <w:szCs w:val="24"/>
        </w:rPr>
      </w:pPr>
      <w:r>
        <w:rPr>
          <w:sz w:val="24"/>
          <w:szCs w:val="24"/>
        </w:rPr>
        <w:t>4、定级因素对不同类型用地的影响程度不同，定级应选定相应的因素权重。</w:t>
      </w:r>
    </w:p>
    <w:p>
      <w:pPr>
        <w:spacing w:line="360" w:lineRule="auto"/>
        <w:ind w:firstLine="482" w:firstLineChars="200"/>
        <w:rPr>
          <w:b/>
          <w:color w:val="000000"/>
          <w:sz w:val="24"/>
          <w:szCs w:val="24"/>
        </w:rPr>
      </w:pPr>
      <w:r>
        <w:rPr>
          <w:rFonts w:hint="eastAsia"/>
          <w:b/>
          <w:color w:val="000000"/>
          <w:sz w:val="24"/>
          <w:szCs w:val="24"/>
        </w:rPr>
        <w:t>2</w:t>
      </w:r>
      <w:r>
        <w:rPr>
          <w:b/>
          <w:color w:val="000000"/>
          <w:sz w:val="24"/>
          <w:szCs w:val="24"/>
        </w:rPr>
        <w:t>、定级因素</w:t>
      </w:r>
      <w:r>
        <w:rPr>
          <w:rFonts w:hint="eastAsia"/>
          <w:b/>
          <w:color w:val="000000"/>
          <w:sz w:val="24"/>
          <w:szCs w:val="24"/>
        </w:rPr>
        <w:t>、因子</w:t>
      </w:r>
      <w:r>
        <w:rPr>
          <w:b/>
          <w:color w:val="000000"/>
          <w:sz w:val="24"/>
          <w:szCs w:val="24"/>
        </w:rPr>
        <w:t>权重确定方法</w:t>
      </w:r>
    </w:p>
    <w:p>
      <w:pPr>
        <w:spacing w:line="480" w:lineRule="exact"/>
        <w:ind w:firstLine="480" w:firstLineChars="200"/>
        <w:rPr>
          <w:sz w:val="24"/>
          <w:szCs w:val="24"/>
        </w:rPr>
      </w:pPr>
      <w:r>
        <w:rPr>
          <w:sz w:val="24"/>
          <w:szCs w:val="24"/>
        </w:rPr>
        <w:t>（1）土地定级因素</w:t>
      </w:r>
      <w:r>
        <w:rPr>
          <w:rFonts w:hint="eastAsia"/>
          <w:sz w:val="24"/>
          <w:szCs w:val="24"/>
        </w:rPr>
        <w:t>（因子）</w:t>
      </w:r>
      <w:r>
        <w:rPr>
          <w:sz w:val="24"/>
          <w:szCs w:val="24"/>
        </w:rPr>
        <w:t>权重确定方法的选择</w:t>
      </w:r>
    </w:p>
    <w:p>
      <w:pPr>
        <w:spacing w:line="480" w:lineRule="exact"/>
        <w:ind w:firstLine="480" w:firstLineChars="200"/>
        <w:rPr>
          <w:sz w:val="24"/>
          <w:szCs w:val="24"/>
        </w:rPr>
      </w:pPr>
      <w:r>
        <w:rPr>
          <w:sz w:val="24"/>
          <w:szCs w:val="24"/>
        </w:rPr>
        <w:t>按照《城镇土地分等定级规程》的要求，土地定级因素</w:t>
      </w:r>
      <w:r>
        <w:rPr>
          <w:rFonts w:hint="eastAsia"/>
          <w:sz w:val="24"/>
          <w:szCs w:val="24"/>
        </w:rPr>
        <w:t>（因子）</w:t>
      </w:r>
      <w:r>
        <w:rPr>
          <w:sz w:val="24"/>
          <w:szCs w:val="24"/>
        </w:rPr>
        <w:t>权重可以采用特尔斐测定法、层次分析法、因子成对比较法中的一种或多种方法进行确定。本次长沙县城区土地定级因素</w:t>
      </w:r>
      <w:r>
        <w:rPr>
          <w:rFonts w:hint="eastAsia"/>
          <w:sz w:val="24"/>
          <w:szCs w:val="24"/>
        </w:rPr>
        <w:t>（因子）</w:t>
      </w:r>
      <w:r>
        <w:rPr>
          <w:sz w:val="24"/>
          <w:szCs w:val="24"/>
        </w:rPr>
        <w:t>权重选取特尔斐测定法确定。该方法是土地定级因素</w:t>
      </w:r>
      <w:r>
        <w:rPr>
          <w:rFonts w:hint="eastAsia"/>
          <w:sz w:val="24"/>
          <w:szCs w:val="24"/>
        </w:rPr>
        <w:t>（因子）</w:t>
      </w:r>
      <w:r>
        <w:rPr>
          <w:sz w:val="24"/>
          <w:szCs w:val="24"/>
        </w:rPr>
        <w:t>评分的最常用方法，是对各因素</w:t>
      </w:r>
      <w:r>
        <w:rPr>
          <w:rFonts w:hint="eastAsia"/>
          <w:sz w:val="24"/>
          <w:szCs w:val="24"/>
        </w:rPr>
        <w:t>（因子）</w:t>
      </w:r>
      <w:r>
        <w:rPr>
          <w:sz w:val="24"/>
          <w:szCs w:val="24"/>
        </w:rPr>
        <w:t>进行多轮次的专家打分，并按以下公式计算其权重值：</w:t>
      </w:r>
    </w:p>
    <w:p>
      <w:pPr>
        <w:spacing w:line="360" w:lineRule="auto"/>
        <w:ind w:firstLine="480" w:firstLineChars="200"/>
        <w:jc w:val="center"/>
        <w:rPr>
          <w:sz w:val="24"/>
          <w:szCs w:val="24"/>
        </w:rPr>
      </w:pPr>
      <w:r>
        <w:rPr>
          <w:sz w:val="24"/>
          <w:szCs w:val="24"/>
        </w:rPr>
        <w:t>W</w:t>
      </w:r>
      <w:r>
        <w:rPr>
          <w:sz w:val="24"/>
          <w:szCs w:val="24"/>
          <w:vertAlign w:val="subscript"/>
        </w:rPr>
        <w:t>i</w:t>
      </w:r>
      <w:r>
        <w:rPr>
          <w:sz w:val="24"/>
          <w:szCs w:val="24"/>
        </w:rPr>
        <w:t>=E</w:t>
      </w:r>
      <w:r>
        <w:rPr>
          <w:sz w:val="24"/>
          <w:szCs w:val="24"/>
          <w:vertAlign w:val="subscript"/>
        </w:rPr>
        <w:t>i</w:t>
      </w:r>
      <w:r>
        <w:rPr>
          <w:sz w:val="24"/>
          <w:szCs w:val="24"/>
        </w:rPr>
        <w:t>/100</w:t>
      </w:r>
    </w:p>
    <w:p>
      <w:pPr>
        <w:spacing w:line="480" w:lineRule="exact"/>
        <w:ind w:firstLine="480" w:firstLineChars="200"/>
        <w:rPr>
          <w:sz w:val="24"/>
          <w:szCs w:val="24"/>
        </w:rPr>
      </w:pPr>
      <w:r>
        <w:rPr>
          <w:sz w:val="24"/>
          <w:szCs w:val="24"/>
        </w:rPr>
        <w:t>式中：Wi：第i个因素或因子的权重；Ei：第i个因素或因子经过专家多轮打分后的均值。</w:t>
      </w:r>
    </w:p>
    <w:p>
      <w:pPr>
        <w:spacing w:line="480" w:lineRule="exact"/>
        <w:ind w:firstLine="480" w:firstLineChars="200"/>
        <w:rPr>
          <w:sz w:val="24"/>
          <w:szCs w:val="24"/>
        </w:rPr>
      </w:pPr>
      <w:r>
        <w:rPr>
          <w:sz w:val="24"/>
          <w:szCs w:val="24"/>
        </w:rPr>
        <w:t>（2）特尔斐法征询表设计</w:t>
      </w:r>
    </w:p>
    <w:p>
      <w:pPr>
        <w:spacing w:line="480" w:lineRule="exact"/>
        <w:ind w:firstLine="480" w:firstLineChars="200"/>
        <w:rPr>
          <w:sz w:val="24"/>
          <w:szCs w:val="24"/>
        </w:rPr>
      </w:pPr>
      <w:r>
        <w:rPr>
          <w:sz w:val="24"/>
          <w:szCs w:val="24"/>
        </w:rPr>
        <w:t>根据长沙县已确定的土地定级因素因子的层次，参考土地定级规程中的有关表格，设计出了长沙县土地定级因素因子权重值调查表。该表设计中力求简明扼要，便于表格填写。表格中除包括影响因素和因子外，还有上轮平均值、上轮方差、重要性顺序和权重值等。</w:t>
      </w:r>
    </w:p>
    <w:p>
      <w:pPr>
        <w:spacing w:line="480" w:lineRule="exact"/>
        <w:ind w:firstLine="480" w:firstLineChars="200"/>
        <w:rPr>
          <w:sz w:val="24"/>
          <w:szCs w:val="24"/>
        </w:rPr>
      </w:pPr>
      <w:r>
        <w:rPr>
          <w:sz w:val="24"/>
          <w:szCs w:val="24"/>
        </w:rPr>
        <w:t>（3）测算程序设计</w:t>
      </w:r>
    </w:p>
    <w:p>
      <w:pPr>
        <w:spacing w:line="480" w:lineRule="exact"/>
        <w:ind w:firstLine="480" w:firstLineChars="200"/>
        <w:rPr>
          <w:sz w:val="24"/>
          <w:szCs w:val="24"/>
        </w:rPr>
      </w:pPr>
      <w:r>
        <w:rPr>
          <w:sz w:val="24"/>
          <w:szCs w:val="24"/>
        </w:rPr>
        <w:t>根据特尔斐法调查表、代码和特尔斐法赋分的要求，设计出均值(E)和方差(δ2)的计算机程序。该程序操作方便，计算快捷，还能将未按要求填写的征询表自动反馈给录入者，以便及时寻找有关专家重新填表。</w:t>
      </w:r>
    </w:p>
    <w:p>
      <w:pPr>
        <w:spacing w:line="480" w:lineRule="exact"/>
        <w:ind w:firstLine="480" w:firstLineChars="200"/>
        <w:rPr>
          <w:sz w:val="24"/>
          <w:szCs w:val="24"/>
        </w:rPr>
      </w:pPr>
      <w:r>
        <w:rPr>
          <w:sz w:val="24"/>
          <w:szCs w:val="24"/>
        </w:rPr>
        <w:t>（4）制作特尔斐法说明书</w:t>
      </w:r>
    </w:p>
    <w:p>
      <w:pPr>
        <w:spacing w:line="480" w:lineRule="exact"/>
        <w:ind w:firstLine="480" w:firstLineChars="200"/>
        <w:rPr>
          <w:sz w:val="24"/>
          <w:szCs w:val="24"/>
        </w:rPr>
      </w:pPr>
      <w:r>
        <w:rPr>
          <w:sz w:val="24"/>
          <w:szCs w:val="24"/>
        </w:rPr>
        <w:t>该说明书简要说明了长沙县土地定级与估价工作开展的意义，采用的方法，特尔斐法的原理、操作步骤、测定的目标和内容，专家的作用和任务等项内容，说明书后附有特尔斐法调查表和已选出的长沙县土地定级因素和因子。</w:t>
      </w:r>
    </w:p>
    <w:p>
      <w:pPr>
        <w:spacing w:line="480" w:lineRule="exact"/>
        <w:ind w:firstLine="480" w:firstLineChars="200"/>
        <w:rPr>
          <w:sz w:val="24"/>
          <w:szCs w:val="24"/>
        </w:rPr>
      </w:pPr>
      <w:r>
        <w:rPr>
          <w:sz w:val="24"/>
          <w:szCs w:val="24"/>
        </w:rPr>
        <w:t>（5）精心选择专家</w:t>
      </w:r>
    </w:p>
    <w:p>
      <w:pPr>
        <w:spacing w:line="480" w:lineRule="exact"/>
        <w:ind w:firstLine="480" w:firstLineChars="200"/>
        <w:rPr>
          <w:sz w:val="24"/>
          <w:szCs w:val="24"/>
        </w:rPr>
      </w:pPr>
      <w:r>
        <w:rPr>
          <w:sz w:val="24"/>
          <w:szCs w:val="24"/>
        </w:rPr>
        <w:t>根据专家应具有权威性、广泛性、代表性和熟悉长沙县情况以及专家人数适当的原则，邀请了20位专家。主要由长沙县相关部门领导构成，包括长沙县国土资源局以及涉及乡镇、街道等有关领导和专家。</w:t>
      </w:r>
    </w:p>
    <w:p>
      <w:pPr>
        <w:spacing w:line="480" w:lineRule="exact"/>
        <w:ind w:firstLine="480" w:firstLineChars="200"/>
        <w:rPr>
          <w:sz w:val="24"/>
          <w:szCs w:val="24"/>
        </w:rPr>
      </w:pPr>
      <w:r>
        <w:rPr>
          <w:sz w:val="24"/>
          <w:szCs w:val="24"/>
        </w:rPr>
        <w:t>（6）专家征询和信息反馈</w:t>
      </w:r>
    </w:p>
    <w:p>
      <w:pPr>
        <w:spacing w:line="480" w:lineRule="exact"/>
        <w:ind w:firstLine="480" w:firstLineChars="200"/>
        <w:rPr>
          <w:sz w:val="24"/>
          <w:szCs w:val="24"/>
        </w:rPr>
      </w:pPr>
      <w:r>
        <w:rPr>
          <w:sz w:val="24"/>
          <w:szCs w:val="24"/>
        </w:rPr>
        <w:t>为便于操作，专家采用百分制对各均质区域划分因素和因子进行赋分，专家打分根据评价工作背景材料和有关说明，在不相互协商的情况下独立进行了两轮。</w:t>
      </w:r>
    </w:p>
    <w:p>
      <w:pPr>
        <w:spacing w:line="480" w:lineRule="exact"/>
        <w:ind w:firstLine="480" w:firstLineChars="200"/>
        <w:rPr>
          <w:sz w:val="24"/>
          <w:szCs w:val="24"/>
        </w:rPr>
      </w:pPr>
      <w:r>
        <w:rPr>
          <w:sz w:val="24"/>
          <w:szCs w:val="24"/>
        </w:rPr>
        <w:t>第一轮因素因子权重调查表收回后，立即进行统计处理，测算出各因素因子专家赋值的平均值和方差，并将结果反馈给专家，请专家根据各因素权重的均值和方差所反映的专家总体意见趋向和离散程度进行第二轮赋值。</w:t>
      </w:r>
    </w:p>
    <w:p>
      <w:pPr>
        <w:spacing w:line="480" w:lineRule="exact"/>
        <w:ind w:firstLine="480" w:firstLineChars="200"/>
        <w:rPr>
          <w:sz w:val="24"/>
          <w:szCs w:val="24"/>
        </w:rPr>
      </w:pPr>
      <w:r>
        <w:rPr>
          <w:sz w:val="24"/>
          <w:szCs w:val="24"/>
        </w:rPr>
        <w:t>第二轮调查表收回后，同样进行统计处理，测算出各因素因子权重的平均值和方差；并对第一轮和第二轮的方差进行X2显著性检验，以检验第二轮和第一轮方差的离散程度是否具有显著差异。如果两轮方差检验量有显著差异，则表明方差离散度较大，还需进行第三轮专家征询，如果两轮方差检验值没有显著性差异(即两轮方差具有显著整齐性)，就表明方差离散度较小，不需要再征询专家意见，即专家征询的轮次到两轮间方差无显著性差异时为止。</w:t>
      </w:r>
    </w:p>
    <w:p>
      <w:pPr>
        <w:spacing w:line="480" w:lineRule="exact"/>
        <w:ind w:firstLine="480" w:firstLineChars="200"/>
        <w:rPr>
          <w:sz w:val="24"/>
          <w:szCs w:val="24"/>
        </w:rPr>
      </w:pPr>
      <w:r>
        <w:rPr>
          <w:sz w:val="24"/>
          <w:szCs w:val="24"/>
        </w:rPr>
        <w:t>X2检验方法如下：首先构造两轮方差之间的统计检验量X2，再查X2统计值表，本次采用X2（0.95）统计值，以此比较两轮方差的整齐性，计算公式如下：</w:t>
      </w:r>
    </w:p>
    <w:p>
      <w:pPr>
        <w:pStyle w:val="101"/>
        <w:ind w:firstLine="480"/>
        <w:jc w:val="center"/>
        <w:rPr>
          <w:rFonts w:ascii="Times New Roman" w:hAnsi="Times New Roman"/>
          <w:sz w:val="24"/>
          <w:szCs w:val="24"/>
        </w:rPr>
      </w:pPr>
      <w:r>
        <w:rPr>
          <w:rFonts w:ascii="Times New Roman" w:hAnsi="Times New Roman" w:eastAsia="宋体" w:cs="Times New Roman"/>
          <w:kern w:val="2"/>
          <w:position w:val="-26"/>
          <w:sz w:val="24"/>
          <w:szCs w:val="24"/>
          <w:lang w:val="en-US" w:eastAsia="zh-CN" w:bidi="ar-SA"/>
        </w:rPr>
        <w:object>
          <v:shape id="Picture 1" type="#_x0000_t75" style="height:32.65pt;width:117.25pt;rotation:0f;" o:ole="t"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o:OLEObject Type="Embed" ProgID="" ShapeID="Picture 1" DrawAspect="Content" ObjectID="_90" r:id="rId35"/>
        </w:object>
      </w:r>
    </w:p>
    <w:p>
      <w:pPr>
        <w:spacing w:line="480" w:lineRule="exact"/>
        <w:ind w:firstLine="480" w:firstLineChars="200"/>
        <w:rPr>
          <w:sz w:val="24"/>
          <w:szCs w:val="24"/>
        </w:rPr>
      </w:pPr>
      <w:r>
        <w:rPr>
          <w:sz w:val="24"/>
          <w:szCs w:val="24"/>
        </w:rPr>
        <w:t>式中：n——特尔斐法征询专家人数；X2——由两轮方差构造的统计检验量。</w:t>
      </w:r>
    </w:p>
    <w:p>
      <w:pPr>
        <w:spacing w:line="480" w:lineRule="exact"/>
        <w:ind w:firstLine="480" w:firstLineChars="200"/>
        <w:rPr>
          <w:sz w:val="24"/>
          <w:szCs w:val="24"/>
        </w:rPr>
      </w:pPr>
      <w:r>
        <w:rPr>
          <w:sz w:val="24"/>
          <w:szCs w:val="24"/>
        </w:rPr>
        <w:t>当X2&lt; X2（0.95）时，两轮方差具有显著整齐性，即两轮方差无显著性差异，说明此轮方差收敛很小。当每个因素因子的X2值都小于X2（0.95）检验值时，专家征询到此为此。</w:t>
      </w:r>
    </w:p>
    <w:p>
      <w:pPr>
        <w:pStyle w:val="101"/>
        <w:ind w:firstLine="480"/>
        <w:rPr>
          <w:rFonts w:ascii="Times New Roman" w:hAnsi="Times New Roman"/>
          <w:sz w:val="24"/>
          <w:szCs w:val="24"/>
        </w:rPr>
      </w:pPr>
      <w:r>
        <w:rPr>
          <w:rFonts w:ascii="Times New Roman" w:hAnsi="Times New Roman"/>
          <w:sz w:val="24"/>
          <w:szCs w:val="24"/>
        </w:rPr>
        <w:t>（7）计算公式</w:t>
      </w:r>
    </w:p>
    <w:p>
      <w:pPr>
        <w:pStyle w:val="101"/>
        <w:rPr>
          <w:rFonts w:ascii="Times New Roman" w:hAnsi="Times New Roman"/>
          <w:sz w:val="24"/>
          <w:szCs w:val="24"/>
        </w:rPr>
      </w:pPr>
      <w:r>
        <w:rPr>
          <w:rFonts w:ascii="Times New Roman" w:hAnsi="Times New Roman" w:eastAsia="宋体" w:cs="Times New Roman"/>
          <w:kern w:val="2"/>
          <w:sz w:val="26"/>
          <w:szCs w:val="26"/>
          <w:lang w:val="en-US" w:eastAsia="zh-CN" w:bidi="ar-SA"/>
        </w:rPr>
        <w:pict>
          <v:rect id="TextBox 1" o:spid="_x0000_s1118" style="position:absolute;left:0;margin-left:105.75pt;margin-top:16.25pt;height:54pt;width:87.2pt;mso-wrap-style:none;rotation:0f;z-index:251662336;"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pPr>
                    <w:pStyle w:val="39"/>
                    <w:spacing w:before="0" w:beforeAutospacing="0" w:after="0" w:afterAutospacing="0"/>
                  </w:pPr>
                  <w:r>
                    <w:rPr>
                      <w:rFonts w:ascii="宋体" w:hAnsi="宋体" w:eastAsia="宋体" w:cs="Times New Roman"/>
                      <w:kern w:val="0"/>
                      <w:sz w:val="24"/>
                      <w:lang w:val="en-US" w:eastAsia="zh-CN" w:bidi="ar-SA"/>
                    </w:rPr>
                    <w:pict>
                      <v:shape id="图片 113" o:spid="_x0000_s1119" type="#_x0000_t75" style="height:39pt;width:72.75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txbxContent>
            </v:textbox>
          </v:rect>
        </w:pict>
      </w:r>
      <w:r>
        <w:rPr>
          <w:rFonts w:ascii="Times New Roman" w:hAnsi="Times New Roman"/>
          <w:sz w:val="24"/>
          <w:szCs w:val="24"/>
        </w:rPr>
        <w:t>对各位专家的打分进行均值方差处理的公式如下：</w:t>
      </w:r>
    </w:p>
    <w:p>
      <w:pPr>
        <w:pStyle w:val="101"/>
        <w:ind w:firstLine="480"/>
        <w:rPr>
          <w:rFonts w:ascii="Times New Roman" w:hAnsi="Times New Roman"/>
          <w:sz w:val="24"/>
          <w:szCs w:val="24"/>
        </w:rPr>
      </w:pPr>
      <w:r>
        <w:rPr>
          <w:rFonts w:ascii="Times New Roman" w:hAnsi="Times New Roman"/>
          <w:sz w:val="24"/>
          <w:szCs w:val="24"/>
        </w:rPr>
        <w:t>计算均值公式:</w:t>
      </w:r>
      <w:r>
        <w:rPr>
          <w:rFonts w:ascii="Times New Roman" w:hAnsi="Times New Roman"/>
        </w:rPr>
        <w:t xml:space="preserve"> </w:t>
      </w:r>
    </w:p>
    <w:p>
      <w:pPr>
        <w:spacing w:line="360" w:lineRule="auto"/>
        <w:ind w:firstLine="420" w:firstLineChars="200"/>
        <w:rPr>
          <w:b/>
          <w:color w:val="000000"/>
          <w:sz w:val="24"/>
          <w:szCs w:val="24"/>
        </w:rPr>
      </w:pPr>
      <w:r>
        <w:rPr>
          <w:rFonts w:ascii="Times New Roman" w:hAnsi="Times New Roman" w:eastAsia="宋体" w:cs="Times New Roman"/>
          <w:kern w:val="2"/>
          <w:sz w:val="21"/>
          <w:lang w:val="en-US" w:eastAsia="zh-CN" w:bidi="ar-SA"/>
        </w:rPr>
        <w:pict>
          <v:rect id="TextBox 3" o:spid="_x0000_s1120" style="position:absolute;left:0;margin-left:114.75pt;margin-top:8.55pt;height:50.9pt;width:144.75pt;rotation:0f;z-index:251663360;" o:ole="f" fillcolor="#FFFFFF" filled="f" o:preferrelative="t" stroked="f" coordsize="21600,21600">
            <v:fill on="f" color2="#FFFFFF" focus="0%"/>
            <v:imagedata gain="65536f" blacklevel="0f" gamma="0"/>
            <o:lock v:ext="edit" position="f" selection="f" grouping="f" rotation="f" cropping="f" text="f" aspectratio="f"/>
            <v:textbox>
              <w:txbxContent>
                <w:p>
                  <w:pPr>
                    <w:pStyle w:val="39"/>
                    <w:spacing w:before="0" w:beforeAutospacing="0" w:after="0" w:afterAutospacing="0"/>
                  </w:pPr>
                  <w:r>
                    <w:rPr>
                      <w:rFonts w:ascii="宋体" w:hAnsi="宋体" w:eastAsia="宋体" w:cs="Times New Roman"/>
                      <w:kern w:val="0"/>
                      <w:sz w:val="24"/>
                      <w:lang w:val="en-US" w:eastAsia="zh-CN" w:bidi="ar-SA"/>
                    </w:rPr>
                    <w:pict>
                      <v:shape id="图片 114" o:spid="_x0000_s1121" type="#_x0000_t75" style="height:30pt;width:117.85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p>
              </w:txbxContent>
            </v:textbox>
          </v:rect>
        </w:pict>
      </w:r>
    </w:p>
    <w:p>
      <w:pPr>
        <w:spacing w:line="360" w:lineRule="auto"/>
        <w:ind w:firstLine="480" w:firstLineChars="200"/>
        <w:rPr>
          <w:sz w:val="24"/>
          <w:szCs w:val="24"/>
        </w:rPr>
      </w:pPr>
      <w:r>
        <w:rPr>
          <w:sz w:val="24"/>
          <w:szCs w:val="24"/>
        </w:rPr>
        <w:t>计算方差公式：</w:t>
      </w:r>
    </w:p>
    <w:p>
      <w:pPr>
        <w:spacing w:line="400" w:lineRule="exact"/>
        <w:ind w:firstLine="480" w:firstLineChars="200"/>
        <w:rPr>
          <w:sz w:val="24"/>
          <w:szCs w:val="24"/>
        </w:rPr>
      </w:pPr>
      <w:r>
        <w:rPr>
          <w:sz w:val="24"/>
          <w:szCs w:val="24"/>
        </w:rPr>
        <w:t>上式中：m为专家总人数；ai为第i位专家的评分值；E为均值，为方差；为标准差。</w:t>
      </w:r>
    </w:p>
    <w:p>
      <w:pPr>
        <w:numPr>
          <w:ilvl w:val="0"/>
          <w:numId w:val="4"/>
        </w:numPr>
        <w:spacing w:line="400" w:lineRule="exact"/>
        <w:ind w:firstLine="480" w:firstLineChars="200"/>
        <w:rPr>
          <w:sz w:val="24"/>
          <w:szCs w:val="24"/>
        </w:rPr>
      </w:pPr>
      <w:r>
        <w:rPr>
          <w:sz w:val="24"/>
          <w:szCs w:val="24"/>
        </w:rPr>
        <w:t>定级因素、因子权重确定的过程</w:t>
      </w:r>
    </w:p>
    <w:p>
      <w:pPr>
        <w:spacing w:line="400" w:lineRule="exact"/>
        <w:ind w:firstLine="480" w:firstLineChars="200"/>
        <w:rPr>
          <w:sz w:val="24"/>
          <w:szCs w:val="24"/>
        </w:rPr>
      </w:pPr>
      <w:r>
        <w:rPr>
          <w:bCs/>
          <w:sz w:val="24"/>
          <w:szCs w:val="24"/>
        </w:rPr>
        <w:t>1</w:t>
      </w:r>
      <w:r>
        <w:rPr>
          <w:rFonts w:hint="eastAsia"/>
          <w:bCs/>
          <w:sz w:val="24"/>
          <w:szCs w:val="24"/>
        </w:rPr>
        <w:t>、</w:t>
      </w:r>
      <w:r>
        <w:rPr>
          <w:bCs/>
          <w:sz w:val="24"/>
          <w:szCs w:val="24"/>
        </w:rPr>
        <w:t>商服、住宅</w:t>
      </w:r>
      <w:r>
        <w:rPr>
          <w:rFonts w:hint="eastAsia"/>
          <w:bCs/>
          <w:sz w:val="24"/>
          <w:szCs w:val="24"/>
        </w:rPr>
        <w:t>和公共管理与公共服务用地</w:t>
      </w:r>
      <w:r>
        <w:rPr>
          <w:bCs/>
          <w:sz w:val="24"/>
          <w:szCs w:val="24"/>
        </w:rPr>
        <w:t>综合定级因素因子权重值的确定</w:t>
      </w:r>
    </w:p>
    <w:p>
      <w:pPr>
        <w:tabs>
          <w:tab w:val="left" w:pos="720"/>
        </w:tabs>
        <w:spacing w:line="400" w:lineRule="exact"/>
        <w:jc w:val="center"/>
        <w:rPr>
          <w:rFonts w:hint="eastAsia"/>
          <w:b/>
          <w:spacing w:val="-23"/>
          <w:sz w:val="24"/>
          <w:szCs w:val="22"/>
        </w:rPr>
      </w:pPr>
      <w:r>
        <w:rPr>
          <w:b/>
          <w:spacing w:val="-23"/>
          <w:sz w:val="24"/>
          <w:szCs w:val="22"/>
        </w:rPr>
        <w:t>表2-2-</w:t>
      </w:r>
      <w:r>
        <w:rPr>
          <w:rFonts w:hint="eastAsia"/>
          <w:b/>
          <w:spacing w:val="-23"/>
          <w:sz w:val="24"/>
          <w:szCs w:val="22"/>
        </w:rPr>
        <w:t>3长沙县城区商服用地、住宅用地和公共管理与公共服务用地</w:t>
      </w:r>
    </w:p>
    <w:p>
      <w:pPr>
        <w:tabs>
          <w:tab w:val="left" w:pos="720"/>
        </w:tabs>
        <w:spacing w:line="400" w:lineRule="exact"/>
        <w:jc w:val="center"/>
        <w:rPr>
          <w:b/>
          <w:spacing w:val="-23"/>
          <w:sz w:val="24"/>
          <w:szCs w:val="22"/>
        </w:rPr>
      </w:pPr>
      <w:r>
        <w:rPr>
          <w:b/>
          <w:spacing w:val="-23"/>
          <w:sz w:val="24"/>
          <w:szCs w:val="22"/>
        </w:rPr>
        <w:t>综合定级因素、因子权重值确定表（第一轮）</w:t>
      </w:r>
    </w:p>
    <w:tbl>
      <w:tblPr>
        <w:tblW w:w="8606" w:type="dxa"/>
        <w:jc w:val="center"/>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8"/>
        <w:gridCol w:w="850"/>
        <w:gridCol w:w="851"/>
        <w:gridCol w:w="708"/>
        <w:gridCol w:w="851"/>
        <w:gridCol w:w="1080"/>
        <w:gridCol w:w="904"/>
        <w:gridCol w:w="851"/>
        <w:gridCol w:w="709"/>
        <w:gridCol w:w="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因素层</w:t>
            </w:r>
          </w:p>
        </w:tc>
        <w:tc>
          <w:tcPr>
            <w:tcW w:w="850"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第一轮平均分</w:t>
            </w:r>
          </w:p>
        </w:tc>
        <w:tc>
          <w:tcPr>
            <w:tcW w:w="85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第一轮方差</w:t>
            </w:r>
          </w:p>
        </w:tc>
        <w:tc>
          <w:tcPr>
            <w:tcW w:w="708"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重要性排序</w:t>
            </w:r>
          </w:p>
        </w:tc>
        <w:tc>
          <w:tcPr>
            <w:tcW w:w="85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权重值</w:t>
            </w:r>
          </w:p>
        </w:tc>
        <w:tc>
          <w:tcPr>
            <w:tcW w:w="1080"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904"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第一轮平均分</w:t>
            </w:r>
          </w:p>
        </w:tc>
        <w:tc>
          <w:tcPr>
            <w:tcW w:w="85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第一轮方差</w:t>
            </w:r>
          </w:p>
        </w:tc>
        <w:tc>
          <w:tcPr>
            <w:tcW w:w="709"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重要性排序</w:t>
            </w:r>
          </w:p>
        </w:tc>
        <w:tc>
          <w:tcPr>
            <w:tcW w:w="794"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权重值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00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繁华程度</w:t>
            </w:r>
          </w:p>
        </w:tc>
        <w:tc>
          <w:tcPr>
            <w:tcW w:w="850"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24.96</w:t>
            </w:r>
          </w:p>
        </w:tc>
        <w:tc>
          <w:tcPr>
            <w:tcW w:w="851"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1.66</w:t>
            </w:r>
          </w:p>
        </w:tc>
        <w:tc>
          <w:tcPr>
            <w:tcW w:w="708"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w:t>
            </w:r>
          </w:p>
        </w:tc>
        <w:tc>
          <w:tcPr>
            <w:tcW w:w="851"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0.2496</w:t>
            </w: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商服繁华影响度</w:t>
            </w:r>
          </w:p>
        </w:tc>
        <w:tc>
          <w:tcPr>
            <w:tcW w:w="904"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w:t>
            </w:r>
          </w:p>
        </w:tc>
        <w:tc>
          <w:tcPr>
            <w:tcW w:w="85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w:t>
            </w:r>
          </w:p>
        </w:tc>
        <w:tc>
          <w:tcPr>
            <w:tcW w:w="7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w:t>
            </w:r>
          </w:p>
        </w:tc>
        <w:tc>
          <w:tcPr>
            <w:tcW w:w="794"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0.2496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008"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交通条件</w:t>
            </w:r>
          </w:p>
        </w:tc>
        <w:tc>
          <w:tcPr>
            <w:tcW w:w="850"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20.13</w:t>
            </w:r>
          </w:p>
        </w:tc>
        <w:tc>
          <w:tcPr>
            <w:tcW w:w="851"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2.11</w:t>
            </w:r>
          </w:p>
        </w:tc>
        <w:tc>
          <w:tcPr>
            <w:tcW w:w="708"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3</w:t>
            </w:r>
          </w:p>
        </w:tc>
        <w:tc>
          <w:tcPr>
            <w:tcW w:w="851"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 w:val="22"/>
                <w:szCs w:val="22"/>
              </w:rPr>
            </w:pPr>
            <w:r>
              <w:rPr>
                <w:color w:val="000000"/>
                <w:kern w:val="0"/>
                <w:sz w:val="22"/>
                <w:szCs w:val="22"/>
              </w:rPr>
              <w:t>0.2013</w:t>
            </w: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道路通达度</w:t>
            </w:r>
          </w:p>
        </w:tc>
        <w:tc>
          <w:tcPr>
            <w:tcW w:w="904"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57.72</w:t>
            </w:r>
          </w:p>
        </w:tc>
        <w:tc>
          <w:tcPr>
            <w:tcW w:w="85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1.62</w:t>
            </w:r>
          </w:p>
        </w:tc>
        <w:tc>
          <w:tcPr>
            <w:tcW w:w="7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794"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0.1157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008"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85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708"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公交便捷度</w:t>
            </w:r>
          </w:p>
        </w:tc>
        <w:tc>
          <w:tcPr>
            <w:tcW w:w="904"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42.28</w:t>
            </w:r>
          </w:p>
        </w:tc>
        <w:tc>
          <w:tcPr>
            <w:tcW w:w="85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1.37</w:t>
            </w:r>
          </w:p>
        </w:tc>
        <w:tc>
          <w:tcPr>
            <w:tcW w:w="7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2</w:t>
            </w:r>
          </w:p>
        </w:tc>
        <w:tc>
          <w:tcPr>
            <w:tcW w:w="794"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0.0856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510" w:hRule="atLeast"/>
          <w:jc w:val="center"/>
        </w:trPr>
        <w:tc>
          <w:tcPr>
            <w:tcW w:w="1008"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基本设施</w:t>
            </w:r>
          </w:p>
        </w:tc>
        <w:tc>
          <w:tcPr>
            <w:tcW w:w="850"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23.24</w:t>
            </w:r>
          </w:p>
        </w:tc>
        <w:tc>
          <w:tcPr>
            <w:tcW w:w="851"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1.72</w:t>
            </w:r>
          </w:p>
        </w:tc>
        <w:tc>
          <w:tcPr>
            <w:tcW w:w="708"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2</w:t>
            </w:r>
          </w:p>
        </w:tc>
        <w:tc>
          <w:tcPr>
            <w:tcW w:w="851"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 w:val="22"/>
                <w:szCs w:val="22"/>
              </w:rPr>
            </w:pPr>
            <w:r>
              <w:rPr>
                <w:color w:val="000000"/>
                <w:kern w:val="0"/>
                <w:sz w:val="22"/>
                <w:szCs w:val="22"/>
              </w:rPr>
              <w:t>0.2324</w:t>
            </w: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基础设施完善度</w:t>
            </w:r>
          </w:p>
        </w:tc>
        <w:tc>
          <w:tcPr>
            <w:tcW w:w="904"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40.23</w:t>
            </w:r>
          </w:p>
        </w:tc>
        <w:tc>
          <w:tcPr>
            <w:tcW w:w="85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1.16</w:t>
            </w:r>
          </w:p>
        </w:tc>
        <w:tc>
          <w:tcPr>
            <w:tcW w:w="7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2</w:t>
            </w:r>
          </w:p>
        </w:tc>
        <w:tc>
          <w:tcPr>
            <w:tcW w:w="794"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0.0923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008"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85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708"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公用设施完备度</w:t>
            </w:r>
          </w:p>
        </w:tc>
        <w:tc>
          <w:tcPr>
            <w:tcW w:w="904"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59.77</w:t>
            </w:r>
          </w:p>
        </w:tc>
        <w:tc>
          <w:tcPr>
            <w:tcW w:w="85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1.22</w:t>
            </w:r>
          </w:p>
        </w:tc>
        <w:tc>
          <w:tcPr>
            <w:tcW w:w="7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794"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0.1401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008"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环境条件</w:t>
            </w:r>
          </w:p>
        </w:tc>
        <w:tc>
          <w:tcPr>
            <w:tcW w:w="850"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16.06</w:t>
            </w:r>
          </w:p>
        </w:tc>
        <w:tc>
          <w:tcPr>
            <w:tcW w:w="851"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1.24</w:t>
            </w:r>
          </w:p>
        </w:tc>
        <w:tc>
          <w:tcPr>
            <w:tcW w:w="708"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4</w:t>
            </w:r>
          </w:p>
        </w:tc>
        <w:tc>
          <w:tcPr>
            <w:tcW w:w="851"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 w:val="22"/>
                <w:szCs w:val="22"/>
              </w:rPr>
            </w:pPr>
            <w:r>
              <w:rPr>
                <w:color w:val="000000"/>
                <w:kern w:val="0"/>
                <w:sz w:val="22"/>
                <w:szCs w:val="22"/>
              </w:rPr>
              <w:t>0.1606</w:t>
            </w: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环境质量优劣度</w:t>
            </w:r>
          </w:p>
        </w:tc>
        <w:tc>
          <w:tcPr>
            <w:tcW w:w="904"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61.88</w:t>
            </w:r>
          </w:p>
        </w:tc>
        <w:tc>
          <w:tcPr>
            <w:tcW w:w="85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1.87</w:t>
            </w:r>
          </w:p>
        </w:tc>
        <w:tc>
          <w:tcPr>
            <w:tcW w:w="7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794"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008"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85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708"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851" w:type="dxa"/>
            <w:vMerge w:val="continue"/>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自然条件优劣度</w:t>
            </w:r>
          </w:p>
        </w:tc>
        <w:tc>
          <w:tcPr>
            <w:tcW w:w="904"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38.12</w:t>
            </w:r>
          </w:p>
        </w:tc>
        <w:tc>
          <w:tcPr>
            <w:tcW w:w="85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1.69</w:t>
            </w:r>
          </w:p>
        </w:tc>
        <w:tc>
          <w:tcPr>
            <w:tcW w:w="7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2</w:t>
            </w:r>
          </w:p>
        </w:tc>
        <w:tc>
          <w:tcPr>
            <w:tcW w:w="794"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0.0618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0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其他方面</w:t>
            </w:r>
          </w:p>
        </w:tc>
        <w:tc>
          <w:tcPr>
            <w:tcW w:w="85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15.61</w:t>
            </w:r>
          </w:p>
        </w:tc>
        <w:tc>
          <w:tcPr>
            <w:tcW w:w="85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1.56</w:t>
            </w:r>
          </w:p>
        </w:tc>
        <w:tc>
          <w:tcPr>
            <w:tcW w:w="708"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5</w:t>
            </w:r>
          </w:p>
        </w:tc>
        <w:tc>
          <w:tcPr>
            <w:tcW w:w="851"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0.1561</w:t>
            </w: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城市规划</w:t>
            </w:r>
          </w:p>
        </w:tc>
        <w:tc>
          <w:tcPr>
            <w:tcW w:w="904"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w:t>
            </w:r>
          </w:p>
        </w:tc>
        <w:tc>
          <w:tcPr>
            <w:tcW w:w="85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w:t>
            </w:r>
          </w:p>
        </w:tc>
        <w:tc>
          <w:tcPr>
            <w:tcW w:w="7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w:t>
            </w:r>
          </w:p>
        </w:tc>
        <w:tc>
          <w:tcPr>
            <w:tcW w:w="794"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0.1561</w:t>
            </w:r>
          </w:p>
        </w:tc>
      </w:tr>
    </w:tbl>
    <w:p>
      <w:pPr>
        <w:tabs>
          <w:tab w:val="left" w:pos="720"/>
        </w:tabs>
        <w:spacing w:line="400" w:lineRule="exact"/>
        <w:jc w:val="center"/>
        <w:rPr>
          <w:rFonts w:hint="eastAsia"/>
          <w:b/>
          <w:spacing w:val="-23"/>
          <w:sz w:val="24"/>
          <w:szCs w:val="22"/>
        </w:rPr>
      </w:pPr>
      <w:r>
        <w:rPr>
          <w:b/>
          <w:spacing w:val="-23"/>
          <w:sz w:val="24"/>
          <w:szCs w:val="22"/>
        </w:rPr>
        <w:t>表2-2-</w:t>
      </w:r>
      <w:r>
        <w:rPr>
          <w:rFonts w:hint="eastAsia"/>
          <w:b/>
          <w:spacing w:val="-23"/>
          <w:sz w:val="24"/>
          <w:szCs w:val="22"/>
        </w:rPr>
        <w:t>4</w:t>
      </w:r>
      <w:r>
        <w:rPr>
          <w:b/>
          <w:spacing w:val="-23"/>
          <w:sz w:val="24"/>
          <w:szCs w:val="22"/>
        </w:rPr>
        <w:t xml:space="preserve"> </w:t>
      </w:r>
      <w:r>
        <w:rPr>
          <w:rFonts w:hint="eastAsia"/>
          <w:b/>
          <w:spacing w:val="-23"/>
          <w:sz w:val="24"/>
          <w:szCs w:val="22"/>
        </w:rPr>
        <w:t>长沙县城区商服用地、住宅用地和公共管理与公共服务用地</w:t>
      </w:r>
    </w:p>
    <w:p>
      <w:pPr>
        <w:tabs>
          <w:tab w:val="left" w:pos="720"/>
        </w:tabs>
        <w:spacing w:line="400" w:lineRule="exact"/>
        <w:jc w:val="center"/>
        <w:rPr>
          <w:b/>
          <w:spacing w:val="-23"/>
          <w:sz w:val="24"/>
          <w:szCs w:val="22"/>
        </w:rPr>
      </w:pPr>
      <w:r>
        <w:rPr>
          <w:b/>
          <w:spacing w:val="-23"/>
          <w:sz w:val="24"/>
          <w:szCs w:val="22"/>
        </w:rPr>
        <w:t>综合定级因素、因子权重值确定表（第二轮）</w:t>
      </w:r>
    </w:p>
    <w:tbl>
      <w:tblPr>
        <w:tblW w:w="87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6"/>
        <w:gridCol w:w="881"/>
        <w:gridCol w:w="925"/>
        <w:gridCol w:w="706"/>
        <w:gridCol w:w="910"/>
        <w:gridCol w:w="1059"/>
        <w:gridCol w:w="859"/>
        <w:gridCol w:w="872"/>
        <w:gridCol w:w="717"/>
        <w:gridCol w:w="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因素层</w:t>
            </w:r>
          </w:p>
        </w:tc>
        <w:tc>
          <w:tcPr>
            <w:tcW w:w="88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第</w:t>
            </w:r>
            <w:r>
              <w:rPr>
                <w:rFonts w:hint="eastAsia"/>
                <w:b/>
                <w:bCs/>
                <w:color w:val="000000"/>
                <w:kern w:val="0"/>
                <w:szCs w:val="21"/>
              </w:rPr>
              <w:t>二</w:t>
            </w:r>
            <w:r>
              <w:rPr>
                <w:b/>
                <w:bCs/>
                <w:color w:val="000000"/>
                <w:kern w:val="0"/>
                <w:szCs w:val="21"/>
              </w:rPr>
              <w:t>轮平均分</w:t>
            </w:r>
          </w:p>
        </w:tc>
        <w:tc>
          <w:tcPr>
            <w:tcW w:w="925"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第</w:t>
            </w:r>
            <w:r>
              <w:rPr>
                <w:rFonts w:hint="eastAsia"/>
                <w:b/>
                <w:bCs/>
                <w:color w:val="000000"/>
                <w:kern w:val="0"/>
                <w:szCs w:val="21"/>
              </w:rPr>
              <w:t>二</w:t>
            </w:r>
            <w:r>
              <w:rPr>
                <w:b/>
                <w:bCs/>
                <w:color w:val="000000"/>
                <w:kern w:val="0"/>
                <w:szCs w:val="21"/>
              </w:rPr>
              <w:t>轮方差</w:t>
            </w:r>
          </w:p>
        </w:tc>
        <w:tc>
          <w:tcPr>
            <w:tcW w:w="706"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重要性排序</w:t>
            </w:r>
          </w:p>
        </w:tc>
        <w:tc>
          <w:tcPr>
            <w:tcW w:w="910"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权重值</w:t>
            </w:r>
          </w:p>
        </w:tc>
        <w:tc>
          <w:tcPr>
            <w:tcW w:w="1059"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859"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第</w:t>
            </w:r>
            <w:r>
              <w:rPr>
                <w:rFonts w:hint="eastAsia"/>
                <w:b/>
                <w:bCs/>
                <w:color w:val="000000"/>
                <w:kern w:val="0"/>
                <w:szCs w:val="21"/>
              </w:rPr>
              <w:t>二</w:t>
            </w:r>
            <w:r>
              <w:rPr>
                <w:b/>
                <w:bCs/>
                <w:color w:val="000000"/>
                <w:kern w:val="0"/>
                <w:szCs w:val="21"/>
              </w:rPr>
              <w:t>轮平均分</w:t>
            </w:r>
          </w:p>
        </w:tc>
        <w:tc>
          <w:tcPr>
            <w:tcW w:w="872"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第</w:t>
            </w:r>
            <w:r>
              <w:rPr>
                <w:rFonts w:hint="eastAsia"/>
                <w:b/>
                <w:bCs/>
                <w:color w:val="000000"/>
                <w:kern w:val="0"/>
                <w:szCs w:val="21"/>
              </w:rPr>
              <w:t>二</w:t>
            </w:r>
            <w:r>
              <w:rPr>
                <w:b/>
                <w:bCs/>
                <w:color w:val="000000"/>
                <w:kern w:val="0"/>
                <w:szCs w:val="21"/>
              </w:rPr>
              <w:t>轮方差</w:t>
            </w:r>
          </w:p>
        </w:tc>
        <w:tc>
          <w:tcPr>
            <w:tcW w:w="717"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重要性排序</w:t>
            </w:r>
          </w:p>
        </w:tc>
        <w:tc>
          <w:tcPr>
            <w:tcW w:w="842"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权重值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6" w:hRule="atLeast"/>
          <w:jc w:val="center"/>
        </w:trPr>
        <w:tc>
          <w:tcPr>
            <w:tcW w:w="966"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繁华程度</w:t>
            </w:r>
          </w:p>
        </w:tc>
        <w:tc>
          <w:tcPr>
            <w:tcW w:w="881"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25.56</w:t>
            </w:r>
          </w:p>
        </w:tc>
        <w:tc>
          <w:tcPr>
            <w:tcW w:w="925"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0.95</w:t>
            </w:r>
          </w:p>
        </w:tc>
        <w:tc>
          <w:tcPr>
            <w:tcW w:w="706"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w:t>
            </w:r>
          </w:p>
        </w:tc>
        <w:tc>
          <w:tcPr>
            <w:tcW w:w="910"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0.2556</w:t>
            </w:r>
          </w:p>
        </w:tc>
        <w:tc>
          <w:tcPr>
            <w:tcW w:w="105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商服繁华影响度</w:t>
            </w:r>
          </w:p>
        </w:tc>
        <w:tc>
          <w:tcPr>
            <w:tcW w:w="85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w:t>
            </w:r>
          </w:p>
        </w:tc>
        <w:tc>
          <w:tcPr>
            <w:tcW w:w="87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w:t>
            </w:r>
          </w:p>
        </w:tc>
        <w:tc>
          <w:tcPr>
            <w:tcW w:w="717"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w:t>
            </w:r>
          </w:p>
        </w:tc>
        <w:tc>
          <w:tcPr>
            <w:tcW w:w="84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0.2556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966"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交通条件</w:t>
            </w:r>
          </w:p>
        </w:tc>
        <w:tc>
          <w:tcPr>
            <w:tcW w:w="881"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20.15</w:t>
            </w:r>
          </w:p>
        </w:tc>
        <w:tc>
          <w:tcPr>
            <w:tcW w:w="925"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0.86</w:t>
            </w:r>
          </w:p>
        </w:tc>
        <w:tc>
          <w:tcPr>
            <w:tcW w:w="706"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3</w:t>
            </w:r>
          </w:p>
        </w:tc>
        <w:tc>
          <w:tcPr>
            <w:tcW w:w="910"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0.2015</w:t>
            </w:r>
          </w:p>
        </w:tc>
        <w:tc>
          <w:tcPr>
            <w:tcW w:w="105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道路通达度</w:t>
            </w:r>
          </w:p>
        </w:tc>
        <w:tc>
          <w:tcPr>
            <w:tcW w:w="85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59.01</w:t>
            </w:r>
          </w:p>
        </w:tc>
        <w:tc>
          <w:tcPr>
            <w:tcW w:w="87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0.87</w:t>
            </w:r>
          </w:p>
        </w:tc>
        <w:tc>
          <w:tcPr>
            <w:tcW w:w="717"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84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0.1189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966"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881"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92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706"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91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105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公交便捷度</w:t>
            </w:r>
          </w:p>
        </w:tc>
        <w:tc>
          <w:tcPr>
            <w:tcW w:w="85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40.99</w:t>
            </w:r>
          </w:p>
        </w:tc>
        <w:tc>
          <w:tcPr>
            <w:tcW w:w="87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0.65</w:t>
            </w:r>
          </w:p>
        </w:tc>
        <w:tc>
          <w:tcPr>
            <w:tcW w:w="717"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2</w:t>
            </w:r>
          </w:p>
        </w:tc>
        <w:tc>
          <w:tcPr>
            <w:tcW w:w="84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0.0826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966"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基本设施</w:t>
            </w:r>
          </w:p>
        </w:tc>
        <w:tc>
          <w:tcPr>
            <w:tcW w:w="881"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22.27</w:t>
            </w:r>
          </w:p>
        </w:tc>
        <w:tc>
          <w:tcPr>
            <w:tcW w:w="925"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0.79</w:t>
            </w:r>
          </w:p>
        </w:tc>
        <w:tc>
          <w:tcPr>
            <w:tcW w:w="706"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2</w:t>
            </w:r>
          </w:p>
        </w:tc>
        <w:tc>
          <w:tcPr>
            <w:tcW w:w="910"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0.2227</w:t>
            </w:r>
          </w:p>
        </w:tc>
        <w:tc>
          <w:tcPr>
            <w:tcW w:w="105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基础设施完善度</w:t>
            </w:r>
          </w:p>
        </w:tc>
        <w:tc>
          <w:tcPr>
            <w:tcW w:w="85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40.55</w:t>
            </w:r>
          </w:p>
        </w:tc>
        <w:tc>
          <w:tcPr>
            <w:tcW w:w="87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0.92</w:t>
            </w:r>
          </w:p>
        </w:tc>
        <w:tc>
          <w:tcPr>
            <w:tcW w:w="717"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2</w:t>
            </w:r>
          </w:p>
        </w:tc>
        <w:tc>
          <w:tcPr>
            <w:tcW w:w="84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0.0903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966"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881"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92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706"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91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105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公用设施完备度</w:t>
            </w:r>
          </w:p>
        </w:tc>
        <w:tc>
          <w:tcPr>
            <w:tcW w:w="85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59.45</w:t>
            </w:r>
          </w:p>
        </w:tc>
        <w:tc>
          <w:tcPr>
            <w:tcW w:w="87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0.88</w:t>
            </w:r>
          </w:p>
        </w:tc>
        <w:tc>
          <w:tcPr>
            <w:tcW w:w="717"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84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0.1324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966"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环境条件</w:t>
            </w:r>
          </w:p>
        </w:tc>
        <w:tc>
          <w:tcPr>
            <w:tcW w:w="881"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16.37</w:t>
            </w:r>
          </w:p>
        </w:tc>
        <w:tc>
          <w:tcPr>
            <w:tcW w:w="925"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0.87</w:t>
            </w:r>
          </w:p>
        </w:tc>
        <w:tc>
          <w:tcPr>
            <w:tcW w:w="706"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4</w:t>
            </w:r>
          </w:p>
        </w:tc>
        <w:tc>
          <w:tcPr>
            <w:tcW w:w="910" w:type="dxa"/>
            <w:vMerge w:val="restart"/>
            <w:tcBorders>
              <w:top w:val="nil"/>
              <w:left w:val="single" w:color="auto" w:sz="4" w:space="0"/>
              <w:bottom w:val="single" w:color="000000" w:sz="4" w:space="0"/>
              <w:right w:val="single" w:color="auto" w:sz="4" w:space="0"/>
            </w:tcBorders>
            <w:vAlign w:val="center"/>
          </w:tcPr>
          <w:p>
            <w:pPr>
              <w:widowControl/>
              <w:jc w:val="center"/>
              <w:rPr>
                <w:color w:val="000000"/>
                <w:kern w:val="0"/>
                <w:szCs w:val="21"/>
              </w:rPr>
            </w:pPr>
            <w:r>
              <w:rPr>
                <w:color w:val="000000"/>
                <w:kern w:val="0"/>
                <w:szCs w:val="21"/>
              </w:rPr>
              <w:t>0.1637</w:t>
            </w:r>
          </w:p>
        </w:tc>
        <w:tc>
          <w:tcPr>
            <w:tcW w:w="105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环境质量优劣度</w:t>
            </w:r>
          </w:p>
        </w:tc>
        <w:tc>
          <w:tcPr>
            <w:tcW w:w="85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56.5</w:t>
            </w:r>
          </w:p>
        </w:tc>
        <w:tc>
          <w:tcPr>
            <w:tcW w:w="87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0.83</w:t>
            </w:r>
          </w:p>
        </w:tc>
        <w:tc>
          <w:tcPr>
            <w:tcW w:w="717"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84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966"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881"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92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706"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91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Cs w:val="21"/>
              </w:rPr>
            </w:pPr>
          </w:p>
        </w:tc>
        <w:tc>
          <w:tcPr>
            <w:tcW w:w="105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自然条件优劣度</w:t>
            </w:r>
          </w:p>
        </w:tc>
        <w:tc>
          <w:tcPr>
            <w:tcW w:w="85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43.5</w:t>
            </w:r>
          </w:p>
        </w:tc>
        <w:tc>
          <w:tcPr>
            <w:tcW w:w="87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0.91</w:t>
            </w:r>
          </w:p>
        </w:tc>
        <w:tc>
          <w:tcPr>
            <w:tcW w:w="717"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2</w:t>
            </w:r>
          </w:p>
        </w:tc>
        <w:tc>
          <w:tcPr>
            <w:tcW w:w="84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966"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其他方面</w:t>
            </w:r>
          </w:p>
        </w:tc>
        <w:tc>
          <w:tcPr>
            <w:tcW w:w="88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15.65</w:t>
            </w:r>
          </w:p>
        </w:tc>
        <w:tc>
          <w:tcPr>
            <w:tcW w:w="925"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0.49</w:t>
            </w:r>
          </w:p>
        </w:tc>
        <w:tc>
          <w:tcPr>
            <w:tcW w:w="70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5</w:t>
            </w:r>
          </w:p>
        </w:tc>
        <w:tc>
          <w:tcPr>
            <w:tcW w:w="91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0.1565</w:t>
            </w:r>
          </w:p>
        </w:tc>
        <w:tc>
          <w:tcPr>
            <w:tcW w:w="105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城市规划</w:t>
            </w:r>
          </w:p>
        </w:tc>
        <w:tc>
          <w:tcPr>
            <w:tcW w:w="85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w:t>
            </w:r>
          </w:p>
        </w:tc>
        <w:tc>
          <w:tcPr>
            <w:tcW w:w="87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w:t>
            </w:r>
          </w:p>
        </w:tc>
        <w:tc>
          <w:tcPr>
            <w:tcW w:w="717"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w:t>
            </w:r>
          </w:p>
        </w:tc>
        <w:tc>
          <w:tcPr>
            <w:tcW w:w="84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0.1565</w:t>
            </w:r>
          </w:p>
        </w:tc>
      </w:tr>
    </w:tbl>
    <w:p>
      <w:pPr>
        <w:numPr>
          <w:ilvl w:val="0"/>
          <w:numId w:val="5"/>
        </w:numPr>
        <w:spacing w:line="480" w:lineRule="exact"/>
        <w:ind w:firstLine="480" w:firstLineChars="200"/>
        <w:rPr>
          <w:bCs/>
          <w:sz w:val="24"/>
          <w:szCs w:val="24"/>
        </w:rPr>
      </w:pPr>
      <w:r>
        <w:rPr>
          <w:bCs/>
          <w:sz w:val="24"/>
          <w:szCs w:val="24"/>
        </w:rPr>
        <w:br w:type="page"/>
      </w:r>
      <w:r>
        <w:rPr>
          <w:rFonts w:hint="eastAsia"/>
          <w:bCs/>
          <w:sz w:val="24"/>
          <w:szCs w:val="24"/>
        </w:rPr>
        <w:t>2、</w:t>
      </w:r>
      <w:r>
        <w:rPr>
          <w:bCs/>
          <w:sz w:val="24"/>
          <w:szCs w:val="24"/>
        </w:rPr>
        <w:t>工矿仓储用地定级因素因子权重值的确定</w:t>
      </w:r>
    </w:p>
    <w:p>
      <w:pPr>
        <w:tabs>
          <w:tab w:val="left" w:pos="720"/>
        </w:tabs>
        <w:spacing w:line="480" w:lineRule="exact"/>
        <w:jc w:val="center"/>
        <w:rPr>
          <w:b/>
          <w:sz w:val="24"/>
          <w:szCs w:val="22"/>
        </w:rPr>
      </w:pPr>
      <w:r>
        <w:rPr>
          <w:b/>
          <w:sz w:val="24"/>
          <w:szCs w:val="22"/>
        </w:rPr>
        <w:t>表</w:t>
      </w:r>
      <w:r>
        <w:rPr>
          <w:rFonts w:hint="eastAsia"/>
          <w:b/>
          <w:sz w:val="24"/>
          <w:szCs w:val="22"/>
        </w:rPr>
        <w:t>2</w:t>
      </w:r>
      <w:r>
        <w:rPr>
          <w:b/>
          <w:sz w:val="24"/>
          <w:szCs w:val="22"/>
        </w:rPr>
        <w:t>-</w:t>
      </w:r>
      <w:r>
        <w:rPr>
          <w:rFonts w:hint="eastAsia"/>
          <w:b/>
          <w:sz w:val="24"/>
          <w:szCs w:val="22"/>
        </w:rPr>
        <w:t>2</w:t>
      </w:r>
      <w:r>
        <w:rPr>
          <w:b/>
          <w:sz w:val="24"/>
          <w:szCs w:val="22"/>
        </w:rPr>
        <w:t>-</w:t>
      </w:r>
      <w:r>
        <w:rPr>
          <w:rFonts w:hint="eastAsia"/>
          <w:b/>
          <w:sz w:val="24"/>
          <w:szCs w:val="22"/>
        </w:rPr>
        <w:t>5</w:t>
      </w:r>
      <w:r>
        <w:rPr>
          <w:b/>
          <w:sz w:val="24"/>
          <w:szCs w:val="22"/>
        </w:rPr>
        <w:t xml:space="preserve"> </w:t>
      </w:r>
      <w:r>
        <w:rPr>
          <w:rFonts w:hint="eastAsia"/>
          <w:b/>
          <w:sz w:val="24"/>
          <w:szCs w:val="22"/>
        </w:rPr>
        <w:t>长沙县</w:t>
      </w:r>
      <w:r>
        <w:rPr>
          <w:b/>
          <w:sz w:val="24"/>
          <w:szCs w:val="22"/>
        </w:rPr>
        <w:t>城区工矿仓储用地定级因素权重值确定表(第一轮)</w:t>
      </w:r>
    </w:p>
    <w:tbl>
      <w:tblPr>
        <w:tblW w:w="9656" w:type="dxa"/>
        <w:tblInd w:w="-6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882"/>
        <w:gridCol w:w="956"/>
        <w:gridCol w:w="900"/>
        <w:gridCol w:w="862"/>
        <w:gridCol w:w="1144"/>
        <w:gridCol w:w="956"/>
        <w:gridCol w:w="938"/>
        <w:gridCol w:w="881"/>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trPr>
        <w:tc>
          <w:tcPr>
            <w:tcW w:w="1181" w:type="dxa"/>
            <w:vAlign w:val="center"/>
          </w:tcPr>
          <w:p>
            <w:pPr>
              <w:widowControl/>
              <w:jc w:val="center"/>
              <w:rPr>
                <w:color w:val="000000"/>
                <w:kern w:val="0"/>
                <w:szCs w:val="21"/>
              </w:rPr>
            </w:pPr>
            <w:r>
              <w:rPr>
                <w:color w:val="000000"/>
                <w:kern w:val="0"/>
                <w:szCs w:val="21"/>
              </w:rPr>
              <w:t>因素层</w:t>
            </w:r>
          </w:p>
        </w:tc>
        <w:tc>
          <w:tcPr>
            <w:tcW w:w="882" w:type="dxa"/>
            <w:vAlign w:val="center"/>
          </w:tcPr>
          <w:p>
            <w:pPr>
              <w:widowControl/>
              <w:jc w:val="center"/>
              <w:rPr>
                <w:color w:val="000000"/>
                <w:kern w:val="0"/>
                <w:szCs w:val="21"/>
              </w:rPr>
            </w:pPr>
            <w:r>
              <w:rPr>
                <w:color w:val="000000"/>
                <w:kern w:val="0"/>
                <w:szCs w:val="21"/>
              </w:rPr>
              <w:t>第一轮平均分</w:t>
            </w:r>
          </w:p>
        </w:tc>
        <w:tc>
          <w:tcPr>
            <w:tcW w:w="956" w:type="dxa"/>
            <w:vAlign w:val="center"/>
          </w:tcPr>
          <w:p>
            <w:pPr>
              <w:widowControl/>
              <w:jc w:val="center"/>
              <w:rPr>
                <w:color w:val="000000"/>
                <w:kern w:val="0"/>
                <w:szCs w:val="21"/>
              </w:rPr>
            </w:pPr>
            <w:r>
              <w:rPr>
                <w:color w:val="000000"/>
                <w:kern w:val="0"/>
                <w:szCs w:val="21"/>
              </w:rPr>
              <w:t>第一轮方差</w:t>
            </w:r>
          </w:p>
        </w:tc>
        <w:tc>
          <w:tcPr>
            <w:tcW w:w="900" w:type="dxa"/>
            <w:vAlign w:val="center"/>
          </w:tcPr>
          <w:p>
            <w:pPr>
              <w:widowControl/>
              <w:jc w:val="center"/>
              <w:rPr>
                <w:color w:val="000000"/>
                <w:kern w:val="0"/>
                <w:szCs w:val="21"/>
              </w:rPr>
            </w:pPr>
            <w:r>
              <w:rPr>
                <w:color w:val="000000"/>
                <w:kern w:val="0"/>
                <w:szCs w:val="21"/>
              </w:rPr>
              <w:t>重要性排序</w:t>
            </w:r>
          </w:p>
        </w:tc>
        <w:tc>
          <w:tcPr>
            <w:tcW w:w="862" w:type="dxa"/>
            <w:vAlign w:val="center"/>
          </w:tcPr>
          <w:p>
            <w:pPr>
              <w:widowControl/>
              <w:jc w:val="center"/>
              <w:rPr>
                <w:color w:val="000000"/>
                <w:kern w:val="0"/>
                <w:szCs w:val="21"/>
              </w:rPr>
            </w:pPr>
            <w:r>
              <w:rPr>
                <w:color w:val="000000"/>
                <w:kern w:val="0"/>
                <w:szCs w:val="21"/>
              </w:rPr>
              <w:t>权重值</w:t>
            </w:r>
          </w:p>
        </w:tc>
        <w:tc>
          <w:tcPr>
            <w:tcW w:w="1144" w:type="dxa"/>
            <w:vAlign w:val="center"/>
          </w:tcPr>
          <w:p>
            <w:pPr>
              <w:widowControl/>
              <w:jc w:val="center"/>
              <w:rPr>
                <w:color w:val="000000"/>
                <w:kern w:val="0"/>
                <w:szCs w:val="21"/>
              </w:rPr>
            </w:pPr>
            <w:r>
              <w:rPr>
                <w:color w:val="000000"/>
                <w:kern w:val="0"/>
                <w:szCs w:val="21"/>
              </w:rPr>
              <w:t>因子层</w:t>
            </w:r>
          </w:p>
        </w:tc>
        <w:tc>
          <w:tcPr>
            <w:tcW w:w="956" w:type="dxa"/>
            <w:vAlign w:val="center"/>
          </w:tcPr>
          <w:p>
            <w:pPr>
              <w:widowControl/>
              <w:jc w:val="center"/>
              <w:rPr>
                <w:color w:val="000000"/>
                <w:kern w:val="0"/>
                <w:szCs w:val="21"/>
              </w:rPr>
            </w:pPr>
            <w:r>
              <w:rPr>
                <w:color w:val="000000"/>
                <w:kern w:val="0"/>
                <w:szCs w:val="21"/>
              </w:rPr>
              <w:t>第一轮平均分</w:t>
            </w:r>
          </w:p>
        </w:tc>
        <w:tc>
          <w:tcPr>
            <w:tcW w:w="938" w:type="dxa"/>
            <w:vAlign w:val="center"/>
          </w:tcPr>
          <w:p>
            <w:pPr>
              <w:widowControl/>
              <w:jc w:val="center"/>
              <w:rPr>
                <w:color w:val="000000"/>
                <w:kern w:val="0"/>
                <w:szCs w:val="21"/>
              </w:rPr>
            </w:pPr>
            <w:r>
              <w:rPr>
                <w:color w:val="000000"/>
                <w:kern w:val="0"/>
                <w:szCs w:val="21"/>
              </w:rPr>
              <w:t>第一轮方差</w:t>
            </w:r>
          </w:p>
        </w:tc>
        <w:tc>
          <w:tcPr>
            <w:tcW w:w="881" w:type="dxa"/>
            <w:vAlign w:val="center"/>
          </w:tcPr>
          <w:p>
            <w:pPr>
              <w:widowControl/>
              <w:jc w:val="center"/>
              <w:rPr>
                <w:color w:val="000000"/>
                <w:kern w:val="0"/>
                <w:szCs w:val="21"/>
              </w:rPr>
            </w:pPr>
            <w:r>
              <w:rPr>
                <w:color w:val="000000"/>
                <w:kern w:val="0"/>
                <w:szCs w:val="21"/>
              </w:rPr>
              <w:t>重要性排序</w:t>
            </w:r>
          </w:p>
        </w:tc>
        <w:tc>
          <w:tcPr>
            <w:tcW w:w="956" w:type="dxa"/>
            <w:vAlign w:val="center"/>
          </w:tcPr>
          <w:p>
            <w:pPr>
              <w:widowControl/>
              <w:jc w:val="center"/>
              <w:rPr>
                <w:color w:val="000000"/>
                <w:kern w:val="0"/>
                <w:szCs w:val="21"/>
              </w:rPr>
            </w:pPr>
            <w:r>
              <w:rPr>
                <w:color w:val="000000"/>
                <w:kern w:val="0"/>
                <w:szCs w:val="21"/>
              </w:rPr>
              <w:t>权重值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81" w:type="dxa"/>
            <w:vMerge w:val="restart"/>
            <w:vAlign w:val="center"/>
          </w:tcPr>
          <w:p>
            <w:pPr>
              <w:widowControl/>
              <w:jc w:val="center"/>
              <w:rPr>
                <w:color w:val="000000"/>
                <w:kern w:val="0"/>
                <w:szCs w:val="21"/>
              </w:rPr>
            </w:pPr>
            <w:r>
              <w:rPr>
                <w:color w:val="000000"/>
                <w:kern w:val="0"/>
                <w:szCs w:val="21"/>
              </w:rPr>
              <w:t>交通条件</w:t>
            </w:r>
          </w:p>
        </w:tc>
        <w:tc>
          <w:tcPr>
            <w:tcW w:w="882" w:type="dxa"/>
            <w:vMerge w:val="restart"/>
            <w:vAlign w:val="center"/>
          </w:tcPr>
          <w:p>
            <w:pPr>
              <w:widowControl/>
              <w:jc w:val="center"/>
              <w:rPr>
                <w:color w:val="000000"/>
                <w:kern w:val="0"/>
                <w:szCs w:val="21"/>
              </w:rPr>
            </w:pPr>
            <w:r>
              <w:rPr>
                <w:color w:val="000000"/>
                <w:kern w:val="0"/>
                <w:szCs w:val="21"/>
              </w:rPr>
              <w:t>33.78</w:t>
            </w:r>
          </w:p>
        </w:tc>
        <w:tc>
          <w:tcPr>
            <w:tcW w:w="956" w:type="dxa"/>
            <w:vMerge w:val="restart"/>
            <w:vAlign w:val="center"/>
          </w:tcPr>
          <w:p>
            <w:pPr>
              <w:widowControl/>
              <w:jc w:val="center"/>
              <w:rPr>
                <w:color w:val="000000"/>
                <w:kern w:val="0"/>
                <w:szCs w:val="21"/>
              </w:rPr>
            </w:pPr>
            <w:r>
              <w:rPr>
                <w:color w:val="000000"/>
                <w:kern w:val="0"/>
                <w:szCs w:val="21"/>
              </w:rPr>
              <w:t>1.19</w:t>
            </w:r>
          </w:p>
        </w:tc>
        <w:tc>
          <w:tcPr>
            <w:tcW w:w="900" w:type="dxa"/>
            <w:vMerge w:val="restart"/>
            <w:vAlign w:val="center"/>
          </w:tcPr>
          <w:p>
            <w:pPr>
              <w:widowControl/>
              <w:jc w:val="center"/>
              <w:rPr>
                <w:color w:val="000000"/>
                <w:kern w:val="0"/>
                <w:szCs w:val="21"/>
              </w:rPr>
            </w:pPr>
            <w:r>
              <w:rPr>
                <w:color w:val="000000"/>
                <w:kern w:val="0"/>
                <w:szCs w:val="21"/>
              </w:rPr>
              <w:t>1</w:t>
            </w:r>
          </w:p>
        </w:tc>
        <w:tc>
          <w:tcPr>
            <w:tcW w:w="862" w:type="dxa"/>
            <w:vMerge w:val="restart"/>
            <w:vAlign w:val="center"/>
          </w:tcPr>
          <w:p>
            <w:pPr>
              <w:widowControl/>
              <w:jc w:val="center"/>
              <w:rPr>
                <w:color w:val="000000"/>
                <w:kern w:val="0"/>
                <w:szCs w:val="21"/>
              </w:rPr>
            </w:pPr>
            <w:r>
              <w:rPr>
                <w:color w:val="000000"/>
                <w:kern w:val="0"/>
                <w:szCs w:val="21"/>
              </w:rPr>
              <w:t>0.3378</w:t>
            </w:r>
          </w:p>
        </w:tc>
        <w:tc>
          <w:tcPr>
            <w:tcW w:w="1144" w:type="dxa"/>
            <w:vAlign w:val="center"/>
          </w:tcPr>
          <w:p>
            <w:pPr>
              <w:widowControl/>
              <w:jc w:val="center"/>
              <w:rPr>
                <w:color w:val="000000"/>
                <w:kern w:val="0"/>
                <w:szCs w:val="21"/>
              </w:rPr>
            </w:pPr>
            <w:r>
              <w:rPr>
                <w:color w:val="000000"/>
                <w:kern w:val="0"/>
                <w:szCs w:val="21"/>
              </w:rPr>
              <w:t>道路通达度</w:t>
            </w:r>
          </w:p>
        </w:tc>
        <w:tc>
          <w:tcPr>
            <w:tcW w:w="956" w:type="dxa"/>
            <w:vAlign w:val="center"/>
          </w:tcPr>
          <w:p>
            <w:pPr>
              <w:widowControl/>
              <w:jc w:val="center"/>
              <w:rPr>
                <w:color w:val="000000"/>
                <w:kern w:val="0"/>
                <w:szCs w:val="21"/>
              </w:rPr>
            </w:pPr>
            <w:r>
              <w:rPr>
                <w:color w:val="000000"/>
                <w:kern w:val="0"/>
                <w:szCs w:val="21"/>
              </w:rPr>
              <w:t>41.56</w:t>
            </w:r>
          </w:p>
        </w:tc>
        <w:tc>
          <w:tcPr>
            <w:tcW w:w="938" w:type="dxa"/>
            <w:vAlign w:val="center"/>
          </w:tcPr>
          <w:p>
            <w:pPr>
              <w:widowControl/>
              <w:jc w:val="center"/>
              <w:rPr>
                <w:color w:val="000000"/>
                <w:kern w:val="0"/>
                <w:szCs w:val="21"/>
              </w:rPr>
            </w:pPr>
            <w:r>
              <w:rPr>
                <w:color w:val="000000"/>
                <w:kern w:val="0"/>
                <w:szCs w:val="21"/>
              </w:rPr>
              <w:t>2.89</w:t>
            </w:r>
          </w:p>
        </w:tc>
        <w:tc>
          <w:tcPr>
            <w:tcW w:w="881" w:type="dxa"/>
            <w:vAlign w:val="center"/>
          </w:tcPr>
          <w:p>
            <w:pPr>
              <w:widowControl/>
              <w:jc w:val="center"/>
              <w:rPr>
                <w:color w:val="000000"/>
                <w:kern w:val="0"/>
                <w:szCs w:val="21"/>
              </w:rPr>
            </w:pPr>
            <w:r>
              <w:rPr>
                <w:color w:val="000000"/>
                <w:kern w:val="0"/>
                <w:szCs w:val="21"/>
              </w:rPr>
              <w:t>2</w:t>
            </w:r>
          </w:p>
        </w:tc>
        <w:tc>
          <w:tcPr>
            <w:tcW w:w="956" w:type="dxa"/>
            <w:vAlign w:val="center"/>
          </w:tcPr>
          <w:p>
            <w:pPr>
              <w:widowControl/>
              <w:jc w:val="center"/>
              <w:rPr>
                <w:color w:val="000000"/>
                <w:kern w:val="0"/>
                <w:szCs w:val="21"/>
              </w:rPr>
            </w:pPr>
            <w:r>
              <w:rPr>
                <w:color w:val="000000"/>
                <w:kern w:val="0"/>
                <w:szCs w:val="21"/>
              </w:rPr>
              <w:t>0.1404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81" w:type="dxa"/>
            <w:vMerge w:val="continue"/>
            <w:vAlign w:val="center"/>
          </w:tcPr>
          <w:p>
            <w:pPr>
              <w:widowControl/>
              <w:jc w:val="center"/>
              <w:rPr>
                <w:color w:val="000000"/>
                <w:kern w:val="0"/>
                <w:szCs w:val="21"/>
              </w:rPr>
            </w:pPr>
          </w:p>
        </w:tc>
        <w:tc>
          <w:tcPr>
            <w:tcW w:w="882" w:type="dxa"/>
            <w:vMerge w:val="continue"/>
            <w:vAlign w:val="center"/>
          </w:tcPr>
          <w:p>
            <w:pPr>
              <w:widowControl/>
              <w:jc w:val="center"/>
              <w:rPr>
                <w:color w:val="000000"/>
                <w:kern w:val="0"/>
                <w:szCs w:val="21"/>
              </w:rPr>
            </w:pPr>
          </w:p>
        </w:tc>
        <w:tc>
          <w:tcPr>
            <w:tcW w:w="956" w:type="dxa"/>
            <w:vMerge w:val="continue"/>
            <w:vAlign w:val="center"/>
          </w:tcPr>
          <w:p>
            <w:pPr>
              <w:widowControl/>
              <w:jc w:val="center"/>
              <w:rPr>
                <w:color w:val="000000"/>
                <w:kern w:val="0"/>
                <w:szCs w:val="21"/>
              </w:rPr>
            </w:pPr>
          </w:p>
        </w:tc>
        <w:tc>
          <w:tcPr>
            <w:tcW w:w="900" w:type="dxa"/>
            <w:vMerge w:val="continue"/>
            <w:vAlign w:val="center"/>
          </w:tcPr>
          <w:p>
            <w:pPr>
              <w:widowControl/>
              <w:jc w:val="center"/>
              <w:rPr>
                <w:color w:val="000000"/>
                <w:kern w:val="0"/>
                <w:szCs w:val="21"/>
              </w:rPr>
            </w:pPr>
          </w:p>
        </w:tc>
        <w:tc>
          <w:tcPr>
            <w:tcW w:w="862" w:type="dxa"/>
            <w:vMerge w:val="continue"/>
            <w:vAlign w:val="center"/>
          </w:tcPr>
          <w:p>
            <w:pPr>
              <w:widowControl/>
              <w:jc w:val="center"/>
              <w:rPr>
                <w:color w:val="000000"/>
                <w:kern w:val="0"/>
                <w:szCs w:val="21"/>
              </w:rPr>
            </w:pPr>
          </w:p>
        </w:tc>
        <w:tc>
          <w:tcPr>
            <w:tcW w:w="1144" w:type="dxa"/>
            <w:vAlign w:val="center"/>
          </w:tcPr>
          <w:p>
            <w:pPr>
              <w:widowControl/>
              <w:jc w:val="center"/>
              <w:rPr>
                <w:color w:val="000000"/>
                <w:kern w:val="0"/>
                <w:szCs w:val="21"/>
              </w:rPr>
            </w:pPr>
            <w:r>
              <w:rPr>
                <w:color w:val="000000"/>
                <w:kern w:val="0"/>
                <w:szCs w:val="21"/>
              </w:rPr>
              <w:t>对外交通便利度</w:t>
            </w:r>
          </w:p>
        </w:tc>
        <w:tc>
          <w:tcPr>
            <w:tcW w:w="956" w:type="dxa"/>
            <w:vAlign w:val="center"/>
          </w:tcPr>
          <w:p>
            <w:pPr>
              <w:widowControl/>
              <w:jc w:val="center"/>
              <w:rPr>
                <w:color w:val="000000"/>
                <w:kern w:val="0"/>
                <w:szCs w:val="21"/>
              </w:rPr>
            </w:pPr>
            <w:r>
              <w:rPr>
                <w:color w:val="000000"/>
                <w:kern w:val="0"/>
                <w:szCs w:val="21"/>
              </w:rPr>
              <w:t>58.44</w:t>
            </w:r>
          </w:p>
        </w:tc>
        <w:tc>
          <w:tcPr>
            <w:tcW w:w="938" w:type="dxa"/>
            <w:vAlign w:val="center"/>
          </w:tcPr>
          <w:p>
            <w:pPr>
              <w:widowControl/>
              <w:jc w:val="center"/>
              <w:rPr>
                <w:color w:val="000000"/>
                <w:kern w:val="0"/>
                <w:szCs w:val="21"/>
              </w:rPr>
            </w:pPr>
            <w:r>
              <w:rPr>
                <w:color w:val="000000"/>
                <w:kern w:val="0"/>
                <w:szCs w:val="21"/>
              </w:rPr>
              <w:t>2.45</w:t>
            </w:r>
          </w:p>
        </w:tc>
        <w:tc>
          <w:tcPr>
            <w:tcW w:w="881" w:type="dxa"/>
            <w:vAlign w:val="center"/>
          </w:tcPr>
          <w:p>
            <w:pPr>
              <w:widowControl/>
              <w:jc w:val="center"/>
              <w:rPr>
                <w:color w:val="000000"/>
                <w:kern w:val="0"/>
                <w:szCs w:val="21"/>
              </w:rPr>
            </w:pPr>
            <w:r>
              <w:rPr>
                <w:color w:val="000000"/>
                <w:kern w:val="0"/>
                <w:szCs w:val="21"/>
              </w:rPr>
              <w:t>1</w:t>
            </w:r>
          </w:p>
        </w:tc>
        <w:tc>
          <w:tcPr>
            <w:tcW w:w="956" w:type="dxa"/>
            <w:vAlign w:val="center"/>
          </w:tcPr>
          <w:p>
            <w:pPr>
              <w:widowControl/>
              <w:jc w:val="center"/>
              <w:rPr>
                <w:color w:val="000000"/>
                <w:kern w:val="0"/>
                <w:szCs w:val="21"/>
              </w:rPr>
            </w:pPr>
            <w:r>
              <w:rPr>
                <w:color w:val="000000"/>
                <w:kern w:val="0"/>
                <w:szCs w:val="21"/>
              </w:rPr>
              <w:t>0.1974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81" w:type="dxa"/>
            <w:vAlign w:val="center"/>
          </w:tcPr>
          <w:p>
            <w:pPr>
              <w:widowControl/>
              <w:jc w:val="center"/>
              <w:rPr>
                <w:color w:val="000000"/>
                <w:kern w:val="0"/>
                <w:szCs w:val="21"/>
              </w:rPr>
            </w:pPr>
            <w:r>
              <w:rPr>
                <w:color w:val="000000"/>
                <w:kern w:val="0"/>
                <w:szCs w:val="21"/>
              </w:rPr>
              <w:t>基本设施状况</w:t>
            </w:r>
          </w:p>
        </w:tc>
        <w:tc>
          <w:tcPr>
            <w:tcW w:w="882" w:type="dxa"/>
            <w:vAlign w:val="center"/>
          </w:tcPr>
          <w:p>
            <w:pPr>
              <w:widowControl/>
              <w:jc w:val="center"/>
              <w:rPr>
                <w:color w:val="000000"/>
                <w:kern w:val="0"/>
                <w:szCs w:val="21"/>
              </w:rPr>
            </w:pPr>
            <w:r>
              <w:rPr>
                <w:color w:val="000000"/>
                <w:kern w:val="0"/>
                <w:szCs w:val="21"/>
              </w:rPr>
              <w:t>26.93</w:t>
            </w:r>
          </w:p>
        </w:tc>
        <w:tc>
          <w:tcPr>
            <w:tcW w:w="956" w:type="dxa"/>
            <w:vAlign w:val="center"/>
          </w:tcPr>
          <w:p>
            <w:pPr>
              <w:widowControl/>
              <w:jc w:val="center"/>
              <w:rPr>
                <w:color w:val="000000"/>
                <w:kern w:val="0"/>
                <w:szCs w:val="21"/>
              </w:rPr>
            </w:pPr>
            <w:r>
              <w:rPr>
                <w:color w:val="000000"/>
                <w:kern w:val="0"/>
                <w:szCs w:val="21"/>
              </w:rPr>
              <w:t>2.68</w:t>
            </w:r>
          </w:p>
        </w:tc>
        <w:tc>
          <w:tcPr>
            <w:tcW w:w="900" w:type="dxa"/>
            <w:vAlign w:val="center"/>
          </w:tcPr>
          <w:p>
            <w:pPr>
              <w:widowControl/>
              <w:jc w:val="center"/>
              <w:rPr>
                <w:color w:val="000000"/>
                <w:kern w:val="0"/>
                <w:szCs w:val="21"/>
              </w:rPr>
            </w:pPr>
            <w:r>
              <w:rPr>
                <w:color w:val="000000"/>
                <w:kern w:val="0"/>
                <w:szCs w:val="21"/>
              </w:rPr>
              <w:t>2</w:t>
            </w:r>
          </w:p>
        </w:tc>
        <w:tc>
          <w:tcPr>
            <w:tcW w:w="862" w:type="dxa"/>
            <w:vAlign w:val="center"/>
          </w:tcPr>
          <w:p>
            <w:pPr>
              <w:widowControl/>
              <w:jc w:val="center"/>
              <w:rPr>
                <w:color w:val="000000"/>
                <w:kern w:val="0"/>
                <w:szCs w:val="21"/>
              </w:rPr>
            </w:pPr>
            <w:r>
              <w:rPr>
                <w:color w:val="000000"/>
                <w:kern w:val="0"/>
                <w:szCs w:val="21"/>
              </w:rPr>
              <w:t>0.2693</w:t>
            </w:r>
          </w:p>
        </w:tc>
        <w:tc>
          <w:tcPr>
            <w:tcW w:w="1144" w:type="dxa"/>
            <w:vAlign w:val="center"/>
          </w:tcPr>
          <w:p>
            <w:pPr>
              <w:widowControl/>
              <w:jc w:val="center"/>
              <w:rPr>
                <w:color w:val="000000"/>
                <w:kern w:val="0"/>
                <w:szCs w:val="21"/>
              </w:rPr>
            </w:pPr>
            <w:r>
              <w:rPr>
                <w:color w:val="000000"/>
                <w:kern w:val="0"/>
                <w:szCs w:val="21"/>
              </w:rPr>
              <w:t>基础设施完善度</w:t>
            </w:r>
          </w:p>
        </w:tc>
        <w:tc>
          <w:tcPr>
            <w:tcW w:w="956" w:type="dxa"/>
            <w:vAlign w:val="center"/>
          </w:tcPr>
          <w:p>
            <w:pPr>
              <w:widowControl/>
              <w:jc w:val="center"/>
              <w:rPr>
                <w:color w:val="000000"/>
                <w:kern w:val="0"/>
                <w:szCs w:val="21"/>
              </w:rPr>
            </w:pPr>
            <w:r>
              <w:rPr>
                <w:color w:val="000000"/>
                <w:kern w:val="0"/>
                <w:szCs w:val="21"/>
              </w:rPr>
              <w:t>/</w:t>
            </w:r>
          </w:p>
        </w:tc>
        <w:tc>
          <w:tcPr>
            <w:tcW w:w="938" w:type="dxa"/>
            <w:vAlign w:val="center"/>
          </w:tcPr>
          <w:p>
            <w:pPr>
              <w:widowControl/>
              <w:jc w:val="center"/>
              <w:rPr>
                <w:color w:val="000000"/>
                <w:kern w:val="0"/>
                <w:szCs w:val="21"/>
              </w:rPr>
            </w:pPr>
            <w:r>
              <w:rPr>
                <w:color w:val="000000"/>
                <w:kern w:val="0"/>
                <w:szCs w:val="21"/>
              </w:rPr>
              <w:t>/</w:t>
            </w:r>
          </w:p>
        </w:tc>
        <w:tc>
          <w:tcPr>
            <w:tcW w:w="881" w:type="dxa"/>
            <w:vAlign w:val="center"/>
          </w:tcPr>
          <w:p>
            <w:pPr>
              <w:widowControl/>
              <w:jc w:val="center"/>
              <w:rPr>
                <w:color w:val="000000"/>
                <w:kern w:val="0"/>
                <w:szCs w:val="21"/>
              </w:rPr>
            </w:pPr>
            <w:r>
              <w:rPr>
                <w:color w:val="000000"/>
                <w:kern w:val="0"/>
                <w:szCs w:val="21"/>
              </w:rPr>
              <w:t>/</w:t>
            </w:r>
          </w:p>
        </w:tc>
        <w:tc>
          <w:tcPr>
            <w:tcW w:w="956" w:type="dxa"/>
            <w:vAlign w:val="center"/>
          </w:tcPr>
          <w:p>
            <w:pPr>
              <w:widowControl/>
              <w:jc w:val="center"/>
              <w:rPr>
                <w:color w:val="000000"/>
                <w:kern w:val="0"/>
                <w:szCs w:val="21"/>
              </w:rPr>
            </w:pPr>
            <w:r>
              <w:rPr>
                <w:color w:val="000000"/>
                <w:kern w:val="0"/>
                <w:szCs w:val="21"/>
              </w:rPr>
              <w:t>0.2693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81" w:type="dxa"/>
            <w:vAlign w:val="center"/>
          </w:tcPr>
          <w:p>
            <w:pPr>
              <w:widowControl/>
              <w:jc w:val="center"/>
              <w:rPr>
                <w:color w:val="000000"/>
                <w:kern w:val="0"/>
                <w:szCs w:val="21"/>
              </w:rPr>
            </w:pPr>
            <w:r>
              <w:rPr>
                <w:color w:val="000000"/>
                <w:kern w:val="0"/>
                <w:szCs w:val="21"/>
              </w:rPr>
              <w:t>环境条件</w:t>
            </w:r>
          </w:p>
        </w:tc>
        <w:tc>
          <w:tcPr>
            <w:tcW w:w="882" w:type="dxa"/>
            <w:vAlign w:val="center"/>
          </w:tcPr>
          <w:p>
            <w:pPr>
              <w:widowControl/>
              <w:jc w:val="center"/>
              <w:rPr>
                <w:color w:val="000000"/>
                <w:kern w:val="0"/>
                <w:szCs w:val="21"/>
              </w:rPr>
            </w:pPr>
            <w:r>
              <w:rPr>
                <w:color w:val="000000"/>
                <w:kern w:val="0"/>
                <w:szCs w:val="21"/>
              </w:rPr>
              <w:t>12.32</w:t>
            </w:r>
          </w:p>
        </w:tc>
        <w:tc>
          <w:tcPr>
            <w:tcW w:w="956" w:type="dxa"/>
            <w:vAlign w:val="center"/>
          </w:tcPr>
          <w:p>
            <w:pPr>
              <w:widowControl/>
              <w:jc w:val="center"/>
              <w:rPr>
                <w:color w:val="000000"/>
                <w:kern w:val="0"/>
                <w:szCs w:val="21"/>
              </w:rPr>
            </w:pPr>
            <w:r>
              <w:rPr>
                <w:color w:val="000000"/>
                <w:kern w:val="0"/>
                <w:szCs w:val="21"/>
              </w:rPr>
              <w:t>1.89</w:t>
            </w:r>
          </w:p>
        </w:tc>
        <w:tc>
          <w:tcPr>
            <w:tcW w:w="900" w:type="dxa"/>
            <w:vAlign w:val="center"/>
          </w:tcPr>
          <w:p>
            <w:pPr>
              <w:widowControl/>
              <w:jc w:val="center"/>
              <w:rPr>
                <w:color w:val="000000"/>
                <w:kern w:val="0"/>
                <w:szCs w:val="21"/>
              </w:rPr>
            </w:pPr>
            <w:r>
              <w:rPr>
                <w:color w:val="000000"/>
                <w:kern w:val="0"/>
                <w:szCs w:val="21"/>
              </w:rPr>
              <w:t>4</w:t>
            </w:r>
          </w:p>
        </w:tc>
        <w:tc>
          <w:tcPr>
            <w:tcW w:w="862" w:type="dxa"/>
            <w:vAlign w:val="center"/>
          </w:tcPr>
          <w:p>
            <w:pPr>
              <w:widowControl/>
              <w:jc w:val="center"/>
              <w:rPr>
                <w:color w:val="000000"/>
                <w:kern w:val="0"/>
                <w:szCs w:val="21"/>
              </w:rPr>
            </w:pPr>
            <w:r>
              <w:rPr>
                <w:color w:val="000000"/>
                <w:kern w:val="0"/>
                <w:szCs w:val="21"/>
              </w:rPr>
              <w:t>0.1232</w:t>
            </w:r>
          </w:p>
        </w:tc>
        <w:tc>
          <w:tcPr>
            <w:tcW w:w="1144" w:type="dxa"/>
            <w:vAlign w:val="center"/>
          </w:tcPr>
          <w:p>
            <w:pPr>
              <w:widowControl/>
              <w:jc w:val="center"/>
              <w:rPr>
                <w:color w:val="000000"/>
                <w:kern w:val="0"/>
                <w:szCs w:val="21"/>
              </w:rPr>
            </w:pPr>
            <w:r>
              <w:rPr>
                <w:color w:val="000000"/>
                <w:kern w:val="0"/>
                <w:szCs w:val="21"/>
              </w:rPr>
              <w:t>自然条件优劣度</w:t>
            </w:r>
          </w:p>
        </w:tc>
        <w:tc>
          <w:tcPr>
            <w:tcW w:w="956" w:type="dxa"/>
            <w:vAlign w:val="center"/>
          </w:tcPr>
          <w:p>
            <w:pPr>
              <w:widowControl/>
              <w:jc w:val="center"/>
              <w:rPr>
                <w:color w:val="000000"/>
                <w:kern w:val="0"/>
                <w:szCs w:val="21"/>
              </w:rPr>
            </w:pPr>
            <w:r>
              <w:rPr>
                <w:color w:val="000000"/>
                <w:kern w:val="0"/>
                <w:szCs w:val="21"/>
              </w:rPr>
              <w:t>/</w:t>
            </w:r>
          </w:p>
        </w:tc>
        <w:tc>
          <w:tcPr>
            <w:tcW w:w="938" w:type="dxa"/>
            <w:vAlign w:val="center"/>
          </w:tcPr>
          <w:p>
            <w:pPr>
              <w:widowControl/>
              <w:jc w:val="center"/>
              <w:rPr>
                <w:color w:val="000000"/>
                <w:kern w:val="0"/>
                <w:szCs w:val="21"/>
              </w:rPr>
            </w:pPr>
            <w:r>
              <w:rPr>
                <w:color w:val="000000"/>
                <w:kern w:val="0"/>
                <w:szCs w:val="21"/>
              </w:rPr>
              <w:t>/</w:t>
            </w:r>
          </w:p>
        </w:tc>
        <w:tc>
          <w:tcPr>
            <w:tcW w:w="881" w:type="dxa"/>
            <w:vAlign w:val="center"/>
          </w:tcPr>
          <w:p>
            <w:pPr>
              <w:widowControl/>
              <w:jc w:val="center"/>
              <w:rPr>
                <w:color w:val="000000"/>
                <w:kern w:val="0"/>
                <w:szCs w:val="21"/>
              </w:rPr>
            </w:pPr>
            <w:r>
              <w:rPr>
                <w:color w:val="000000"/>
                <w:kern w:val="0"/>
                <w:szCs w:val="21"/>
              </w:rPr>
              <w:t>/</w:t>
            </w:r>
          </w:p>
        </w:tc>
        <w:tc>
          <w:tcPr>
            <w:tcW w:w="956" w:type="dxa"/>
            <w:vAlign w:val="center"/>
          </w:tcPr>
          <w:p>
            <w:pPr>
              <w:widowControl/>
              <w:jc w:val="center"/>
              <w:rPr>
                <w:color w:val="000000"/>
                <w:kern w:val="0"/>
                <w:szCs w:val="21"/>
              </w:rPr>
            </w:pPr>
            <w:r>
              <w:rPr>
                <w:color w:val="000000"/>
                <w:kern w:val="0"/>
                <w:szCs w:val="21"/>
              </w:rPr>
              <w:t>0.1232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181" w:type="dxa"/>
            <w:vAlign w:val="center"/>
          </w:tcPr>
          <w:p>
            <w:pPr>
              <w:widowControl/>
              <w:jc w:val="center"/>
              <w:rPr>
                <w:color w:val="000000"/>
                <w:kern w:val="0"/>
                <w:szCs w:val="21"/>
              </w:rPr>
            </w:pPr>
            <w:r>
              <w:rPr>
                <w:color w:val="000000"/>
                <w:kern w:val="0"/>
                <w:szCs w:val="21"/>
              </w:rPr>
              <w:t>产业集聚效益</w:t>
            </w:r>
          </w:p>
        </w:tc>
        <w:tc>
          <w:tcPr>
            <w:tcW w:w="882" w:type="dxa"/>
            <w:vAlign w:val="center"/>
          </w:tcPr>
          <w:p>
            <w:pPr>
              <w:widowControl/>
              <w:jc w:val="center"/>
              <w:rPr>
                <w:color w:val="000000"/>
                <w:kern w:val="0"/>
                <w:szCs w:val="21"/>
              </w:rPr>
            </w:pPr>
            <w:r>
              <w:rPr>
                <w:color w:val="000000"/>
                <w:kern w:val="0"/>
                <w:szCs w:val="21"/>
              </w:rPr>
              <w:t>14.79</w:t>
            </w:r>
          </w:p>
        </w:tc>
        <w:tc>
          <w:tcPr>
            <w:tcW w:w="956" w:type="dxa"/>
            <w:vAlign w:val="center"/>
          </w:tcPr>
          <w:p>
            <w:pPr>
              <w:widowControl/>
              <w:jc w:val="center"/>
              <w:rPr>
                <w:color w:val="000000"/>
                <w:kern w:val="0"/>
                <w:szCs w:val="21"/>
              </w:rPr>
            </w:pPr>
            <w:r>
              <w:rPr>
                <w:color w:val="000000"/>
                <w:kern w:val="0"/>
                <w:szCs w:val="21"/>
              </w:rPr>
              <w:t>1.62</w:t>
            </w:r>
          </w:p>
        </w:tc>
        <w:tc>
          <w:tcPr>
            <w:tcW w:w="900" w:type="dxa"/>
            <w:vAlign w:val="center"/>
          </w:tcPr>
          <w:p>
            <w:pPr>
              <w:widowControl/>
              <w:jc w:val="center"/>
              <w:rPr>
                <w:color w:val="000000"/>
                <w:kern w:val="0"/>
                <w:szCs w:val="21"/>
              </w:rPr>
            </w:pPr>
            <w:r>
              <w:rPr>
                <w:color w:val="000000"/>
                <w:kern w:val="0"/>
                <w:szCs w:val="21"/>
              </w:rPr>
              <w:t>3</w:t>
            </w:r>
          </w:p>
        </w:tc>
        <w:tc>
          <w:tcPr>
            <w:tcW w:w="862" w:type="dxa"/>
            <w:vAlign w:val="center"/>
          </w:tcPr>
          <w:p>
            <w:pPr>
              <w:widowControl/>
              <w:jc w:val="center"/>
              <w:rPr>
                <w:color w:val="000000"/>
                <w:kern w:val="0"/>
                <w:szCs w:val="21"/>
              </w:rPr>
            </w:pPr>
            <w:r>
              <w:rPr>
                <w:color w:val="000000"/>
                <w:kern w:val="0"/>
                <w:szCs w:val="21"/>
              </w:rPr>
              <w:t>0.1479</w:t>
            </w:r>
          </w:p>
        </w:tc>
        <w:tc>
          <w:tcPr>
            <w:tcW w:w="1144" w:type="dxa"/>
            <w:vAlign w:val="center"/>
          </w:tcPr>
          <w:p>
            <w:pPr>
              <w:widowControl/>
              <w:jc w:val="center"/>
              <w:rPr>
                <w:color w:val="000000"/>
                <w:kern w:val="0"/>
                <w:szCs w:val="21"/>
              </w:rPr>
            </w:pPr>
            <w:r>
              <w:rPr>
                <w:color w:val="000000"/>
                <w:kern w:val="0"/>
                <w:szCs w:val="21"/>
              </w:rPr>
              <w:t>产业集聚影响度</w:t>
            </w:r>
          </w:p>
        </w:tc>
        <w:tc>
          <w:tcPr>
            <w:tcW w:w="956" w:type="dxa"/>
            <w:vAlign w:val="center"/>
          </w:tcPr>
          <w:p>
            <w:pPr>
              <w:widowControl/>
              <w:jc w:val="center"/>
              <w:rPr>
                <w:color w:val="000000"/>
                <w:kern w:val="0"/>
                <w:szCs w:val="21"/>
              </w:rPr>
            </w:pPr>
            <w:r>
              <w:rPr>
                <w:color w:val="000000"/>
                <w:kern w:val="0"/>
                <w:szCs w:val="21"/>
              </w:rPr>
              <w:t>/</w:t>
            </w:r>
          </w:p>
        </w:tc>
        <w:tc>
          <w:tcPr>
            <w:tcW w:w="938" w:type="dxa"/>
            <w:vAlign w:val="center"/>
          </w:tcPr>
          <w:p>
            <w:pPr>
              <w:widowControl/>
              <w:jc w:val="center"/>
              <w:rPr>
                <w:color w:val="000000"/>
                <w:kern w:val="0"/>
                <w:szCs w:val="21"/>
              </w:rPr>
            </w:pPr>
            <w:r>
              <w:rPr>
                <w:color w:val="000000"/>
                <w:kern w:val="0"/>
                <w:szCs w:val="21"/>
              </w:rPr>
              <w:t>/</w:t>
            </w:r>
          </w:p>
        </w:tc>
        <w:tc>
          <w:tcPr>
            <w:tcW w:w="881" w:type="dxa"/>
            <w:vAlign w:val="center"/>
          </w:tcPr>
          <w:p>
            <w:pPr>
              <w:widowControl/>
              <w:jc w:val="center"/>
              <w:rPr>
                <w:color w:val="000000"/>
                <w:kern w:val="0"/>
                <w:szCs w:val="21"/>
              </w:rPr>
            </w:pPr>
            <w:r>
              <w:rPr>
                <w:color w:val="000000"/>
                <w:kern w:val="0"/>
                <w:szCs w:val="21"/>
              </w:rPr>
              <w:t>/</w:t>
            </w:r>
          </w:p>
        </w:tc>
        <w:tc>
          <w:tcPr>
            <w:tcW w:w="956" w:type="dxa"/>
            <w:vAlign w:val="center"/>
          </w:tcPr>
          <w:p>
            <w:pPr>
              <w:widowControl/>
              <w:jc w:val="center"/>
              <w:rPr>
                <w:color w:val="000000"/>
                <w:kern w:val="0"/>
                <w:szCs w:val="21"/>
              </w:rPr>
            </w:pPr>
            <w:r>
              <w:rPr>
                <w:color w:val="000000"/>
                <w:kern w:val="0"/>
                <w:szCs w:val="21"/>
              </w:rPr>
              <w:t>0.1479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81" w:type="dxa"/>
            <w:vAlign w:val="center"/>
          </w:tcPr>
          <w:p>
            <w:pPr>
              <w:widowControl/>
              <w:jc w:val="center"/>
              <w:rPr>
                <w:color w:val="000000"/>
                <w:kern w:val="0"/>
                <w:szCs w:val="21"/>
              </w:rPr>
            </w:pPr>
            <w:r>
              <w:rPr>
                <w:color w:val="000000"/>
                <w:kern w:val="0"/>
                <w:szCs w:val="21"/>
              </w:rPr>
              <w:t>城市规划</w:t>
            </w:r>
          </w:p>
        </w:tc>
        <w:tc>
          <w:tcPr>
            <w:tcW w:w="882" w:type="dxa"/>
            <w:vAlign w:val="center"/>
          </w:tcPr>
          <w:p>
            <w:pPr>
              <w:widowControl/>
              <w:jc w:val="center"/>
              <w:rPr>
                <w:color w:val="000000"/>
                <w:kern w:val="0"/>
                <w:szCs w:val="21"/>
              </w:rPr>
            </w:pPr>
            <w:r>
              <w:rPr>
                <w:color w:val="000000"/>
                <w:kern w:val="0"/>
                <w:szCs w:val="21"/>
              </w:rPr>
              <w:t>12.18</w:t>
            </w:r>
          </w:p>
        </w:tc>
        <w:tc>
          <w:tcPr>
            <w:tcW w:w="956" w:type="dxa"/>
            <w:vAlign w:val="center"/>
          </w:tcPr>
          <w:p>
            <w:pPr>
              <w:widowControl/>
              <w:jc w:val="center"/>
              <w:rPr>
                <w:color w:val="000000"/>
                <w:kern w:val="0"/>
                <w:szCs w:val="21"/>
              </w:rPr>
            </w:pPr>
            <w:r>
              <w:rPr>
                <w:color w:val="000000"/>
                <w:kern w:val="0"/>
                <w:szCs w:val="21"/>
              </w:rPr>
              <w:t>1.08</w:t>
            </w:r>
          </w:p>
        </w:tc>
        <w:tc>
          <w:tcPr>
            <w:tcW w:w="900" w:type="dxa"/>
            <w:vAlign w:val="center"/>
          </w:tcPr>
          <w:p>
            <w:pPr>
              <w:widowControl/>
              <w:jc w:val="center"/>
              <w:rPr>
                <w:color w:val="000000"/>
                <w:kern w:val="0"/>
                <w:szCs w:val="21"/>
              </w:rPr>
            </w:pPr>
            <w:r>
              <w:rPr>
                <w:color w:val="000000"/>
                <w:kern w:val="0"/>
                <w:szCs w:val="21"/>
              </w:rPr>
              <w:t>5</w:t>
            </w:r>
          </w:p>
        </w:tc>
        <w:tc>
          <w:tcPr>
            <w:tcW w:w="862" w:type="dxa"/>
            <w:vAlign w:val="center"/>
          </w:tcPr>
          <w:p>
            <w:pPr>
              <w:widowControl/>
              <w:jc w:val="center"/>
              <w:rPr>
                <w:color w:val="000000"/>
                <w:kern w:val="0"/>
                <w:szCs w:val="21"/>
              </w:rPr>
            </w:pPr>
            <w:r>
              <w:rPr>
                <w:color w:val="000000"/>
                <w:kern w:val="0"/>
                <w:szCs w:val="21"/>
              </w:rPr>
              <w:t>0.1218</w:t>
            </w:r>
          </w:p>
        </w:tc>
        <w:tc>
          <w:tcPr>
            <w:tcW w:w="1144" w:type="dxa"/>
            <w:vAlign w:val="center"/>
          </w:tcPr>
          <w:p>
            <w:pPr>
              <w:widowControl/>
              <w:jc w:val="center"/>
              <w:rPr>
                <w:color w:val="000000"/>
                <w:kern w:val="0"/>
                <w:szCs w:val="21"/>
              </w:rPr>
            </w:pPr>
            <w:r>
              <w:rPr>
                <w:color w:val="000000"/>
                <w:kern w:val="0"/>
                <w:szCs w:val="21"/>
              </w:rPr>
              <w:t>城市规划</w:t>
            </w:r>
          </w:p>
        </w:tc>
        <w:tc>
          <w:tcPr>
            <w:tcW w:w="956" w:type="dxa"/>
            <w:vAlign w:val="center"/>
          </w:tcPr>
          <w:p>
            <w:pPr>
              <w:widowControl/>
              <w:jc w:val="center"/>
              <w:rPr>
                <w:color w:val="000000"/>
                <w:kern w:val="0"/>
                <w:szCs w:val="21"/>
              </w:rPr>
            </w:pPr>
            <w:r>
              <w:rPr>
                <w:color w:val="000000"/>
                <w:kern w:val="0"/>
                <w:szCs w:val="21"/>
              </w:rPr>
              <w:t>/</w:t>
            </w:r>
          </w:p>
        </w:tc>
        <w:tc>
          <w:tcPr>
            <w:tcW w:w="938" w:type="dxa"/>
            <w:vAlign w:val="center"/>
          </w:tcPr>
          <w:p>
            <w:pPr>
              <w:widowControl/>
              <w:jc w:val="center"/>
              <w:rPr>
                <w:color w:val="000000"/>
                <w:kern w:val="0"/>
                <w:szCs w:val="21"/>
              </w:rPr>
            </w:pPr>
            <w:r>
              <w:rPr>
                <w:color w:val="000000"/>
                <w:kern w:val="0"/>
                <w:szCs w:val="21"/>
              </w:rPr>
              <w:t>/</w:t>
            </w:r>
          </w:p>
        </w:tc>
        <w:tc>
          <w:tcPr>
            <w:tcW w:w="881" w:type="dxa"/>
            <w:vAlign w:val="center"/>
          </w:tcPr>
          <w:p>
            <w:pPr>
              <w:widowControl/>
              <w:jc w:val="center"/>
              <w:rPr>
                <w:color w:val="000000"/>
                <w:kern w:val="0"/>
                <w:szCs w:val="21"/>
              </w:rPr>
            </w:pPr>
            <w:r>
              <w:rPr>
                <w:color w:val="000000"/>
                <w:kern w:val="0"/>
                <w:szCs w:val="21"/>
              </w:rPr>
              <w:t>/</w:t>
            </w:r>
          </w:p>
        </w:tc>
        <w:tc>
          <w:tcPr>
            <w:tcW w:w="956" w:type="dxa"/>
            <w:vAlign w:val="center"/>
          </w:tcPr>
          <w:p>
            <w:pPr>
              <w:widowControl/>
              <w:jc w:val="center"/>
              <w:rPr>
                <w:color w:val="000000"/>
                <w:kern w:val="0"/>
                <w:szCs w:val="21"/>
              </w:rPr>
            </w:pPr>
            <w:r>
              <w:rPr>
                <w:color w:val="000000"/>
                <w:kern w:val="0"/>
                <w:szCs w:val="21"/>
              </w:rPr>
              <w:t>0.1218</w:t>
            </w:r>
          </w:p>
        </w:tc>
      </w:tr>
    </w:tbl>
    <w:p>
      <w:pPr>
        <w:tabs>
          <w:tab w:val="left" w:pos="720"/>
        </w:tabs>
        <w:spacing w:line="480" w:lineRule="exact"/>
        <w:jc w:val="center"/>
        <w:rPr>
          <w:b/>
          <w:sz w:val="24"/>
          <w:szCs w:val="22"/>
        </w:rPr>
      </w:pPr>
      <w:r>
        <w:rPr>
          <w:b/>
          <w:sz w:val="24"/>
          <w:szCs w:val="22"/>
        </w:rPr>
        <w:t>表</w:t>
      </w:r>
      <w:r>
        <w:rPr>
          <w:rFonts w:hint="eastAsia"/>
          <w:b/>
          <w:sz w:val="24"/>
          <w:szCs w:val="22"/>
        </w:rPr>
        <w:t>2</w:t>
      </w:r>
      <w:r>
        <w:rPr>
          <w:b/>
          <w:sz w:val="24"/>
          <w:szCs w:val="22"/>
        </w:rPr>
        <w:t>-</w:t>
      </w:r>
      <w:r>
        <w:rPr>
          <w:rFonts w:hint="eastAsia"/>
          <w:b/>
          <w:sz w:val="24"/>
          <w:szCs w:val="22"/>
        </w:rPr>
        <w:t>2</w:t>
      </w:r>
      <w:r>
        <w:rPr>
          <w:b/>
          <w:sz w:val="24"/>
          <w:szCs w:val="22"/>
        </w:rPr>
        <w:t>-</w:t>
      </w:r>
      <w:r>
        <w:rPr>
          <w:rFonts w:hint="eastAsia"/>
          <w:b/>
          <w:sz w:val="24"/>
          <w:szCs w:val="22"/>
        </w:rPr>
        <w:t>6</w:t>
      </w:r>
      <w:r>
        <w:rPr>
          <w:b/>
          <w:sz w:val="24"/>
          <w:szCs w:val="22"/>
        </w:rPr>
        <w:t xml:space="preserve"> </w:t>
      </w:r>
      <w:r>
        <w:rPr>
          <w:rFonts w:hint="eastAsia"/>
          <w:b/>
          <w:sz w:val="24"/>
          <w:szCs w:val="22"/>
        </w:rPr>
        <w:t>长沙县</w:t>
      </w:r>
      <w:r>
        <w:rPr>
          <w:b/>
          <w:sz w:val="24"/>
          <w:szCs w:val="22"/>
        </w:rPr>
        <w:t>城区工矿仓储用地定级因素权重值确定表(第二轮)</w:t>
      </w:r>
    </w:p>
    <w:tbl>
      <w:tblPr>
        <w:tblW w:w="9638" w:type="dxa"/>
        <w:tblInd w:w="-6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882"/>
        <w:gridCol w:w="956"/>
        <w:gridCol w:w="900"/>
        <w:gridCol w:w="862"/>
        <w:gridCol w:w="1144"/>
        <w:gridCol w:w="956"/>
        <w:gridCol w:w="938"/>
        <w:gridCol w:w="881"/>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181" w:type="dxa"/>
            <w:vAlign w:val="center"/>
          </w:tcPr>
          <w:p>
            <w:pPr>
              <w:widowControl/>
              <w:jc w:val="center"/>
              <w:rPr>
                <w:color w:val="000000"/>
                <w:kern w:val="0"/>
                <w:szCs w:val="21"/>
              </w:rPr>
            </w:pPr>
            <w:r>
              <w:rPr>
                <w:color w:val="000000"/>
                <w:kern w:val="0"/>
                <w:szCs w:val="21"/>
              </w:rPr>
              <w:t>因素层</w:t>
            </w:r>
          </w:p>
        </w:tc>
        <w:tc>
          <w:tcPr>
            <w:tcW w:w="882" w:type="dxa"/>
            <w:vAlign w:val="center"/>
          </w:tcPr>
          <w:p>
            <w:pPr>
              <w:widowControl/>
              <w:jc w:val="center"/>
              <w:rPr>
                <w:color w:val="000000"/>
                <w:kern w:val="0"/>
                <w:szCs w:val="21"/>
              </w:rPr>
            </w:pPr>
            <w:r>
              <w:rPr>
                <w:color w:val="000000"/>
                <w:kern w:val="0"/>
                <w:szCs w:val="21"/>
              </w:rPr>
              <w:t>第二轮平均分</w:t>
            </w:r>
          </w:p>
        </w:tc>
        <w:tc>
          <w:tcPr>
            <w:tcW w:w="956" w:type="dxa"/>
            <w:vAlign w:val="center"/>
          </w:tcPr>
          <w:p>
            <w:pPr>
              <w:widowControl/>
              <w:jc w:val="center"/>
              <w:rPr>
                <w:color w:val="000000"/>
                <w:kern w:val="0"/>
                <w:szCs w:val="21"/>
              </w:rPr>
            </w:pPr>
            <w:r>
              <w:rPr>
                <w:color w:val="000000"/>
                <w:kern w:val="0"/>
                <w:szCs w:val="21"/>
              </w:rPr>
              <w:t>第二轮方差</w:t>
            </w:r>
          </w:p>
        </w:tc>
        <w:tc>
          <w:tcPr>
            <w:tcW w:w="900" w:type="dxa"/>
            <w:vAlign w:val="center"/>
          </w:tcPr>
          <w:p>
            <w:pPr>
              <w:widowControl/>
              <w:jc w:val="center"/>
              <w:rPr>
                <w:color w:val="000000"/>
                <w:kern w:val="0"/>
                <w:szCs w:val="21"/>
              </w:rPr>
            </w:pPr>
            <w:r>
              <w:rPr>
                <w:color w:val="000000"/>
                <w:kern w:val="0"/>
                <w:szCs w:val="21"/>
              </w:rPr>
              <w:t>重要性排序</w:t>
            </w:r>
          </w:p>
        </w:tc>
        <w:tc>
          <w:tcPr>
            <w:tcW w:w="862" w:type="dxa"/>
            <w:vAlign w:val="center"/>
          </w:tcPr>
          <w:p>
            <w:pPr>
              <w:widowControl/>
              <w:jc w:val="center"/>
              <w:rPr>
                <w:color w:val="000000"/>
                <w:kern w:val="0"/>
                <w:szCs w:val="21"/>
              </w:rPr>
            </w:pPr>
            <w:r>
              <w:rPr>
                <w:color w:val="000000"/>
                <w:kern w:val="0"/>
                <w:szCs w:val="21"/>
              </w:rPr>
              <w:t>权重值</w:t>
            </w:r>
          </w:p>
        </w:tc>
        <w:tc>
          <w:tcPr>
            <w:tcW w:w="1144" w:type="dxa"/>
            <w:vAlign w:val="center"/>
          </w:tcPr>
          <w:p>
            <w:pPr>
              <w:widowControl/>
              <w:jc w:val="center"/>
              <w:rPr>
                <w:color w:val="000000"/>
                <w:kern w:val="0"/>
                <w:szCs w:val="21"/>
              </w:rPr>
            </w:pPr>
            <w:r>
              <w:rPr>
                <w:color w:val="000000"/>
                <w:kern w:val="0"/>
                <w:szCs w:val="21"/>
              </w:rPr>
              <w:t>因子层</w:t>
            </w:r>
          </w:p>
        </w:tc>
        <w:tc>
          <w:tcPr>
            <w:tcW w:w="956" w:type="dxa"/>
            <w:vAlign w:val="center"/>
          </w:tcPr>
          <w:p>
            <w:pPr>
              <w:widowControl/>
              <w:jc w:val="center"/>
              <w:rPr>
                <w:color w:val="000000"/>
                <w:kern w:val="0"/>
                <w:szCs w:val="21"/>
              </w:rPr>
            </w:pPr>
            <w:r>
              <w:rPr>
                <w:color w:val="000000"/>
                <w:kern w:val="0"/>
                <w:szCs w:val="21"/>
              </w:rPr>
              <w:t>第二轮平均分</w:t>
            </w:r>
          </w:p>
        </w:tc>
        <w:tc>
          <w:tcPr>
            <w:tcW w:w="938" w:type="dxa"/>
            <w:vAlign w:val="center"/>
          </w:tcPr>
          <w:p>
            <w:pPr>
              <w:widowControl/>
              <w:jc w:val="center"/>
              <w:rPr>
                <w:color w:val="000000"/>
                <w:kern w:val="0"/>
                <w:szCs w:val="21"/>
              </w:rPr>
            </w:pPr>
            <w:r>
              <w:rPr>
                <w:color w:val="000000"/>
                <w:kern w:val="0"/>
                <w:szCs w:val="21"/>
              </w:rPr>
              <w:t>第二轮方差</w:t>
            </w:r>
          </w:p>
        </w:tc>
        <w:tc>
          <w:tcPr>
            <w:tcW w:w="881" w:type="dxa"/>
            <w:vAlign w:val="center"/>
          </w:tcPr>
          <w:p>
            <w:pPr>
              <w:widowControl/>
              <w:jc w:val="center"/>
              <w:rPr>
                <w:color w:val="000000"/>
                <w:kern w:val="0"/>
                <w:szCs w:val="21"/>
              </w:rPr>
            </w:pPr>
            <w:r>
              <w:rPr>
                <w:color w:val="000000"/>
                <w:kern w:val="0"/>
                <w:szCs w:val="21"/>
              </w:rPr>
              <w:t>重要性排序</w:t>
            </w:r>
          </w:p>
        </w:tc>
        <w:tc>
          <w:tcPr>
            <w:tcW w:w="938" w:type="dxa"/>
            <w:vAlign w:val="center"/>
          </w:tcPr>
          <w:p>
            <w:pPr>
              <w:widowControl/>
              <w:jc w:val="center"/>
              <w:rPr>
                <w:color w:val="000000"/>
                <w:kern w:val="0"/>
                <w:szCs w:val="21"/>
              </w:rPr>
            </w:pPr>
            <w:r>
              <w:rPr>
                <w:color w:val="000000"/>
                <w:kern w:val="0"/>
                <w:szCs w:val="21"/>
              </w:rPr>
              <w:t>权重值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81" w:type="dxa"/>
            <w:vMerge w:val="restart"/>
            <w:vAlign w:val="center"/>
          </w:tcPr>
          <w:p>
            <w:pPr>
              <w:widowControl/>
              <w:jc w:val="center"/>
              <w:rPr>
                <w:color w:val="000000"/>
                <w:kern w:val="0"/>
                <w:szCs w:val="21"/>
              </w:rPr>
            </w:pPr>
            <w:r>
              <w:rPr>
                <w:color w:val="000000"/>
                <w:kern w:val="0"/>
                <w:szCs w:val="21"/>
              </w:rPr>
              <w:t>交通条件</w:t>
            </w:r>
          </w:p>
        </w:tc>
        <w:tc>
          <w:tcPr>
            <w:tcW w:w="882" w:type="dxa"/>
            <w:vMerge w:val="restart"/>
            <w:vAlign w:val="center"/>
          </w:tcPr>
          <w:p>
            <w:pPr>
              <w:widowControl/>
              <w:jc w:val="center"/>
              <w:rPr>
                <w:color w:val="000000"/>
                <w:kern w:val="0"/>
                <w:szCs w:val="21"/>
              </w:rPr>
            </w:pPr>
            <w:r>
              <w:rPr>
                <w:color w:val="000000"/>
                <w:kern w:val="0"/>
                <w:szCs w:val="21"/>
              </w:rPr>
              <w:t>34.17</w:t>
            </w:r>
          </w:p>
        </w:tc>
        <w:tc>
          <w:tcPr>
            <w:tcW w:w="956" w:type="dxa"/>
            <w:vMerge w:val="restart"/>
            <w:vAlign w:val="center"/>
          </w:tcPr>
          <w:p>
            <w:pPr>
              <w:widowControl/>
              <w:jc w:val="center"/>
              <w:rPr>
                <w:color w:val="000000"/>
                <w:kern w:val="0"/>
                <w:szCs w:val="21"/>
              </w:rPr>
            </w:pPr>
            <w:r>
              <w:rPr>
                <w:color w:val="000000"/>
                <w:kern w:val="0"/>
                <w:szCs w:val="21"/>
              </w:rPr>
              <w:t>0.85</w:t>
            </w:r>
          </w:p>
        </w:tc>
        <w:tc>
          <w:tcPr>
            <w:tcW w:w="900" w:type="dxa"/>
            <w:vMerge w:val="restart"/>
            <w:vAlign w:val="center"/>
          </w:tcPr>
          <w:p>
            <w:pPr>
              <w:widowControl/>
              <w:jc w:val="center"/>
              <w:rPr>
                <w:color w:val="000000"/>
                <w:kern w:val="0"/>
                <w:szCs w:val="21"/>
              </w:rPr>
            </w:pPr>
            <w:r>
              <w:rPr>
                <w:color w:val="000000"/>
                <w:kern w:val="0"/>
                <w:szCs w:val="21"/>
              </w:rPr>
              <w:t>1</w:t>
            </w:r>
          </w:p>
        </w:tc>
        <w:tc>
          <w:tcPr>
            <w:tcW w:w="862" w:type="dxa"/>
            <w:vMerge w:val="restart"/>
            <w:vAlign w:val="center"/>
          </w:tcPr>
          <w:p>
            <w:pPr>
              <w:widowControl/>
              <w:jc w:val="center"/>
              <w:rPr>
                <w:color w:val="000000"/>
                <w:kern w:val="0"/>
                <w:szCs w:val="21"/>
              </w:rPr>
            </w:pPr>
            <w:r>
              <w:rPr>
                <w:color w:val="000000"/>
                <w:kern w:val="0"/>
                <w:szCs w:val="21"/>
              </w:rPr>
              <w:t>0.3417</w:t>
            </w:r>
          </w:p>
        </w:tc>
        <w:tc>
          <w:tcPr>
            <w:tcW w:w="1144" w:type="dxa"/>
            <w:vAlign w:val="center"/>
          </w:tcPr>
          <w:p>
            <w:pPr>
              <w:widowControl/>
              <w:jc w:val="center"/>
              <w:rPr>
                <w:color w:val="000000"/>
                <w:kern w:val="0"/>
                <w:szCs w:val="21"/>
              </w:rPr>
            </w:pPr>
            <w:r>
              <w:rPr>
                <w:color w:val="000000"/>
                <w:kern w:val="0"/>
                <w:szCs w:val="21"/>
              </w:rPr>
              <w:t>道路通达度</w:t>
            </w:r>
          </w:p>
        </w:tc>
        <w:tc>
          <w:tcPr>
            <w:tcW w:w="956" w:type="dxa"/>
            <w:vAlign w:val="center"/>
          </w:tcPr>
          <w:p>
            <w:pPr>
              <w:widowControl/>
              <w:jc w:val="center"/>
              <w:rPr>
                <w:color w:val="000000"/>
                <w:kern w:val="0"/>
                <w:szCs w:val="21"/>
              </w:rPr>
            </w:pPr>
            <w:r>
              <w:rPr>
                <w:color w:val="000000"/>
                <w:kern w:val="0"/>
                <w:szCs w:val="21"/>
              </w:rPr>
              <w:t>40.53</w:t>
            </w:r>
          </w:p>
        </w:tc>
        <w:tc>
          <w:tcPr>
            <w:tcW w:w="938" w:type="dxa"/>
            <w:vAlign w:val="center"/>
          </w:tcPr>
          <w:p>
            <w:pPr>
              <w:widowControl/>
              <w:jc w:val="center"/>
              <w:rPr>
                <w:color w:val="000000"/>
                <w:kern w:val="0"/>
                <w:szCs w:val="21"/>
              </w:rPr>
            </w:pPr>
            <w:r>
              <w:rPr>
                <w:color w:val="000000"/>
                <w:kern w:val="0"/>
                <w:szCs w:val="21"/>
              </w:rPr>
              <w:t>0.54</w:t>
            </w:r>
          </w:p>
        </w:tc>
        <w:tc>
          <w:tcPr>
            <w:tcW w:w="881" w:type="dxa"/>
            <w:vAlign w:val="center"/>
          </w:tcPr>
          <w:p>
            <w:pPr>
              <w:widowControl/>
              <w:jc w:val="center"/>
              <w:rPr>
                <w:color w:val="000000"/>
                <w:kern w:val="0"/>
                <w:szCs w:val="21"/>
              </w:rPr>
            </w:pPr>
            <w:r>
              <w:rPr>
                <w:color w:val="000000"/>
                <w:kern w:val="0"/>
                <w:szCs w:val="21"/>
              </w:rPr>
              <w:t>2</w:t>
            </w:r>
          </w:p>
        </w:tc>
        <w:tc>
          <w:tcPr>
            <w:tcW w:w="938" w:type="dxa"/>
            <w:vAlign w:val="center"/>
          </w:tcPr>
          <w:p>
            <w:pPr>
              <w:widowControl/>
              <w:jc w:val="center"/>
              <w:rPr>
                <w:color w:val="000000"/>
                <w:kern w:val="0"/>
                <w:szCs w:val="21"/>
              </w:rPr>
            </w:pPr>
            <w:r>
              <w:rPr>
                <w:color w:val="000000"/>
                <w:kern w:val="0"/>
                <w:szCs w:val="21"/>
              </w:rPr>
              <w:t>0.1385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81" w:type="dxa"/>
            <w:vMerge w:val="continue"/>
            <w:vAlign w:val="center"/>
          </w:tcPr>
          <w:p>
            <w:pPr>
              <w:widowControl/>
              <w:jc w:val="center"/>
              <w:rPr>
                <w:color w:val="000000"/>
                <w:kern w:val="0"/>
                <w:szCs w:val="21"/>
              </w:rPr>
            </w:pPr>
          </w:p>
        </w:tc>
        <w:tc>
          <w:tcPr>
            <w:tcW w:w="882" w:type="dxa"/>
            <w:vMerge w:val="continue"/>
            <w:vAlign w:val="center"/>
          </w:tcPr>
          <w:p>
            <w:pPr>
              <w:widowControl/>
              <w:jc w:val="center"/>
              <w:rPr>
                <w:color w:val="000000"/>
                <w:kern w:val="0"/>
                <w:szCs w:val="21"/>
              </w:rPr>
            </w:pPr>
          </w:p>
        </w:tc>
        <w:tc>
          <w:tcPr>
            <w:tcW w:w="956" w:type="dxa"/>
            <w:vMerge w:val="continue"/>
            <w:vAlign w:val="center"/>
          </w:tcPr>
          <w:p>
            <w:pPr>
              <w:widowControl/>
              <w:jc w:val="center"/>
              <w:rPr>
                <w:color w:val="000000"/>
                <w:kern w:val="0"/>
                <w:szCs w:val="21"/>
              </w:rPr>
            </w:pPr>
          </w:p>
        </w:tc>
        <w:tc>
          <w:tcPr>
            <w:tcW w:w="900" w:type="dxa"/>
            <w:vMerge w:val="continue"/>
            <w:vAlign w:val="center"/>
          </w:tcPr>
          <w:p>
            <w:pPr>
              <w:widowControl/>
              <w:jc w:val="center"/>
              <w:rPr>
                <w:color w:val="000000"/>
                <w:kern w:val="0"/>
                <w:szCs w:val="21"/>
              </w:rPr>
            </w:pPr>
          </w:p>
        </w:tc>
        <w:tc>
          <w:tcPr>
            <w:tcW w:w="862" w:type="dxa"/>
            <w:vMerge w:val="continue"/>
            <w:vAlign w:val="center"/>
          </w:tcPr>
          <w:p>
            <w:pPr>
              <w:widowControl/>
              <w:jc w:val="center"/>
              <w:rPr>
                <w:color w:val="000000"/>
                <w:kern w:val="0"/>
                <w:szCs w:val="21"/>
              </w:rPr>
            </w:pPr>
          </w:p>
        </w:tc>
        <w:tc>
          <w:tcPr>
            <w:tcW w:w="1144" w:type="dxa"/>
            <w:vAlign w:val="center"/>
          </w:tcPr>
          <w:p>
            <w:pPr>
              <w:widowControl/>
              <w:jc w:val="center"/>
              <w:rPr>
                <w:color w:val="000000"/>
                <w:kern w:val="0"/>
                <w:szCs w:val="21"/>
              </w:rPr>
            </w:pPr>
            <w:r>
              <w:rPr>
                <w:color w:val="000000"/>
                <w:kern w:val="0"/>
                <w:szCs w:val="21"/>
              </w:rPr>
              <w:t>对外交通便利度</w:t>
            </w:r>
          </w:p>
        </w:tc>
        <w:tc>
          <w:tcPr>
            <w:tcW w:w="956" w:type="dxa"/>
            <w:vAlign w:val="center"/>
          </w:tcPr>
          <w:p>
            <w:pPr>
              <w:widowControl/>
              <w:jc w:val="center"/>
              <w:rPr>
                <w:color w:val="000000"/>
                <w:kern w:val="0"/>
                <w:szCs w:val="21"/>
              </w:rPr>
            </w:pPr>
            <w:r>
              <w:rPr>
                <w:color w:val="000000"/>
                <w:kern w:val="0"/>
                <w:szCs w:val="21"/>
              </w:rPr>
              <w:t>59.47</w:t>
            </w:r>
          </w:p>
        </w:tc>
        <w:tc>
          <w:tcPr>
            <w:tcW w:w="938" w:type="dxa"/>
            <w:vAlign w:val="center"/>
          </w:tcPr>
          <w:p>
            <w:pPr>
              <w:widowControl/>
              <w:jc w:val="center"/>
              <w:rPr>
                <w:color w:val="000000"/>
                <w:kern w:val="0"/>
                <w:szCs w:val="21"/>
              </w:rPr>
            </w:pPr>
            <w:r>
              <w:rPr>
                <w:color w:val="000000"/>
                <w:kern w:val="0"/>
                <w:szCs w:val="21"/>
              </w:rPr>
              <w:t>0.78</w:t>
            </w:r>
          </w:p>
        </w:tc>
        <w:tc>
          <w:tcPr>
            <w:tcW w:w="881" w:type="dxa"/>
            <w:vAlign w:val="center"/>
          </w:tcPr>
          <w:p>
            <w:pPr>
              <w:widowControl/>
              <w:jc w:val="center"/>
              <w:rPr>
                <w:color w:val="000000"/>
                <w:kern w:val="0"/>
                <w:szCs w:val="21"/>
              </w:rPr>
            </w:pPr>
            <w:r>
              <w:rPr>
                <w:color w:val="000000"/>
                <w:kern w:val="0"/>
                <w:szCs w:val="21"/>
              </w:rPr>
              <w:t>1</w:t>
            </w:r>
          </w:p>
        </w:tc>
        <w:tc>
          <w:tcPr>
            <w:tcW w:w="938" w:type="dxa"/>
            <w:vAlign w:val="center"/>
          </w:tcPr>
          <w:p>
            <w:pPr>
              <w:widowControl/>
              <w:jc w:val="center"/>
              <w:rPr>
                <w:color w:val="000000"/>
                <w:kern w:val="0"/>
                <w:szCs w:val="21"/>
              </w:rPr>
            </w:pPr>
            <w:r>
              <w:rPr>
                <w:color w:val="000000"/>
                <w:kern w:val="0"/>
                <w:szCs w:val="21"/>
              </w:rPr>
              <w:t>0.2032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181" w:type="dxa"/>
            <w:vAlign w:val="center"/>
          </w:tcPr>
          <w:p>
            <w:pPr>
              <w:widowControl/>
              <w:jc w:val="center"/>
              <w:rPr>
                <w:color w:val="000000"/>
                <w:kern w:val="0"/>
                <w:szCs w:val="21"/>
              </w:rPr>
            </w:pPr>
            <w:r>
              <w:rPr>
                <w:color w:val="000000"/>
                <w:kern w:val="0"/>
                <w:szCs w:val="21"/>
              </w:rPr>
              <w:t>基本设施状况</w:t>
            </w:r>
          </w:p>
        </w:tc>
        <w:tc>
          <w:tcPr>
            <w:tcW w:w="882" w:type="dxa"/>
            <w:vAlign w:val="center"/>
          </w:tcPr>
          <w:p>
            <w:pPr>
              <w:widowControl/>
              <w:jc w:val="center"/>
              <w:rPr>
                <w:color w:val="000000"/>
                <w:kern w:val="0"/>
                <w:szCs w:val="21"/>
              </w:rPr>
            </w:pPr>
            <w:r>
              <w:rPr>
                <w:color w:val="000000"/>
                <w:kern w:val="0"/>
                <w:szCs w:val="21"/>
              </w:rPr>
              <w:t>27.63</w:t>
            </w:r>
          </w:p>
        </w:tc>
        <w:tc>
          <w:tcPr>
            <w:tcW w:w="956" w:type="dxa"/>
            <w:vAlign w:val="center"/>
          </w:tcPr>
          <w:p>
            <w:pPr>
              <w:widowControl/>
              <w:jc w:val="center"/>
              <w:rPr>
                <w:color w:val="000000"/>
                <w:kern w:val="0"/>
                <w:szCs w:val="21"/>
              </w:rPr>
            </w:pPr>
            <w:r>
              <w:rPr>
                <w:color w:val="000000"/>
                <w:kern w:val="0"/>
                <w:szCs w:val="21"/>
              </w:rPr>
              <w:t>0.93</w:t>
            </w:r>
          </w:p>
        </w:tc>
        <w:tc>
          <w:tcPr>
            <w:tcW w:w="900" w:type="dxa"/>
            <w:vAlign w:val="center"/>
          </w:tcPr>
          <w:p>
            <w:pPr>
              <w:widowControl/>
              <w:jc w:val="center"/>
              <w:rPr>
                <w:color w:val="000000"/>
                <w:kern w:val="0"/>
                <w:szCs w:val="21"/>
              </w:rPr>
            </w:pPr>
            <w:r>
              <w:rPr>
                <w:color w:val="000000"/>
                <w:kern w:val="0"/>
                <w:szCs w:val="21"/>
              </w:rPr>
              <w:t>2</w:t>
            </w:r>
          </w:p>
        </w:tc>
        <w:tc>
          <w:tcPr>
            <w:tcW w:w="862" w:type="dxa"/>
            <w:vAlign w:val="center"/>
          </w:tcPr>
          <w:p>
            <w:pPr>
              <w:widowControl/>
              <w:jc w:val="center"/>
              <w:rPr>
                <w:color w:val="000000"/>
                <w:kern w:val="0"/>
                <w:szCs w:val="21"/>
              </w:rPr>
            </w:pPr>
            <w:r>
              <w:rPr>
                <w:color w:val="000000"/>
                <w:kern w:val="0"/>
                <w:szCs w:val="21"/>
              </w:rPr>
              <w:t>0.2763</w:t>
            </w:r>
          </w:p>
        </w:tc>
        <w:tc>
          <w:tcPr>
            <w:tcW w:w="1144" w:type="dxa"/>
            <w:vAlign w:val="center"/>
          </w:tcPr>
          <w:p>
            <w:pPr>
              <w:widowControl/>
              <w:jc w:val="center"/>
              <w:rPr>
                <w:color w:val="000000"/>
                <w:kern w:val="0"/>
                <w:szCs w:val="21"/>
              </w:rPr>
            </w:pPr>
            <w:r>
              <w:rPr>
                <w:color w:val="000000"/>
                <w:kern w:val="0"/>
                <w:szCs w:val="21"/>
              </w:rPr>
              <w:t>基础设施完善度</w:t>
            </w:r>
          </w:p>
        </w:tc>
        <w:tc>
          <w:tcPr>
            <w:tcW w:w="956" w:type="dxa"/>
            <w:vAlign w:val="center"/>
          </w:tcPr>
          <w:p>
            <w:pPr>
              <w:widowControl/>
              <w:jc w:val="center"/>
              <w:rPr>
                <w:color w:val="000000"/>
                <w:kern w:val="0"/>
                <w:szCs w:val="21"/>
              </w:rPr>
            </w:pPr>
            <w:r>
              <w:rPr>
                <w:color w:val="000000"/>
                <w:kern w:val="0"/>
                <w:szCs w:val="21"/>
              </w:rPr>
              <w:t>/</w:t>
            </w:r>
          </w:p>
        </w:tc>
        <w:tc>
          <w:tcPr>
            <w:tcW w:w="938" w:type="dxa"/>
            <w:vAlign w:val="center"/>
          </w:tcPr>
          <w:p>
            <w:pPr>
              <w:widowControl/>
              <w:jc w:val="center"/>
              <w:rPr>
                <w:color w:val="000000"/>
                <w:kern w:val="0"/>
                <w:szCs w:val="21"/>
              </w:rPr>
            </w:pPr>
            <w:r>
              <w:rPr>
                <w:color w:val="000000"/>
                <w:kern w:val="0"/>
                <w:szCs w:val="21"/>
              </w:rPr>
              <w:t>/</w:t>
            </w:r>
          </w:p>
        </w:tc>
        <w:tc>
          <w:tcPr>
            <w:tcW w:w="881" w:type="dxa"/>
            <w:vAlign w:val="center"/>
          </w:tcPr>
          <w:p>
            <w:pPr>
              <w:widowControl/>
              <w:jc w:val="center"/>
              <w:rPr>
                <w:color w:val="000000"/>
                <w:kern w:val="0"/>
                <w:szCs w:val="21"/>
              </w:rPr>
            </w:pPr>
            <w:r>
              <w:rPr>
                <w:color w:val="000000"/>
                <w:kern w:val="0"/>
                <w:szCs w:val="21"/>
              </w:rPr>
              <w:t>/</w:t>
            </w:r>
          </w:p>
        </w:tc>
        <w:tc>
          <w:tcPr>
            <w:tcW w:w="938" w:type="dxa"/>
            <w:vAlign w:val="center"/>
          </w:tcPr>
          <w:p>
            <w:pPr>
              <w:widowControl/>
              <w:jc w:val="center"/>
              <w:rPr>
                <w:color w:val="000000"/>
                <w:kern w:val="0"/>
                <w:szCs w:val="21"/>
              </w:rPr>
            </w:pPr>
            <w:r>
              <w:rPr>
                <w:color w:val="000000"/>
                <w:kern w:val="0"/>
                <w:szCs w:val="21"/>
              </w:rPr>
              <w:t>0.2763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81" w:type="dxa"/>
            <w:vAlign w:val="center"/>
          </w:tcPr>
          <w:p>
            <w:pPr>
              <w:widowControl/>
              <w:jc w:val="center"/>
              <w:rPr>
                <w:color w:val="000000"/>
                <w:kern w:val="0"/>
                <w:szCs w:val="21"/>
              </w:rPr>
            </w:pPr>
            <w:r>
              <w:rPr>
                <w:color w:val="000000"/>
                <w:kern w:val="0"/>
                <w:szCs w:val="21"/>
              </w:rPr>
              <w:t>环境条件</w:t>
            </w:r>
          </w:p>
        </w:tc>
        <w:tc>
          <w:tcPr>
            <w:tcW w:w="882" w:type="dxa"/>
            <w:vAlign w:val="center"/>
          </w:tcPr>
          <w:p>
            <w:pPr>
              <w:widowControl/>
              <w:jc w:val="center"/>
              <w:rPr>
                <w:color w:val="000000"/>
                <w:kern w:val="0"/>
                <w:szCs w:val="21"/>
              </w:rPr>
            </w:pPr>
            <w:r>
              <w:rPr>
                <w:color w:val="000000"/>
                <w:kern w:val="0"/>
                <w:szCs w:val="21"/>
              </w:rPr>
              <w:t>13.66</w:t>
            </w:r>
          </w:p>
        </w:tc>
        <w:tc>
          <w:tcPr>
            <w:tcW w:w="956" w:type="dxa"/>
            <w:vAlign w:val="center"/>
          </w:tcPr>
          <w:p>
            <w:pPr>
              <w:widowControl/>
              <w:jc w:val="center"/>
              <w:rPr>
                <w:color w:val="000000"/>
                <w:kern w:val="0"/>
                <w:szCs w:val="21"/>
              </w:rPr>
            </w:pPr>
            <w:r>
              <w:rPr>
                <w:color w:val="000000"/>
                <w:kern w:val="0"/>
                <w:szCs w:val="21"/>
              </w:rPr>
              <w:t>0.89</w:t>
            </w:r>
          </w:p>
        </w:tc>
        <w:tc>
          <w:tcPr>
            <w:tcW w:w="900" w:type="dxa"/>
            <w:vAlign w:val="center"/>
          </w:tcPr>
          <w:p>
            <w:pPr>
              <w:widowControl/>
              <w:jc w:val="center"/>
              <w:rPr>
                <w:color w:val="000000"/>
                <w:kern w:val="0"/>
                <w:szCs w:val="21"/>
              </w:rPr>
            </w:pPr>
            <w:r>
              <w:rPr>
                <w:color w:val="000000"/>
                <w:kern w:val="0"/>
                <w:szCs w:val="21"/>
              </w:rPr>
              <w:t>4</w:t>
            </w:r>
          </w:p>
        </w:tc>
        <w:tc>
          <w:tcPr>
            <w:tcW w:w="862" w:type="dxa"/>
            <w:vAlign w:val="center"/>
          </w:tcPr>
          <w:p>
            <w:pPr>
              <w:widowControl/>
              <w:jc w:val="center"/>
              <w:rPr>
                <w:color w:val="000000"/>
                <w:kern w:val="0"/>
                <w:szCs w:val="21"/>
              </w:rPr>
            </w:pPr>
            <w:r>
              <w:rPr>
                <w:color w:val="000000"/>
                <w:kern w:val="0"/>
                <w:szCs w:val="21"/>
              </w:rPr>
              <w:t>0.1366</w:t>
            </w:r>
          </w:p>
        </w:tc>
        <w:tc>
          <w:tcPr>
            <w:tcW w:w="1144" w:type="dxa"/>
            <w:vAlign w:val="center"/>
          </w:tcPr>
          <w:p>
            <w:pPr>
              <w:widowControl/>
              <w:jc w:val="center"/>
              <w:rPr>
                <w:color w:val="000000"/>
                <w:kern w:val="0"/>
                <w:szCs w:val="21"/>
              </w:rPr>
            </w:pPr>
            <w:r>
              <w:rPr>
                <w:color w:val="000000"/>
                <w:kern w:val="0"/>
                <w:szCs w:val="21"/>
              </w:rPr>
              <w:t>自然条件优劣度</w:t>
            </w:r>
          </w:p>
        </w:tc>
        <w:tc>
          <w:tcPr>
            <w:tcW w:w="956" w:type="dxa"/>
            <w:vAlign w:val="center"/>
          </w:tcPr>
          <w:p>
            <w:pPr>
              <w:widowControl/>
              <w:jc w:val="center"/>
              <w:rPr>
                <w:color w:val="000000"/>
                <w:kern w:val="0"/>
                <w:szCs w:val="21"/>
              </w:rPr>
            </w:pPr>
            <w:r>
              <w:rPr>
                <w:color w:val="000000"/>
                <w:kern w:val="0"/>
                <w:szCs w:val="21"/>
              </w:rPr>
              <w:t>/</w:t>
            </w:r>
          </w:p>
        </w:tc>
        <w:tc>
          <w:tcPr>
            <w:tcW w:w="938" w:type="dxa"/>
            <w:vAlign w:val="center"/>
          </w:tcPr>
          <w:p>
            <w:pPr>
              <w:widowControl/>
              <w:jc w:val="center"/>
              <w:rPr>
                <w:color w:val="000000"/>
                <w:kern w:val="0"/>
                <w:szCs w:val="21"/>
              </w:rPr>
            </w:pPr>
            <w:r>
              <w:rPr>
                <w:color w:val="000000"/>
                <w:kern w:val="0"/>
                <w:szCs w:val="21"/>
              </w:rPr>
              <w:t>/</w:t>
            </w:r>
          </w:p>
        </w:tc>
        <w:tc>
          <w:tcPr>
            <w:tcW w:w="881" w:type="dxa"/>
            <w:vAlign w:val="center"/>
          </w:tcPr>
          <w:p>
            <w:pPr>
              <w:widowControl/>
              <w:jc w:val="center"/>
              <w:rPr>
                <w:color w:val="000000"/>
                <w:kern w:val="0"/>
                <w:szCs w:val="21"/>
              </w:rPr>
            </w:pPr>
            <w:r>
              <w:rPr>
                <w:color w:val="000000"/>
                <w:kern w:val="0"/>
                <w:szCs w:val="21"/>
              </w:rPr>
              <w:t>/</w:t>
            </w:r>
          </w:p>
        </w:tc>
        <w:tc>
          <w:tcPr>
            <w:tcW w:w="938" w:type="dxa"/>
            <w:vAlign w:val="center"/>
          </w:tcPr>
          <w:p>
            <w:pPr>
              <w:widowControl/>
              <w:jc w:val="center"/>
              <w:rPr>
                <w:color w:val="000000"/>
                <w:kern w:val="0"/>
                <w:szCs w:val="21"/>
              </w:rPr>
            </w:pPr>
            <w:r>
              <w:rPr>
                <w:color w:val="000000"/>
                <w:kern w:val="0"/>
                <w:szCs w:val="21"/>
              </w:rPr>
              <w:t>0.1366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181" w:type="dxa"/>
            <w:vAlign w:val="center"/>
          </w:tcPr>
          <w:p>
            <w:pPr>
              <w:widowControl/>
              <w:jc w:val="center"/>
              <w:rPr>
                <w:color w:val="000000"/>
                <w:kern w:val="0"/>
                <w:szCs w:val="21"/>
              </w:rPr>
            </w:pPr>
            <w:r>
              <w:rPr>
                <w:color w:val="000000"/>
                <w:kern w:val="0"/>
                <w:szCs w:val="21"/>
              </w:rPr>
              <w:t>产业集聚效益</w:t>
            </w:r>
          </w:p>
        </w:tc>
        <w:tc>
          <w:tcPr>
            <w:tcW w:w="882" w:type="dxa"/>
            <w:vAlign w:val="center"/>
          </w:tcPr>
          <w:p>
            <w:pPr>
              <w:widowControl/>
              <w:jc w:val="center"/>
              <w:rPr>
                <w:color w:val="000000"/>
                <w:kern w:val="0"/>
                <w:szCs w:val="21"/>
              </w:rPr>
            </w:pPr>
            <w:r>
              <w:rPr>
                <w:color w:val="000000"/>
                <w:kern w:val="0"/>
                <w:szCs w:val="21"/>
              </w:rPr>
              <w:t>14.21</w:t>
            </w:r>
          </w:p>
        </w:tc>
        <w:tc>
          <w:tcPr>
            <w:tcW w:w="956" w:type="dxa"/>
            <w:vAlign w:val="center"/>
          </w:tcPr>
          <w:p>
            <w:pPr>
              <w:widowControl/>
              <w:jc w:val="center"/>
              <w:rPr>
                <w:color w:val="000000"/>
                <w:kern w:val="0"/>
                <w:szCs w:val="21"/>
              </w:rPr>
            </w:pPr>
            <w:r>
              <w:rPr>
                <w:color w:val="000000"/>
                <w:kern w:val="0"/>
                <w:szCs w:val="21"/>
              </w:rPr>
              <w:t>0.42</w:t>
            </w:r>
          </w:p>
        </w:tc>
        <w:tc>
          <w:tcPr>
            <w:tcW w:w="900" w:type="dxa"/>
            <w:vAlign w:val="center"/>
          </w:tcPr>
          <w:p>
            <w:pPr>
              <w:widowControl/>
              <w:jc w:val="center"/>
              <w:rPr>
                <w:color w:val="000000"/>
                <w:kern w:val="0"/>
                <w:szCs w:val="21"/>
              </w:rPr>
            </w:pPr>
            <w:r>
              <w:rPr>
                <w:color w:val="000000"/>
                <w:kern w:val="0"/>
                <w:szCs w:val="21"/>
              </w:rPr>
              <w:t>3</w:t>
            </w:r>
          </w:p>
        </w:tc>
        <w:tc>
          <w:tcPr>
            <w:tcW w:w="862" w:type="dxa"/>
            <w:vAlign w:val="center"/>
          </w:tcPr>
          <w:p>
            <w:pPr>
              <w:widowControl/>
              <w:jc w:val="center"/>
              <w:rPr>
                <w:color w:val="000000"/>
                <w:kern w:val="0"/>
                <w:szCs w:val="21"/>
              </w:rPr>
            </w:pPr>
            <w:r>
              <w:rPr>
                <w:color w:val="000000"/>
                <w:kern w:val="0"/>
                <w:szCs w:val="21"/>
              </w:rPr>
              <w:t>0.1421</w:t>
            </w:r>
          </w:p>
        </w:tc>
        <w:tc>
          <w:tcPr>
            <w:tcW w:w="1144" w:type="dxa"/>
            <w:vAlign w:val="center"/>
          </w:tcPr>
          <w:p>
            <w:pPr>
              <w:widowControl/>
              <w:jc w:val="center"/>
              <w:rPr>
                <w:color w:val="000000"/>
                <w:kern w:val="0"/>
                <w:szCs w:val="21"/>
              </w:rPr>
            </w:pPr>
            <w:r>
              <w:rPr>
                <w:color w:val="000000"/>
                <w:kern w:val="0"/>
                <w:szCs w:val="21"/>
              </w:rPr>
              <w:t>产业集聚影响度</w:t>
            </w:r>
          </w:p>
        </w:tc>
        <w:tc>
          <w:tcPr>
            <w:tcW w:w="956" w:type="dxa"/>
            <w:vAlign w:val="center"/>
          </w:tcPr>
          <w:p>
            <w:pPr>
              <w:widowControl/>
              <w:jc w:val="center"/>
              <w:rPr>
                <w:color w:val="000000"/>
                <w:kern w:val="0"/>
                <w:szCs w:val="21"/>
              </w:rPr>
            </w:pPr>
            <w:r>
              <w:rPr>
                <w:color w:val="000000"/>
                <w:kern w:val="0"/>
                <w:szCs w:val="21"/>
              </w:rPr>
              <w:t>/</w:t>
            </w:r>
          </w:p>
        </w:tc>
        <w:tc>
          <w:tcPr>
            <w:tcW w:w="938" w:type="dxa"/>
            <w:vAlign w:val="center"/>
          </w:tcPr>
          <w:p>
            <w:pPr>
              <w:widowControl/>
              <w:jc w:val="center"/>
              <w:rPr>
                <w:color w:val="000000"/>
                <w:kern w:val="0"/>
                <w:szCs w:val="21"/>
              </w:rPr>
            </w:pPr>
            <w:r>
              <w:rPr>
                <w:color w:val="000000"/>
                <w:kern w:val="0"/>
                <w:szCs w:val="21"/>
              </w:rPr>
              <w:t>/</w:t>
            </w:r>
          </w:p>
        </w:tc>
        <w:tc>
          <w:tcPr>
            <w:tcW w:w="881" w:type="dxa"/>
            <w:vAlign w:val="center"/>
          </w:tcPr>
          <w:p>
            <w:pPr>
              <w:widowControl/>
              <w:jc w:val="center"/>
              <w:rPr>
                <w:color w:val="000000"/>
                <w:kern w:val="0"/>
                <w:szCs w:val="21"/>
              </w:rPr>
            </w:pPr>
            <w:r>
              <w:rPr>
                <w:color w:val="000000"/>
                <w:kern w:val="0"/>
                <w:szCs w:val="21"/>
              </w:rPr>
              <w:t>/</w:t>
            </w:r>
          </w:p>
        </w:tc>
        <w:tc>
          <w:tcPr>
            <w:tcW w:w="938" w:type="dxa"/>
            <w:vAlign w:val="center"/>
          </w:tcPr>
          <w:p>
            <w:pPr>
              <w:widowControl/>
              <w:jc w:val="center"/>
              <w:rPr>
                <w:color w:val="000000"/>
                <w:kern w:val="0"/>
                <w:szCs w:val="21"/>
              </w:rPr>
            </w:pPr>
            <w:r>
              <w:rPr>
                <w:color w:val="000000"/>
                <w:kern w:val="0"/>
                <w:szCs w:val="21"/>
              </w:rPr>
              <w:t>0.1421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81" w:type="dxa"/>
            <w:vAlign w:val="center"/>
          </w:tcPr>
          <w:p>
            <w:pPr>
              <w:widowControl/>
              <w:jc w:val="center"/>
              <w:rPr>
                <w:color w:val="000000"/>
                <w:kern w:val="0"/>
                <w:szCs w:val="21"/>
              </w:rPr>
            </w:pPr>
            <w:r>
              <w:rPr>
                <w:color w:val="000000"/>
                <w:kern w:val="0"/>
                <w:szCs w:val="21"/>
              </w:rPr>
              <w:t>城市规划</w:t>
            </w:r>
          </w:p>
        </w:tc>
        <w:tc>
          <w:tcPr>
            <w:tcW w:w="882" w:type="dxa"/>
            <w:vAlign w:val="center"/>
          </w:tcPr>
          <w:p>
            <w:pPr>
              <w:widowControl/>
              <w:jc w:val="center"/>
              <w:rPr>
                <w:color w:val="000000"/>
                <w:kern w:val="0"/>
                <w:szCs w:val="21"/>
              </w:rPr>
            </w:pPr>
            <w:r>
              <w:rPr>
                <w:color w:val="000000"/>
                <w:kern w:val="0"/>
                <w:szCs w:val="21"/>
              </w:rPr>
              <w:t>10.33</w:t>
            </w:r>
          </w:p>
        </w:tc>
        <w:tc>
          <w:tcPr>
            <w:tcW w:w="956" w:type="dxa"/>
            <w:vAlign w:val="center"/>
          </w:tcPr>
          <w:p>
            <w:pPr>
              <w:widowControl/>
              <w:jc w:val="center"/>
              <w:rPr>
                <w:color w:val="000000"/>
                <w:kern w:val="0"/>
                <w:szCs w:val="21"/>
              </w:rPr>
            </w:pPr>
            <w:r>
              <w:rPr>
                <w:color w:val="000000"/>
                <w:kern w:val="0"/>
                <w:szCs w:val="21"/>
              </w:rPr>
              <w:t>0.68</w:t>
            </w:r>
          </w:p>
        </w:tc>
        <w:tc>
          <w:tcPr>
            <w:tcW w:w="900" w:type="dxa"/>
            <w:vAlign w:val="center"/>
          </w:tcPr>
          <w:p>
            <w:pPr>
              <w:widowControl/>
              <w:jc w:val="center"/>
              <w:rPr>
                <w:color w:val="000000"/>
                <w:kern w:val="0"/>
                <w:szCs w:val="21"/>
              </w:rPr>
            </w:pPr>
            <w:r>
              <w:rPr>
                <w:color w:val="000000"/>
                <w:kern w:val="0"/>
                <w:szCs w:val="21"/>
              </w:rPr>
              <w:t>5</w:t>
            </w:r>
          </w:p>
        </w:tc>
        <w:tc>
          <w:tcPr>
            <w:tcW w:w="862" w:type="dxa"/>
            <w:vAlign w:val="center"/>
          </w:tcPr>
          <w:p>
            <w:pPr>
              <w:widowControl/>
              <w:jc w:val="center"/>
              <w:rPr>
                <w:color w:val="000000"/>
                <w:kern w:val="0"/>
                <w:szCs w:val="21"/>
              </w:rPr>
            </w:pPr>
            <w:r>
              <w:rPr>
                <w:color w:val="000000"/>
                <w:kern w:val="0"/>
                <w:szCs w:val="21"/>
              </w:rPr>
              <w:t>0.1033</w:t>
            </w:r>
          </w:p>
        </w:tc>
        <w:tc>
          <w:tcPr>
            <w:tcW w:w="1144" w:type="dxa"/>
            <w:vAlign w:val="center"/>
          </w:tcPr>
          <w:p>
            <w:pPr>
              <w:widowControl/>
              <w:jc w:val="center"/>
              <w:rPr>
                <w:color w:val="000000"/>
                <w:kern w:val="0"/>
                <w:szCs w:val="21"/>
              </w:rPr>
            </w:pPr>
            <w:r>
              <w:rPr>
                <w:color w:val="000000"/>
                <w:kern w:val="0"/>
                <w:szCs w:val="21"/>
              </w:rPr>
              <w:t>城市规划</w:t>
            </w:r>
          </w:p>
        </w:tc>
        <w:tc>
          <w:tcPr>
            <w:tcW w:w="956" w:type="dxa"/>
            <w:vAlign w:val="center"/>
          </w:tcPr>
          <w:p>
            <w:pPr>
              <w:widowControl/>
              <w:jc w:val="center"/>
              <w:rPr>
                <w:color w:val="000000"/>
                <w:kern w:val="0"/>
                <w:szCs w:val="21"/>
              </w:rPr>
            </w:pPr>
            <w:r>
              <w:rPr>
                <w:color w:val="000000"/>
                <w:kern w:val="0"/>
                <w:szCs w:val="21"/>
              </w:rPr>
              <w:t>/</w:t>
            </w:r>
          </w:p>
        </w:tc>
        <w:tc>
          <w:tcPr>
            <w:tcW w:w="938" w:type="dxa"/>
            <w:vAlign w:val="center"/>
          </w:tcPr>
          <w:p>
            <w:pPr>
              <w:widowControl/>
              <w:jc w:val="center"/>
              <w:rPr>
                <w:color w:val="000000"/>
                <w:kern w:val="0"/>
                <w:szCs w:val="21"/>
              </w:rPr>
            </w:pPr>
            <w:r>
              <w:rPr>
                <w:color w:val="000000"/>
                <w:kern w:val="0"/>
                <w:szCs w:val="21"/>
              </w:rPr>
              <w:t>/</w:t>
            </w:r>
          </w:p>
        </w:tc>
        <w:tc>
          <w:tcPr>
            <w:tcW w:w="881" w:type="dxa"/>
            <w:vAlign w:val="center"/>
          </w:tcPr>
          <w:p>
            <w:pPr>
              <w:widowControl/>
              <w:jc w:val="center"/>
              <w:rPr>
                <w:color w:val="000000"/>
                <w:kern w:val="0"/>
                <w:szCs w:val="21"/>
              </w:rPr>
            </w:pPr>
            <w:r>
              <w:rPr>
                <w:color w:val="000000"/>
                <w:kern w:val="0"/>
                <w:szCs w:val="21"/>
              </w:rPr>
              <w:t>/</w:t>
            </w:r>
          </w:p>
        </w:tc>
        <w:tc>
          <w:tcPr>
            <w:tcW w:w="938" w:type="dxa"/>
            <w:vAlign w:val="center"/>
          </w:tcPr>
          <w:p>
            <w:pPr>
              <w:widowControl/>
              <w:jc w:val="center"/>
              <w:rPr>
                <w:color w:val="000000"/>
                <w:kern w:val="0"/>
                <w:szCs w:val="21"/>
              </w:rPr>
            </w:pPr>
            <w:r>
              <w:rPr>
                <w:color w:val="000000"/>
                <w:kern w:val="0"/>
                <w:szCs w:val="21"/>
              </w:rPr>
              <w:t>0.1033</w:t>
            </w:r>
          </w:p>
        </w:tc>
      </w:tr>
    </w:tbl>
    <w:p>
      <w:pPr>
        <w:spacing w:line="480" w:lineRule="exact"/>
        <w:ind w:firstLine="480" w:firstLineChars="200"/>
        <w:rPr>
          <w:sz w:val="24"/>
          <w:szCs w:val="24"/>
        </w:rPr>
      </w:pPr>
      <w:r>
        <w:rPr>
          <w:sz w:val="24"/>
          <w:szCs w:val="24"/>
        </w:rPr>
        <w:t>第二轮X2检验结果表明，全部因素因子的X2值都小于X2（0.95）检验值，因此第二轮专家征询结果完全达到征询要求，特尔斐法专家征询结束。</w:t>
      </w:r>
    </w:p>
    <w:p>
      <w:pPr>
        <w:spacing w:line="480" w:lineRule="exact"/>
        <w:ind w:firstLine="480" w:firstLineChars="200"/>
        <w:rPr>
          <w:sz w:val="24"/>
          <w:szCs w:val="24"/>
        </w:rPr>
      </w:pPr>
      <w:r>
        <w:rPr>
          <w:sz w:val="24"/>
          <w:szCs w:val="24"/>
        </w:rPr>
        <w:t>（</w:t>
      </w:r>
      <w:r>
        <w:rPr>
          <w:rFonts w:hint="eastAsia"/>
          <w:sz w:val="24"/>
          <w:szCs w:val="24"/>
        </w:rPr>
        <w:t>9</w:t>
      </w:r>
      <w:r>
        <w:rPr>
          <w:sz w:val="24"/>
          <w:szCs w:val="24"/>
        </w:rPr>
        <w:t>）特尔斐法测算结果</w:t>
      </w:r>
    </w:p>
    <w:p>
      <w:pPr>
        <w:spacing w:line="480" w:lineRule="exact"/>
        <w:ind w:firstLine="480" w:firstLineChars="200"/>
        <w:rPr>
          <w:sz w:val="24"/>
          <w:szCs w:val="24"/>
        </w:rPr>
      </w:pPr>
      <w:r>
        <w:rPr>
          <w:sz w:val="24"/>
          <w:szCs w:val="24"/>
        </w:rPr>
        <w:t>通过二轮征询专家意见后，统计处理的方差趋小，被测定的因素、因子的X2值都小于X2（0.95）检验值，表明专家的意见离散程度越来越小，因此确定第二轮测算出的因素因子专家赋值的均值为各土地均质区域划分因素、因子的权重。详细的土地综合定级因素、因子权重值的确定见下表。</w:t>
      </w:r>
    </w:p>
    <w:p>
      <w:pPr>
        <w:tabs>
          <w:tab w:val="left" w:pos="720"/>
        </w:tabs>
        <w:spacing w:line="480" w:lineRule="exact"/>
        <w:jc w:val="center"/>
        <w:rPr>
          <w:b/>
          <w:sz w:val="24"/>
          <w:szCs w:val="22"/>
        </w:rPr>
      </w:pPr>
      <w:r>
        <w:rPr>
          <w:b/>
          <w:sz w:val="24"/>
          <w:szCs w:val="22"/>
        </w:rPr>
        <w:br w:type="page"/>
      </w:r>
    </w:p>
    <w:p>
      <w:pPr>
        <w:tabs>
          <w:tab w:val="left" w:pos="720"/>
        </w:tabs>
        <w:spacing w:line="400" w:lineRule="exact"/>
        <w:jc w:val="center"/>
        <w:rPr>
          <w:rFonts w:hint="eastAsia"/>
          <w:b/>
          <w:spacing w:val="-17"/>
          <w:sz w:val="24"/>
          <w:szCs w:val="22"/>
        </w:rPr>
      </w:pPr>
      <w:r>
        <w:rPr>
          <w:b/>
          <w:spacing w:val="-17"/>
          <w:sz w:val="24"/>
          <w:szCs w:val="22"/>
        </w:rPr>
        <w:t>表2-2-</w:t>
      </w:r>
      <w:r>
        <w:rPr>
          <w:rFonts w:hint="eastAsia"/>
          <w:b/>
          <w:spacing w:val="-17"/>
          <w:sz w:val="24"/>
          <w:szCs w:val="22"/>
        </w:rPr>
        <w:t>7长沙县城区商服用地、住宅用地和公共管理与公共服务用地</w:t>
      </w:r>
    </w:p>
    <w:p>
      <w:pPr>
        <w:tabs>
          <w:tab w:val="left" w:pos="720"/>
        </w:tabs>
        <w:spacing w:line="400" w:lineRule="exact"/>
        <w:jc w:val="center"/>
        <w:rPr>
          <w:b/>
          <w:spacing w:val="-17"/>
          <w:sz w:val="24"/>
          <w:szCs w:val="22"/>
        </w:rPr>
      </w:pPr>
      <w:r>
        <w:rPr>
          <w:b/>
          <w:spacing w:val="-17"/>
          <w:sz w:val="24"/>
          <w:szCs w:val="22"/>
        </w:rPr>
        <w:t>综合定级因素、因子权重值确定表</w:t>
      </w:r>
    </w:p>
    <w:tbl>
      <w:tblPr>
        <w:tblW w:w="85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4"/>
        <w:gridCol w:w="838"/>
        <w:gridCol w:w="1781"/>
        <w:gridCol w:w="839"/>
        <w:gridCol w:w="3111"/>
        <w:gridCol w:w="8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因素层</w:t>
            </w:r>
          </w:p>
        </w:tc>
        <w:tc>
          <w:tcPr>
            <w:tcW w:w="838"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权重</w:t>
            </w:r>
          </w:p>
        </w:tc>
        <w:tc>
          <w:tcPr>
            <w:tcW w:w="178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839"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权重</w:t>
            </w:r>
          </w:p>
        </w:tc>
        <w:tc>
          <w:tcPr>
            <w:tcW w:w="311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指标层</w:t>
            </w:r>
          </w:p>
        </w:tc>
        <w:tc>
          <w:tcPr>
            <w:tcW w:w="839"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权重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7" w:hRule="atLeast"/>
        </w:trPr>
        <w:tc>
          <w:tcPr>
            <w:tcW w:w="1114"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繁华程度</w:t>
            </w:r>
          </w:p>
        </w:tc>
        <w:tc>
          <w:tcPr>
            <w:tcW w:w="838"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0.2556</w:t>
            </w:r>
          </w:p>
        </w:tc>
        <w:tc>
          <w:tcPr>
            <w:tcW w:w="178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商服繁华影响度</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0.2556</w:t>
            </w: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距离商服中心距离</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0.2556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14"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交通条件</w:t>
            </w:r>
          </w:p>
        </w:tc>
        <w:tc>
          <w:tcPr>
            <w:tcW w:w="83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0.2015</w:t>
            </w:r>
          </w:p>
        </w:tc>
        <w:tc>
          <w:tcPr>
            <w:tcW w:w="178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道路通达度</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0.1189</w:t>
            </w: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通过道路等级</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0.1189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9" w:hRule="atLeast"/>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公交便捷度</w:t>
            </w:r>
          </w:p>
        </w:tc>
        <w:tc>
          <w:tcPr>
            <w:tcW w:w="839"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0.0826</w:t>
            </w: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公交线路数量</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1" w:hRule="atLeast"/>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距离公交站点（</w:t>
            </w:r>
            <w:r>
              <w:rPr>
                <w:rFonts w:hint="eastAsia"/>
                <w:color w:val="000000"/>
                <w:kern w:val="0"/>
                <w:szCs w:val="21"/>
              </w:rPr>
              <w:t xml:space="preserve"> 轨道交通</w:t>
            </w:r>
            <w:r>
              <w:rPr>
                <w:color w:val="000000"/>
                <w:kern w:val="0"/>
                <w:szCs w:val="21"/>
              </w:rPr>
              <w:t>站）距离</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4"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基本设施</w:t>
            </w:r>
          </w:p>
        </w:tc>
        <w:tc>
          <w:tcPr>
            <w:tcW w:w="83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0.2227</w:t>
            </w:r>
          </w:p>
        </w:tc>
        <w:tc>
          <w:tcPr>
            <w:tcW w:w="1781"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基础设施完善度</w:t>
            </w:r>
          </w:p>
        </w:tc>
        <w:tc>
          <w:tcPr>
            <w:tcW w:w="839"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0.0903</w:t>
            </w: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供水</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供电</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通讯</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排水</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公用设施完备度</w:t>
            </w:r>
          </w:p>
        </w:tc>
        <w:tc>
          <w:tcPr>
            <w:tcW w:w="839"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0.1324</w:t>
            </w: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距离医院距离</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8" w:hRule="atLeast"/>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距离中小学距离</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1" w:hRule="atLeast"/>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距离农贸市场距离</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6" w:hRule="atLeast"/>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距离文体设施距离</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114"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环境条件</w:t>
            </w:r>
          </w:p>
        </w:tc>
        <w:tc>
          <w:tcPr>
            <w:tcW w:w="83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0.1637</w:t>
            </w:r>
          </w:p>
        </w:tc>
        <w:tc>
          <w:tcPr>
            <w:tcW w:w="1781"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环境质量优劣度</w:t>
            </w:r>
          </w:p>
        </w:tc>
        <w:tc>
          <w:tcPr>
            <w:tcW w:w="839"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0.0925</w:t>
            </w: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绿地覆盖率</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0.0462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三废污染程度</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自然条件优劣度</w:t>
            </w:r>
          </w:p>
        </w:tc>
        <w:tc>
          <w:tcPr>
            <w:tcW w:w="839"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0.0712</w:t>
            </w: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地形、地质优劣情况</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6" w:hRule="atLeast"/>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洪涝灾害频率</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4"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其他方面</w:t>
            </w:r>
          </w:p>
        </w:tc>
        <w:tc>
          <w:tcPr>
            <w:tcW w:w="83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0.1565</w:t>
            </w:r>
          </w:p>
        </w:tc>
        <w:tc>
          <w:tcPr>
            <w:tcW w:w="1781"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城市规划</w:t>
            </w:r>
          </w:p>
        </w:tc>
        <w:tc>
          <w:tcPr>
            <w:tcW w:w="839"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0.1565</w:t>
            </w: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道路规划</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用地规划</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0.0850</w:t>
            </w:r>
          </w:p>
        </w:tc>
      </w:tr>
    </w:tbl>
    <w:p>
      <w:pPr>
        <w:tabs>
          <w:tab w:val="left" w:pos="720"/>
        </w:tabs>
        <w:spacing w:line="480" w:lineRule="exact"/>
        <w:jc w:val="center"/>
        <w:rPr>
          <w:b/>
          <w:sz w:val="24"/>
          <w:szCs w:val="22"/>
        </w:rPr>
      </w:pPr>
      <w:r>
        <w:rPr>
          <w:b/>
          <w:sz w:val="24"/>
          <w:szCs w:val="22"/>
        </w:rPr>
        <w:t>表</w:t>
      </w:r>
      <w:r>
        <w:rPr>
          <w:rFonts w:hint="eastAsia"/>
          <w:b/>
          <w:sz w:val="24"/>
          <w:szCs w:val="22"/>
        </w:rPr>
        <w:t>2</w:t>
      </w:r>
      <w:r>
        <w:rPr>
          <w:b/>
          <w:sz w:val="24"/>
          <w:szCs w:val="22"/>
        </w:rPr>
        <w:t>-</w:t>
      </w:r>
      <w:r>
        <w:rPr>
          <w:rFonts w:hint="eastAsia"/>
          <w:b/>
          <w:sz w:val="24"/>
          <w:szCs w:val="22"/>
        </w:rPr>
        <w:t>2</w:t>
      </w:r>
      <w:r>
        <w:rPr>
          <w:b/>
          <w:sz w:val="24"/>
          <w:szCs w:val="22"/>
        </w:rPr>
        <w:t>-</w:t>
      </w:r>
      <w:r>
        <w:rPr>
          <w:rFonts w:hint="eastAsia"/>
          <w:b/>
          <w:sz w:val="24"/>
          <w:szCs w:val="22"/>
        </w:rPr>
        <w:t>8长沙县</w:t>
      </w:r>
      <w:r>
        <w:rPr>
          <w:b/>
          <w:sz w:val="24"/>
          <w:szCs w:val="22"/>
        </w:rPr>
        <w:t>城区工矿仓储用地定级因素</w:t>
      </w:r>
      <w:r>
        <w:rPr>
          <w:rFonts w:hint="eastAsia"/>
          <w:b/>
          <w:sz w:val="24"/>
          <w:szCs w:val="22"/>
        </w:rPr>
        <w:t>、</w:t>
      </w:r>
      <w:r>
        <w:rPr>
          <w:b/>
          <w:sz w:val="24"/>
          <w:szCs w:val="22"/>
        </w:rPr>
        <w:t>因子指标权重表</w:t>
      </w:r>
    </w:p>
    <w:tbl>
      <w:tblPr>
        <w:tblW w:w="85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809"/>
        <w:gridCol w:w="1762"/>
        <w:gridCol w:w="863"/>
        <w:gridCol w:w="3094"/>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blHeader/>
        </w:trPr>
        <w:tc>
          <w:tcPr>
            <w:tcW w:w="1147" w:type="dxa"/>
            <w:vAlign w:val="center"/>
          </w:tcPr>
          <w:p>
            <w:pPr>
              <w:widowControl/>
              <w:jc w:val="center"/>
              <w:rPr>
                <w:bCs/>
                <w:color w:val="000000"/>
                <w:kern w:val="0"/>
                <w:szCs w:val="21"/>
              </w:rPr>
            </w:pPr>
            <w:r>
              <w:rPr>
                <w:bCs/>
                <w:color w:val="000000"/>
                <w:kern w:val="0"/>
                <w:szCs w:val="21"/>
              </w:rPr>
              <w:t>因素层</w:t>
            </w:r>
          </w:p>
        </w:tc>
        <w:tc>
          <w:tcPr>
            <w:tcW w:w="809" w:type="dxa"/>
            <w:vAlign w:val="center"/>
          </w:tcPr>
          <w:p>
            <w:pPr>
              <w:widowControl/>
              <w:jc w:val="center"/>
              <w:rPr>
                <w:bCs/>
                <w:color w:val="000000"/>
                <w:kern w:val="0"/>
                <w:szCs w:val="21"/>
              </w:rPr>
            </w:pPr>
            <w:r>
              <w:rPr>
                <w:bCs/>
                <w:color w:val="000000"/>
                <w:kern w:val="0"/>
                <w:szCs w:val="21"/>
              </w:rPr>
              <w:t>权重</w:t>
            </w:r>
          </w:p>
        </w:tc>
        <w:tc>
          <w:tcPr>
            <w:tcW w:w="1762" w:type="dxa"/>
            <w:vAlign w:val="center"/>
          </w:tcPr>
          <w:p>
            <w:pPr>
              <w:widowControl/>
              <w:jc w:val="center"/>
              <w:rPr>
                <w:bCs/>
                <w:color w:val="000000"/>
                <w:kern w:val="0"/>
                <w:szCs w:val="21"/>
              </w:rPr>
            </w:pPr>
            <w:r>
              <w:rPr>
                <w:bCs/>
                <w:color w:val="000000"/>
                <w:kern w:val="0"/>
                <w:szCs w:val="21"/>
              </w:rPr>
              <w:t>因子层</w:t>
            </w:r>
          </w:p>
        </w:tc>
        <w:tc>
          <w:tcPr>
            <w:tcW w:w="863" w:type="dxa"/>
            <w:vAlign w:val="center"/>
          </w:tcPr>
          <w:p>
            <w:pPr>
              <w:widowControl/>
              <w:jc w:val="center"/>
              <w:rPr>
                <w:bCs/>
                <w:color w:val="000000"/>
                <w:kern w:val="0"/>
                <w:szCs w:val="21"/>
              </w:rPr>
            </w:pPr>
            <w:r>
              <w:rPr>
                <w:bCs/>
                <w:color w:val="000000"/>
                <w:kern w:val="0"/>
                <w:szCs w:val="21"/>
              </w:rPr>
              <w:t>权重</w:t>
            </w:r>
          </w:p>
        </w:tc>
        <w:tc>
          <w:tcPr>
            <w:tcW w:w="3094" w:type="dxa"/>
            <w:vAlign w:val="center"/>
          </w:tcPr>
          <w:p>
            <w:pPr>
              <w:widowControl/>
              <w:jc w:val="center"/>
              <w:rPr>
                <w:bCs/>
                <w:color w:val="000000"/>
                <w:kern w:val="0"/>
                <w:szCs w:val="21"/>
              </w:rPr>
            </w:pPr>
            <w:r>
              <w:rPr>
                <w:bCs/>
                <w:color w:val="000000"/>
                <w:kern w:val="0"/>
                <w:szCs w:val="21"/>
              </w:rPr>
              <w:t>指标层</w:t>
            </w:r>
          </w:p>
        </w:tc>
        <w:tc>
          <w:tcPr>
            <w:tcW w:w="853" w:type="dxa"/>
            <w:vAlign w:val="center"/>
          </w:tcPr>
          <w:p>
            <w:pPr>
              <w:widowControl/>
              <w:jc w:val="center"/>
              <w:rPr>
                <w:bCs/>
                <w:color w:val="000000"/>
                <w:kern w:val="0"/>
                <w:szCs w:val="21"/>
              </w:rPr>
            </w:pPr>
            <w:r>
              <w:rPr>
                <w:bCs/>
                <w:color w:val="000000"/>
                <w:kern w:val="0"/>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1147" w:type="dxa"/>
            <w:vMerge w:val="restart"/>
            <w:vAlign w:val="center"/>
          </w:tcPr>
          <w:p>
            <w:pPr>
              <w:widowControl/>
              <w:jc w:val="center"/>
              <w:rPr>
                <w:color w:val="000000"/>
                <w:kern w:val="0"/>
                <w:szCs w:val="21"/>
              </w:rPr>
            </w:pPr>
            <w:r>
              <w:rPr>
                <w:color w:val="000000"/>
                <w:kern w:val="0"/>
                <w:szCs w:val="21"/>
              </w:rPr>
              <w:t>交通条件</w:t>
            </w:r>
          </w:p>
        </w:tc>
        <w:tc>
          <w:tcPr>
            <w:tcW w:w="809" w:type="dxa"/>
            <w:vMerge w:val="restart"/>
            <w:vAlign w:val="center"/>
          </w:tcPr>
          <w:p>
            <w:pPr>
              <w:widowControl/>
              <w:jc w:val="center"/>
              <w:rPr>
                <w:color w:val="000000"/>
                <w:kern w:val="0"/>
                <w:szCs w:val="21"/>
              </w:rPr>
            </w:pPr>
            <w:r>
              <w:rPr>
                <w:color w:val="000000"/>
                <w:kern w:val="0"/>
                <w:szCs w:val="21"/>
              </w:rPr>
              <w:t>0.340</w:t>
            </w:r>
            <w:r>
              <w:rPr>
                <w:rFonts w:hint="eastAsia"/>
                <w:color w:val="000000"/>
                <w:kern w:val="0"/>
                <w:szCs w:val="21"/>
              </w:rPr>
              <w:t>1</w:t>
            </w:r>
          </w:p>
        </w:tc>
        <w:tc>
          <w:tcPr>
            <w:tcW w:w="1762" w:type="dxa"/>
            <w:vAlign w:val="center"/>
          </w:tcPr>
          <w:p>
            <w:pPr>
              <w:widowControl/>
              <w:jc w:val="center"/>
              <w:rPr>
                <w:color w:val="000000"/>
                <w:kern w:val="0"/>
                <w:szCs w:val="21"/>
              </w:rPr>
            </w:pPr>
            <w:r>
              <w:rPr>
                <w:color w:val="000000"/>
                <w:kern w:val="0"/>
                <w:szCs w:val="21"/>
              </w:rPr>
              <w:t>道路通达度</w:t>
            </w:r>
          </w:p>
        </w:tc>
        <w:tc>
          <w:tcPr>
            <w:tcW w:w="863" w:type="dxa"/>
            <w:vAlign w:val="center"/>
          </w:tcPr>
          <w:p>
            <w:pPr>
              <w:widowControl/>
              <w:jc w:val="center"/>
              <w:textAlignment w:val="center"/>
              <w:rPr>
                <w:color w:val="000000"/>
                <w:kern w:val="0"/>
                <w:szCs w:val="21"/>
              </w:rPr>
            </w:pPr>
            <w:r>
              <w:rPr>
                <w:color w:val="000000"/>
                <w:kern w:val="0"/>
                <w:szCs w:val="21"/>
                <w:lang/>
              </w:rPr>
              <w:t>0.1414</w:t>
            </w:r>
          </w:p>
        </w:tc>
        <w:tc>
          <w:tcPr>
            <w:tcW w:w="3094" w:type="dxa"/>
            <w:vAlign w:val="center"/>
          </w:tcPr>
          <w:p>
            <w:pPr>
              <w:widowControl/>
              <w:jc w:val="center"/>
              <w:rPr>
                <w:color w:val="000000"/>
                <w:kern w:val="0"/>
                <w:szCs w:val="21"/>
              </w:rPr>
            </w:pPr>
            <w:r>
              <w:rPr>
                <w:color w:val="000000"/>
                <w:kern w:val="0"/>
                <w:szCs w:val="21"/>
              </w:rPr>
              <w:t>临近道路状况</w:t>
            </w:r>
          </w:p>
        </w:tc>
        <w:tc>
          <w:tcPr>
            <w:tcW w:w="853" w:type="dxa"/>
            <w:vAlign w:val="center"/>
          </w:tcPr>
          <w:p>
            <w:pPr>
              <w:widowControl/>
              <w:jc w:val="center"/>
              <w:textAlignment w:val="center"/>
              <w:rPr>
                <w:color w:val="000000"/>
                <w:kern w:val="0"/>
                <w:szCs w:val="21"/>
              </w:rPr>
            </w:pPr>
            <w:r>
              <w:rPr>
                <w:color w:val="000000"/>
                <w:kern w:val="0"/>
                <w:szCs w:val="21"/>
                <w:lang/>
              </w:rPr>
              <w:t>0.1414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1147" w:type="dxa"/>
            <w:vMerge w:val="continue"/>
            <w:vAlign w:val="center"/>
          </w:tcPr>
          <w:p>
            <w:pPr>
              <w:widowControl/>
              <w:jc w:val="center"/>
              <w:rPr>
                <w:color w:val="000000"/>
                <w:kern w:val="0"/>
                <w:szCs w:val="21"/>
              </w:rPr>
            </w:pPr>
          </w:p>
        </w:tc>
        <w:tc>
          <w:tcPr>
            <w:tcW w:w="809" w:type="dxa"/>
            <w:vMerge w:val="continue"/>
            <w:vAlign w:val="center"/>
          </w:tcPr>
          <w:p>
            <w:pPr>
              <w:widowControl/>
              <w:jc w:val="center"/>
              <w:rPr>
                <w:color w:val="000000"/>
                <w:kern w:val="0"/>
                <w:szCs w:val="21"/>
              </w:rPr>
            </w:pPr>
          </w:p>
        </w:tc>
        <w:tc>
          <w:tcPr>
            <w:tcW w:w="1762" w:type="dxa"/>
            <w:vMerge w:val="restart"/>
            <w:vAlign w:val="center"/>
          </w:tcPr>
          <w:p>
            <w:pPr>
              <w:widowControl/>
              <w:jc w:val="center"/>
              <w:rPr>
                <w:color w:val="000000"/>
                <w:kern w:val="0"/>
                <w:szCs w:val="21"/>
              </w:rPr>
            </w:pPr>
            <w:r>
              <w:rPr>
                <w:color w:val="000000"/>
                <w:kern w:val="0"/>
                <w:szCs w:val="21"/>
              </w:rPr>
              <w:t>对外交通便利度</w:t>
            </w:r>
          </w:p>
        </w:tc>
        <w:tc>
          <w:tcPr>
            <w:tcW w:w="863" w:type="dxa"/>
            <w:vMerge w:val="restart"/>
            <w:vAlign w:val="center"/>
          </w:tcPr>
          <w:p>
            <w:pPr>
              <w:widowControl/>
              <w:jc w:val="center"/>
              <w:textAlignment w:val="center"/>
              <w:rPr>
                <w:color w:val="000000"/>
                <w:kern w:val="0"/>
                <w:szCs w:val="21"/>
              </w:rPr>
            </w:pPr>
            <w:r>
              <w:rPr>
                <w:color w:val="000000"/>
                <w:kern w:val="0"/>
                <w:szCs w:val="21"/>
                <w:lang/>
              </w:rPr>
              <w:t>0.1987</w:t>
            </w:r>
          </w:p>
        </w:tc>
        <w:tc>
          <w:tcPr>
            <w:tcW w:w="3094" w:type="dxa"/>
            <w:vAlign w:val="center"/>
          </w:tcPr>
          <w:p>
            <w:pPr>
              <w:widowControl/>
              <w:jc w:val="center"/>
              <w:rPr>
                <w:color w:val="000000"/>
                <w:kern w:val="0"/>
                <w:szCs w:val="21"/>
              </w:rPr>
            </w:pPr>
            <w:r>
              <w:rPr>
                <w:color w:val="000000"/>
                <w:kern w:val="0"/>
                <w:szCs w:val="21"/>
              </w:rPr>
              <w:t>距最近长途汽车站距离</w:t>
            </w:r>
          </w:p>
        </w:tc>
        <w:tc>
          <w:tcPr>
            <w:tcW w:w="853" w:type="dxa"/>
            <w:vAlign w:val="center"/>
          </w:tcPr>
          <w:p>
            <w:pPr>
              <w:widowControl/>
              <w:jc w:val="center"/>
              <w:textAlignment w:val="center"/>
              <w:rPr>
                <w:color w:val="000000"/>
                <w:kern w:val="0"/>
                <w:szCs w:val="21"/>
                <w:lang/>
              </w:rPr>
            </w:pPr>
            <w:r>
              <w:rPr>
                <w:rFonts w:hint="eastAsia"/>
                <w:color w:val="000000"/>
                <w:kern w:val="0"/>
                <w:szCs w:val="21"/>
                <w:lang/>
              </w:rPr>
              <w:t>0.0998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1147" w:type="dxa"/>
            <w:vMerge w:val="continue"/>
            <w:vAlign w:val="center"/>
          </w:tcPr>
          <w:p>
            <w:pPr>
              <w:widowControl/>
              <w:jc w:val="center"/>
              <w:rPr>
                <w:color w:val="000000"/>
                <w:kern w:val="0"/>
                <w:szCs w:val="21"/>
              </w:rPr>
            </w:pPr>
          </w:p>
        </w:tc>
        <w:tc>
          <w:tcPr>
            <w:tcW w:w="809" w:type="dxa"/>
            <w:vMerge w:val="continue"/>
            <w:vAlign w:val="center"/>
          </w:tcPr>
          <w:p>
            <w:pPr>
              <w:widowControl/>
              <w:jc w:val="center"/>
              <w:rPr>
                <w:color w:val="000000"/>
                <w:kern w:val="0"/>
                <w:szCs w:val="21"/>
              </w:rPr>
            </w:pPr>
          </w:p>
        </w:tc>
        <w:tc>
          <w:tcPr>
            <w:tcW w:w="1762" w:type="dxa"/>
            <w:vMerge w:val="continue"/>
            <w:vAlign w:val="center"/>
          </w:tcPr>
          <w:p>
            <w:pPr>
              <w:widowControl/>
              <w:jc w:val="center"/>
              <w:rPr>
                <w:color w:val="000000"/>
                <w:kern w:val="0"/>
                <w:szCs w:val="21"/>
              </w:rPr>
            </w:pPr>
          </w:p>
        </w:tc>
        <w:tc>
          <w:tcPr>
            <w:tcW w:w="863" w:type="dxa"/>
            <w:vMerge w:val="continue"/>
            <w:vAlign w:val="center"/>
          </w:tcPr>
          <w:p>
            <w:pPr>
              <w:widowControl/>
              <w:jc w:val="center"/>
              <w:rPr>
                <w:color w:val="000000"/>
                <w:kern w:val="0"/>
                <w:szCs w:val="21"/>
              </w:rPr>
            </w:pPr>
          </w:p>
        </w:tc>
        <w:tc>
          <w:tcPr>
            <w:tcW w:w="3094" w:type="dxa"/>
            <w:vAlign w:val="center"/>
          </w:tcPr>
          <w:p>
            <w:pPr>
              <w:widowControl/>
              <w:jc w:val="center"/>
              <w:rPr>
                <w:color w:val="000000"/>
                <w:kern w:val="0"/>
                <w:szCs w:val="21"/>
              </w:rPr>
            </w:pPr>
            <w:r>
              <w:rPr>
                <w:rFonts w:hint="eastAsia"/>
                <w:color w:val="000000"/>
                <w:kern w:val="0"/>
                <w:szCs w:val="21"/>
              </w:rPr>
              <w:t>距离火车站距离</w:t>
            </w:r>
          </w:p>
        </w:tc>
        <w:tc>
          <w:tcPr>
            <w:tcW w:w="853" w:type="dxa"/>
            <w:vAlign w:val="center"/>
          </w:tcPr>
          <w:p>
            <w:pPr>
              <w:widowControl/>
              <w:jc w:val="center"/>
              <w:textAlignment w:val="center"/>
              <w:rPr>
                <w:color w:val="000000"/>
                <w:kern w:val="0"/>
                <w:szCs w:val="21"/>
                <w:lang/>
              </w:rPr>
            </w:pPr>
            <w:r>
              <w:rPr>
                <w:rFonts w:hint="eastAsia"/>
                <w:color w:val="000000"/>
                <w:kern w:val="0"/>
                <w:szCs w:val="21"/>
                <w:lang/>
              </w:rPr>
              <w:t>0.0989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7" w:type="dxa"/>
            <w:vMerge w:val="restart"/>
            <w:vAlign w:val="center"/>
          </w:tcPr>
          <w:p>
            <w:pPr>
              <w:widowControl/>
              <w:jc w:val="center"/>
              <w:rPr>
                <w:color w:val="000000"/>
                <w:kern w:val="0"/>
                <w:szCs w:val="21"/>
              </w:rPr>
            </w:pPr>
            <w:r>
              <w:rPr>
                <w:color w:val="000000"/>
                <w:kern w:val="0"/>
                <w:szCs w:val="21"/>
              </w:rPr>
              <w:t>基本设施状况</w:t>
            </w:r>
          </w:p>
        </w:tc>
        <w:tc>
          <w:tcPr>
            <w:tcW w:w="809" w:type="dxa"/>
            <w:vMerge w:val="restart"/>
            <w:vAlign w:val="center"/>
          </w:tcPr>
          <w:p>
            <w:pPr>
              <w:widowControl/>
              <w:jc w:val="center"/>
              <w:rPr>
                <w:color w:val="000000"/>
                <w:kern w:val="0"/>
                <w:szCs w:val="21"/>
              </w:rPr>
            </w:pPr>
            <w:r>
              <w:rPr>
                <w:color w:val="000000"/>
                <w:kern w:val="0"/>
                <w:szCs w:val="21"/>
              </w:rPr>
              <w:t>0.266</w:t>
            </w:r>
            <w:r>
              <w:rPr>
                <w:rFonts w:hint="eastAsia"/>
                <w:color w:val="000000"/>
                <w:kern w:val="0"/>
                <w:szCs w:val="21"/>
              </w:rPr>
              <w:t>2</w:t>
            </w:r>
          </w:p>
        </w:tc>
        <w:tc>
          <w:tcPr>
            <w:tcW w:w="1762" w:type="dxa"/>
            <w:vMerge w:val="restart"/>
            <w:vAlign w:val="center"/>
          </w:tcPr>
          <w:p>
            <w:pPr>
              <w:widowControl/>
              <w:jc w:val="center"/>
              <w:rPr>
                <w:color w:val="000000"/>
                <w:kern w:val="0"/>
                <w:szCs w:val="21"/>
              </w:rPr>
            </w:pPr>
            <w:r>
              <w:rPr>
                <w:color w:val="000000"/>
                <w:kern w:val="0"/>
                <w:szCs w:val="21"/>
              </w:rPr>
              <w:t>基础设施完善度</w:t>
            </w:r>
          </w:p>
        </w:tc>
        <w:tc>
          <w:tcPr>
            <w:tcW w:w="863" w:type="dxa"/>
            <w:vMerge w:val="restart"/>
            <w:vAlign w:val="center"/>
          </w:tcPr>
          <w:p>
            <w:pPr>
              <w:widowControl/>
              <w:jc w:val="center"/>
              <w:textAlignment w:val="center"/>
              <w:rPr>
                <w:color w:val="000000"/>
                <w:kern w:val="0"/>
                <w:szCs w:val="21"/>
              </w:rPr>
            </w:pPr>
            <w:r>
              <w:rPr>
                <w:color w:val="000000"/>
                <w:kern w:val="0"/>
                <w:szCs w:val="21"/>
                <w:lang/>
              </w:rPr>
              <w:t>0.2662</w:t>
            </w:r>
          </w:p>
        </w:tc>
        <w:tc>
          <w:tcPr>
            <w:tcW w:w="3094" w:type="dxa"/>
            <w:vAlign w:val="center"/>
          </w:tcPr>
          <w:p>
            <w:pPr>
              <w:widowControl/>
              <w:jc w:val="center"/>
              <w:rPr>
                <w:color w:val="000000"/>
                <w:kern w:val="0"/>
                <w:szCs w:val="21"/>
              </w:rPr>
            </w:pPr>
            <w:r>
              <w:rPr>
                <w:color w:val="000000"/>
                <w:kern w:val="0"/>
                <w:szCs w:val="21"/>
              </w:rPr>
              <w:t>供水</w:t>
            </w:r>
          </w:p>
        </w:tc>
        <w:tc>
          <w:tcPr>
            <w:tcW w:w="853" w:type="dxa"/>
            <w:vAlign w:val="center"/>
          </w:tcPr>
          <w:p>
            <w:pPr>
              <w:widowControl/>
              <w:jc w:val="center"/>
              <w:textAlignment w:val="center"/>
              <w:rPr>
                <w:color w:val="000000"/>
                <w:kern w:val="0"/>
                <w:szCs w:val="21"/>
              </w:rPr>
            </w:pPr>
            <w:r>
              <w:rPr>
                <w:color w:val="000000"/>
                <w:kern w:val="0"/>
                <w:szCs w:val="21"/>
                <w:lang/>
              </w:rPr>
              <w:t>0.0666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7" w:type="dxa"/>
            <w:vMerge w:val="continue"/>
            <w:vAlign w:val="center"/>
          </w:tcPr>
          <w:p>
            <w:pPr>
              <w:widowControl/>
              <w:jc w:val="center"/>
              <w:rPr>
                <w:color w:val="000000"/>
                <w:kern w:val="0"/>
                <w:szCs w:val="21"/>
              </w:rPr>
            </w:pPr>
          </w:p>
        </w:tc>
        <w:tc>
          <w:tcPr>
            <w:tcW w:w="809" w:type="dxa"/>
            <w:vMerge w:val="continue"/>
            <w:vAlign w:val="center"/>
          </w:tcPr>
          <w:p>
            <w:pPr>
              <w:widowControl/>
              <w:jc w:val="center"/>
              <w:rPr>
                <w:color w:val="000000"/>
                <w:kern w:val="0"/>
                <w:szCs w:val="21"/>
              </w:rPr>
            </w:pPr>
          </w:p>
        </w:tc>
        <w:tc>
          <w:tcPr>
            <w:tcW w:w="1762" w:type="dxa"/>
            <w:vMerge w:val="continue"/>
            <w:vAlign w:val="center"/>
          </w:tcPr>
          <w:p>
            <w:pPr>
              <w:widowControl/>
              <w:jc w:val="center"/>
              <w:rPr>
                <w:color w:val="000000"/>
                <w:kern w:val="0"/>
                <w:szCs w:val="21"/>
              </w:rPr>
            </w:pPr>
          </w:p>
        </w:tc>
        <w:tc>
          <w:tcPr>
            <w:tcW w:w="863" w:type="dxa"/>
            <w:vMerge w:val="continue"/>
            <w:vAlign w:val="center"/>
          </w:tcPr>
          <w:p>
            <w:pPr>
              <w:widowControl/>
              <w:jc w:val="center"/>
              <w:rPr>
                <w:color w:val="000000"/>
                <w:kern w:val="0"/>
                <w:szCs w:val="21"/>
              </w:rPr>
            </w:pPr>
          </w:p>
        </w:tc>
        <w:tc>
          <w:tcPr>
            <w:tcW w:w="3094" w:type="dxa"/>
            <w:vAlign w:val="center"/>
          </w:tcPr>
          <w:p>
            <w:pPr>
              <w:widowControl/>
              <w:jc w:val="center"/>
              <w:rPr>
                <w:color w:val="000000"/>
                <w:kern w:val="0"/>
                <w:szCs w:val="21"/>
              </w:rPr>
            </w:pPr>
            <w:r>
              <w:rPr>
                <w:color w:val="000000"/>
                <w:kern w:val="0"/>
                <w:szCs w:val="21"/>
              </w:rPr>
              <w:t>供电</w:t>
            </w:r>
          </w:p>
        </w:tc>
        <w:tc>
          <w:tcPr>
            <w:tcW w:w="853" w:type="dxa"/>
            <w:vAlign w:val="center"/>
          </w:tcPr>
          <w:p>
            <w:pPr>
              <w:widowControl/>
              <w:jc w:val="center"/>
              <w:textAlignment w:val="center"/>
              <w:rPr>
                <w:color w:val="000000"/>
                <w:kern w:val="0"/>
                <w:szCs w:val="21"/>
              </w:rPr>
            </w:pPr>
            <w:r>
              <w:rPr>
                <w:color w:val="000000"/>
                <w:kern w:val="0"/>
                <w:szCs w:val="21"/>
                <w:lang/>
              </w:rPr>
              <w:t>0.0666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7" w:type="dxa"/>
            <w:vMerge w:val="continue"/>
            <w:vAlign w:val="center"/>
          </w:tcPr>
          <w:p>
            <w:pPr>
              <w:widowControl/>
              <w:jc w:val="center"/>
              <w:rPr>
                <w:color w:val="000000"/>
                <w:kern w:val="0"/>
                <w:szCs w:val="21"/>
              </w:rPr>
            </w:pPr>
          </w:p>
        </w:tc>
        <w:tc>
          <w:tcPr>
            <w:tcW w:w="809" w:type="dxa"/>
            <w:vMerge w:val="continue"/>
            <w:vAlign w:val="center"/>
          </w:tcPr>
          <w:p>
            <w:pPr>
              <w:widowControl/>
              <w:jc w:val="center"/>
              <w:rPr>
                <w:color w:val="000000"/>
                <w:kern w:val="0"/>
                <w:szCs w:val="21"/>
              </w:rPr>
            </w:pPr>
          </w:p>
        </w:tc>
        <w:tc>
          <w:tcPr>
            <w:tcW w:w="1762" w:type="dxa"/>
            <w:vMerge w:val="continue"/>
            <w:vAlign w:val="center"/>
          </w:tcPr>
          <w:p>
            <w:pPr>
              <w:widowControl/>
              <w:jc w:val="center"/>
              <w:rPr>
                <w:color w:val="000000"/>
                <w:kern w:val="0"/>
                <w:szCs w:val="21"/>
              </w:rPr>
            </w:pPr>
          </w:p>
        </w:tc>
        <w:tc>
          <w:tcPr>
            <w:tcW w:w="863" w:type="dxa"/>
            <w:vMerge w:val="continue"/>
            <w:vAlign w:val="center"/>
          </w:tcPr>
          <w:p>
            <w:pPr>
              <w:widowControl/>
              <w:jc w:val="center"/>
              <w:rPr>
                <w:color w:val="000000"/>
                <w:kern w:val="0"/>
                <w:szCs w:val="21"/>
              </w:rPr>
            </w:pPr>
          </w:p>
        </w:tc>
        <w:tc>
          <w:tcPr>
            <w:tcW w:w="3094" w:type="dxa"/>
            <w:vAlign w:val="center"/>
          </w:tcPr>
          <w:p>
            <w:pPr>
              <w:widowControl/>
              <w:jc w:val="center"/>
              <w:rPr>
                <w:color w:val="000000"/>
                <w:kern w:val="0"/>
                <w:szCs w:val="21"/>
              </w:rPr>
            </w:pPr>
            <w:r>
              <w:rPr>
                <w:color w:val="000000"/>
                <w:kern w:val="0"/>
                <w:szCs w:val="21"/>
              </w:rPr>
              <w:t>通讯</w:t>
            </w:r>
          </w:p>
        </w:tc>
        <w:tc>
          <w:tcPr>
            <w:tcW w:w="853" w:type="dxa"/>
            <w:vAlign w:val="center"/>
          </w:tcPr>
          <w:p>
            <w:pPr>
              <w:widowControl/>
              <w:jc w:val="center"/>
              <w:textAlignment w:val="center"/>
              <w:rPr>
                <w:color w:val="000000"/>
                <w:kern w:val="0"/>
                <w:szCs w:val="21"/>
              </w:rPr>
            </w:pPr>
            <w:r>
              <w:rPr>
                <w:color w:val="000000"/>
                <w:kern w:val="0"/>
                <w:szCs w:val="21"/>
                <w:lang/>
              </w:rPr>
              <w:t>0.0665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7" w:type="dxa"/>
            <w:vMerge w:val="continue"/>
            <w:vAlign w:val="center"/>
          </w:tcPr>
          <w:p>
            <w:pPr>
              <w:widowControl/>
              <w:jc w:val="center"/>
              <w:rPr>
                <w:color w:val="000000"/>
                <w:kern w:val="0"/>
                <w:szCs w:val="21"/>
              </w:rPr>
            </w:pPr>
          </w:p>
        </w:tc>
        <w:tc>
          <w:tcPr>
            <w:tcW w:w="809" w:type="dxa"/>
            <w:vMerge w:val="continue"/>
            <w:vAlign w:val="center"/>
          </w:tcPr>
          <w:p>
            <w:pPr>
              <w:widowControl/>
              <w:jc w:val="center"/>
              <w:rPr>
                <w:color w:val="000000"/>
                <w:kern w:val="0"/>
                <w:szCs w:val="21"/>
              </w:rPr>
            </w:pPr>
          </w:p>
        </w:tc>
        <w:tc>
          <w:tcPr>
            <w:tcW w:w="1762" w:type="dxa"/>
            <w:vMerge w:val="continue"/>
            <w:vAlign w:val="center"/>
          </w:tcPr>
          <w:p>
            <w:pPr>
              <w:widowControl/>
              <w:jc w:val="center"/>
              <w:rPr>
                <w:color w:val="000000"/>
                <w:kern w:val="0"/>
                <w:szCs w:val="21"/>
              </w:rPr>
            </w:pPr>
          </w:p>
        </w:tc>
        <w:tc>
          <w:tcPr>
            <w:tcW w:w="863" w:type="dxa"/>
            <w:vMerge w:val="continue"/>
            <w:vAlign w:val="center"/>
          </w:tcPr>
          <w:p>
            <w:pPr>
              <w:widowControl/>
              <w:jc w:val="center"/>
              <w:rPr>
                <w:color w:val="000000"/>
                <w:kern w:val="0"/>
                <w:szCs w:val="21"/>
              </w:rPr>
            </w:pPr>
          </w:p>
        </w:tc>
        <w:tc>
          <w:tcPr>
            <w:tcW w:w="3094" w:type="dxa"/>
            <w:vAlign w:val="center"/>
          </w:tcPr>
          <w:p>
            <w:pPr>
              <w:widowControl/>
              <w:jc w:val="center"/>
              <w:rPr>
                <w:color w:val="000000"/>
                <w:kern w:val="0"/>
                <w:szCs w:val="21"/>
              </w:rPr>
            </w:pPr>
            <w:r>
              <w:rPr>
                <w:color w:val="000000"/>
                <w:kern w:val="0"/>
                <w:szCs w:val="21"/>
              </w:rPr>
              <w:t>排水</w:t>
            </w:r>
          </w:p>
        </w:tc>
        <w:tc>
          <w:tcPr>
            <w:tcW w:w="853" w:type="dxa"/>
            <w:vAlign w:val="center"/>
          </w:tcPr>
          <w:p>
            <w:pPr>
              <w:widowControl/>
              <w:jc w:val="center"/>
              <w:textAlignment w:val="center"/>
              <w:rPr>
                <w:color w:val="000000"/>
                <w:kern w:val="0"/>
                <w:szCs w:val="21"/>
              </w:rPr>
            </w:pPr>
            <w:r>
              <w:rPr>
                <w:color w:val="000000"/>
                <w:kern w:val="0"/>
                <w:szCs w:val="21"/>
                <w:lang/>
              </w:rPr>
              <w:t>0.0665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7" w:type="dxa"/>
            <w:vMerge w:val="restart"/>
            <w:vAlign w:val="center"/>
          </w:tcPr>
          <w:p>
            <w:pPr>
              <w:widowControl/>
              <w:jc w:val="center"/>
              <w:rPr>
                <w:color w:val="000000"/>
                <w:kern w:val="0"/>
                <w:szCs w:val="21"/>
              </w:rPr>
            </w:pPr>
            <w:r>
              <w:rPr>
                <w:color w:val="000000"/>
                <w:kern w:val="0"/>
                <w:szCs w:val="21"/>
              </w:rPr>
              <w:t>环境条件</w:t>
            </w:r>
          </w:p>
        </w:tc>
        <w:tc>
          <w:tcPr>
            <w:tcW w:w="809" w:type="dxa"/>
            <w:vMerge w:val="restart"/>
            <w:vAlign w:val="center"/>
          </w:tcPr>
          <w:p>
            <w:pPr>
              <w:widowControl/>
              <w:jc w:val="center"/>
              <w:rPr>
                <w:color w:val="000000"/>
                <w:kern w:val="0"/>
                <w:szCs w:val="21"/>
              </w:rPr>
            </w:pPr>
            <w:r>
              <w:rPr>
                <w:color w:val="000000"/>
                <w:kern w:val="0"/>
                <w:szCs w:val="21"/>
              </w:rPr>
              <w:t>0.1426</w:t>
            </w:r>
          </w:p>
        </w:tc>
        <w:tc>
          <w:tcPr>
            <w:tcW w:w="1762" w:type="dxa"/>
            <w:vMerge w:val="restart"/>
            <w:vAlign w:val="center"/>
          </w:tcPr>
          <w:p>
            <w:pPr>
              <w:widowControl/>
              <w:jc w:val="center"/>
              <w:rPr>
                <w:color w:val="000000"/>
                <w:kern w:val="0"/>
                <w:szCs w:val="21"/>
              </w:rPr>
            </w:pPr>
            <w:r>
              <w:rPr>
                <w:color w:val="000000"/>
                <w:kern w:val="0"/>
                <w:szCs w:val="21"/>
              </w:rPr>
              <w:t>自然条件优劣度</w:t>
            </w:r>
          </w:p>
        </w:tc>
        <w:tc>
          <w:tcPr>
            <w:tcW w:w="863" w:type="dxa"/>
            <w:vMerge w:val="restart"/>
            <w:vAlign w:val="center"/>
          </w:tcPr>
          <w:p>
            <w:pPr>
              <w:widowControl/>
              <w:jc w:val="center"/>
              <w:textAlignment w:val="center"/>
              <w:rPr>
                <w:color w:val="000000"/>
                <w:kern w:val="0"/>
                <w:szCs w:val="21"/>
              </w:rPr>
            </w:pPr>
            <w:r>
              <w:rPr>
                <w:color w:val="000000"/>
                <w:kern w:val="0"/>
                <w:szCs w:val="21"/>
                <w:lang/>
              </w:rPr>
              <w:t>0.1426</w:t>
            </w:r>
          </w:p>
        </w:tc>
        <w:tc>
          <w:tcPr>
            <w:tcW w:w="3094" w:type="dxa"/>
            <w:vAlign w:val="center"/>
          </w:tcPr>
          <w:p>
            <w:pPr>
              <w:jc w:val="center"/>
              <w:rPr>
                <w:color w:val="000000"/>
                <w:kern w:val="0"/>
                <w:szCs w:val="21"/>
              </w:rPr>
            </w:pPr>
            <w:r>
              <w:rPr>
                <w:kern w:val="0"/>
                <w:szCs w:val="21"/>
              </w:rPr>
              <w:t>地形、地质优劣情况</w:t>
            </w:r>
          </w:p>
        </w:tc>
        <w:tc>
          <w:tcPr>
            <w:tcW w:w="853" w:type="dxa"/>
            <w:vAlign w:val="center"/>
          </w:tcPr>
          <w:p>
            <w:pPr>
              <w:widowControl/>
              <w:jc w:val="center"/>
              <w:textAlignment w:val="center"/>
              <w:rPr>
                <w:color w:val="000000"/>
                <w:kern w:val="0"/>
                <w:szCs w:val="21"/>
              </w:rPr>
            </w:pPr>
            <w:r>
              <w:rPr>
                <w:color w:val="000000"/>
                <w:kern w:val="0"/>
                <w:szCs w:val="21"/>
                <w:lang/>
              </w:rPr>
              <w:t>0.0688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7" w:type="dxa"/>
            <w:vMerge w:val="continue"/>
            <w:vAlign w:val="center"/>
          </w:tcPr>
          <w:p>
            <w:pPr>
              <w:widowControl/>
              <w:jc w:val="center"/>
              <w:rPr>
                <w:color w:val="000000"/>
                <w:kern w:val="0"/>
                <w:szCs w:val="21"/>
              </w:rPr>
            </w:pPr>
          </w:p>
        </w:tc>
        <w:tc>
          <w:tcPr>
            <w:tcW w:w="809" w:type="dxa"/>
            <w:vMerge w:val="continue"/>
            <w:vAlign w:val="center"/>
          </w:tcPr>
          <w:p>
            <w:pPr>
              <w:widowControl/>
              <w:jc w:val="center"/>
              <w:rPr>
                <w:color w:val="000000"/>
                <w:kern w:val="0"/>
                <w:szCs w:val="21"/>
              </w:rPr>
            </w:pPr>
          </w:p>
        </w:tc>
        <w:tc>
          <w:tcPr>
            <w:tcW w:w="1762" w:type="dxa"/>
            <w:vMerge w:val="continue"/>
            <w:vAlign w:val="center"/>
          </w:tcPr>
          <w:p>
            <w:pPr>
              <w:widowControl/>
              <w:jc w:val="center"/>
              <w:rPr>
                <w:color w:val="000000"/>
                <w:kern w:val="0"/>
                <w:szCs w:val="21"/>
              </w:rPr>
            </w:pPr>
          </w:p>
        </w:tc>
        <w:tc>
          <w:tcPr>
            <w:tcW w:w="863" w:type="dxa"/>
            <w:vMerge w:val="continue"/>
            <w:vAlign w:val="center"/>
          </w:tcPr>
          <w:p>
            <w:pPr>
              <w:widowControl/>
              <w:jc w:val="center"/>
              <w:rPr>
                <w:color w:val="000000"/>
                <w:kern w:val="0"/>
                <w:szCs w:val="21"/>
              </w:rPr>
            </w:pPr>
          </w:p>
        </w:tc>
        <w:tc>
          <w:tcPr>
            <w:tcW w:w="3094" w:type="dxa"/>
            <w:vAlign w:val="center"/>
          </w:tcPr>
          <w:p>
            <w:pPr>
              <w:jc w:val="center"/>
              <w:rPr>
                <w:color w:val="000000"/>
                <w:kern w:val="0"/>
                <w:szCs w:val="21"/>
              </w:rPr>
            </w:pPr>
            <w:r>
              <w:rPr>
                <w:kern w:val="0"/>
                <w:szCs w:val="21"/>
              </w:rPr>
              <w:t>洪涝灾害频率</w:t>
            </w:r>
          </w:p>
        </w:tc>
        <w:tc>
          <w:tcPr>
            <w:tcW w:w="853" w:type="dxa"/>
            <w:vAlign w:val="center"/>
          </w:tcPr>
          <w:p>
            <w:pPr>
              <w:widowControl/>
              <w:jc w:val="center"/>
              <w:textAlignment w:val="center"/>
              <w:rPr>
                <w:color w:val="000000"/>
                <w:kern w:val="0"/>
                <w:szCs w:val="21"/>
              </w:rPr>
            </w:pPr>
            <w:r>
              <w:rPr>
                <w:color w:val="000000"/>
                <w:kern w:val="0"/>
                <w:szCs w:val="21"/>
                <w:lang/>
              </w:rPr>
              <w:t>0.0738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47" w:type="dxa"/>
            <w:vAlign w:val="center"/>
          </w:tcPr>
          <w:p>
            <w:pPr>
              <w:widowControl/>
              <w:jc w:val="center"/>
              <w:rPr>
                <w:color w:val="000000"/>
                <w:kern w:val="0"/>
                <w:szCs w:val="21"/>
              </w:rPr>
            </w:pPr>
            <w:r>
              <w:rPr>
                <w:color w:val="000000"/>
                <w:kern w:val="0"/>
                <w:szCs w:val="21"/>
              </w:rPr>
              <w:t>产业集聚效益</w:t>
            </w:r>
          </w:p>
        </w:tc>
        <w:tc>
          <w:tcPr>
            <w:tcW w:w="809" w:type="dxa"/>
            <w:vAlign w:val="center"/>
          </w:tcPr>
          <w:p>
            <w:pPr>
              <w:widowControl/>
              <w:jc w:val="center"/>
              <w:rPr>
                <w:color w:val="000000"/>
                <w:kern w:val="0"/>
                <w:szCs w:val="21"/>
              </w:rPr>
            </w:pPr>
            <w:r>
              <w:rPr>
                <w:color w:val="000000"/>
                <w:kern w:val="0"/>
                <w:szCs w:val="21"/>
              </w:rPr>
              <w:t>0.12</w:t>
            </w:r>
            <w:r>
              <w:rPr>
                <w:rFonts w:hint="eastAsia"/>
                <w:color w:val="000000"/>
                <w:kern w:val="0"/>
                <w:szCs w:val="21"/>
              </w:rPr>
              <w:t>27</w:t>
            </w:r>
          </w:p>
        </w:tc>
        <w:tc>
          <w:tcPr>
            <w:tcW w:w="1762" w:type="dxa"/>
            <w:vAlign w:val="center"/>
          </w:tcPr>
          <w:p>
            <w:pPr>
              <w:widowControl/>
              <w:jc w:val="center"/>
              <w:rPr>
                <w:color w:val="000000"/>
                <w:kern w:val="0"/>
                <w:szCs w:val="21"/>
              </w:rPr>
            </w:pPr>
            <w:r>
              <w:rPr>
                <w:color w:val="000000"/>
                <w:kern w:val="0"/>
                <w:szCs w:val="21"/>
              </w:rPr>
              <w:t>产业集聚影响度</w:t>
            </w:r>
          </w:p>
        </w:tc>
        <w:tc>
          <w:tcPr>
            <w:tcW w:w="863" w:type="dxa"/>
            <w:vAlign w:val="center"/>
          </w:tcPr>
          <w:p>
            <w:pPr>
              <w:widowControl/>
              <w:jc w:val="center"/>
              <w:textAlignment w:val="center"/>
              <w:rPr>
                <w:color w:val="000000"/>
                <w:kern w:val="0"/>
                <w:szCs w:val="21"/>
              </w:rPr>
            </w:pPr>
            <w:r>
              <w:rPr>
                <w:color w:val="000000"/>
                <w:kern w:val="0"/>
                <w:szCs w:val="21"/>
                <w:lang/>
              </w:rPr>
              <w:t>0.1227</w:t>
            </w:r>
          </w:p>
        </w:tc>
        <w:tc>
          <w:tcPr>
            <w:tcW w:w="3094" w:type="dxa"/>
            <w:vAlign w:val="center"/>
          </w:tcPr>
          <w:p>
            <w:pPr>
              <w:widowControl/>
              <w:jc w:val="center"/>
              <w:rPr>
                <w:color w:val="000000"/>
                <w:kern w:val="0"/>
                <w:szCs w:val="21"/>
              </w:rPr>
            </w:pPr>
            <w:r>
              <w:rPr>
                <w:color w:val="000000"/>
                <w:kern w:val="0"/>
                <w:szCs w:val="21"/>
              </w:rPr>
              <w:t>产业集聚影响度</w:t>
            </w:r>
          </w:p>
        </w:tc>
        <w:tc>
          <w:tcPr>
            <w:tcW w:w="853" w:type="dxa"/>
            <w:vAlign w:val="center"/>
          </w:tcPr>
          <w:p>
            <w:pPr>
              <w:widowControl/>
              <w:jc w:val="center"/>
              <w:textAlignment w:val="center"/>
              <w:rPr>
                <w:color w:val="000000"/>
                <w:kern w:val="0"/>
                <w:szCs w:val="21"/>
              </w:rPr>
            </w:pPr>
            <w:r>
              <w:rPr>
                <w:color w:val="000000"/>
                <w:kern w:val="0"/>
                <w:szCs w:val="21"/>
                <w:lang/>
              </w:rPr>
              <w:t>0.1227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7" w:type="dxa"/>
            <w:vMerge w:val="restart"/>
            <w:vAlign w:val="center"/>
          </w:tcPr>
          <w:p>
            <w:pPr>
              <w:widowControl/>
              <w:jc w:val="center"/>
              <w:rPr>
                <w:color w:val="000000"/>
                <w:kern w:val="0"/>
                <w:szCs w:val="21"/>
              </w:rPr>
            </w:pPr>
            <w:r>
              <w:rPr>
                <w:color w:val="000000"/>
                <w:kern w:val="0"/>
                <w:szCs w:val="21"/>
              </w:rPr>
              <w:t>城市规划</w:t>
            </w:r>
          </w:p>
        </w:tc>
        <w:tc>
          <w:tcPr>
            <w:tcW w:w="809" w:type="dxa"/>
            <w:vMerge w:val="restart"/>
            <w:vAlign w:val="center"/>
          </w:tcPr>
          <w:p>
            <w:pPr>
              <w:widowControl/>
              <w:jc w:val="center"/>
              <w:rPr>
                <w:color w:val="000000"/>
                <w:kern w:val="0"/>
                <w:szCs w:val="21"/>
              </w:rPr>
            </w:pPr>
            <w:r>
              <w:rPr>
                <w:color w:val="000000"/>
                <w:kern w:val="0"/>
                <w:szCs w:val="21"/>
              </w:rPr>
              <w:t>0.1284</w:t>
            </w:r>
          </w:p>
        </w:tc>
        <w:tc>
          <w:tcPr>
            <w:tcW w:w="1762" w:type="dxa"/>
            <w:vMerge w:val="restart"/>
            <w:vAlign w:val="center"/>
          </w:tcPr>
          <w:p>
            <w:pPr>
              <w:widowControl/>
              <w:jc w:val="center"/>
              <w:rPr>
                <w:color w:val="000000"/>
                <w:kern w:val="0"/>
                <w:szCs w:val="21"/>
              </w:rPr>
            </w:pPr>
            <w:r>
              <w:rPr>
                <w:color w:val="000000"/>
                <w:kern w:val="0"/>
                <w:szCs w:val="21"/>
              </w:rPr>
              <w:t>城市规划</w:t>
            </w:r>
          </w:p>
        </w:tc>
        <w:tc>
          <w:tcPr>
            <w:tcW w:w="863" w:type="dxa"/>
            <w:vMerge w:val="restart"/>
            <w:vAlign w:val="center"/>
          </w:tcPr>
          <w:p>
            <w:pPr>
              <w:widowControl/>
              <w:jc w:val="center"/>
              <w:textAlignment w:val="center"/>
              <w:rPr>
                <w:color w:val="000000"/>
                <w:kern w:val="0"/>
                <w:szCs w:val="21"/>
              </w:rPr>
            </w:pPr>
            <w:r>
              <w:rPr>
                <w:color w:val="000000"/>
                <w:kern w:val="0"/>
                <w:szCs w:val="21"/>
                <w:lang/>
              </w:rPr>
              <w:t>0.1284</w:t>
            </w:r>
          </w:p>
        </w:tc>
        <w:tc>
          <w:tcPr>
            <w:tcW w:w="3094" w:type="dxa"/>
            <w:vAlign w:val="center"/>
          </w:tcPr>
          <w:p>
            <w:pPr>
              <w:widowControl/>
              <w:jc w:val="center"/>
              <w:rPr>
                <w:color w:val="000000"/>
                <w:kern w:val="0"/>
                <w:szCs w:val="21"/>
              </w:rPr>
            </w:pPr>
            <w:r>
              <w:rPr>
                <w:color w:val="000000"/>
                <w:kern w:val="0"/>
                <w:szCs w:val="21"/>
              </w:rPr>
              <w:t>用地规划</w:t>
            </w:r>
          </w:p>
        </w:tc>
        <w:tc>
          <w:tcPr>
            <w:tcW w:w="853" w:type="dxa"/>
            <w:vAlign w:val="center"/>
          </w:tcPr>
          <w:p>
            <w:pPr>
              <w:widowControl/>
              <w:jc w:val="center"/>
              <w:textAlignment w:val="center"/>
              <w:rPr>
                <w:color w:val="000000"/>
                <w:kern w:val="0"/>
                <w:szCs w:val="21"/>
              </w:rPr>
            </w:pPr>
            <w:r>
              <w:rPr>
                <w:color w:val="000000"/>
                <w:kern w:val="0"/>
                <w:szCs w:val="21"/>
                <w:lang/>
              </w:rPr>
              <w:t>0.0642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7" w:type="dxa"/>
            <w:vMerge w:val="continue"/>
            <w:vAlign w:val="center"/>
          </w:tcPr>
          <w:p>
            <w:pPr>
              <w:widowControl/>
              <w:jc w:val="center"/>
              <w:rPr>
                <w:color w:val="000000"/>
                <w:kern w:val="0"/>
                <w:szCs w:val="21"/>
              </w:rPr>
            </w:pPr>
          </w:p>
        </w:tc>
        <w:tc>
          <w:tcPr>
            <w:tcW w:w="809" w:type="dxa"/>
            <w:vMerge w:val="continue"/>
            <w:vAlign w:val="center"/>
          </w:tcPr>
          <w:p>
            <w:pPr>
              <w:widowControl/>
              <w:jc w:val="center"/>
              <w:rPr>
                <w:color w:val="000000"/>
                <w:kern w:val="0"/>
                <w:szCs w:val="21"/>
              </w:rPr>
            </w:pPr>
          </w:p>
        </w:tc>
        <w:tc>
          <w:tcPr>
            <w:tcW w:w="1762" w:type="dxa"/>
            <w:vMerge w:val="continue"/>
            <w:vAlign w:val="center"/>
          </w:tcPr>
          <w:p>
            <w:pPr>
              <w:widowControl/>
              <w:jc w:val="center"/>
              <w:rPr>
                <w:color w:val="000000"/>
                <w:kern w:val="0"/>
                <w:szCs w:val="21"/>
              </w:rPr>
            </w:pPr>
          </w:p>
        </w:tc>
        <w:tc>
          <w:tcPr>
            <w:tcW w:w="863" w:type="dxa"/>
            <w:vMerge w:val="continue"/>
            <w:vAlign w:val="center"/>
          </w:tcPr>
          <w:p>
            <w:pPr>
              <w:widowControl/>
              <w:jc w:val="center"/>
              <w:rPr>
                <w:color w:val="000000"/>
                <w:kern w:val="0"/>
                <w:szCs w:val="21"/>
              </w:rPr>
            </w:pPr>
          </w:p>
        </w:tc>
        <w:tc>
          <w:tcPr>
            <w:tcW w:w="3094" w:type="dxa"/>
            <w:vAlign w:val="center"/>
          </w:tcPr>
          <w:p>
            <w:pPr>
              <w:widowControl/>
              <w:jc w:val="center"/>
              <w:rPr>
                <w:color w:val="000000"/>
                <w:kern w:val="0"/>
                <w:szCs w:val="21"/>
              </w:rPr>
            </w:pPr>
            <w:r>
              <w:rPr>
                <w:color w:val="000000"/>
                <w:kern w:val="0"/>
                <w:szCs w:val="21"/>
              </w:rPr>
              <w:t>道路规划</w:t>
            </w:r>
          </w:p>
        </w:tc>
        <w:tc>
          <w:tcPr>
            <w:tcW w:w="853" w:type="dxa"/>
            <w:vAlign w:val="center"/>
          </w:tcPr>
          <w:p>
            <w:pPr>
              <w:widowControl/>
              <w:jc w:val="center"/>
              <w:textAlignment w:val="center"/>
              <w:rPr>
                <w:color w:val="000000"/>
                <w:kern w:val="0"/>
                <w:szCs w:val="21"/>
              </w:rPr>
            </w:pPr>
            <w:r>
              <w:rPr>
                <w:color w:val="000000"/>
                <w:kern w:val="0"/>
                <w:szCs w:val="21"/>
                <w:lang/>
              </w:rPr>
              <w:t>0.0642</w:t>
            </w:r>
          </w:p>
        </w:tc>
      </w:tr>
    </w:tbl>
    <w:p>
      <w:pPr>
        <w:widowControl/>
        <w:jc w:val="center"/>
        <w:outlineLvl w:val="1"/>
        <w:rPr>
          <w:rFonts w:eastAsia="黑体"/>
          <w:sz w:val="32"/>
          <w:szCs w:val="32"/>
        </w:rPr>
      </w:pPr>
      <w:r>
        <w:rPr>
          <w:rFonts w:eastAsia="黑体"/>
          <w:sz w:val="30"/>
          <w:szCs w:val="30"/>
        </w:rPr>
        <w:br w:type="page"/>
      </w:r>
      <w:bookmarkStart w:id="300" w:name="_Toc181362960"/>
      <w:bookmarkStart w:id="301" w:name="_Toc271529431"/>
      <w:bookmarkStart w:id="302" w:name="_Toc181516343"/>
      <w:bookmarkStart w:id="303" w:name="_Toc188413454"/>
      <w:bookmarkStart w:id="304" w:name="_Toc191210017"/>
      <w:bookmarkStart w:id="305" w:name="_Toc470721286"/>
      <w:bookmarkStart w:id="306" w:name="_Toc469296435"/>
      <w:bookmarkStart w:id="307" w:name="_Toc18596"/>
      <w:bookmarkStart w:id="308" w:name="_Toc5099"/>
      <w:bookmarkStart w:id="309" w:name="_Toc6833"/>
      <w:bookmarkStart w:id="310" w:name="_Toc467846827"/>
      <w:bookmarkStart w:id="311" w:name="_Toc427343274"/>
      <w:bookmarkStart w:id="312" w:name="_Toc32295"/>
      <w:r>
        <w:rPr>
          <w:rFonts w:eastAsia="黑体"/>
          <w:sz w:val="32"/>
          <w:szCs w:val="32"/>
        </w:rPr>
        <w:t>第三章  土地定级因素量化</w:t>
      </w:r>
      <w:bookmarkStart w:id="313" w:name="_Toc271529432"/>
      <w:bookmarkStart w:id="314" w:name="_Toc191210018"/>
      <w:bookmarkEnd w:id="300"/>
      <w:bookmarkEnd w:id="301"/>
      <w:bookmarkEnd w:id="302"/>
      <w:bookmarkEnd w:id="303"/>
      <w:bookmarkEnd w:id="304"/>
      <w:r>
        <w:rPr>
          <w:rFonts w:eastAsia="黑体"/>
          <w:sz w:val="32"/>
          <w:szCs w:val="32"/>
        </w:rPr>
        <w:t>及作用分值计算</w:t>
      </w:r>
      <w:bookmarkEnd w:id="305"/>
      <w:bookmarkEnd w:id="306"/>
      <w:bookmarkEnd w:id="307"/>
      <w:bookmarkEnd w:id="308"/>
      <w:bookmarkEnd w:id="309"/>
      <w:bookmarkEnd w:id="310"/>
      <w:bookmarkEnd w:id="311"/>
      <w:bookmarkEnd w:id="312"/>
    </w:p>
    <w:p>
      <w:pPr>
        <w:spacing w:line="360" w:lineRule="auto"/>
        <w:ind w:firstLine="560" w:firstLineChars="200"/>
        <w:outlineLvl w:val="2"/>
        <w:rPr>
          <w:rFonts w:eastAsia="黑体"/>
          <w:sz w:val="28"/>
          <w:szCs w:val="28"/>
        </w:rPr>
      </w:pPr>
      <w:bookmarkStart w:id="315" w:name="_Toc23321"/>
      <w:bookmarkStart w:id="316" w:name="_Toc469296436"/>
      <w:bookmarkStart w:id="317" w:name="_Toc470721287"/>
      <w:bookmarkStart w:id="318" w:name="_Toc467846828"/>
      <w:bookmarkStart w:id="319" w:name="_Toc22248"/>
      <w:r>
        <w:rPr>
          <w:rFonts w:eastAsia="黑体"/>
          <w:sz w:val="28"/>
          <w:szCs w:val="28"/>
        </w:rPr>
        <w:t>一、土地定级资料量化的一般要求</w:t>
      </w:r>
      <w:bookmarkEnd w:id="313"/>
      <w:bookmarkEnd w:id="314"/>
      <w:bookmarkEnd w:id="315"/>
      <w:bookmarkEnd w:id="316"/>
      <w:bookmarkEnd w:id="317"/>
      <w:bookmarkEnd w:id="318"/>
      <w:bookmarkEnd w:id="319"/>
    </w:p>
    <w:p>
      <w:pPr>
        <w:spacing w:line="480" w:lineRule="exact"/>
        <w:ind w:firstLine="480" w:firstLineChars="200"/>
        <w:rPr>
          <w:sz w:val="24"/>
          <w:szCs w:val="24"/>
        </w:rPr>
      </w:pPr>
      <w:r>
        <w:rPr>
          <w:sz w:val="24"/>
          <w:szCs w:val="24"/>
        </w:rPr>
        <w:t>1、将与土地定级因素有关的各设施、商服中心、抽样点及有关数据标注在工作底图或辅助图上；</w:t>
      </w:r>
    </w:p>
    <w:p>
      <w:pPr>
        <w:spacing w:line="480" w:lineRule="exact"/>
        <w:ind w:firstLine="480" w:firstLineChars="200"/>
        <w:rPr>
          <w:sz w:val="24"/>
          <w:szCs w:val="24"/>
        </w:rPr>
      </w:pPr>
      <w:r>
        <w:rPr>
          <w:sz w:val="24"/>
          <w:szCs w:val="24"/>
        </w:rPr>
        <w:t>2、根据分类定级的具体要求整理资料，选择和确定因素、因子的作用分值衰减公式。</w:t>
      </w:r>
    </w:p>
    <w:p>
      <w:pPr>
        <w:spacing w:line="480" w:lineRule="exact"/>
        <w:ind w:firstLine="480" w:firstLineChars="200"/>
        <w:rPr>
          <w:sz w:val="24"/>
          <w:szCs w:val="24"/>
        </w:rPr>
      </w:pPr>
      <w:r>
        <w:rPr>
          <w:sz w:val="24"/>
          <w:szCs w:val="24"/>
        </w:rPr>
        <w:t>3、各因素指标均按相对值衡量。在指标值中对规模或级别的最高值，距离想 最近或状况的最优值赋予相 对高分，其余按相对大小依次递减；</w:t>
      </w:r>
    </w:p>
    <w:p>
      <w:pPr>
        <w:spacing w:line="480" w:lineRule="exact"/>
        <w:ind w:firstLine="480" w:firstLineChars="200"/>
        <w:rPr>
          <w:sz w:val="24"/>
          <w:szCs w:val="24"/>
        </w:rPr>
      </w:pPr>
      <w:r>
        <w:rPr>
          <w:sz w:val="24"/>
          <w:szCs w:val="24"/>
        </w:rPr>
        <w:t>4、若因素的指标值只在一定范围内对土地定级产生作用，因素得分计算则在该范围内进行；凡高于或低于该范围的指标值，按该范围内的最高值或最低值看待；</w:t>
      </w:r>
    </w:p>
    <w:p>
      <w:pPr>
        <w:spacing w:line="480" w:lineRule="exact"/>
        <w:ind w:firstLine="480" w:firstLineChars="200"/>
        <w:rPr>
          <w:sz w:val="24"/>
          <w:szCs w:val="24"/>
        </w:rPr>
      </w:pPr>
      <w:r>
        <w:rPr>
          <w:sz w:val="24"/>
          <w:szCs w:val="24"/>
        </w:rPr>
        <w:t>5、根据实际情况分别按空间距离、道路距离、耗时距离等量测、整理出有关的距离数据。</w:t>
      </w:r>
    </w:p>
    <w:p>
      <w:pPr>
        <w:spacing w:line="360" w:lineRule="auto"/>
        <w:ind w:firstLine="560" w:firstLineChars="200"/>
        <w:outlineLvl w:val="2"/>
        <w:rPr>
          <w:rFonts w:eastAsia="黑体"/>
          <w:sz w:val="28"/>
          <w:szCs w:val="28"/>
        </w:rPr>
      </w:pPr>
      <w:bookmarkStart w:id="320" w:name="_Toc469296437"/>
      <w:bookmarkStart w:id="321" w:name="_Toc467846829"/>
      <w:bookmarkStart w:id="322" w:name="_Toc470721288"/>
      <w:bookmarkStart w:id="323" w:name="_Toc271529433"/>
      <w:bookmarkStart w:id="324" w:name="_Toc15055"/>
      <w:bookmarkStart w:id="325" w:name="_Toc10494"/>
      <w:r>
        <w:rPr>
          <w:rFonts w:eastAsia="黑体"/>
          <w:sz w:val="28"/>
          <w:szCs w:val="28"/>
        </w:rPr>
        <w:t>二、商服繁华影响度量化</w:t>
      </w:r>
      <w:bookmarkEnd w:id="320"/>
      <w:bookmarkEnd w:id="321"/>
      <w:bookmarkEnd w:id="322"/>
      <w:bookmarkEnd w:id="323"/>
      <w:bookmarkEnd w:id="324"/>
      <w:bookmarkEnd w:id="325"/>
    </w:p>
    <w:p>
      <w:pPr>
        <w:spacing w:line="360" w:lineRule="auto"/>
        <w:ind w:firstLine="482" w:firstLineChars="200"/>
        <w:rPr>
          <w:b/>
          <w:sz w:val="24"/>
          <w:szCs w:val="24"/>
        </w:rPr>
      </w:pPr>
      <w:r>
        <w:rPr>
          <w:b/>
          <w:sz w:val="24"/>
          <w:szCs w:val="24"/>
        </w:rPr>
        <w:t>1、商服中心及其等级划分</w:t>
      </w:r>
    </w:p>
    <w:p>
      <w:pPr>
        <w:spacing w:line="480" w:lineRule="exact"/>
        <w:ind w:firstLine="480" w:firstLineChars="200"/>
        <w:rPr>
          <w:sz w:val="24"/>
          <w:szCs w:val="24"/>
        </w:rPr>
      </w:pPr>
      <w:r>
        <w:rPr>
          <w:sz w:val="24"/>
          <w:szCs w:val="24"/>
        </w:rPr>
        <w:t>商服繁华影响度是指商业、服务业及金融业等的集聚程度及对土地质量的影响程度，是反映城市土地区位的重要指标，是土地定级因素中一项最基本和最关键的因素。商服中心中规模较大的商业服务业中心的营业额、占地面积、职工人数等指标最能直观地体现出某个区域的繁华程度。商服中心一般为城市中对企业、事业单位办公和居民消费居住等日常生活产生吸引力的繁华地段，包括商场、集贸市场、金融（银行、证券交易）、中高级饭店、旅店、宾馆、酒店、影剧院等商业、服务业比较集中的城市的某些地区。其影响程度高低反映出该区域居民购物的方便程度和商服业的集聚程度，是反映土地经济区位的重要指标。（具体见表2-3-1）。</w:t>
      </w:r>
    </w:p>
    <w:p>
      <w:pPr>
        <w:spacing w:line="360" w:lineRule="auto"/>
        <w:ind w:firstLine="482" w:firstLineChars="200"/>
        <w:jc w:val="center"/>
        <w:rPr>
          <w:rFonts w:eastAsia="黑体"/>
          <w:b/>
          <w:bCs/>
          <w:sz w:val="24"/>
          <w:szCs w:val="24"/>
        </w:rPr>
      </w:pPr>
      <w:r>
        <w:rPr>
          <w:rFonts w:eastAsia="黑体"/>
          <w:b/>
          <w:bCs/>
          <w:sz w:val="24"/>
          <w:szCs w:val="24"/>
        </w:rPr>
        <w:br w:type="page"/>
      </w:r>
    </w:p>
    <w:p>
      <w:pPr>
        <w:tabs>
          <w:tab w:val="left" w:pos="720"/>
        </w:tabs>
        <w:spacing w:line="480" w:lineRule="exact"/>
        <w:jc w:val="center"/>
        <w:rPr>
          <w:b/>
          <w:sz w:val="24"/>
          <w:szCs w:val="22"/>
        </w:rPr>
      </w:pPr>
      <w:r>
        <w:rPr>
          <w:b/>
          <w:sz w:val="24"/>
          <w:szCs w:val="22"/>
        </w:rPr>
        <w:t>表2-3-1  商服中心划分结果表</w:t>
      </w:r>
    </w:p>
    <w:tbl>
      <w:tblPr>
        <w:tblW w:w="84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718"/>
        <w:gridCol w:w="667"/>
        <w:gridCol w:w="6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7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商服中心级别</w:t>
            </w:r>
          </w:p>
        </w:tc>
        <w:tc>
          <w:tcPr>
            <w:tcW w:w="667" w:type="dxa"/>
            <w:tcBorders>
              <w:top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数目</w:t>
            </w:r>
          </w:p>
        </w:tc>
        <w:tc>
          <w:tcPr>
            <w:tcW w:w="6100" w:type="dxa"/>
            <w:tcBorders>
              <w:top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名称（位置）描述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78" w:hRule="atLeast"/>
        </w:trPr>
        <w:tc>
          <w:tcPr>
            <w:tcW w:w="1718" w:type="dxa"/>
            <w:tcBorders>
              <w:left w:val="single" w:color="000000" w:sz="4" w:space="0"/>
              <w:bottom w:val="single" w:color="000000" w:sz="4" w:space="0"/>
              <w:right w:val="single" w:color="000000" w:sz="4" w:space="0"/>
            </w:tcBorders>
            <w:vAlign w:val="center"/>
          </w:tcPr>
          <w:p>
            <w:pPr>
              <w:spacing w:line="240" w:lineRule="exact"/>
              <w:ind w:left="-105" w:leftChars="-50" w:right="-105" w:rightChars="-50"/>
              <w:jc w:val="center"/>
              <w:rPr>
                <w:kern w:val="0"/>
                <w:szCs w:val="21"/>
              </w:rPr>
            </w:pPr>
            <w:r>
              <w:rPr>
                <w:color w:val="000000"/>
                <w:kern w:val="0"/>
                <w:szCs w:val="21"/>
              </w:rPr>
              <w:t>一级</w:t>
            </w:r>
          </w:p>
        </w:tc>
        <w:tc>
          <w:tcPr>
            <w:tcW w:w="667" w:type="dxa"/>
            <w:tcBorders>
              <w:bottom w:val="single" w:color="000000" w:sz="4" w:space="0"/>
              <w:right w:val="single" w:color="000000" w:sz="4" w:space="0"/>
            </w:tcBorders>
            <w:vAlign w:val="center"/>
          </w:tcPr>
          <w:p>
            <w:pPr>
              <w:ind w:left="-105" w:leftChars="-50" w:right="-105" w:rightChars="-50"/>
              <w:jc w:val="center"/>
              <w:rPr>
                <w:kern w:val="0"/>
                <w:szCs w:val="21"/>
              </w:rPr>
            </w:pPr>
            <w:r>
              <w:rPr>
                <w:kern w:val="0"/>
                <w:szCs w:val="21"/>
              </w:rPr>
              <w:t>2</w:t>
            </w:r>
          </w:p>
        </w:tc>
        <w:tc>
          <w:tcPr>
            <w:tcW w:w="6100" w:type="dxa"/>
            <w:tcBorders>
              <w:bottom w:val="single" w:color="000000" w:sz="4" w:space="0"/>
              <w:right w:val="single" w:color="000000" w:sz="4" w:space="0"/>
            </w:tcBorders>
            <w:vAlign w:val="center"/>
          </w:tcPr>
          <w:p>
            <w:pPr>
              <w:ind w:left="-105" w:leftChars="-50" w:right="-105" w:rightChars="-50"/>
              <w:jc w:val="center"/>
              <w:rPr>
                <w:rFonts w:eastAsia="仿宋_GB2312"/>
                <w:kern w:val="0"/>
                <w:szCs w:val="21"/>
              </w:rPr>
            </w:pPr>
            <w:r>
              <w:rPr>
                <w:color w:val="000000"/>
                <w:kern w:val="0"/>
                <w:szCs w:val="21"/>
              </w:rPr>
              <w:t>通程商业广场、华润万象汇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65" w:hRule="atLeast"/>
        </w:trPr>
        <w:tc>
          <w:tcPr>
            <w:tcW w:w="1718" w:type="dxa"/>
            <w:tcBorders>
              <w:left w:val="single" w:color="000000" w:sz="4" w:space="0"/>
              <w:bottom w:val="single" w:color="000000" w:sz="4" w:space="0"/>
              <w:right w:val="single" w:color="000000" w:sz="4" w:space="0"/>
            </w:tcBorders>
            <w:vAlign w:val="center"/>
          </w:tcPr>
          <w:p>
            <w:pPr>
              <w:spacing w:line="240" w:lineRule="exact"/>
              <w:ind w:left="-105" w:leftChars="-50" w:right="-105" w:rightChars="-50"/>
              <w:jc w:val="center"/>
              <w:rPr>
                <w:kern w:val="0"/>
                <w:szCs w:val="21"/>
              </w:rPr>
            </w:pPr>
            <w:r>
              <w:rPr>
                <w:color w:val="000000"/>
                <w:kern w:val="0"/>
                <w:szCs w:val="21"/>
              </w:rPr>
              <w:t>二级</w:t>
            </w:r>
          </w:p>
        </w:tc>
        <w:tc>
          <w:tcPr>
            <w:tcW w:w="667" w:type="dxa"/>
            <w:tcBorders>
              <w:bottom w:val="single" w:color="000000" w:sz="4" w:space="0"/>
              <w:right w:val="single" w:color="000000" w:sz="4" w:space="0"/>
            </w:tcBorders>
            <w:vAlign w:val="center"/>
          </w:tcPr>
          <w:p>
            <w:pPr>
              <w:ind w:left="-105" w:leftChars="-50" w:right="-105" w:rightChars="-50"/>
              <w:jc w:val="center"/>
              <w:rPr>
                <w:kern w:val="0"/>
                <w:szCs w:val="21"/>
              </w:rPr>
            </w:pPr>
            <w:r>
              <w:rPr>
                <w:rFonts w:hint="eastAsia"/>
                <w:kern w:val="0"/>
                <w:szCs w:val="21"/>
              </w:rPr>
              <w:t>4</w:t>
            </w:r>
          </w:p>
        </w:tc>
        <w:tc>
          <w:tcPr>
            <w:tcW w:w="6100" w:type="dxa"/>
            <w:tcBorders>
              <w:bottom w:val="single" w:color="000000" w:sz="4" w:space="0"/>
              <w:right w:val="single" w:color="000000" w:sz="4" w:space="0"/>
            </w:tcBorders>
            <w:vAlign w:val="center"/>
          </w:tcPr>
          <w:p>
            <w:pPr>
              <w:ind w:left="-105" w:leftChars="-50" w:right="-105" w:rightChars="-50"/>
              <w:jc w:val="center"/>
              <w:rPr>
                <w:kern w:val="0"/>
                <w:szCs w:val="21"/>
              </w:rPr>
            </w:pPr>
            <w:r>
              <w:rPr>
                <w:szCs w:val="21"/>
              </w:rPr>
              <w:t>龙禧商业街、</w:t>
            </w:r>
            <w:r>
              <w:rPr>
                <w:color w:val="000000"/>
                <w:kern w:val="0"/>
                <w:szCs w:val="21"/>
              </w:rPr>
              <w:t>新长海数码广场、昌和购物中心、魔方泉塘商业中心</w:t>
            </w:r>
          </w:p>
        </w:tc>
      </w:tr>
    </w:tbl>
    <w:p>
      <w:pPr>
        <w:spacing w:line="480" w:lineRule="exact"/>
        <w:ind w:firstLine="480" w:firstLineChars="200"/>
        <w:rPr>
          <w:sz w:val="24"/>
          <w:szCs w:val="24"/>
        </w:rPr>
      </w:pPr>
      <w:r>
        <w:rPr>
          <w:sz w:val="24"/>
          <w:szCs w:val="24"/>
        </w:rPr>
        <w:t>根据长沙县相关部门提供的资料，参照《城市商服网点规划》、咨询熟悉当地情况的相关专家，并结合实地调查，按各中心的作用和相对规模，将商服中心划分为一级商服中心、二级商服中心两个等级。根据商服中心的确定原则和级别划分依据，我们请长沙县有关部门的专家进行了专题讨论，确定了一级商服中心2个，二级商服中心4个。</w:t>
      </w:r>
    </w:p>
    <w:p>
      <w:pPr>
        <w:spacing w:line="360" w:lineRule="auto"/>
        <w:ind w:firstLine="482" w:firstLineChars="200"/>
        <w:rPr>
          <w:b/>
          <w:color w:val="000000"/>
          <w:sz w:val="24"/>
          <w:szCs w:val="24"/>
        </w:rPr>
      </w:pPr>
      <w:r>
        <w:rPr>
          <w:b/>
          <w:color w:val="000000"/>
          <w:sz w:val="24"/>
          <w:szCs w:val="24"/>
        </w:rPr>
        <w:t>2、商服中心规模指数确定</w:t>
      </w:r>
    </w:p>
    <w:p>
      <w:pPr>
        <w:spacing w:line="480" w:lineRule="exact"/>
        <w:ind w:firstLine="480" w:firstLineChars="200"/>
        <w:rPr>
          <w:sz w:val="24"/>
          <w:szCs w:val="24"/>
        </w:rPr>
      </w:pPr>
      <w:r>
        <w:rPr>
          <w:sz w:val="24"/>
          <w:szCs w:val="24"/>
        </w:rPr>
        <w:t>各商服中心规模指数用销售总额单项经济指标按下式确定：</w:t>
      </w:r>
    </w:p>
    <w:p>
      <w:pPr>
        <w:spacing w:line="360" w:lineRule="auto"/>
        <w:ind w:firstLine="480" w:firstLineChars="200"/>
        <w:jc w:val="center"/>
        <w:rPr>
          <w:sz w:val="24"/>
          <w:szCs w:val="24"/>
        </w:rPr>
      </w:pPr>
      <w:r>
        <w:rPr>
          <w:sz w:val="24"/>
          <w:szCs w:val="24"/>
        </w:rPr>
        <w:t>I</w:t>
      </w:r>
      <w:r>
        <w:rPr>
          <w:sz w:val="24"/>
          <w:szCs w:val="24"/>
          <w:vertAlign w:val="subscript"/>
        </w:rPr>
        <w:t>k</w:t>
      </w:r>
      <w:r>
        <w:rPr>
          <w:sz w:val="24"/>
          <w:szCs w:val="24"/>
          <w:vertAlign w:val="superscript"/>
        </w:rPr>
        <w:t>M</w:t>
      </w:r>
      <w:r>
        <w:rPr>
          <w:sz w:val="24"/>
          <w:szCs w:val="24"/>
        </w:rPr>
        <w:t>=100×X</w:t>
      </w:r>
      <w:r>
        <w:rPr>
          <w:sz w:val="24"/>
          <w:szCs w:val="24"/>
          <w:vertAlign w:val="subscript"/>
        </w:rPr>
        <w:t>k</w:t>
      </w:r>
      <w:r>
        <w:rPr>
          <w:sz w:val="24"/>
          <w:szCs w:val="24"/>
          <w:vertAlign w:val="superscript"/>
        </w:rPr>
        <w:t>M</w:t>
      </w:r>
      <w:r>
        <w:rPr>
          <w:sz w:val="24"/>
          <w:szCs w:val="24"/>
        </w:rPr>
        <w:t>÷X</w:t>
      </w:r>
      <w:r>
        <w:rPr>
          <w:sz w:val="24"/>
          <w:szCs w:val="24"/>
          <w:vertAlign w:val="subscript"/>
        </w:rPr>
        <w:t>max</w:t>
      </w:r>
      <w:r>
        <w:rPr>
          <w:sz w:val="24"/>
          <w:szCs w:val="24"/>
          <w:vertAlign w:val="superscript"/>
        </w:rPr>
        <w:t xml:space="preserve">M    </w:t>
      </w:r>
      <w:r>
        <w:rPr>
          <w:sz w:val="24"/>
          <w:szCs w:val="24"/>
        </w:rPr>
        <w:t>(公式2-3-1)</w:t>
      </w:r>
    </w:p>
    <w:p>
      <w:pPr>
        <w:spacing w:line="480" w:lineRule="exact"/>
        <w:ind w:firstLine="480" w:firstLineChars="200"/>
        <w:rPr>
          <w:sz w:val="24"/>
          <w:szCs w:val="24"/>
        </w:rPr>
      </w:pPr>
      <w:r>
        <w:rPr>
          <w:sz w:val="24"/>
          <w:szCs w:val="24"/>
        </w:rPr>
        <w:t>式中：IkM —K商服中心的规模指数；XkM—K商服中心销售总额指标平均值；</w:t>
      </w:r>
    </w:p>
    <w:p>
      <w:pPr>
        <w:spacing w:line="480" w:lineRule="exact"/>
        <w:ind w:firstLine="480" w:firstLineChars="200"/>
        <w:rPr>
          <w:sz w:val="24"/>
          <w:szCs w:val="24"/>
        </w:rPr>
      </w:pPr>
      <w:r>
        <w:rPr>
          <w:sz w:val="24"/>
          <w:szCs w:val="24"/>
        </w:rPr>
        <w:t>XmaxM—最高级商服中心的经济指标。</w:t>
      </w:r>
    </w:p>
    <w:p>
      <w:pPr>
        <w:spacing w:line="360" w:lineRule="auto"/>
        <w:ind w:firstLine="482" w:firstLineChars="200"/>
        <w:rPr>
          <w:b/>
          <w:sz w:val="24"/>
          <w:szCs w:val="24"/>
        </w:rPr>
      </w:pPr>
      <w:r>
        <w:rPr>
          <w:b/>
          <w:sz w:val="24"/>
          <w:szCs w:val="24"/>
        </w:rPr>
        <w:t>3、商服中心服务半径及作用分值的确定</w:t>
      </w:r>
    </w:p>
    <w:p>
      <w:pPr>
        <w:spacing w:line="480" w:lineRule="exact"/>
        <w:ind w:firstLine="480" w:firstLineChars="200"/>
        <w:rPr>
          <w:sz w:val="24"/>
          <w:szCs w:val="24"/>
        </w:rPr>
      </w:pPr>
      <w:r>
        <w:rPr>
          <w:sz w:val="24"/>
          <w:szCs w:val="24"/>
        </w:rPr>
        <w:t>商服中心各级功能的服务半径以商服中心边缘为起算点，按照一级商服中心综合影响应是整个城区，因此，根据均衡分布原则，区级商服中心的服务半径等于区级中心边缘到连片建成区边缘的最大距离，区级商服中心以外的各级中心，采用公式计算服务半径，并根据实际情况作一定的调整。商服中心的服务半径计算如下：</w:t>
      </w:r>
    </w:p>
    <w:p>
      <w:pPr>
        <w:spacing w:line="360" w:lineRule="auto"/>
        <w:ind w:firstLine="480" w:firstLineChars="200"/>
        <w:jc w:val="center"/>
        <w:rPr>
          <w:sz w:val="24"/>
          <w:szCs w:val="24"/>
        </w:rPr>
      </w:pPr>
      <w:r>
        <w:rPr>
          <w:sz w:val="24"/>
          <w:szCs w:val="24"/>
        </w:rPr>
        <w:t>d=（</w:t>
      </w:r>
      <w:r>
        <w:rPr>
          <w:rFonts w:ascii="Times New Roman" w:hAnsi="Times New Roman" w:eastAsia="宋体" w:cs="Times New Roman"/>
          <w:kern w:val="2"/>
          <w:sz w:val="24"/>
          <w:szCs w:val="24"/>
          <w:lang w:val="en-US" w:eastAsia="zh-CN" w:bidi="ar-SA"/>
        </w:rPr>
        <w:object>
          <v:shape id="Picture 2" type="#_x0000_t75" style="height:18.4pt;width:41.85pt;rotation:0f;" o:ole="t" fillcolor="#FFFFFF" filled="f" o:preferrelative="t" stroked="f" coordorigin="0,0" coordsize="21600,21600">
            <v:fill on="f" color2="#FFFFFF" focus="0%"/>
            <v:imagedata gain="65536f" blacklevel="0f" gamma="0" o:title="" r:id="rId40"/>
            <o:lock v:ext="edit" position="f" selection="f" grouping="f" rotation="f" cropping="f" text="f" aspectratio="t"/>
            <w10:wrap type="none"/>
            <w10:anchorlock/>
          </v:shape>
          <o:OLEObject Type="Embed" ProgID="" ShapeID="Picture 2" DrawAspect="Content" ObjectID="_95" r:id="rId39"/>
        </w:object>
      </w:r>
      <w:r>
        <w:rPr>
          <w:sz w:val="24"/>
          <w:szCs w:val="24"/>
        </w:rPr>
        <w:t>）   (公式2-3-2)</w:t>
      </w:r>
    </w:p>
    <w:p>
      <w:pPr>
        <w:spacing w:line="480" w:lineRule="exact"/>
        <w:ind w:firstLine="480" w:firstLineChars="200"/>
        <w:rPr>
          <w:b/>
          <w:sz w:val="24"/>
          <w:szCs w:val="22"/>
        </w:rPr>
      </w:pPr>
      <w:r>
        <w:rPr>
          <w:sz w:val="24"/>
          <w:szCs w:val="24"/>
        </w:rPr>
        <w:t>式中：d—商服中心服务半径；S—城区评估区面积；n—某级商服中心个数（大于或等于本级商服中心数目）。</w:t>
      </w:r>
    </w:p>
    <w:p>
      <w:pPr>
        <w:tabs>
          <w:tab w:val="left" w:pos="720"/>
        </w:tabs>
        <w:spacing w:line="480" w:lineRule="exact"/>
        <w:jc w:val="center"/>
        <w:rPr>
          <w:b/>
          <w:sz w:val="24"/>
          <w:szCs w:val="22"/>
        </w:rPr>
      </w:pPr>
      <w:r>
        <w:rPr>
          <w:b/>
          <w:sz w:val="24"/>
          <w:szCs w:val="22"/>
        </w:rPr>
        <w:t>表2-3-2  长沙县商服中心指标分析结果表</w:t>
      </w:r>
    </w:p>
    <w:tbl>
      <w:tblP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980"/>
        <w:gridCol w:w="2298"/>
        <w:gridCol w:w="1309"/>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97" w:type="dxa"/>
            <w:vAlign w:val="center"/>
          </w:tcPr>
          <w:p>
            <w:pPr>
              <w:widowControl/>
              <w:jc w:val="center"/>
              <w:rPr>
                <w:b/>
                <w:bCs/>
                <w:color w:val="000000"/>
                <w:kern w:val="0"/>
                <w:sz w:val="22"/>
              </w:rPr>
            </w:pPr>
            <w:r>
              <w:rPr>
                <w:b/>
                <w:bCs/>
                <w:color w:val="000000"/>
                <w:kern w:val="0"/>
                <w:sz w:val="22"/>
              </w:rPr>
              <w:t>商服中心级别</w:t>
            </w:r>
          </w:p>
        </w:tc>
        <w:tc>
          <w:tcPr>
            <w:tcW w:w="980" w:type="dxa"/>
            <w:vAlign w:val="center"/>
          </w:tcPr>
          <w:p>
            <w:pPr>
              <w:widowControl/>
              <w:jc w:val="center"/>
              <w:rPr>
                <w:b/>
                <w:bCs/>
                <w:color w:val="000000"/>
                <w:kern w:val="0"/>
                <w:sz w:val="22"/>
              </w:rPr>
            </w:pPr>
            <w:r>
              <w:rPr>
                <w:b/>
                <w:bCs/>
                <w:color w:val="000000"/>
                <w:kern w:val="0"/>
                <w:sz w:val="22"/>
              </w:rPr>
              <w:t>数目</w:t>
            </w:r>
          </w:p>
        </w:tc>
        <w:tc>
          <w:tcPr>
            <w:tcW w:w="2298" w:type="dxa"/>
            <w:vAlign w:val="center"/>
          </w:tcPr>
          <w:p>
            <w:pPr>
              <w:widowControl/>
              <w:jc w:val="center"/>
              <w:rPr>
                <w:b/>
                <w:bCs/>
                <w:color w:val="000000"/>
                <w:kern w:val="0"/>
                <w:sz w:val="22"/>
              </w:rPr>
            </w:pPr>
            <w:r>
              <w:rPr>
                <w:b/>
                <w:bCs/>
                <w:color w:val="000000"/>
                <w:kern w:val="0"/>
                <w:sz w:val="22"/>
              </w:rPr>
              <w:t>平均规模指数</w:t>
            </w:r>
          </w:p>
        </w:tc>
        <w:tc>
          <w:tcPr>
            <w:tcW w:w="1309" w:type="dxa"/>
            <w:vAlign w:val="center"/>
          </w:tcPr>
          <w:p>
            <w:pPr>
              <w:widowControl/>
              <w:jc w:val="center"/>
              <w:rPr>
                <w:b/>
                <w:bCs/>
                <w:color w:val="000000"/>
                <w:kern w:val="0"/>
                <w:sz w:val="22"/>
              </w:rPr>
            </w:pPr>
            <w:r>
              <w:rPr>
                <w:b/>
                <w:bCs/>
                <w:color w:val="000000"/>
                <w:kern w:val="0"/>
                <w:sz w:val="22"/>
              </w:rPr>
              <w:t>功能分</w:t>
            </w:r>
          </w:p>
        </w:tc>
        <w:tc>
          <w:tcPr>
            <w:tcW w:w="1638" w:type="dxa"/>
            <w:vAlign w:val="center"/>
          </w:tcPr>
          <w:p>
            <w:pPr>
              <w:widowControl/>
              <w:jc w:val="center"/>
              <w:rPr>
                <w:b/>
                <w:bCs/>
                <w:color w:val="000000"/>
                <w:kern w:val="0"/>
                <w:sz w:val="22"/>
              </w:rPr>
            </w:pPr>
            <w:r>
              <w:rPr>
                <w:b/>
                <w:bCs/>
                <w:color w:val="000000"/>
                <w:kern w:val="0"/>
                <w:sz w:val="22"/>
              </w:rPr>
              <w:t>作用半径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97" w:type="dxa"/>
            <w:vAlign w:val="center"/>
          </w:tcPr>
          <w:p>
            <w:pPr>
              <w:widowControl/>
              <w:jc w:val="center"/>
              <w:rPr>
                <w:color w:val="000000"/>
                <w:kern w:val="0"/>
                <w:sz w:val="22"/>
                <w:szCs w:val="22"/>
              </w:rPr>
            </w:pPr>
            <w:r>
              <w:rPr>
                <w:sz w:val="22"/>
                <w:szCs w:val="22"/>
              </w:rPr>
              <w:t>一级</w:t>
            </w:r>
          </w:p>
        </w:tc>
        <w:tc>
          <w:tcPr>
            <w:tcW w:w="980" w:type="dxa"/>
            <w:vAlign w:val="center"/>
          </w:tcPr>
          <w:p>
            <w:pPr>
              <w:widowControl/>
              <w:jc w:val="center"/>
              <w:rPr>
                <w:color w:val="000000"/>
                <w:kern w:val="0"/>
                <w:sz w:val="22"/>
              </w:rPr>
            </w:pPr>
            <w:r>
              <w:rPr>
                <w:color w:val="000000"/>
                <w:kern w:val="0"/>
                <w:sz w:val="22"/>
              </w:rPr>
              <w:t>2</w:t>
            </w:r>
          </w:p>
        </w:tc>
        <w:tc>
          <w:tcPr>
            <w:tcW w:w="2298" w:type="dxa"/>
            <w:vAlign w:val="center"/>
          </w:tcPr>
          <w:p>
            <w:pPr>
              <w:widowControl/>
              <w:jc w:val="center"/>
              <w:rPr>
                <w:color w:val="000000"/>
                <w:kern w:val="0"/>
                <w:sz w:val="22"/>
              </w:rPr>
            </w:pPr>
            <w:r>
              <w:rPr>
                <w:color w:val="000000"/>
                <w:kern w:val="0"/>
                <w:sz w:val="22"/>
              </w:rPr>
              <w:t>100</w:t>
            </w:r>
          </w:p>
        </w:tc>
        <w:tc>
          <w:tcPr>
            <w:tcW w:w="1309" w:type="dxa"/>
            <w:vAlign w:val="center"/>
          </w:tcPr>
          <w:p>
            <w:pPr>
              <w:widowControl/>
              <w:jc w:val="center"/>
              <w:rPr>
                <w:color w:val="000000"/>
                <w:kern w:val="0"/>
                <w:sz w:val="22"/>
              </w:rPr>
            </w:pPr>
            <w:r>
              <w:rPr>
                <w:color w:val="000000"/>
                <w:kern w:val="0"/>
                <w:sz w:val="22"/>
              </w:rPr>
              <w:t>60</w:t>
            </w:r>
          </w:p>
        </w:tc>
        <w:tc>
          <w:tcPr>
            <w:tcW w:w="1638" w:type="dxa"/>
            <w:vAlign w:val="center"/>
          </w:tcPr>
          <w:p>
            <w:pPr>
              <w:widowControl/>
              <w:jc w:val="center"/>
              <w:rPr>
                <w:color w:val="000000"/>
                <w:kern w:val="0"/>
                <w:sz w:val="22"/>
              </w:rPr>
            </w:pPr>
            <w:r>
              <w:rPr>
                <w:rFonts w:hint="eastAsia"/>
                <w:color w:val="000000"/>
                <w:kern w:val="0"/>
                <w:sz w:val="22"/>
              </w:rPr>
              <w:t>4497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97" w:type="dxa"/>
            <w:vAlign w:val="center"/>
          </w:tcPr>
          <w:p>
            <w:pPr>
              <w:widowControl/>
              <w:jc w:val="center"/>
              <w:rPr>
                <w:color w:val="000000"/>
                <w:kern w:val="0"/>
                <w:sz w:val="22"/>
                <w:szCs w:val="22"/>
              </w:rPr>
            </w:pPr>
            <w:r>
              <w:rPr>
                <w:color w:val="000000"/>
                <w:kern w:val="0"/>
                <w:sz w:val="22"/>
                <w:szCs w:val="22"/>
              </w:rPr>
              <w:t>二级</w:t>
            </w:r>
          </w:p>
        </w:tc>
        <w:tc>
          <w:tcPr>
            <w:tcW w:w="980" w:type="dxa"/>
            <w:vAlign w:val="center"/>
          </w:tcPr>
          <w:p>
            <w:pPr>
              <w:widowControl/>
              <w:jc w:val="center"/>
              <w:rPr>
                <w:color w:val="000000"/>
                <w:kern w:val="0"/>
                <w:sz w:val="22"/>
              </w:rPr>
            </w:pPr>
            <w:r>
              <w:rPr>
                <w:color w:val="000000"/>
                <w:kern w:val="0"/>
                <w:sz w:val="22"/>
              </w:rPr>
              <w:t>4</w:t>
            </w:r>
          </w:p>
        </w:tc>
        <w:tc>
          <w:tcPr>
            <w:tcW w:w="2298" w:type="dxa"/>
            <w:vAlign w:val="center"/>
          </w:tcPr>
          <w:p>
            <w:pPr>
              <w:widowControl/>
              <w:jc w:val="center"/>
              <w:rPr>
                <w:color w:val="000000"/>
                <w:kern w:val="0"/>
                <w:sz w:val="22"/>
              </w:rPr>
            </w:pPr>
            <w:r>
              <w:rPr>
                <w:color w:val="000000"/>
                <w:kern w:val="0"/>
                <w:sz w:val="22"/>
              </w:rPr>
              <w:t>40</w:t>
            </w:r>
          </w:p>
        </w:tc>
        <w:tc>
          <w:tcPr>
            <w:tcW w:w="1309" w:type="dxa"/>
            <w:vAlign w:val="center"/>
          </w:tcPr>
          <w:p>
            <w:pPr>
              <w:widowControl/>
              <w:jc w:val="center"/>
              <w:rPr>
                <w:color w:val="000000"/>
                <w:kern w:val="0"/>
                <w:sz w:val="22"/>
              </w:rPr>
            </w:pPr>
            <w:r>
              <w:rPr>
                <w:color w:val="000000"/>
                <w:kern w:val="0"/>
                <w:sz w:val="22"/>
              </w:rPr>
              <w:t>40</w:t>
            </w:r>
          </w:p>
        </w:tc>
        <w:tc>
          <w:tcPr>
            <w:tcW w:w="1638" w:type="dxa"/>
            <w:vAlign w:val="center"/>
          </w:tcPr>
          <w:p>
            <w:pPr>
              <w:widowControl/>
              <w:jc w:val="center"/>
              <w:rPr>
                <w:color w:val="000000"/>
                <w:kern w:val="0"/>
                <w:sz w:val="22"/>
              </w:rPr>
            </w:pPr>
            <w:r>
              <w:rPr>
                <w:rFonts w:hint="eastAsia"/>
                <w:color w:val="000000"/>
                <w:kern w:val="0"/>
                <w:sz w:val="22"/>
              </w:rPr>
              <w:t>3180</w:t>
            </w:r>
          </w:p>
        </w:tc>
      </w:tr>
    </w:tbl>
    <w:p>
      <w:pPr>
        <w:spacing w:line="360" w:lineRule="auto"/>
        <w:ind w:firstLine="482" w:firstLineChars="200"/>
        <w:jc w:val="left"/>
        <w:textAlignment w:val="baseline"/>
        <w:rPr>
          <w:b/>
          <w:sz w:val="24"/>
          <w:szCs w:val="24"/>
        </w:rPr>
      </w:pPr>
      <w:bookmarkStart w:id="326" w:name="_Toc271529434"/>
      <w:r>
        <w:rPr>
          <w:b/>
          <w:sz w:val="24"/>
          <w:szCs w:val="24"/>
        </w:rPr>
        <w:t>4、商服中心指标影响结果</w:t>
      </w:r>
    </w:p>
    <w:p>
      <w:pPr>
        <w:spacing w:line="480" w:lineRule="exact"/>
        <w:ind w:firstLine="480" w:firstLineChars="200"/>
        <w:rPr>
          <w:sz w:val="24"/>
          <w:szCs w:val="24"/>
        </w:rPr>
      </w:pPr>
      <w:r>
        <w:rPr>
          <w:sz w:val="24"/>
          <w:szCs w:val="24"/>
        </w:rPr>
        <w:t>根据商服繁华度定级因素因子对各类用地的影响方式，选择商服、住宅用地定级确定的衰减模型，对商服繁华度作用于各评价单位情况，采用Arcgis软件进行缓冲区分析，然后将不同级别的影响分值进行叠加，最终测算出各评价单元的分值。图2-3-1为城区商服中心作用分值示意图。</w:t>
      </w:r>
    </w:p>
    <w:p>
      <w:pPr>
        <w:ind w:firstLine="420" w:firstLineChars="200"/>
        <w:jc w:val="center"/>
        <w:rPr>
          <w:sz w:val="24"/>
          <w:szCs w:val="24"/>
        </w:rPr>
      </w:pPr>
      <w:r>
        <w:rPr>
          <w:rFonts w:ascii="Times New Roman" w:hAnsi="Times New Roman" w:eastAsia="宋体" w:cs="Times New Roman"/>
          <w:kern w:val="2"/>
          <w:sz w:val="21"/>
          <w:lang w:val="en-US" w:eastAsia="zh-CN" w:bidi="ar-SA"/>
        </w:rPr>
        <w:pict>
          <v:shape id="图片 104" o:spid="_x0000_s1123" type="#_x0000_t75" style="height:371.25pt;width:262.25pt;rotation:0f;" o:ole="f" fillcolor="#FFFFFF" filled="f" o:preferrelative="t" stroked="f" coordorigin="0,0" coordsize="21600,21600">
            <v:fill on="f" color2="#FFFFFF" focus="0%"/>
            <v:imagedata gain="65536f" blacklevel="0f" gamma="0" o:title="" r:id="rId41"/>
            <o:lock v:ext="edit" position="f" selection="f" grouping="f" rotation="f" cropping="f" text="f" aspectratio="t"/>
            <w10:wrap type="none"/>
            <w10:anchorlock/>
          </v:shape>
        </w:pict>
      </w:r>
    </w:p>
    <w:p>
      <w:pPr>
        <w:spacing w:line="360" w:lineRule="auto"/>
        <w:ind w:firstLine="482" w:firstLineChars="200"/>
        <w:jc w:val="center"/>
        <w:rPr>
          <w:rFonts w:eastAsia="黑体"/>
          <w:b/>
          <w:bCs/>
          <w:sz w:val="24"/>
          <w:szCs w:val="24"/>
        </w:rPr>
      </w:pPr>
      <w:r>
        <w:rPr>
          <w:rFonts w:eastAsia="黑体"/>
          <w:b/>
          <w:bCs/>
          <w:sz w:val="24"/>
          <w:szCs w:val="24"/>
        </w:rPr>
        <w:t>图2-3-1 长沙县城区商服中心作用分值示意图</w:t>
      </w:r>
    </w:p>
    <w:p>
      <w:pPr>
        <w:spacing w:line="360" w:lineRule="auto"/>
        <w:ind w:firstLine="560" w:firstLineChars="200"/>
        <w:outlineLvl w:val="2"/>
        <w:rPr>
          <w:rFonts w:eastAsia="黑体"/>
          <w:sz w:val="28"/>
          <w:szCs w:val="28"/>
        </w:rPr>
      </w:pPr>
      <w:bookmarkStart w:id="327" w:name="_Toc470721289"/>
      <w:bookmarkStart w:id="328" w:name="_Toc308"/>
      <w:bookmarkStart w:id="329" w:name="_Toc469296438"/>
      <w:bookmarkStart w:id="330" w:name="_Toc467846830"/>
      <w:bookmarkStart w:id="331" w:name="_Toc32757"/>
      <w:r>
        <w:rPr>
          <w:rFonts w:eastAsia="黑体"/>
          <w:sz w:val="28"/>
          <w:szCs w:val="28"/>
        </w:rPr>
        <w:t>三、交通条件的量化</w:t>
      </w:r>
      <w:bookmarkEnd w:id="326"/>
      <w:bookmarkEnd w:id="327"/>
      <w:bookmarkEnd w:id="328"/>
      <w:bookmarkEnd w:id="329"/>
      <w:bookmarkEnd w:id="330"/>
      <w:bookmarkEnd w:id="331"/>
    </w:p>
    <w:p>
      <w:pPr>
        <w:spacing w:line="480" w:lineRule="exact"/>
        <w:ind w:firstLine="480" w:firstLineChars="200"/>
        <w:rPr>
          <w:sz w:val="24"/>
          <w:szCs w:val="24"/>
        </w:rPr>
      </w:pPr>
      <w:r>
        <w:rPr>
          <w:sz w:val="24"/>
          <w:szCs w:val="24"/>
        </w:rPr>
        <w:t>具体包括道路通达度、公交便捷度和对外交通便利度。</w:t>
      </w:r>
    </w:p>
    <w:p>
      <w:pPr>
        <w:spacing w:line="360" w:lineRule="auto"/>
        <w:ind w:firstLine="482" w:firstLineChars="200"/>
        <w:rPr>
          <w:b/>
          <w:sz w:val="24"/>
          <w:szCs w:val="24"/>
        </w:rPr>
      </w:pPr>
      <w:r>
        <w:rPr>
          <w:b/>
          <w:sz w:val="24"/>
          <w:szCs w:val="24"/>
        </w:rPr>
        <w:t>1、道路通达度</w:t>
      </w:r>
    </w:p>
    <w:p>
      <w:pPr>
        <w:spacing w:line="360" w:lineRule="auto"/>
        <w:ind w:firstLine="482" w:firstLineChars="200"/>
        <w:rPr>
          <w:b/>
          <w:sz w:val="24"/>
        </w:rPr>
      </w:pPr>
      <w:r>
        <w:rPr>
          <w:b/>
          <w:sz w:val="24"/>
        </w:rPr>
        <w:t>（1）道路类型的划分</w:t>
      </w:r>
    </w:p>
    <w:p>
      <w:pPr>
        <w:spacing w:line="360" w:lineRule="auto"/>
        <w:ind w:firstLine="480" w:firstLineChars="200"/>
        <w:rPr>
          <w:sz w:val="24"/>
          <w:szCs w:val="24"/>
        </w:rPr>
      </w:pPr>
      <w:r>
        <w:rPr>
          <w:sz w:val="24"/>
          <w:szCs w:val="24"/>
        </w:rPr>
        <w:t>道路类型的划分，一要考虑道路的宽度及车道数，二要考虑道路功能。道路宽度是指道路红线之间的距离，包括车行道、人行道和绿化带宽度的总和，道路越宽，可通行的车辆越多，通达性自然越好。道路功能是指每条道路在城市交通中的分工和作用。在实际划分道路类型时，往往将道路宽度和道路功能结合起来进行综合评价与分类。按道路在城镇交通中的作用可分为主干道、次干道和支路。主干道指联系城镇中交通枢纽、全市性公共活动场所和主要工矿企业的道路，是城镇中主要客货运输线；次干道指联系城镇主干道之间的道路；支路指各街坊之间的联系道路。根据《城镇土地分等定级规程》要求，各城镇应分出的道路类型数为：大城市5-7类；中等城市3-5类；小城市以下1-3类。长沙县为中等城市，本次定级将长沙县城区道路划分为三个等级，分别为主干道、次干道和支路。具体划分情况见表2-3-3。</w:t>
      </w:r>
    </w:p>
    <w:p>
      <w:pPr>
        <w:tabs>
          <w:tab w:val="left" w:pos="720"/>
        </w:tabs>
        <w:spacing w:line="480" w:lineRule="exact"/>
        <w:jc w:val="center"/>
        <w:rPr>
          <w:b/>
          <w:sz w:val="24"/>
          <w:szCs w:val="22"/>
        </w:rPr>
      </w:pPr>
      <w:r>
        <w:rPr>
          <w:b/>
          <w:sz w:val="24"/>
          <w:szCs w:val="22"/>
        </w:rPr>
        <w:t>表2-3-3  长沙县城区道路通达度划分结果表</w:t>
      </w:r>
    </w:p>
    <w:tbl>
      <w:tblPr>
        <w:tblW w:w="88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75"/>
        <w:gridCol w:w="72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1" w:hRule="atLeast"/>
        </w:trPr>
        <w:tc>
          <w:tcPr>
            <w:tcW w:w="157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道路类型</w:t>
            </w:r>
          </w:p>
        </w:tc>
        <w:tc>
          <w:tcPr>
            <w:tcW w:w="7229"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575"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主干道</w:t>
            </w:r>
          </w:p>
        </w:tc>
        <w:tc>
          <w:tcPr>
            <w:tcW w:w="7229" w:type="dxa"/>
            <w:tcBorders>
              <w:top w:val="nil"/>
              <w:left w:val="nil"/>
              <w:bottom w:val="single" w:color="auto" w:sz="4" w:space="0"/>
              <w:right w:val="single" w:color="auto" w:sz="4" w:space="0"/>
            </w:tcBorders>
            <w:vAlign w:val="center"/>
          </w:tcPr>
          <w:p>
            <w:pPr>
              <w:widowControl/>
              <w:jc w:val="left"/>
              <w:rPr>
                <w:color w:val="000000"/>
                <w:kern w:val="0"/>
                <w:szCs w:val="21"/>
              </w:rPr>
            </w:pPr>
            <w:r>
              <w:rPr>
                <w:color w:val="000000"/>
                <w:kern w:val="0"/>
                <w:szCs w:val="21"/>
              </w:rPr>
              <w:t>万家丽北路、开元路、星沙大道、绕城高速、黄兴大道、机场高速、特立路、望仙路、</w:t>
            </w:r>
            <w:r>
              <w:rPr>
                <w:rFonts w:hint="eastAsia"/>
                <w:color w:val="000000"/>
                <w:kern w:val="0"/>
                <w:szCs w:val="21"/>
              </w:rPr>
              <w:t>望北路、火星北路、</w:t>
            </w:r>
            <w:r>
              <w:rPr>
                <w:color w:val="000000"/>
                <w:kern w:val="0"/>
                <w:szCs w:val="21"/>
              </w:rPr>
              <w:t>板仓路、滨</w:t>
            </w:r>
            <w:r>
              <w:rPr>
                <w:rFonts w:hint="eastAsia"/>
                <w:color w:val="000000"/>
                <w:kern w:val="0"/>
                <w:szCs w:val="21"/>
              </w:rPr>
              <w:t>湖</w:t>
            </w:r>
            <w:r>
              <w:rPr>
                <w:color w:val="000000"/>
                <w:kern w:val="0"/>
                <w:szCs w:val="21"/>
              </w:rPr>
              <w:t>路、漓湘路、盼盼路、远大路、人民路、东四路、东六路、东十一路、107国道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1" w:hRule="atLeast"/>
        </w:trPr>
        <w:tc>
          <w:tcPr>
            <w:tcW w:w="1575"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次干道</w:t>
            </w:r>
          </w:p>
        </w:tc>
        <w:tc>
          <w:tcPr>
            <w:tcW w:w="7229" w:type="dxa"/>
            <w:tcBorders>
              <w:top w:val="nil"/>
              <w:left w:val="nil"/>
              <w:bottom w:val="single" w:color="auto" w:sz="4" w:space="0"/>
              <w:right w:val="single" w:color="auto" w:sz="4" w:space="0"/>
            </w:tcBorders>
            <w:vAlign w:val="center"/>
          </w:tcPr>
          <w:p>
            <w:pPr>
              <w:widowControl/>
              <w:jc w:val="left"/>
              <w:rPr>
                <w:color w:val="000000"/>
                <w:kern w:val="0"/>
                <w:szCs w:val="21"/>
              </w:rPr>
            </w:pPr>
            <w:r>
              <w:rPr>
                <w:color w:val="000000"/>
                <w:kern w:val="0"/>
                <w:szCs w:val="21"/>
              </w:rPr>
              <w:t>石子铺路、西霞路、</w:t>
            </w:r>
            <w:r>
              <w:rPr>
                <w:rFonts w:hint="eastAsia"/>
                <w:color w:val="000000"/>
                <w:kern w:val="0"/>
                <w:szCs w:val="21"/>
              </w:rPr>
              <w:t>京珠高速辅道、天华</w:t>
            </w:r>
            <w:r>
              <w:rPr>
                <w:color w:val="000000"/>
                <w:kern w:val="0"/>
                <w:szCs w:val="21"/>
              </w:rPr>
              <w:t>路、湘龙路、捞刀河路、明月路、北环线、望月路、</w:t>
            </w:r>
            <w:r>
              <w:rPr>
                <w:rFonts w:hint="eastAsia"/>
                <w:color w:val="000000"/>
                <w:kern w:val="0"/>
                <w:szCs w:val="21"/>
              </w:rPr>
              <w:t>小塘路、潇湘路、</w:t>
            </w:r>
            <w:r>
              <w:rPr>
                <w:color w:val="000000"/>
                <w:kern w:val="0"/>
                <w:szCs w:val="21"/>
              </w:rPr>
              <w:t>洋湖路、凉塘路、三一路、金茂路、新安路、武塘路、金华路、东三路、东五路、东七路、大元路、北斗路、南山路、龙角路、龙塘路、映霞路、锦绣路</w:t>
            </w:r>
            <w:r>
              <w:rPr>
                <w:rFonts w:hint="eastAsia"/>
                <w:color w:val="000000"/>
                <w:kern w:val="0"/>
                <w:szCs w:val="21"/>
              </w:rPr>
              <w:t>、北轴路、中轴路、南轴路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575"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支路</w:t>
            </w:r>
          </w:p>
        </w:tc>
        <w:tc>
          <w:tcPr>
            <w:tcW w:w="722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其他城区已建道路</w:t>
            </w:r>
          </w:p>
        </w:tc>
      </w:tr>
    </w:tbl>
    <w:p>
      <w:pPr>
        <w:spacing w:line="360" w:lineRule="auto"/>
        <w:ind w:firstLine="482" w:firstLineChars="200"/>
        <w:rPr>
          <w:b/>
          <w:sz w:val="24"/>
        </w:rPr>
      </w:pPr>
      <w:r>
        <w:rPr>
          <w:b/>
          <w:sz w:val="24"/>
        </w:rPr>
        <w:t>（2）道路的作用指数和功能分确定</w:t>
      </w:r>
    </w:p>
    <w:p>
      <w:pPr>
        <w:spacing w:line="480" w:lineRule="exact"/>
        <w:ind w:firstLine="480" w:firstLineChars="200"/>
        <w:rPr>
          <w:sz w:val="24"/>
          <w:szCs w:val="24"/>
        </w:rPr>
      </w:pPr>
      <w:r>
        <w:rPr>
          <w:sz w:val="24"/>
          <w:szCs w:val="24"/>
        </w:rPr>
        <w:t>道路作用指数反映某类道路在城镇交通运输中所起的作用，其与道路所起的作用或车流量大小成正比，数值在0—1之间，最佳道路的作用指数等于1，其余类型依次递减。以《城镇土地分等定级规程》为参考，根据城市道路对不同土地定级类型作用特征的差异及长沙县城市交通状况，由课题组成员采用特尔菲法确定各类道路对综合定级的作用指数。</w:t>
      </w:r>
    </w:p>
    <w:p>
      <w:pPr>
        <w:tabs>
          <w:tab w:val="left" w:pos="720"/>
        </w:tabs>
        <w:spacing w:line="480" w:lineRule="exact"/>
        <w:jc w:val="center"/>
        <w:rPr>
          <w:b/>
          <w:sz w:val="24"/>
          <w:szCs w:val="22"/>
        </w:rPr>
      </w:pPr>
      <w:r>
        <w:rPr>
          <w:b/>
          <w:sz w:val="24"/>
          <w:szCs w:val="22"/>
        </w:rPr>
        <w:t>表 2-3-4 综合定级时道路类型对应的道路作用指数表</w:t>
      </w:r>
    </w:p>
    <w:tbl>
      <w:tblPr>
        <w:tblW w:w="833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168"/>
        <w:gridCol w:w="41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416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szCs w:val="21"/>
              </w:rPr>
            </w:pPr>
            <w:r>
              <w:rPr>
                <w:b/>
                <w:kern w:val="0"/>
                <w:szCs w:val="21"/>
              </w:rPr>
              <w:t>道路类型</w:t>
            </w:r>
          </w:p>
        </w:tc>
        <w:tc>
          <w:tcPr>
            <w:tcW w:w="4168" w:type="dxa"/>
            <w:tcBorders>
              <w:top w:val="single" w:color="000000" w:sz="4" w:space="0"/>
              <w:bottom w:val="single" w:color="000000" w:sz="4" w:space="0"/>
              <w:right w:val="single" w:color="000000" w:sz="4" w:space="0"/>
            </w:tcBorders>
            <w:vAlign w:val="center"/>
          </w:tcPr>
          <w:p>
            <w:pPr>
              <w:widowControl/>
              <w:jc w:val="center"/>
              <w:textAlignment w:val="center"/>
              <w:rPr>
                <w:b/>
                <w:szCs w:val="21"/>
              </w:rPr>
            </w:pPr>
            <w:r>
              <w:rPr>
                <w:b/>
                <w:kern w:val="0"/>
                <w:szCs w:val="21"/>
              </w:rPr>
              <w:t>综合定级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4168" w:type="dxa"/>
            <w:tcBorders>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rPr>
              <w:t>主干道</w:t>
            </w:r>
          </w:p>
        </w:tc>
        <w:tc>
          <w:tcPr>
            <w:tcW w:w="4168" w:type="dxa"/>
            <w:tcBorders>
              <w:bottom w:val="single" w:color="000000" w:sz="4" w:space="0"/>
              <w:right w:val="single" w:color="000000" w:sz="4" w:space="0"/>
            </w:tcBorders>
            <w:vAlign w:val="center"/>
          </w:tcPr>
          <w:p>
            <w:pPr>
              <w:widowControl/>
              <w:jc w:val="center"/>
              <w:textAlignment w:val="center"/>
              <w:rPr>
                <w:szCs w:val="21"/>
              </w:rPr>
            </w:pPr>
            <w:r>
              <w:rPr>
                <w:kern w:val="0"/>
                <w:szCs w:val="21"/>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4168" w:type="dxa"/>
            <w:tcBorders>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rPr>
              <w:t>次干道</w:t>
            </w:r>
          </w:p>
        </w:tc>
        <w:tc>
          <w:tcPr>
            <w:tcW w:w="4168" w:type="dxa"/>
            <w:tcBorders>
              <w:bottom w:val="single" w:color="000000" w:sz="4" w:space="0"/>
              <w:right w:val="single" w:color="000000" w:sz="4" w:space="0"/>
            </w:tcBorders>
            <w:vAlign w:val="center"/>
          </w:tcPr>
          <w:p>
            <w:pPr>
              <w:widowControl/>
              <w:jc w:val="center"/>
              <w:textAlignment w:val="center"/>
              <w:rPr>
                <w:szCs w:val="21"/>
              </w:rPr>
            </w:pPr>
            <w:r>
              <w:rPr>
                <w:kern w:val="0"/>
                <w:szCs w:val="21"/>
              </w:rPr>
              <w:t>0.65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4168" w:type="dxa"/>
            <w:tcBorders>
              <w:left w:val="single" w:color="000000" w:sz="4" w:space="0"/>
              <w:bottom w:val="single" w:color="000000" w:sz="4" w:space="0"/>
              <w:right w:val="single" w:color="000000" w:sz="4" w:space="0"/>
            </w:tcBorders>
            <w:vAlign w:val="center"/>
          </w:tcPr>
          <w:p>
            <w:pPr>
              <w:widowControl/>
              <w:jc w:val="center"/>
              <w:textAlignment w:val="center"/>
              <w:rPr>
                <w:szCs w:val="21"/>
              </w:rPr>
            </w:pPr>
            <w:r>
              <w:rPr>
                <w:kern w:val="0"/>
                <w:szCs w:val="21"/>
              </w:rPr>
              <w:t>支路</w:t>
            </w:r>
          </w:p>
        </w:tc>
        <w:tc>
          <w:tcPr>
            <w:tcW w:w="4168" w:type="dxa"/>
            <w:tcBorders>
              <w:bottom w:val="single" w:color="000000" w:sz="4" w:space="0"/>
              <w:right w:val="single" w:color="000000" w:sz="4" w:space="0"/>
            </w:tcBorders>
            <w:vAlign w:val="center"/>
          </w:tcPr>
          <w:p>
            <w:pPr>
              <w:widowControl/>
              <w:jc w:val="center"/>
              <w:textAlignment w:val="center"/>
              <w:rPr>
                <w:szCs w:val="21"/>
              </w:rPr>
            </w:pPr>
            <w:r>
              <w:rPr>
                <w:kern w:val="0"/>
                <w:szCs w:val="21"/>
              </w:rPr>
              <w:t>0.35</w:t>
            </w:r>
          </w:p>
        </w:tc>
      </w:tr>
    </w:tbl>
    <w:p>
      <w:pPr>
        <w:spacing w:line="360" w:lineRule="auto"/>
        <w:ind w:firstLine="480" w:firstLineChars="200"/>
        <w:rPr>
          <w:sz w:val="24"/>
        </w:rPr>
      </w:pPr>
      <w:r>
        <w:rPr>
          <w:sz w:val="24"/>
        </w:rPr>
        <w:t>各类道路的功能分按下列公式计算：</w:t>
      </w:r>
    </w:p>
    <w:p>
      <w:pPr>
        <w:spacing w:line="360" w:lineRule="auto"/>
        <w:ind w:firstLine="480" w:firstLineChars="200"/>
        <w:jc w:val="center"/>
        <w:rPr>
          <w:sz w:val="24"/>
        </w:rPr>
      </w:pPr>
      <w:r>
        <w:rPr>
          <w:sz w:val="24"/>
        </w:rPr>
        <w:t>F</w:t>
      </w:r>
      <w:r>
        <w:rPr>
          <w:sz w:val="24"/>
          <w:vertAlign w:val="subscript"/>
        </w:rPr>
        <w:t>i</w:t>
      </w:r>
      <w:r>
        <w:rPr>
          <w:sz w:val="24"/>
        </w:rPr>
        <w:t>=100×K</w:t>
      </w:r>
      <w:r>
        <w:rPr>
          <w:sz w:val="24"/>
          <w:vertAlign w:val="subscript"/>
        </w:rPr>
        <w:t xml:space="preserve">i   </w:t>
      </w:r>
      <w:r>
        <w:rPr>
          <w:sz w:val="24"/>
          <w:szCs w:val="24"/>
        </w:rPr>
        <w:t>(公式2-3-3)</w:t>
      </w:r>
    </w:p>
    <w:p>
      <w:pPr>
        <w:spacing w:line="360" w:lineRule="auto"/>
        <w:ind w:firstLine="480" w:firstLineChars="200"/>
        <w:rPr>
          <w:sz w:val="24"/>
        </w:rPr>
      </w:pPr>
      <w:r>
        <w:rPr>
          <w:sz w:val="24"/>
        </w:rPr>
        <w:t>式中：F</w:t>
      </w:r>
      <w:r>
        <w:rPr>
          <w:sz w:val="24"/>
          <w:vertAlign w:val="subscript"/>
        </w:rPr>
        <w:t>i</w:t>
      </w:r>
      <w:r>
        <w:rPr>
          <w:sz w:val="24"/>
        </w:rPr>
        <w:t>——i类道路的功能分；K</w:t>
      </w:r>
      <w:r>
        <w:rPr>
          <w:sz w:val="24"/>
          <w:vertAlign w:val="subscript"/>
        </w:rPr>
        <w:t>i</w:t>
      </w:r>
      <w:r>
        <w:rPr>
          <w:sz w:val="24"/>
        </w:rPr>
        <w:t>——i类道路的作用指数。</w:t>
      </w:r>
    </w:p>
    <w:p>
      <w:pPr>
        <w:spacing w:line="360" w:lineRule="auto"/>
        <w:ind w:firstLine="480" w:firstLineChars="200"/>
        <w:rPr>
          <w:sz w:val="24"/>
        </w:rPr>
      </w:pPr>
      <w:r>
        <w:rPr>
          <w:sz w:val="24"/>
        </w:rPr>
        <w:t>各类道路的功能分的计算结果见表2-3-5。</w:t>
      </w:r>
    </w:p>
    <w:p>
      <w:pPr>
        <w:spacing w:line="360" w:lineRule="auto"/>
        <w:ind w:firstLine="482" w:firstLineChars="200"/>
        <w:rPr>
          <w:b/>
          <w:bCs/>
          <w:sz w:val="24"/>
        </w:rPr>
      </w:pPr>
      <w:r>
        <w:rPr>
          <w:b/>
          <w:bCs/>
          <w:sz w:val="24"/>
        </w:rPr>
        <w:t>（3）道路影响距离确定</w:t>
      </w:r>
    </w:p>
    <w:p>
      <w:pPr>
        <w:spacing w:line="360" w:lineRule="auto"/>
        <w:ind w:firstLine="480" w:firstLineChars="200"/>
        <w:rPr>
          <w:bCs/>
          <w:sz w:val="24"/>
        </w:rPr>
      </w:pPr>
      <w:r>
        <w:rPr>
          <w:bCs/>
          <w:sz w:val="24"/>
        </w:rPr>
        <w:t>道路影响距离是指从道路到两侧影响范围边缘的距离，不同道路类型有不同的影响距离。主干道、次干道的影响距离按实际推算，其公式为：</w:t>
      </w:r>
    </w:p>
    <w:p>
      <w:pPr>
        <w:spacing w:line="360" w:lineRule="auto"/>
        <w:ind w:firstLine="480" w:firstLineChars="200"/>
        <w:rPr>
          <w:bCs/>
          <w:sz w:val="24"/>
        </w:rPr>
      </w:pPr>
      <w:r>
        <w:rPr>
          <w:bCs/>
          <w:sz w:val="24"/>
        </w:rPr>
        <w:t xml:space="preserve">d=S/2L   </w:t>
      </w:r>
      <w:r>
        <w:rPr>
          <w:sz w:val="24"/>
          <w:szCs w:val="24"/>
        </w:rPr>
        <w:t>(公式2-3-4)</w:t>
      </w:r>
    </w:p>
    <w:p>
      <w:pPr>
        <w:spacing w:line="360" w:lineRule="auto"/>
        <w:ind w:firstLine="480" w:firstLineChars="200"/>
        <w:rPr>
          <w:bCs/>
          <w:sz w:val="24"/>
        </w:rPr>
      </w:pPr>
      <w:r>
        <w:rPr>
          <w:bCs/>
          <w:sz w:val="24"/>
        </w:rPr>
        <w:t>式中：d—主干道或次干道影响距离；S—定级区域面积；L—主干道或次干道总长度。</w:t>
      </w:r>
    </w:p>
    <w:p>
      <w:pPr>
        <w:tabs>
          <w:tab w:val="left" w:pos="1519"/>
        </w:tabs>
        <w:spacing w:line="360" w:lineRule="auto"/>
        <w:ind w:firstLine="480" w:firstLineChars="200"/>
        <w:rPr>
          <w:bCs/>
          <w:sz w:val="24"/>
        </w:rPr>
      </w:pPr>
      <w:r>
        <w:rPr>
          <w:bCs/>
          <w:sz w:val="24"/>
        </w:rPr>
        <w:t>长沙县城区主干道总长度167424米，次干道总长度128497米，支路长度为47968米，依上式可计算出主干道的影响距离约为1318米，次干道的影响距离约为1693米；支路的影响距离取2386米。具体情况见表2-3-5。</w:t>
      </w:r>
    </w:p>
    <w:p>
      <w:pPr>
        <w:tabs>
          <w:tab w:val="left" w:pos="720"/>
        </w:tabs>
        <w:spacing w:line="480" w:lineRule="exact"/>
        <w:jc w:val="center"/>
        <w:rPr>
          <w:b/>
          <w:sz w:val="24"/>
          <w:szCs w:val="22"/>
        </w:rPr>
      </w:pPr>
      <w:r>
        <w:rPr>
          <w:b/>
          <w:sz w:val="24"/>
          <w:szCs w:val="22"/>
        </w:rPr>
        <w:t>表2-3-5 长沙县城区道路通达度分析结果表</w:t>
      </w:r>
    </w:p>
    <w:tbl>
      <w:tblPr>
        <w:tblW w:w="833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888"/>
        <w:gridCol w:w="1379"/>
        <w:gridCol w:w="2015"/>
        <w:gridCol w:w="1527"/>
        <w:gridCol w:w="15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8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因子级别</w:t>
            </w:r>
          </w:p>
        </w:tc>
        <w:tc>
          <w:tcPr>
            <w:tcW w:w="1379" w:type="dxa"/>
            <w:tcBorders>
              <w:top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道路类型</w:t>
            </w:r>
          </w:p>
        </w:tc>
        <w:tc>
          <w:tcPr>
            <w:tcW w:w="2015" w:type="dxa"/>
            <w:tcBorders>
              <w:top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本道路总长度</w:t>
            </w:r>
          </w:p>
        </w:tc>
        <w:tc>
          <w:tcPr>
            <w:tcW w:w="1527" w:type="dxa"/>
            <w:tcBorders>
              <w:top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平均功能分</w:t>
            </w:r>
          </w:p>
        </w:tc>
        <w:tc>
          <w:tcPr>
            <w:tcW w:w="1527" w:type="dxa"/>
            <w:tcBorders>
              <w:top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影响距离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888" w:type="dxa"/>
            <w:tcBorders>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一级</w:t>
            </w:r>
          </w:p>
        </w:tc>
        <w:tc>
          <w:tcPr>
            <w:tcW w:w="1379" w:type="dxa"/>
            <w:tcBorders>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主干道</w:t>
            </w:r>
          </w:p>
        </w:tc>
        <w:tc>
          <w:tcPr>
            <w:tcW w:w="2015" w:type="dxa"/>
            <w:tcBorders>
              <w:bottom w:val="single" w:color="000000" w:sz="4" w:space="0"/>
              <w:right w:val="single" w:color="000000" w:sz="4" w:space="0"/>
            </w:tcBorders>
            <w:vAlign w:val="center"/>
          </w:tcPr>
          <w:p>
            <w:pPr>
              <w:widowControl/>
              <w:jc w:val="center"/>
              <w:rPr>
                <w:color w:val="000000"/>
                <w:szCs w:val="21"/>
              </w:rPr>
            </w:pPr>
            <w:r>
              <w:rPr>
                <w:color w:val="000000"/>
                <w:kern w:val="0"/>
                <w:szCs w:val="21"/>
              </w:rPr>
              <w:t>167424</w:t>
            </w:r>
          </w:p>
        </w:tc>
        <w:tc>
          <w:tcPr>
            <w:tcW w:w="1527" w:type="dxa"/>
            <w:tcBorders>
              <w:bottom w:val="single" w:color="000000" w:sz="4" w:space="0"/>
              <w:right w:val="single" w:color="000000" w:sz="4" w:space="0"/>
            </w:tcBorders>
            <w:vAlign w:val="center"/>
          </w:tcPr>
          <w:p>
            <w:pPr>
              <w:jc w:val="center"/>
              <w:rPr>
                <w:color w:val="000000"/>
                <w:szCs w:val="21"/>
              </w:rPr>
            </w:pPr>
            <w:r>
              <w:rPr>
                <w:color w:val="000000"/>
                <w:szCs w:val="21"/>
              </w:rPr>
              <w:t>100</w:t>
            </w:r>
          </w:p>
        </w:tc>
        <w:tc>
          <w:tcPr>
            <w:tcW w:w="1527" w:type="dxa"/>
            <w:tcBorders>
              <w:bottom w:val="single" w:color="000000" w:sz="4" w:space="0"/>
              <w:right w:val="single" w:color="000000" w:sz="4" w:space="0"/>
            </w:tcBorders>
            <w:vAlign w:val="center"/>
          </w:tcPr>
          <w:p>
            <w:pPr>
              <w:widowControl/>
              <w:jc w:val="center"/>
              <w:rPr>
                <w:color w:val="000000"/>
                <w:szCs w:val="21"/>
              </w:rPr>
            </w:pPr>
            <w:r>
              <w:rPr>
                <w:color w:val="000000"/>
                <w:kern w:val="0"/>
                <w:szCs w:val="21"/>
              </w:rPr>
              <w:t>1318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888" w:type="dxa"/>
            <w:tcBorders>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二级</w:t>
            </w:r>
          </w:p>
        </w:tc>
        <w:tc>
          <w:tcPr>
            <w:tcW w:w="1379" w:type="dxa"/>
            <w:tcBorders>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次干道</w:t>
            </w:r>
          </w:p>
        </w:tc>
        <w:tc>
          <w:tcPr>
            <w:tcW w:w="2015" w:type="dxa"/>
            <w:tcBorders>
              <w:bottom w:val="single" w:color="000000" w:sz="4" w:space="0"/>
              <w:right w:val="single" w:color="000000" w:sz="4" w:space="0"/>
            </w:tcBorders>
            <w:vAlign w:val="center"/>
          </w:tcPr>
          <w:p>
            <w:pPr>
              <w:widowControl/>
              <w:jc w:val="center"/>
              <w:rPr>
                <w:color w:val="000000"/>
                <w:szCs w:val="21"/>
              </w:rPr>
            </w:pPr>
            <w:r>
              <w:rPr>
                <w:color w:val="000000"/>
                <w:kern w:val="0"/>
                <w:szCs w:val="21"/>
              </w:rPr>
              <w:t>128497</w:t>
            </w:r>
          </w:p>
        </w:tc>
        <w:tc>
          <w:tcPr>
            <w:tcW w:w="1527" w:type="dxa"/>
            <w:tcBorders>
              <w:bottom w:val="single" w:color="000000" w:sz="4" w:space="0"/>
              <w:right w:val="single" w:color="000000" w:sz="4" w:space="0"/>
            </w:tcBorders>
            <w:vAlign w:val="center"/>
          </w:tcPr>
          <w:p>
            <w:pPr>
              <w:jc w:val="center"/>
              <w:rPr>
                <w:color w:val="000000"/>
                <w:szCs w:val="21"/>
              </w:rPr>
            </w:pPr>
            <w:r>
              <w:rPr>
                <w:color w:val="000000"/>
                <w:szCs w:val="21"/>
              </w:rPr>
              <w:t>65</w:t>
            </w:r>
          </w:p>
        </w:tc>
        <w:tc>
          <w:tcPr>
            <w:tcW w:w="1527" w:type="dxa"/>
            <w:tcBorders>
              <w:bottom w:val="single" w:color="000000" w:sz="4" w:space="0"/>
              <w:right w:val="single" w:color="000000" w:sz="4" w:space="0"/>
            </w:tcBorders>
            <w:vAlign w:val="center"/>
          </w:tcPr>
          <w:p>
            <w:pPr>
              <w:widowControl/>
              <w:jc w:val="center"/>
              <w:rPr>
                <w:color w:val="000000"/>
                <w:szCs w:val="21"/>
              </w:rPr>
            </w:pPr>
            <w:r>
              <w:rPr>
                <w:color w:val="000000"/>
                <w:kern w:val="0"/>
                <w:szCs w:val="21"/>
              </w:rPr>
              <w:t>1693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888" w:type="dxa"/>
            <w:tcBorders>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三级</w:t>
            </w:r>
          </w:p>
        </w:tc>
        <w:tc>
          <w:tcPr>
            <w:tcW w:w="1379" w:type="dxa"/>
            <w:tcBorders>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支路</w:t>
            </w:r>
          </w:p>
        </w:tc>
        <w:tc>
          <w:tcPr>
            <w:tcW w:w="2015" w:type="dxa"/>
            <w:tcBorders>
              <w:bottom w:val="single" w:color="000000" w:sz="4" w:space="0"/>
              <w:right w:val="single" w:color="000000" w:sz="4" w:space="0"/>
            </w:tcBorders>
            <w:vAlign w:val="center"/>
          </w:tcPr>
          <w:p>
            <w:pPr>
              <w:jc w:val="center"/>
              <w:rPr>
                <w:color w:val="000000"/>
                <w:szCs w:val="21"/>
              </w:rPr>
            </w:pPr>
            <w:r>
              <w:rPr>
                <w:color w:val="000000"/>
                <w:szCs w:val="21"/>
              </w:rPr>
              <w:t>47968</w:t>
            </w:r>
          </w:p>
        </w:tc>
        <w:tc>
          <w:tcPr>
            <w:tcW w:w="1527" w:type="dxa"/>
            <w:tcBorders>
              <w:bottom w:val="single" w:color="000000" w:sz="4" w:space="0"/>
              <w:right w:val="single" w:color="000000" w:sz="4" w:space="0"/>
            </w:tcBorders>
            <w:vAlign w:val="center"/>
          </w:tcPr>
          <w:p>
            <w:pPr>
              <w:jc w:val="center"/>
              <w:rPr>
                <w:color w:val="000000"/>
                <w:szCs w:val="21"/>
              </w:rPr>
            </w:pPr>
            <w:r>
              <w:rPr>
                <w:color w:val="000000"/>
                <w:szCs w:val="21"/>
              </w:rPr>
              <w:t>35</w:t>
            </w:r>
          </w:p>
        </w:tc>
        <w:tc>
          <w:tcPr>
            <w:tcW w:w="1527" w:type="dxa"/>
            <w:tcBorders>
              <w:bottom w:val="single" w:color="000000" w:sz="4" w:space="0"/>
              <w:right w:val="single" w:color="000000" w:sz="4" w:space="0"/>
            </w:tcBorders>
            <w:vAlign w:val="center"/>
          </w:tcPr>
          <w:p>
            <w:pPr>
              <w:jc w:val="center"/>
              <w:rPr>
                <w:color w:val="000000"/>
                <w:szCs w:val="21"/>
              </w:rPr>
            </w:pPr>
            <w:r>
              <w:rPr>
                <w:color w:val="000000"/>
                <w:szCs w:val="21"/>
              </w:rPr>
              <w:t>2386</w:t>
            </w:r>
          </w:p>
        </w:tc>
      </w:tr>
    </w:tbl>
    <w:p>
      <w:pPr>
        <w:spacing w:line="360" w:lineRule="auto"/>
        <w:ind w:firstLine="482" w:firstLineChars="200"/>
        <w:textAlignment w:val="baseline"/>
        <w:rPr>
          <w:b/>
          <w:sz w:val="24"/>
        </w:rPr>
      </w:pPr>
      <w:r>
        <w:rPr>
          <w:b/>
          <w:sz w:val="24"/>
        </w:rPr>
        <w:t>2、公交便捷度</w:t>
      </w:r>
    </w:p>
    <w:p>
      <w:pPr>
        <w:spacing w:line="480" w:lineRule="exact"/>
        <w:ind w:firstLine="480" w:firstLineChars="200"/>
        <w:rPr>
          <w:sz w:val="24"/>
          <w:szCs w:val="24"/>
        </w:rPr>
      </w:pPr>
      <w:r>
        <w:rPr>
          <w:sz w:val="24"/>
          <w:szCs w:val="24"/>
        </w:rPr>
        <w:t>不论是商服用地定级还是住宅用地定级，公交便捷度都是一个很重要的影响因素。作为商服而言，靠得是人气，如果公共交通便捷，自然可以吸引人流，作为居住小区，如果出行方便，自然会有很多市民愿意购买小区住房。根据我们生活经验，对一个定级单位，我们可以从两个方面衡量其交通便捷程度，其一是通过该均质区域的公交线路数量及发行趟数，通行公交线路越多，每天发行公交或班车趟数越多，说明该区域发展越成熟，交通越便捷；其二是设置的站点数量，同样面积的均质区域，公交站点数量越多，说明公交站服务半径越短，出行越方便；这两项计算指标都为线性正相关。</w:t>
      </w:r>
    </w:p>
    <w:p>
      <w:pPr>
        <w:spacing w:line="480" w:lineRule="exact"/>
        <w:ind w:firstLine="480" w:firstLineChars="200"/>
        <w:rPr>
          <w:sz w:val="24"/>
          <w:szCs w:val="24"/>
        </w:rPr>
      </w:pPr>
      <w:r>
        <w:rPr>
          <w:sz w:val="24"/>
          <w:szCs w:val="24"/>
        </w:rPr>
        <w:t>根据交通局提供的资料，结合实地调查，从长沙县城区公交线路有X103路南线、103路北线、362路、114路、星沙101路、星沙102路、星沙105路、127路、501路等27条线路，分市县对接和县内城市公交线路。我们主要根据单片区域（以单个均值区域的面积为划定标准）通过的公交线路数量，划分为3个级别。具体评分标准见下表2-3-6。</w:t>
      </w:r>
    </w:p>
    <w:p>
      <w:pPr>
        <w:widowControl/>
        <w:jc w:val="left"/>
        <w:rPr>
          <w:b/>
          <w:sz w:val="24"/>
          <w:szCs w:val="22"/>
        </w:rPr>
      </w:pPr>
      <w:r>
        <w:rPr>
          <w:b/>
          <w:sz w:val="24"/>
          <w:szCs w:val="22"/>
        </w:rPr>
        <w:br w:type="page"/>
      </w:r>
    </w:p>
    <w:p>
      <w:pPr>
        <w:tabs>
          <w:tab w:val="left" w:pos="720"/>
        </w:tabs>
        <w:spacing w:line="480" w:lineRule="exact"/>
        <w:jc w:val="center"/>
        <w:rPr>
          <w:b/>
          <w:sz w:val="24"/>
          <w:szCs w:val="22"/>
        </w:rPr>
      </w:pPr>
      <w:r>
        <w:rPr>
          <w:b/>
          <w:sz w:val="24"/>
          <w:szCs w:val="22"/>
        </w:rPr>
        <w:t>表2-3-6  公交便捷度作用分值评分标准</w:t>
      </w:r>
    </w:p>
    <w:tbl>
      <w:tblPr>
        <w:tblW w:w="81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47"/>
        <w:gridCol w:w="1514"/>
        <w:gridCol w:w="2299"/>
        <w:gridCol w:w="17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exact"/>
          <w:tblHeader/>
          <w:jc w:val="center"/>
        </w:trPr>
        <w:tc>
          <w:tcPr>
            <w:tcW w:w="2547" w:type="dxa"/>
            <w:tcBorders>
              <w:top w:val="single" w:color="auto" w:sz="4" w:space="0"/>
              <w:bottom w:val="single" w:color="auto" w:sz="4" w:space="0"/>
              <w:right w:val="single" w:color="auto" w:sz="4" w:space="0"/>
            </w:tcBorders>
            <w:vAlign w:val="center"/>
          </w:tcPr>
          <w:p>
            <w:pPr>
              <w:spacing w:line="360" w:lineRule="exact"/>
              <w:jc w:val="center"/>
              <w:rPr>
                <w:szCs w:val="21"/>
              </w:rPr>
            </w:pPr>
            <w:r>
              <w:rPr>
                <w:szCs w:val="21"/>
              </w:rPr>
              <w:t>因子级别</w:t>
            </w:r>
          </w:p>
        </w:tc>
        <w:tc>
          <w:tcPr>
            <w:tcW w:w="15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类型</w:t>
            </w:r>
          </w:p>
        </w:tc>
        <w:tc>
          <w:tcPr>
            <w:tcW w:w="229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状况描述</w:t>
            </w:r>
          </w:p>
        </w:tc>
        <w:tc>
          <w:tcPr>
            <w:tcW w:w="1749" w:type="dxa"/>
            <w:tcBorders>
              <w:top w:val="single" w:color="auto" w:sz="4" w:space="0"/>
              <w:left w:val="single" w:color="auto" w:sz="4" w:space="0"/>
              <w:bottom w:val="single" w:color="auto" w:sz="4" w:space="0"/>
            </w:tcBorders>
            <w:vAlign w:val="center"/>
          </w:tcPr>
          <w:p>
            <w:pPr>
              <w:spacing w:line="360" w:lineRule="exact"/>
              <w:jc w:val="center"/>
              <w:rPr>
                <w:szCs w:val="21"/>
              </w:rPr>
            </w:pPr>
            <w:r>
              <w:rPr>
                <w:szCs w:val="21"/>
              </w:rPr>
              <w:t>作用分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exact"/>
          <w:jc w:val="center"/>
        </w:trPr>
        <w:tc>
          <w:tcPr>
            <w:tcW w:w="2547" w:type="dxa"/>
            <w:tcBorders>
              <w:top w:val="single" w:color="auto" w:sz="4" w:space="0"/>
              <w:bottom w:val="single" w:color="auto" w:sz="4" w:space="0"/>
              <w:right w:val="single" w:color="auto" w:sz="4" w:space="0"/>
            </w:tcBorders>
            <w:vAlign w:val="center"/>
          </w:tcPr>
          <w:p>
            <w:pPr>
              <w:spacing w:line="360" w:lineRule="exact"/>
              <w:jc w:val="center"/>
              <w:rPr>
                <w:szCs w:val="21"/>
              </w:rPr>
            </w:pPr>
            <w:r>
              <w:rPr>
                <w:color w:val="000000"/>
                <w:kern w:val="0"/>
                <w:sz w:val="20"/>
              </w:rPr>
              <w:t>一级</w:t>
            </w:r>
          </w:p>
        </w:tc>
        <w:tc>
          <w:tcPr>
            <w:tcW w:w="15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color w:val="000000"/>
                <w:kern w:val="0"/>
                <w:sz w:val="20"/>
              </w:rPr>
              <w:t>≥4</w:t>
            </w:r>
          </w:p>
        </w:tc>
        <w:tc>
          <w:tcPr>
            <w:tcW w:w="229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color w:val="000000"/>
                <w:kern w:val="0"/>
                <w:sz w:val="20"/>
              </w:rPr>
              <w:t>充分满足</w:t>
            </w:r>
          </w:p>
        </w:tc>
        <w:tc>
          <w:tcPr>
            <w:tcW w:w="1749" w:type="dxa"/>
            <w:tcBorders>
              <w:top w:val="single" w:color="auto" w:sz="4" w:space="0"/>
              <w:left w:val="single" w:color="auto" w:sz="4" w:space="0"/>
              <w:bottom w:val="single" w:color="auto" w:sz="4" w:space="0"/>
            </w:tcBorders>
            <w:vAlign w:val="center"/>
          </w:tcPr>
          <w:p>
            <w:pPr>
              <w:spacing w:line="360" w:lineRule="exact"/>
              <w:jc w:val="center"/>
              <w:rPr>
                <w:szCs w:val="21"/>
              </w:rPr>
            </w:pPr>
            <w:r>
              <w:rPr>
                <w:color w:val="000000"/>
                <w:kern w:val="0"/>
                <w:sz w:val="20"/>
              </w:rPr>
              <w: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exact"/>
          <w:jc w:val="center"/>
        </w:trPr>
        <w:tc>
          <w:tcPr>
            <w:tcW w:w="2547" w:type="dxa"/>
            <w:tcBorders>
              <w:top w:val="single" w:color="auto" w:sz="4" w:space="0"/>
              <w:bottom w:val="single" w:color="auto" w:sz="4" w:space="0"/>
              <w:right w:val="single" w:color="auto" w:sz="4" w:space="0"/>
            </w:tcBorders>
            <w:vAlign w:val="center"/>
          </w:tcPr>
          <w:p>
            <w:pPr>
              <w:spacing w:line="360" w:lineRule="exact"/>
              <w:jc w:val="center"/>
              <w:rPr>
                <w:szCs w:val="21"/>
              </w:rPr>
            </w:pPr>
            <w:r>
              <w:rPr>
                <w:color w:val="000000"/>
                <w:kern w:val="0"/>
                <w:sz w:val="20"/>
              </w:rPr>
              <w:t>二级</w:t>
            </w:r>
          </w:p>
        </w:tc>
        <w:tc>
          <w:tcPr>
            <w:tcW w:w="15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color w:val="000000"/>
                <w:kern w:val="0"/>
                <w:sz w:val="20"/>
              </w:rPr>
              <w:t>2-4</w:t>
            </w:r>
          </w:p>
        </w:tc>
        <w:tc>
          <w:tcPr>
            <w:tcW w:w="229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color w:val="000000"/>
                <w:kern w:val="0"/>
                <w:sz w:val="20"/>
              </w:rPr>
              <w:t>基本满足</w:t>
            </w:r>
          </w:p>
        </w:tc>
        <w:tc>
          <w:tcPr>
            <w:tcW w:w="1749" w:type="dxa"/>
            <w:tcBorders>
              <w:top w:val="single" w:color="auto" w:sz="4" w:space="0"/>
              <w:left w:val="single" w:color="auto" w:sz="4" w:space="0"/>
              <w:bottom w:val="single" w:color="auto" w:sz="4" w:space="0"/>
            </w:tcBorders>
            <w:vAlign w:val="center"/>
          </w:tcPr>
          <w:p>
            <w:pPr>
              <w:spacing w:line="360" w:lineRule="exact"/>
              <w:jc w:val="center"/>
              <w:rPr>
                <w:szCs w:val="21"/>
              </w:rPr>
            </w:pPr>
            <w:r>
              <w:rPr>
                <w:color w:val="000000"/>
                <w:kern w:val="0"/>
                <w:sz w:val="20"/>
              </w:rPr>
              <w:t>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exact"/>
          <w:jc w:val="center"/>
        </w:trPr>
        <w:tc>
          <w:tcPr>
            <w:tcW w:w="2547" w:type="dxa"/>
            <w:tcBorders>
              <w:top w:val="single" w:color="auto" w:sz="4" w:space="0"/>
              <w:right w:val="single" w:color="auto" w:sz="4" w:space="0"/>
            </w:tcBorders>
            <w:vAlign w:val="center"/>
          </w:tcPr>
          <w:p>
            <w:pPr>
              <w:spacing w:line="360" w:lineRule="exact"/>
              <w:jc w:val="center"/>
              <w:rPr>
                <w:szCs w:val="21"/>
              </w:rPr>
            </w:pPr>
            <w:r>
              <w:rPr>
                <w:color w:val="000000"/>
                <w:kern w:val="0"/>
                <w:sz w:val="20"/>
              </w:rPr>
              <w:t>三级</w:t>
            </w:r>
          </w:p>
        </w:tc>
        <w:tc>
          <w:tcPr>
            <w:tcW w:w="1514" w:type="dxa"/>
            <w:tcBorders>
              <w:top w:val="single" w:color="auto" w:sz="4" w:space="0"/>
              <w:left w:val="single" w:color="auto" w:sz="4" w:space="0"/>
              <w:right w:val="single" w:color="auto" w:sz="4" w:space="0"/>
            </w:tcBorders>
            <w:vAlign w:val="center"/>
          </w:tcPr>
          <w:p>
            <w:pPr>
              <w:spacing w:line="360" w:lineRule="exact"/>
              <w:jc w:val="center"/>
              <w:rPr>
                <w:szCs w:val="21"/>
              </w:rPr>
            </w:pPr>
            <w:r>
              <w:rPr>
                <w:color w:val="000000"/>
                <w:kern w:val="0"/>
                <w:sz w:val="20"/>
              </w:rPr>
              <w:t>1</w:t>
            </w:r>
          </w:p>
        </w:tc>
        <w:tc>
          <w:tcPr>
            <w:tcW w:w="229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color w:val="000000"/>
                <w:kern w:val="0"/>
                <w:sz w:val="20"/>
              </w:rPr>
              <w:t>较低</w:t>
            </w:r>
          </w:p>
        </w:tc>
        <w:tc>
          <w:tcPr>
            <w:tcW w:w="1749" w:type="dxa"/>
            <w:tcBorders>
              <w:top w:val="single" w:color="auto" w:sz="4" w:space="0"/>
              <w:left w:val="single" w:color="auto" w:sz="4" w:space="0"/>
              <w:bottom w:val="single" w:color="auto" w:sz="4" w:space="0"/>
            </w:tcBorders>
            <w:vAlign w:val="center"/>
          </w:tcPr>
          <w:p>
            <w:pPr>
              <w:spacing w:line="360" w:lineRule="exact"/>
              <w:jc w:val="center"/>
              <w:rPr>
                <w:szCs w:val="21"/>
              </w:rPr>
            </w:pPr>
            <w:r>
              <w:rPr>
                <w:color w:val="000000"/>
                <w:kern w:val="0"/>
                <w:sz w:val="20"/>
              </w:rPr>
              <w:t>40</w:t>
            </w:r>
          </w:p>
        </w:tc>
      </w:tr>
    </w:tbl>
    <w:p>
      <w:pPr>
        <w:spacing w:line="480" w:lineRule="exact"/>
        <w:ind w:firstLine="480" w:firstLineChars="200"/>
        <w:rPr>
          <w:sz w:val="24"/>
          <w:szCs w:val="24"/>
        </w:rPr>
      </w:pPr>
      <w:r>
        <w:rPr>
          <w:sz w:val="24"/>
          <w:szCs w:val="24"/>
        </w:rPr>
        <w:t>长沙县汽车站作为客货中转站发挥着非常重要的作用。根据各汽车站客货吞吐量及在长沙县对外交通的重要程度，并依据实际规模确定了它们在定级中的功能分和作用半径，见表2-3-7。</w:t>
      </w:r>
    </w:p>
    <w:p>
      <w:pPr>
        <w:tabs>
          <w:tab w:val="left" w:pos="720"/>
        </w:tabs>
        <w:spacing w:line="480" w:lineRule="exact"/>
        <w:jc w:val="center"/>
        <w:rPr>
          <w:b/>
          <w:sz w:val="24"/>
          <w:szCs w:val="22"/>
        </w:rPr>
      </w:pPr>
      <w:r>
        <w:rPr>
          <w:b/>
          <w:sz w:val="24"/>
          <w:szCs w:val="22"/>
        </w:rPr>
        <w:t>表2-3-7  长沙县城区客运汽车站</w:t>
      </w:r>
    </w:p>
    <w:tbl>
      <w:tblPr>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2228"/>
        <w:gridCol w:w="1417"/>
        <w:gridCol w:w="1417"/>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424" w:type="dxa"/>
            <w:vAlign w:val="center"/>
          </w:tcPr>
          <w:p>
            <w:pPr>
              <w:jc w:val="center"/>
              <w:rPr>
                <w:b/>
                <w:position w:val="-6"/>
                <w:szCs w:val="21"/>
              </w:rPr>
            </w:pPr>
            <w:r>
              <w:rPr>
                <w:b/>
                <w:position w:val="-6"/>
                <w:szCs w:val="21"/>
              </w:rPr>
              <w:t>级别</w:t>
            </w:r>
          </w:p>
        </w:tc>
        <w:tc>
          <w:tcPr>
            <w:tcW w:w="2228" w:type="dxa"/>
            <w:vAlign w:val="center"/>
          </w:tcPr>
          <w:p>
            <w:pPr>
              <w:jc w:val="center"/>
              <w:rPr>
                <w:b/>
                <w:position w:val="-6"/>
                <w:szCs w:val="21"/>
              </w:rPr>
            </w:pPr>
            <w:r>
              <w:rPr>
                <w:b/>
                <w:position w:val="-6"/>
                <w:szCs w:val="21"/>
              </w:rPr>
              <w:t>站名</w:t>
            </w:r>
          </w:p>
        </w:tc>
        <w:tc>
          <w:tcPr>
            <w:tcW w:w="1417" w:type="dxa"/>
            <w:vAlign w:val="center"/>
          </w:tcPr>
          <w:p>
            <w:pPr>
              <w:jc w:val="center"/>
              <w:rPr>
                <w:b/>
                <w:position w:val="-6"/>
                <w:szCs w:val="21"/>
              </w:rPr>
            </w:pPr>
            <w:r>
              <w:rPr>
                <w:b/>
                <w:position w:val="-6"/>
                <w:szCs w:val="21"/>
              </w:rPr>
              <w:t>作用指数</w:t>
            </w:r>
          </w:p>
        </w:tc>
        <w:tc>
          <w:tcPr>
            <w:tcW w:w="1417" w:type="dxa"/>
            <w:vAlign w:val="center"/>
          </w:tcPr>
          <w:p>
            <w:pPr>
              <w:jc w:val="center"/>
              <w:rPr>
                <w:b/>
                <w:position w:val="-6"/>
                <w:szCs w:val="21"/>
              </w:rPr>
            </w:pPr>
            <w:r>
              <w:rPr>
                <w:b/>
                <w:position w:val="-6"/>
                <w:szCs w:val="21"/>
              </w:rPr>
              <w:t>功能分</w:t>
            </w:r>
          </w:p>
        </w:tc>
        <w:tc>
          <w:tcPr>
            <w:tcW w:w="1666" w:type="dxa"/>
            <w:vAlign w:val="center"/>
          </w:tcPr>
          <w:p>
            <w:pPr>
              <w:jc w:val="center"/>
              <w:rPr>
                <w:b/>
                <w:position w:val="-6"/>
                <w:szCs w:val="21"/>
              </w:rPr>
            </w:pPr>
            <w:r>
              <w:rPr>
                <w:b/>
                <w:position w:val="-6"/>
                <w:szCs w:val="21"/>
              </w:rPr>
              <w:t>服务半径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4" w:type="dxa"/>
            <w:vAlign w:val="center"/>
          </w:tcPr>
          <w:p>
            <w:pPr>
              <w:jc w:val="center"/>
              <w:rPr>
                <w:position w:val="-6"/>
                <w:szCs w:val="21"/>
              </w:rPr>
            </w:pPr>
            <w:r>
              <w:rPr>
                <w:position w:val="-6"/>
                <w:szCs w:val="21"/>
              </w:rPr>
              <w:t>一级</w:t>
            </w:r>
          </w:p>
        </w:tc>
        <w:tc>
          <w:tcPr>
            <w:tcW w:w="2228" w:type="dxa"/>
            <w:vAlign w:val="center"/>
          </w:tcPr>
          <w:p>
            <w:pPr>
              <w:jc w:val="center"/>
              <w:rPr>
                <w:position w:val="-6"/>
                <w:szCs w:val="21"/>
              </w:rPr>
            </w:pPr>
            <w:r>
              <w:rPr>
                <w:position w:val="-6"/>
                <w:szCs w:val="21"/>
              </w:rPr>
              <w:t>星沙汽车站</w:t>
            </w:r>
          </w:p>
        </w:tc>
        <w:tc>
          <w:tcPr>
            <w:tcW w:w="1417" w:type="dxa"/>
            <w:vAlign w:val="center"/>
          </w:tcPr>
          <w:p>
            <w:pPr>
              <w:jc w:val="center"/>
              <w:rPr>
                <w:position w:val="-6"/>
                <w:szCs w:val="21"/>
              </w:rPr>
            </w:pPr>
            <w:r>
              <w:rPr>
                <w:position w:val="-6"/>
                <w:szCs w:val="21"/>
              </w:rPr>
              <w:t>1.00</w:t>
            </w:r>
          </w:p>
        </w:tc>
        <w:tc>
          <w:tcPr>
            <w:tcW w:w="1417" w:type="dxa"/>
            <w:vAlign w:val="center"/>
          </w:tcPr>
          <w:p>
            <w:pPr>
              <w:jc w:val="center"/>
              <w:rPr>
                <w:position w:val="-6"/>
                <w:szCs w:val="21"/>
              </w:rPr>
            </w:pPr>
            <w:r>
              <w:rPr>
                <w:position w:val="-6"/>
                <w:szCs w:val="21"/>
              </w:rPr>
              <w:t>100</w:t>
            </w:r>
          </w:p>
        </w:tc>
        <w:tc>
          <w:tcPr>
            <w:tcW w:w="1666" w:type="dxa"/>
            <w:vAlign w:val="center"/>
          </w:tcPr>
          <w:p>
            <w:pPr>
              <w:jc w:val="center"/>
              <w:rPr>
                <w:position w:val="-6"/>
                <w:szCs w:val="21"/>
              </w:rPr>
            </w:pPr>
            <w:r>
              <w:rPr>
                <w:rFonts w:hint="eastAsia"/>
                <w:position w:val="-6"/>
                <w:szCs w:val="21"/>
              </w:rPr>
              <w:t>6360</w:t>
            </w:r>
          </w:p>
        </w:tc>
      </w:tr>
    </w:tbl>
    <w:p>
      <w:pPr>
        <w:spacing w:line="360" w:lineRule="auto"/>
        <w:ind w:firstLine="560" w:firstLineChars="200"/>
        <w:outlineLvl w:val="2"/>
        <w:rPr>
          <w:rFonts w:eastAsia="黑体"/>
          <w:sz w:val="28"/>
          <w:szCs w:val="28"/>
        </w:rPr>
      </w:pPr>
      <w:bookmarkStart w:id="332" w:name="_Toc470721290"/>
      <w:bookmarkStart w:id="333" w:name="_Toc15653"/>
      <w:bookmarkStart w:id="334" w:name="_Toc30797"/>
      <w:bookmarkStart w:id="335" w:name="_Toc271529435"/>
      <w:bookmarkStart w:id="336" w:name="_Toc467846831"/>
      <w:bookmarkStart w:id="337" w:name="_Toc469296439"/>
      <w:r>
        <w:rPr>
          <w:rFonts w:eastAsia="黑体"/>
          <w:sz w:val="28"/>
          <w:szCs w:val="28"/>
        </w:rPr>
        <w:t>四、基本设施状况的量化</w:t>
      </w:r>
      <w:bookmarkEnd w:id="332"/>
      <w:bookmarkEnd w:id="333"/>
      <w:bookmarkEnd w:id="334"/>
      <w:bookmarkEnd w:id="335"/>
      <w:bookmarkEnd w:id="336"/>
      <w:bookmarkEnd w:id="337"/>
    </w:p>
    <w:p>
      <w:pPr>
        <w:spacing w:line="480" w:lineRule="exact"/>
        <w:ind w:firstLine="480" w:firstLineChars="200"/>
        <w:rPr>
          <w:sz w:val="24"/>
          <w:szCs w:val="24"/>
        </w:rPr>
      </w:pPr>
      <w:r>
        <w:rPr>
          <w:sz w:val="24"/>
          <w:szCs w:val="24"/>
        </w:rPr>
        <w:t>基本设施状况包括基础设施完善度和公用设施完善度两项指标。其中基础设施完善度主要通过供水、供电、通讯和排水设施的完善情况来体现；公用设施完备度则通过距离医院、中小学、农贸市场及文体设施的距离来体现。</w:t>
      </w:r>
    </w:p>
    <w:p>
      <w:pPr>
        <w:tabs>
          <w:tab w:val="left" w:pos="3000"/>
        </w:tabs>
        <w:spacing w:line="360" w:lineRule="auto"/>
        <w:ind w:firstLine="482" w:firstLineChars="200"/>
        <w:rPr>
          <w:b/>
          <w:color w:val="000000"/>
          <w:sz w:val="24"/>
          <w:szCs w:val="24"/>
        </w:rPr>
      </w:pPr>
      <w:r>
        <w:rPr>
          <w:b/>
          <w:color w:val="000000"/>
          <w:sz w:val="24"/>
          <w:szCs w:val="24"/>
        </w:rPr>
        <w:t>1、基础设施完善度</w:t>
      </w:r>
    </w:p>
    <w:p>
      <w:pPr>
        <w:spacing w:line="480" w:lineRule="exact"/>
        <w:ind w:firstLine="480" w:firstLineChars="200"/>
        <w:rPr>
          <w:sz w:val="24"/>
          <w:szCs w:val="24"/>
        </w:rPr>
      </w:pPr>
      <w:r>
        <w:rPr>
          <w:sz w:val="24"/>
          <w:szCs w:val="24"/>
        </w:rPr>
        <w:t>城市基础设施完善度主要包括排水设施、给水设施、供电设施和通讯设施等，其规模和完善程度是体现对城市土地投入量的重要方面。近几年来长沙县政府不仅加大了城市基础设施建设投入，而且采用各种措施提高城市内部各区域基础设施的技术水平及其保证率。目前市区的建成区基础设施总体水平比较好，基本能满足城市人口生产和生活需要，但仍有一定的区域差异。基础设施完善度作用分值的确定，一般根据设施类型齐备度、技术水平及其保证率来反映，但在实际操作中，同时对多种设施进行综合评价往往存在一定的困难，而根据各设施的某一指标值的高低较易确定各区域的差异。据此，我们选择了排水、供水两类设施，首先分别计算各类设施的分值，然后通过加权平均求得基础设施完善度分值。</w:t>
      </w:r>
    </w:p>
    <w:p>
      <w:pPr>
        <w:spacing w:line="360" w:lineRule="auto"/>
        <w:ind w:firstLine="482" w:firstLineChars="200"/>
        <w:jc w:val="left"/>
        <w:rPr>
          <w:b/>
          <w:bCs/>
          <w:sz w:val="24"/>
        </w:rPr>
      </w:pPr>
      <w:bookmarkStart w:id="338" w:name="_Toc271529436"/>
      <w:r>
        <w:rPr>
          <w:b/>
          <w:bCs/>
          <w:sz w:val="24"/>
        </w:rPr>
        <w:t>（1）排水状况</w:t>
      </w:r>
    </w:p>
    <w:p>
      <w:pPr>
        <w:spacing w:line="480" w:lineRule="exact"/>
        <w:ind w:firstLine="480" w:firstLineChars="200"/>
        <w:rPr>
          <w:sz w:val="24"/>
          <w:szCs w:val="24"/>
        </w:rPr>
      </w:pPr>
      <w:r>
        <w:rPr>
          <w:sz w:val="24"/>
          <w:szCs w:val="24"/>
        </w:rPr>
        <w:t>根据排水泵站分布图和相关的文字资料，结合当地专家意见，并考虑城区的排水管道分布、管径、排水容量等因素，将整个长沙县区域的排水状况划分为三个级别，分析结果见表2-3-8。</w:t>
      </w:r>
    </w:p>
    <w:p>
      <w:pPr>
        <w:tabs>
          <w:tab w:val="left" w:pos="720"/>
        </w:tabs>
        <w:spacing w:line="480" w:lineRule="exact"/>
        <w:jc w:val="center"/>
        <w:rPr>
          <w:b/>
          <w:sz w:val="24"/>
          <w:szCs w:val="22"/>
        </w:rPr>
      </w:pPr>
      <w:r>
        <w:rPr>
          <w:b/>
          <w:sz w:val="24"/>
          <w:szCs w:val="22"/>
        </w:rPr>
        <w:t>表2-3-8  排水状况指标分析结果表</w:t>
      </w:r>
    </w:p>
    <w:tbl>
      <w:tblPr>
        <w:tblW w:w="818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29"/>
        <w:gridCol w:w="2729"/>
        <w:gridCol w:w="273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2729" w:type="dxa"/>
            <w:tcBorders>
              <w:top w:val="single" w:color="auto" w:sz="4" w:space="0"/>
              <w:bottom w:val="single" w:color="auto" w:sz="4" w:space="0"/>
              <w:right w:val="single" w:color="auto" w:sz="4" w:space="0"/>
            </w:tcBorders>
            <w:vAlign w:val="center"/>
          </w:tcPr>
          <w:p>
            <w:pPr>
              <w:jc w:val="center"/>
              <w:rPr>
                <w:szCs w:val="21"/>
              </w:rPr>
            </w:pPr>
            <w:r>
              <w:rPr>
                <w:szCs w:val="21"/>
              </w:rPr>
              <w:t>因子级别</w:t>
            </w:r>
          </w:p>
        </w:tc>
        <w:tc>
          <w:tcPr>
            <w:tcW w:w="27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排水状况描述</w:t>
            </w:r>
          </w:p>
        </w:tc>
        <w:tc>
          <w:tcPr>
            <w:tcW w:w="2731" w:type="dxa"/>
            <w:tcBorders>
              <w:top w:val="single" w:color="auto" w:sz="4" w:space="0"/>
              <w:left w:val="single" w:color="auto" w:sz="4" w:space="0"/>
              <w:bottom w:val="single" w:color="auto" w:sz="4" w:space="0"/>
            </w:tcBorders>
            <w:vAlign w:val="center"/>
          </w:tcPr>
          <w:p>
            <w:pPr>
              <w:jc w:val="center"/>
              <w:rPr>
                <w:szCs w:val="21"/>
              </w:rPr>
            </w:pPr>
            <w:r>
              <w:rPr>
                <w:szCs w:val="21"/>
              </w:rPr>
              <w:t>作用分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2729" w:type="dxa"/>
            <w:tcBorders>
              <w:top w:val="single" w:color="auto" w:sz="4" w:space="0"/>
              <w:bottom w:val="single" w:color="auto" w:sz="4" w:space="0"/>
              <w:right w:val="single" w:color="auto" w:sz="4" w:space="0"/>
            </w:tcBorders>
            <w:vAlign w:val="bottom"/>
          </w:tcPr>
          <w:p>
            <w:pPr>
              <w:jc w:val="center"/>
              <w:rPr>
                <w:szCs w:val="21"/>
              </w:rPr>
            </w:pPr>
            <w:r>
              <w:rPr>
                <w:szCs w:val="21"/>
              </w:rPr>
              <w:t>一级</w:t>
            </w:r>
          </w:p>
        </w:tc>
        <w:tc>
          <w:tcPr>
            <w:tcW w:w="2729" w:type="dxa"/>
            <w:tcBorders>
              <w:top w:val="single" w:color="auto" w:sz="4" w:space="0"/>
              <w:left w:val="single" w:color="auto" w:sz="4" w:space="0"/>
              <w:bottom w:val="single" w:color="auto" w:sz="4" w:space="0"/>
              <w:right w:val="single" w:color="auto" w:sz="4" w:space="0"/>
            </w:tcBorders>
            <w:vAlign w:val="bottom"/>
          </w:tcPr>
          <w:p>
            <w:pPr>
              <w:jc w:val="center"/>
              <w:rPr>
                <w:szCs w:val="21"/>
              </w:rPr>
            </w:pPr>
            <w:r>
              <w:rPr>
                <w:szCs w:val="21"/>
              </w:rPr>
              <w:t>好</w:t>
            </w:r>
          </w:p>
        </w:tc>
        <w:tc>
          <w:tcPr>
            <w:tcW w:w="2731" w:type="dxa"/>
            <w:tcBorders>
              <w:top w:val="single" w:color="auto" w:sz="4" w:space="0"/>
              <w:left w:val="single" w:color="auto" w:sz="4" w:space="0"/>
              <w:bottom w:val="single" w:color="auto" w:sz="4" w:space="0"/>
            </w:tcBorders>
            <w:vAlign w:val="bottom"/>
          </w:tcPr>
          <w:p>
            <w:pPr>
              <w:jc w:val="center"/>
              <w:rPr>
                <w:szCs w:val="21"/>
              </w:rPr>
            </w:pPr>
            <w:r>
              <w:rPr>
                <w:szCs w:val="21"/>
              </w:rPr>
              <w: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2729" w:type="dxa"/>
            <w:tcBorders>
              <w:top w:val="single" w:color="auto" w:sz="4" w:space="0"/>
              <w:bottom w:val="single" w:color="auto" w:sz="4" w:space="0"/>
              <w:right w:val="single" w:color="auto" w:sz="4" w:space="0"/>
            </w:tcBorders>
            <w:vAlign w:val="bottom"/>
          </w:tcPr>
          <w:p>
            <w:pPr>
              <w:jc w:val="center"/>
              <w:rPr>
                <w:szCs w:val="21"/>
              </w:rPr>
            </w:pPr>
            <w:r>
              <w:rPr>
                <w:szCs w:val="21"/>
              </w:rPr>
              <w:t>二级</w:t>
            </w:r>
          </w:p>
        </w:tc>
        <w:tc>
          <w:tcPr>
            <w:tcW w:w="2729" w:type="dxa"/>
            <w:tcBorders>
              <w:top w:val="single" w:color="auto" w:sz="4" w:space="0"/>
              <w:left w:val="single" w:color="auto" w:sz="4" w:space="0"/>
              <w:bottom w:val="single" w:color="auto" w:sz="4" w:space="0"/>
              <w:right w:val="single" w:color="auto" w:sz="4" w:space="0"/>
            </w:tcBorders>
            <w:vAlign w:val="bottom"/>
          </w:tcPr>
          <w:p>
            <w:pPr>
              <w:jc w:val="center"/>
              <w:rPr>
                <w:szCs w:val="21"/>
              </w:rPr>
            </w:pPr>
            <w:r>
              <w:rPr>
                <w:szCs w:val="21"/>
              </w:rPr>
              <w:t>一般</w:t>
            </w:r>
          </w:p>
        </w:tc>
        <w:tc>
          <w:tcPr>
            <w:tcW w:w="2731" w:type="dxa"/>
            <w:tcBorders>
              <w:top w:val="single" w:color="auto" w:sz="4" w:space="0"/>
              <w:left w:val="single" w:color="auto" w:sz="4" w:space="0"/>
              <w:bottom w:val="single" w:color="auto" w:sz="4" w:space="0"/>
            </w:tcBorders>
            <w:vAlign w:val="bottom"/>
          </w:tcPr>
          <w:p>
            <w:pPr>
              <w:jc w:val="center"/>
              <w:rPr>
                <w:szCs w:val="21"/>
              </w:rPr>
            </w:pPr>
            <w:r>
              <w:rPr>
                <w:szCs w:val="21"/>
              </w:rPr>
              <w:t>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2729" w:type="dxa"/>
            <w:tcBorders>
              <w:top w:val="single" w:color="auto" w:sz="4" w:space="0"/>
              <w:bottom w:val="single" w:color="auto" w:sz="4" w:space="0"/>
              <w:right w:val="single" w:color="auto" w:sz="4" w:space="0"/>
            </w:tcBorders>
            <w:vAlign w:val="bottom"/>
          </w:tcPr>
          <w:p>
            <w:pPr>
              <w:jc w:val="center"/>
              <w:rPr>
                <w:szCs w:val="21"/>
              </w:rPr>
            </w:pPr>
            <w:r>
              <w:rPr>
                <w:szCs w:val="21"/>
              </w:rPr>
              <w:t>三级</w:t>
            </w:r>
          </w:p>
        </w:tc>
        <w:tc>
          <w:tcPr>
            <w:tcW w:w="2729" w:type="dxa"/>
            <w:tcBorders>
              <w:top w:val="single" w:color="auto" w:sz="4" w:space="0"/>
              <w:left w:val="single" w:color="auto" w:sz="4" w:space="0"/>
              <w:bottom w:val="single" w:color="auto" w:sz="4" w:space="0"/>
              <w:right w:val="single" w:color="auto" w:sz="4" w:space="0"/>
            </w:tcBorders>
            <w:vAlign w:val="bottom"/>
          </w:tcPr>
          <w:p>
            <w:pPr>
              <w:jc w:val="center"/>
              <w:rPr>
                <w:szCs w:val="21"/>
              </w:rPr>
            </w:pPr>
            <w:r>
              <w:rPr>
                <w:szCs w:val="21"/>
              </w:rPr>
              <w:t>差</w:t>
            </w:r>
          </w:p>
        </w:tc>
        <w:tc>
          <w:tcPr>
            <w:tcW w:w="2731" w:type="dxa"/>
            <w:tcBorders>
              <w:top w:val="single" w:color="auto" w:sz="4" w:space="0"/>
              <w:left w:val="single" w:color="auto" w:sz="4" w:space="0"/>
              <w:bottom w:val="single" w:color="auto" w:sz="4" w:space="0"/>
            </w:tcBorders>
            <w:vAlign w:val="bottom"/>
          </w:tcPr>
          <w:p>
            <w:pPr>
              <w:jc w:val="center"/>
              <w:rPr>
                <w:szCs w:val="21"/>
              </w:rPr>
            </w:pPr>
            <w:r>
              <w:rPr>
                <w:szCs w:val="21"/>
              </w:rPr>
              <w:t>40</w:t>
            </w:r>
          </w:p>
        </w:tc>
      </w:tr>
    </w:tbl>
    <w:p>
      <w:pPr>
        <w:spacing w:line="360" w:lineRule="auto"/>
        <w:ind w:firstLine="482" w:firstLineChars="200"/>
        <w:jc w:val="left"/>
        <w:rPr>
          <w:b/>
          <w:bCs/>
          <w:sz w:val="24"/>
        </w:rPr>
      </w:pPr>
      <w:r>
        <w:rPr>
          <w:b/>
          <w:bCs/>
          <w:sz w:val="24"/>
        </w:rPr>
        <w:t>（2）供水状况</w:t>
      </w:r>
    </w:p>
    <w:p>
      <w:pPr>
        <w:spacing w:line="480" w:lineRule="exact"/>
        <w:ind w:firstLine="480" w:firstLineChars="200"/>
        <w:rPr>
          <w:sz w:val="24"/>
          <w:szCs w:val="24"/>
        </w:rPr>
      </w:pPr>
      <w:r>
        <w:rPr>
          <w:sz w:val="24"/>
          <w:szCs w:val="24"/>
        </w:rPr>
        <w:t>据长沙县自来水公司提供的长沙县供水资料，截止到201</w:t>
      </w:r>
      <w:r>
        <w:rPr>
          <w:rFonts w:hint="eastAsia"/>
          <w:sz w:val="24"/>
          <w:szCs w:val="24"/>
        </w:rPr>
        <w:t>7</w:t>
      </w:r>
      <w:r>
        <w:rPr>
          <w:sz w:val="24"/>
          <w:szCs w:val="24"/>
        </w:rPr>
        <w:t>年底，供水管网已经基本覆盖城区，保证率已经达到95%以上，而其他乡镇供水保证率相对较低，结合长沙县供水状况的实际情况，我们决定将全县供水状况划分为三个级别，根据供水保证率计算其作用分值，分析处理结果见表2-3-9。</w:t>
      </w:r>
    </w:p>
    <w:p>
      <w:pPr>
        <w:tabs>
          <w:tab w:val="left" w:pos="720"/>
        </w:tabs>
        <w:spacing w:line="480" w:lineRule="exact"/>
        <w:jc w:val="center"/>
        <w:rPr>
          <w:b/>
          <w:sz w:val="24"/>
          <w:szCs w:val="22"/>
        </w:rPr>
      </w:pPr>
      <w:r>
        <w:rPr>
          <w:b/>
          <w:sz w:val="24"/>
          <w:szCs w:val="22"/>
        </w:rPr>
        <w:t>表2-3-9  供水状况指标分析结果表</w:t>
      </w:r>
    </w:p>
    <w:tbl>
      <w:tblPr>
        <w:tblW w:w="8096" w:type="dxa"/>
        <w:jc w:val="center"/>
        <w:tblInd w:w="-19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8"/>
        <w:gridCol w:w="2609"/>
        <w:gridCol w:w="2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78" w:type="dxa"/>
            <w:vAlign w:val="center"/>
          </w:tcPr>
          <w:p>
            <w:pPr>
              <w:jc w:val="center"/>
              <w:rPr>
                <w:szCs w:val="21"/>
              </w:rPr>
            </w:pPr>
            <w:r>
              <w:rPr>
                <w:szCs w:val="21"/>
              </w:rPr>
              <w:t>因子级别</w:t>
            </w:r>
          </w:p>
        </w:tc>
        <w:tc>
          <w:tcPr>
            <w:tcW w:w="2609" w:type="dxa"/>
            <w:vAlign w:val="center"/>
          </w:tcPr>
          <w:p>
            <w:pPr>
              <w:jc w:val="center"/>
              <w:rPr>
                <w:szCs w:val="21"/>
              </w:rPr>
            </w:pPr>
            <w:r>
              <w:rPr>
                <w:szCs w:val="21"/>
              </w:rPr>
              <w:t>供水状况描述</w:t>
            </w:r>
          </w:p>
        </w:tc>
        <w:tc>
          <w:tcPr>
            <w:tcW w:w="2609" w:type="dxa"/>
            <w:vAlign w:val="center"/>
          </w:tcPr>
          <w:p>
            <w:pPr>
              <w:jc w:val="center"/>
              <w:rPr>
                <w:szCs w:val="21"/>
              </w:rPr>
            </w:pPr>
            <w:r>
              <w:rPr>
                <w:szCs w:val="21"/>
              </w:rPr>
              <w:t>作用分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78" w:type="dxa"/>
            <w:vAlign w:val="center"/>
          </w:tcPr>
          <w:p>
            <w:pPr>
              <w:jc w:val="center"/>
              <w:rPr>
                <w:szCs w:val="21"/>
              </w:rPr>
            </w:pPr>
            <w:r>
              <w:rPr>
                <w:szCs w:val="21"/>
              </w:rPr>
              <w:t>一级</w:t>
            </w:r>
          </w:p>
        </w:tc>
        <w:tc>
          <w:tcPr>
            <w:tcW w:w="2609" w:type="dxa"/>
            <w:vAlign w:val="center"/>
          </w:tcPr>
          <w:p>
            <w:pPr>
              <w:jc w:val="center"/>
              <w:rPr>
                <w:szCs w:val="21"/>
              </w:rPr>
            </w:pPr>
            <w:r>
              <w:rPr>
                <w:szCs w:val="21"/>
              </w:rPr>
              <w:t>供水保证率高</w:t>
            </w:r>
          </w:p>
        </w:tc>
        <w:tc>
          <w:tcPr>
            <w:tcW w:w="2609" w:type="dxa"/>
            <w:vAlign w:val="center"/>
          </w:tcPr>
          <w:p>
            <w:pPr>
              <w:jc w:val="center"/>
              <w:rPr>
                <w:szCs w:val="21"/>
              </w:rPr>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78" w:type="dxa"/>
            <w:vAlign w:val="center"/>
          </w:tcPr>
          <w:p>
            <w:pPr>
              <w:jc w:val="center"/>
              <w:rPr>
                <w:szCs w:val="21"/>
              </w:rPr>
            </w:pPr>
            <w:r>
              <w:rPr>
                <w:szCs w:val="21"/>
              </w:rPr>
              <w:t>二级</w:t>
            </w:r>
          </w:p>
        </w:tc>
        <w:tc>
          <w:tcPr>
            <w:tcW w:w="2609" w:type="dxa"/>
            <w:vAlign w:val="center"/>
          </w:tcPr>
          <w:p>
            <w:pPr>
              <w:jc w:val="center"/>
              <w:rPr>
                <w:szCs w:val="21"/>
              </w:rPr>
            </w:pPr>
            <w:r>
              <w:rPr>
                <w:szCs w:val="21"/>
              </w:rPr>
              <w:t>供水保证率一般</w:t>
            </w:r>
          </w:p>
        </w:tc>
        <w:tc>
          <w:tcPr>
            <w:tcW w:w="2609" w:type="dxa"/>
            <w:vAlign w:val="center"/>
          </w:tcPr>
          <w:p>
            <w:pPr>
              <w:jc w:val="center"/>
              <w:rPr>
                <w:szCs w:val="21"/>
              </w:rPr>
            </w:pPr>
            <w:r>
              <w:rPr>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78" w:type="dxa"/>
            <w:vAlign w:val="center"/>
          </w:tcPr>
          <w:p>
            <w:pPr>
              <w:jc w:val="center"/>
              <w:rPr>
                <w:szCs w:val="21"/>
              </w:rPr>
            </w:pPr>
            <w:r>
              <w:rPr>
                <w:szCs w:val="21"/>
              </w:rPr>
              <w:t>三级</w:t>
            </w:r>
          </w:p>
        </w:tc>
        <w:tc>
          <w:tcPr>
            <w:tcW w:w="2609" w:type="dxa"/>
            <w:vAlign w:val="center"/>
          </w:tcPr>
          <w:p>
            <w:pPr>
              <w:jc w:val="center"/>
              <w:rPr>
                <w:szCs w:val="21"/>
              </w:rPr>
            </w:pPr>
            <w:r>
              <w:rPr>
                <w:szCs w:val="21"/>
              </w:rPr>
              <w:t>供水保证率较差</w:t>
            </w:r>
          </w:p>
        </w:tc>
        <w:tc>
          <w:tcPr>
            <w:tcW w:w="2609" w:type="dxa"/>
            <w:vAlign w:val="center"/>
          </w:tcPr>
          <w:p>
            <w:pPr>
              <w:jc w:val="center"/>
              <w:rPr>
                <w:szCs w:val="21"/>
              </w:rPr>
            </w:pPr>
            <w:r>
              <w:rPr>
                <w:szCs w:val="21"/>
              </w:rPr>
              <w:t>50</w:t>
            </w:r>
          </w:p>
        </w:tc>
      </w:tr>
    </w:tbl>
    <w:p>
      <w:pPr>
        <w:spacing w:line="360" w:lineRule="auto"/>
        <w:jc w:val="center"/>
        <w:rPr>
          <w:b/>
          <w:bCs/>
          <w:sz w:val="24"/>
        </w:rPr>
      </w:pPr>
      <w:r>
        <w:rPr>
          <w:rFonts w:ascii="Times New Roman" w:hAnsi="Times New Roman" w:eastAsia="宋体" w:cs="Times New Roman"/>
          <w:b/>
          <w:bCs/>
          <w:kern w:val="2"/>
          <w:sz w:val="24"/>
          <w:lang w:val="en-US" w:eastAsia="zh-CN" w:bidi="ar-SA"/>
        </w:rPr>
        <w:pict>
          <v:shape id="图片 99" o:spid="_x0000_s1124" type="#_x0000_t75" style="height:318.3pt;width:297.2pt;rotation:0f;" o:ole="f" fillcolor="#FFFFFF" filled="f" o:preferrelative="t" stroked="f" coordorigin="0,0" coordsize="21600,21600">
            <v:fill on="f" color2="#FFFFFF" focus="0%"/>
            <v:imagedata cropleft="5952f" croptop="5007f" cropright="12056f" cropbottom="5857f" gain="65536f" blacklevel="0f" gamma="0" o:title="" r:id="rId42"/>
            <o:lock v:ext="edit" position="f" selection="f" grouping="f" rotation="f" cropping="f" text="f" aspectratio="t"/>
            <w10:wrap type="none"/>
            <w10:anchorlock/>
          </v:shape>
        </w:pict>
      </w:r>
    </w:p>
    <w:p>
      <w:pPr>
        <w:spacing w:line="360" w:lineRule="auto"/>
        <w:jc w:val="center"/>
        <w:rPr>
          <w:rFonts w:eastAsia="黑体"/>
          <w:b/>
          <w:bCs/>
          <w:sz w:val="24"/>
          <w:szCs w:val="24"/>
        </w:rPr>
      </w:pPr>
      <w:r>
        <w:rPr>
          <w:rFonts w:eastAsia="黑体"/>
          <w:b/>
          <w:bCs/>
          <w:sz w:val="24"/>
          <w:szCs w:val="24"/>
        </w:rPr>
        <w:t>图2-3-2  长沙县城乡一体化供水总体布置图</w:t>
      </w:r>
    </w:p>
    <w:p>
      <w:pPr>
        <w:tabs>
          <w:tab w:val="left" w:pos="3000"/>
        </w:tabs>
        <w:spacing w:line="360" w:lineRule="auto"/>
        <w:ind w:firstLine="482" w:firstLineChars="200"/>
        <w:rPr>
          <w:b/>
          <w:color w:val="000000"/>
          <w:sz w:val="24"/>
          <w:szCs w:val="24"/>
        </w:rPr>
      </w:pPr>
      <w:r>
        <w:rPr>
          <w:b/>
          <w:color w:val="000000"/>
          <w:sz w:val="24"/>
          <w:szCs w:val="24"/>
        </w:rPr>
        <w:t>2、公用设施完备度的量化</w:t>
      </w:r>
      <w:bookmarkEnd w:id="338"/>
    </w:p>
    <w:p>
      <w:pPr>
        <w:spacing w:line="480" w:lineRule="exact"/>
        <w:ind w:firstLine="480" w:firstLineChars="200"/>
        <w:rPr>
          <w:sz w:val="24"/>
          <w:szCs w:val="24"/>
        </w:rPr>
      </w:pPr>
      <w:r>
        <w:rPr>
          <w:sz w:val="24"/>
          <w:szCs w:val="24"/>
        </w:rPr>
        <w:t>长沙县城区各类公用设施比较齐全，布局也比较合理，为城区人民的工作和生活提供了方便。按设施在城市日常生活中的地位和作用，本次定级选择了医院、学校、大型超市和文体设施来反映城市公用设施完备程度，这些设施与人民日常生活、生产密切联系。</w:t>
      </w:r>
    </w:p>
    <w:p>
      <w:pPr>
        <w:spacing w:line="360" w:lineRule="auto"/>
        <w:ind w:firstLine="482" w:firstLineChars="200"/>
        <w:rPr>
          <w:b/>
          <w:sz w:val="24"/>
        </w:rPr>
      </w:pPr>
      <w:r>
        <w:rPr>
          <w:b/>
          <w:sz w:val="24"/>
        </w:rPr>
        <w:t>（1）公用设施的作用指数和功能分的计算</w:t>
      </w:r>
    </w:p>
    <w:p>
      <w:pPr>
        <w:spacing w:line="480" w:lineRule="exact"/>
        <w:ind w:firstLine="480" w:firstLineChars="200"/>
        <w:rPr>
          <w:sz w:val="24"/>
          <w:szCs w:val="24"/>
        </w:rPr>
      </w:pPr>
      <w:r>
        <w:rPr>
          <w:sz w:val="24"/>
          <w:szCs w:val="24"/>
        </w:rPr>
        <w:t>公用设施的作用指数反映某设施或某类设施和日常生活的密切程度，指数与设施作用大小成正比，可通过各类设施的属性指标综合计算得出。设施功能分的计算公式为：</w:t>
      </w:r>
    </w:p>
    <w:p>
      <w:pPr>
        <w:spacing w:line="360" w:lineRule="auto"/>
        <w:ind w:firstLine="480" w:firstLineChars="200"/>
        <w:jc w:val="center"/>
        <w:rPr>
          <w:sz w:val="24"/>
        </w:rPr>
      </w:pPr>
      <w:r>
        <w:rPr>
          <w:sz w:val="24"/>
        </w:rPr>
        <w:t>f</w:t>
      </w:r>
      <w:r>
        <w:rPr>
          <w:sz w:val="24"/>
          <w:vertAlign w:val="subscript"/>
        </w:rPr>
        <w:t>i</w:t>
      </w:r>
      <w:r>
        <w:rPr>
          <w:sz w:val="24"/>
        </w:rPr>
        <w:t>=100×k</w:t>
      </w:r>
      <w:r>
        <w:rPr>
          <w:sz w:val="24"/>
          <w:vertAlign w:val="subscript"/>
        </w:rPr>
        <w:t xml:space="preserve">i   </w:t>
      </w:r>
      <w:r>
        <w:rPr>
          <w:sz w:val="24"/>
          <w:szCs w:val="24"/>
        </w:rPr>
        <w:t>(公式2-3-5)</w:t>
      </w:r>
    </w:p>
    <w:p>
      <w:pPr>
        <w:spacing w:line="360" w:lineRule="auto"/>
        <w:ind w:firstLine="480" w:firstLineChars="200"/>
        <w:rPr>
          <w:sz w:val="24"/>
        </w:rPr>
      </w:pPr>
      <w:r>
        <w:rPr>
          <w:sz w:val="24"/>
        </w:rPr>
        <w:t>式中：f</w:t>
      </w:r>
      <w:r>
        <w:rPr>
          <w:sz w:val="24"/>
          <w:vertAlign w:val="subscript"/>
        </w:rPr>
        <w:t>i</w:t>
      </w:r>
      <w:r>
        <w:rPr>
          <w:sz w:val="24"/>
        </w:rPr>
        <w:t>——第i设施的功能分；k</w:t>
      </w:r>
      <w:r>
        <w:rPr>
          <w:sz w:val="24"/>
          <w:vertAlign w:val="subscript"/>
        </w:rPr>
        <w:t>i</w:t>
      </w:r>
      <w:r>
        <w:rPr>
          <w:sz w:val="24"/>
        </w:rPr>
        <w:t>——第i设施的作用指数。</w:t>
      </w:r>
    </w:p>
    <w:p>
      <w:pPr>
        <w:spacing w:line="360" w:lineRule="auto"/>
        <w:ind w:firstLine="482" w:firstLineChars="200"/>
        <w:rPr>
          <w:b/>
          <w:sz w:val="24"/>
        </w:rPr>
      </w:pPr>
      <w:r>
        <w:rPr>
          <w:b/>
          <w:sz w:val="24"/>
        </w:rPr>
        <w:t>（2）公用设施服务半径的计算</w:t>
      </w:r>
    </w:p>
    <w:p>
      <w:pPr>
        <w:spacing w:line="360" w:lineRule="auto"/>
        <w:ind w:firstLine="480" w:firstLineChars="200"/>
        <w:rPr>
          <w:sz w:val="24"/>
        </w:rPr>
      </w:pPr>
      <w:r>
        <w:rPr>
          <w:sz w:val="24"/>
        </w:rPr>
        <w:t>公用设施服务半径，按设施的数量多少、规模、影响大小确定。也可按公式计算并作适当调整，计算公式为：</w:t>
      </w:r>
    </w:p>
    <w:p>
      <w:pPr>
        <w:spacing w:line="360" w:lineRule="auto"/>
        <w:ind w:firstLine="480" w:firstLineChars="200"/>
        <w:jc w:val="center"/>
        <w:rPr>
          <w:sz w:val="24"/>
        </w:rPr>
      </w:pPr>
      <w:r>
        <w:rPr>
          <w:rFonts w:ascii="Times New Roman" w:hAnsi="Times New Roman" w:eastAsia="宋体" w:cs="Times New Roman"/>
          <w:kern w:val="2"/>
          <w:position w:val="-26"/>
          <w:sz w:val="24"/>
          <w:lang w:val="en-US" w:eastAsia="zh-CN" w:bidi="ar-SA"/>
        </w:rPr>
        <w:object>
          <v:shape id="Picture 3" type="#_x0000_t75" style="height:35.2pt;width:48.55pt;rotation:0f;" o:ole="t" fillcolor="#FFFFFF" filled="f" o:preferrelative="t" stroked="f" coordorigin="0,0" coordsize="21600,21600">
            <v:fill on="f" color2="#FFFFFF" focus="0%"/>
            <v:imagedata gain="65536f" blacklevel="0f" gamma="0" o:title="" r:id="rId44"/>
            <o:lock v:ext="edit" position="f" selection="f" grouping="f" rotation="f" cropping="f" text="f" aspectratio="t"/>
            <w10:wrap type="none"/>
            <w10:anchorlock/>
          </v:shape>
          <o:OLEObject Type="Embed" ProgID="" ShapeID="Picture 3" DrawAspect="Content" ObjectID="_98" r:id="rId43"/>
        </w:object>
      </w:r>
      <w:r>
        <w:rPr>
          <w:position w:val="-26"/>
          <w:sz w:val="24"/>
        </w:rPr>
        <w:t xml:space="preserve">   </w:t>
      </w:r>
      <w:r>
        <w:rPr>
          <w:sz w:val="24"/>
          <w:szCs w:val="24"/>
        </w:rPr>
        <w:t>(公式2-3-6)</w:t>
      </w:r>
    </w:p>
    <w:p>
      <w:pPr>
        <w:spacing w:line="480" w:lineRule="exact"/>
        <w:ind w:firstLine="480" w:firstLineChars="200"/>
        <w:rPr>
          <w:sz w:val="24"/>
          <w:szCs w:val="24"/>
        </w:rPr>
      </w:pPr>
      <w:r>
        <w:rPr>
          <w:sz w:val="24"/>
          <w:szCs w:val="24"/>
        </w:rPr>
        <w:t>式中：d——设施作用半径；s——定级区域面积；n——设施个数。</w:t>
      </w:r>
    </w:p>
    <w:p>
      <w:pPr>
        <w:spacing w:line="480" w:lineRule="exact"/>
        <w:ind w:firstLine="480" w:firstLineChars="200"/>
        <w:rPr>
          <w:sz w:val="24"/>
          <w:szCs w:val="24"/>
        </w:rPr>
      </w:pPr>
      <w:r>
        <w:rPr>
          <w:sz w:val="24"/>
          <w:szCs w:val="24"/>
        </w:rPr>
        <w:t>根据长沙县各有关部门提供的资料，按各类设施的分布、数量及属性指标等计算确定各类设施的功能分和服务半径。</w:t>
      </w:r>
    </w:p>
    <w:p>
      <w:pPr>
        <w:spacing w:line="360" w:lineRule="auto"/>
        <w:ind w:firstLine="482" w:firstLineChars="200"/>
        <w:jc w:val="left"/>
        <w:rPr>
          <w:b/>
          <w:sz w:val="24"/>
          <w:szCs w:val="24"/>
        </w:rPr>
      </w:pPr>
      <w:r>
        <w:rPr>
          <w:b/>
          <w:sz w:val="24"/>
          <w:szCs w:val="24"/>
        </w:rPr>
        <w:t>（3）医院</w:t>
      </w:r>
    </w:p>
    <w:p>
      <w:pPr>
        <w:spacing w:line="480" w:lineRule="exact"/>
        <w:ind w:firstLine="480" w:firstLineChars="200"/>
        <w:rPr>
          <w:sz w:val="24"/>
          <w:szCs w:val="24"/>
        </w:rPr>
      </w:pPr>
      <w:r>
        <w:rPr>
          <w:sz w:val="24"/>
          <w:szCs w:val="24"/>
        </w:rPr>
        <w:t>医院级别划分主要依据卫生部门确定的医院等级指标，通过病床数反映级内差异。本次调查共收集到8所有效医院资料（主要为国家评定等级医院）。对其属性指标如病床数、医院等级，对其属性指标如病床数、医院等级，按照公式2-3-5计算各医院的功能分。医院作用半径采用公式2-3-6进行计算。医院分布情况表见表2-3-9。</w:t>
      </w:r>
    </w:p>
    <w:p>
      <w:pPr>
        <w:tabs>
          <w:tab w:val="left" w:pos="720"/>
        </w:tabs>
        <w:spacing w:line="480" w:lineRule="exact"/>
        <w:ind w:firstLine="482" w:firstLineChars="200"/>
        <w:jc w:val="center"/>
        <w:rPr>
          <w:b/>
          <w:sz w:val="24"/>
          <w:szCs w:val="22"/>
        </w:rPr>
      </w:pPr>
      <w:r>
        <w:rPr>
          <w:b/>
          <w:sz w:val="24"/>
          <w:szCs w:val="22"/>
        </w:rPr>
        <w:t>表2-3-9  医院分布情表</w:t>
      </w:r>
    </w:p>
    <w:tbl>
      <w:tblPr>
        <w:tblW w:w="83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4060"/>
        <w:gridCol w:w="1080"/>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trPr>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因子级别</w:t>
            </w:r>
          </w:p>
        </w:tc>
        <w:tc>
          <w:tcPr>
            <w:tcW w:w="4060"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医院名称</w:t>
            </w:r>
          </w:p>
        </w:tc>
        <w:tc>
          <w:tcPr>
            <w:tcW w:w="1080"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数量</w:t>
            </w:r>
          </w:p>
        </w:tc>
        <w:tc>
          <w:tcPr>
            <w:tcW w:w="1080"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平均功能分</w:t>
            </w:r>
          </w:p>
        </w:tc>
        <w:tc>
          <w:tcPr>
            <w:tcW w:w="1080"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作用半径(m)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一级</w:t>
            </w:r>
          </w:p>
        </w:tc>
        <w:tc>
          <w:tcPr>
            <w:tcW w:w="406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szCs w:val="21"/>
              </w:rPr>
              <w:t>长沙县人民医院、长沙县妇幼保健院、星沙医院、长沙市中医院（长沙市第八医院）</w:t>
            </w: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4</w:t>
            </w:r>
          </w:p>
        </w:tc>
        <w:tc>
          <w:tcPr>
            <w:tcW w:w="1080" w:type="dxa"/>
            <w:tcBorders>
              <w:top w:val="nil"/>
              <w:left w:val="nil"/>
              <w:bottom w:val="single" w:color="auto" w:sz="4" w:space="0"/>
              <w:right w:val="single" w:color="auto" w:sz="4" w:space="0"/>
            </w:tcBorders>
            <w:vAlign w:val="center"/>
          </w:tcPr>
          <w:p>
            <w:pPr>
              <w:widowControl/>
              <w:ind w:left="-105" w:leftChars="-50" w:right="-105" w:rightChars="-50"/>
              <w:jc w:val="center"/>
              <w:rPr>
                <w:color w:val="000000"/>
                <w:kern w:val="0"/>
                <w:szCs w:val="21"/>
              </w:rPr>
            </w:pPr>
            <w:r>
              <w:rPr>
                <w:color w:val="000000"/>
                <w:kern w:val="0"/>
                <w:szCs w:val="21"/>
              </w:rPr>
              <w:t>100</w:t>
            </w:r>
          </w:p>
        </w:tc>
        <w:tc>
          <w:tcPr>
            <w:tcW w:w="1080" w:type="dxa"/>
            <w:tcBorders>
              <w:top w:val="nil"/>
              <w:left w:val="nil"/>
              <w:bottom w:val="single" w:color="auto" w:sz="4" w:space="0"/>
              <w:right w:val="single" w:color="auto" w:sz="4" w:space="0"/>
            </w:tcBorders>
            <w:vAlign w:val="center"/>
          </w:tcPr>
          <w:p>
            <w:pPr>
              <w:widowControl/>
              <w:ind w:left="-105" w:leftChars="-50" w:right="-105" w:rightChars="-50"/>
              <w:jc w:val="center"/>
              <w:rPr>
                <w:color w:val="000000"/>
                <w:kern w:val="0"/>
                <w:szCs w:val="21"/>
              </w:rPr>
            </w:pPr>
            <w:r>
              <w:rPr>
                <w:color w:val="000000"/>
                <w:kern w:val="0"/>
                <w:szCs w:val="21"/>
              </w:rPr>
              <w:t>3180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75"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二级</w:t>
            </w:r>
          </w:p>
        </w:tc>
        <w:tc>
          <w:tcPr>
            <w:tcW w:w="406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szCs w:val="21"/>
              </w:rPr>
              <w:t>湘雅博爱康复医院、长沙天伦医院、星沙博爱医院、南方年轮骨科医院</w:t>
            </w: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4</w:t>
            </w:r>
          </w:p>
        </w:tc>
        <w:tc>
          <w:tcPr>
            <w:tcW w:w="1080" w:type="dxa"/>
            <w:tcBorders>
              <w:top w:val="nil"/>
              <w:left w:val="nil"/>
              <w:bottom w:val="single" w:color="auto" w:sz="4" w:space="0"/>
              <w:right w:val="single" w:color="auto" w:sz="4" w:space="0"/>
            </w:tcBorders>
            <w:vAlign w:val="center"/>
          </w:tcPr>
          <w:p>
            <w:pPr>
              <w:widowControl/>
              <w:ind w:left="-105" w:leftChars="-50" w:right="-105" w:rightChars="-50"/>
              <w:jc w:val="center"/>
              <w:rPr>
                <w:color w:val="000000"/>
                <w:kern w:val="0"/>
                <w:szCs w:val="21"/>
              </w:rPr>
            </w:pPr>
            <w:r>
              <w:rPr>
                <w:color w:val="000000"/>
                <w:kern w:val="0"/>
                <w:szCs w:val="21"/>
              </w:rPr>
              <w:t>70</w:t>
            </w:r>
          </w:p>
        </w:tc>
        <w:tc>
          <w:tcPr>
            <w:tcW w:w="1080" w:type="dxa"/>
            <w:tcBorders>
              <w:top w:val="nil"/>
              <w:left w:val="nil"/>
              <w:bottom w:val="single" w:color="auto" w:sz="4" w:space="0"/>
              <w:right w:val="single" w:color="auto" w:sz="4" w:space="0"/>
            </w:tcBorders>
            <w:vAlign w:val="center"/>
          </w:tcPr>
          <w:p>
            <w:pPr>
              <w:widowControl/>
              <w:ind w:left="-105" w:leftChars="-50" w:right="-105" w:rightChars="-50"/>
              <w:jc w:val="center"/>
              <w:rPr>
                <w:color w:val="000000"/>
                <w:kern w:val="0"/>
                <w:szCs w:val="21"/>
              </w:rPr>
            </w:pPr>
            <w:r>
              <w:rPr>
                <w:color w:val="000000"/>
                <w:kern w:val="0"/>
                <w:szCs w:val="21"/>
              </w:rPr>
              <w:t>3180</w:t>
            </w:r>
          </w:p>
        </w:tc>
      </w:tr>
    </w:tbl>
    <w:p>
      <w:pPr>
        <w:spacing w:line="360" w:lineRule="auto"/>
        <w:jc w:val="center"/>
        <w:rPr>
          <w:b/>
          <w:sz w:val="24"/>
          <w:szCs w:val="24"/>
        </w:rPr>
      </w:pPr>
      <w:r>
        <w:rPr>
          <w:rFonts w:ascii="Times New Roman" w:hAnsi="Times New Roman" w:eastAsia="宋体" w:cs="Times New Roman"/>
          <w:b/>
          <w:kern w:val="2"/>
          <w:sz w:val="24"/>
          <w:szCs w:val="24"/>
          <w:lang w:val="en-US" w:eastAsia="zh-CN" w:bidi="ar-SA"/>
        </w:rPr>
        <w:pict>
          <v:shape id="图片 1579" o:spid="_x0000_s1126" type="#_x0000_t75" style="height:317.25pt;width:224.15pt;rotation:0f;" o:ole="f" fillcolor="#FFFFFF" filled="f" o:preferrelative="t" stroked="f" coordorigin="0,0" coordsize="21600,21600">
            <v:fill on="f" color2="#FFFFFF" focus="0%"/>
            <v:imagedata gain="65536f" blacklevel="0f" gamma="0" o:title="" r:id="rId45"/>
            <o:lock v:ext="edit" position="f" selection="f" grouping="f" rotation="f" cropping="f" text="f" aspectratio="t"/>
            <w10:wrap type="none"/>
            <w10:anchorlock/>
          </v:shape>
        </w:pict>
      </w:r>
    </w:p>
    <w:p>
      <w:pPr>
        <w:spacing w:line="360" w:lineRule="auto"/>
        <w:jc w:val="center"/>
        <w:rPr>
          <w:rFonts w:eastAsia="黑体"/>
          <w:b/>
          <w:bCs/>
          <w:sz w:val="24"/>
          <w:szCs w:val="24"/>
        </w:rPr>
      </w:pPr>
      <w:r>
        <w:rPr>
          <w:rFonts w:eastAsia="黑体"/>
          <w:b/>
          <w:bCs/>
          <w:sz w:val="24"/>
          <w:szCs w:val="24"/>
        </w:rPr>
        <w:t>图2-3-3城区医院作用分值示意图</w:t>
      </w:r>
    </w:p>
    <w:p>
      <w:pPr>
        <w:spacing w:line="360" w:lineRule="auto"/>
        <w:ind w:firstLine="482" w:firstLineChars="200"/>
        <w:jc w:val="left"/>
        <w:rPr>
          <w:b/>
          <w:sz w:val="24"/>
          <w:szCs w:val="24"/>
        </w:rPr>
      </w:pPr>
      <w:r>
        <w:rPr>
          <w:b/>
          <w:sz w:val="24"/>
          <w:szCs w:val="24"/>
        </w:rPr>
        <w:t>（4）学校</w:t>
      </w:r>
    </w:p>
    <w:p>
      <w:pPr>
        <w:spacing w:line="480" w:lineRule="exact"/>
        <w:ind w:firstLine="480" w:firstLineChars="200"/>
        <w:rPr>
          <w:sz w:val="24"/>
          <w:szCs w:val="24"/>
        </w:rPr>
      </w:pPr>
      <w:r>
        <w:rPr>
          <w:sz w:val="24"/>
          <w:szCs w:val="24"/>
        </w:rPr>
        <w:t>共收集到定级区域内20所各类学校的有关资料。根据属性指标，如学校类型、占地面积、教职工人数、学生数、班级数等将学校分为二个级别，并根据学校规模和作用指数确定了各级别的平均功能分，分析结果见表2-3-10。分值图如下。</w:t>
      </w:r>
    </w:p>
    <w:p>
      <w:pPr>
        <w:tabs>
          <w:tab w:val="left" w:pos="720"/>
        </w:tabs>
        <w:spacing w:line="480" w:lineRule="exact"/>
        <w:ind w:firstLine="482" w:firstLineChars="200"/>
        <w:jc w:val="center"/>
        <w:rPr>
          <w:b/>
          <w:sz w:val="24"/>
          <w:szCs w:val="22"/>
        </w:rPr>
      </w:pPr>
      <w:r>
        <w:rPr>
          <w:b/>
          <w:sz w:val="24"/>
          <w:szCs w:val="22"/>
        </w:rPr>
        <w:t>表2-3-10 学校指标分析结果表</w:t>
      </w:r>
    </w:p>
    <w:tbl>
      <w:tblPr>
        <w:tblW w:w="851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2"/>
        <w:gridCol w:w="1133"/>
        <w:gridCol w:w="4431"/>
        <w:gridCol w:w="441"/>
        <w:gridCol w:w="653"/>
        <w:gridCol w:w="7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112"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因子级别</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学校类型</w:t>
            </w:r>
          </w:p>
        </w:tc>
        <w:tc>
          <w:tcPr>
            <w:tcW w:w="4431"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学校名称</w:t>
            </w:r>
          </w:p>
        </w:tc>
        <w:tc>
          <w:tcPr>
            <w:tcW w:w="441"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数量</w:t>
            </w:r>
          </w:p>
        </w:tc>
        <w:tc>
          <w:tcPr>
            <w:tcW w:w="653"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平均功能分</w:t>
            </w:r>
          </w:p>
        </w:tc>
        <w:tc>
          <w:tcPr>
            <w:tcW w:w="749"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作用半径(m)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5" w:hRule="atLeast"/>
        </w:trPr>
        <w:tc>
          <w:tcPr>
            <w:tcW w:w="1112"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textAlignment w:val="baseline"/>
              <w:rPr>
                <w:color w:val="000000"/>
                <w:kern w:val="0"/>
                <w:szCs w:val="21"/>
              </w:rPr>
            </w:pPr>
            <w:r>
              <w:rPr>
                <w:szCs w:val="21"/>
              </w:rPr>
              <w:t>一级</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中学</w:t>
            </w:r>
          </w:p>
        </w:tc>
        <w:tc>
          <w:tcPr>
            <w:tcW w:w="4431" w:type="dxa"/>
            <w:tcBorders>
              <w:top w:val="single" w:color="auto" w:sz="4" w:space="0"/>
              <w:left w:val="nil"/>
              <w:bottom w:val="single" w:color="auto" w:sz="4" w:space="0"/>
              <w:right w:val="single" w:color="auto" w:sz="4" w:space="0"/>
            </w:tcBorders>
            <w:vAlign w:val="center"/>
          </w:tcPr>
          <w:p>
            <w:pPr>
              <w:adjustRightInd w:val="0"/>
              <w:snapToGrid w:val="0"/>
              <w:ind w:firstLine="400" w:firstLineChars="200"/>
              <w:jc w:val="center"/>
              <w:textAlignment w:val="baseline"/>
              <w:rPr>
                <w:color w:val="000000"/>
                <w:sz w:val="20"/>
              </w:rPr>
            </w:pPr>
            <w:r>
              <w:rPr>
                <w:color w:val="000000"/>
                <w:sz w:val="20"/>
              </w:rPr>
              <w:t>长沙湘龙高级中学、长沙市贺龙中学、星沙中学、松雅湖中学、长沙县实验中学、湘郡未来实验学校、长沙县第一中学、长沙县第七中学、</w:t>
            </w:r>
          </w:p>
          <w:p>
            <w:pPr>
              <w:adjustRightInd w:val="0"/>
              <w:snapToGrid w:val="0"/>
              <w:ind w:firstLine="400" w:firstLineChars="200"/>
              <w:jc w:val="center"/>
              <w:textAlignment w:val="baseline"/>
              <w:rPr>
                <w:color w:val="000000"/>
                <w:kern w:val="0"/>
                <w:szCs w:val="21"/>
              </w:rPr>
            </w:pPr>
            <w:r>
              <w:rPr>
                <w:color w:val="000000"/>
                <w:sz w:val="20"/>
              </w:rPr>
              <w:t>泉塘中学、梨江中学</w:t>
            </w:r>
          </w:p>
        </w:tc>
        <w:tc>
          <w:tcPr>
            <w:tcW w:w="441" w:type="dxa"/>
            <w:tcBorders>
              <w:top w:val="single" w:color="auto" w:sz="4" w:space="0"/>
              <w:left w:val="nil"/>
              <w:bottom w:val="single" w:color="auto" w:sz="4" w:space="0"/>
              <w:right w:val="single" w:color="auto" w:sz="4" w:space="0"/>
            </w:tcBorders>
            <w:vAlign w:val="center"/>
          </w:tcPr>
          <w:p>
            <w:pPr>
              <w:adjustRightInd w:val="0"/>
              <w:snapToGrid w:val="0"/>
              <w:ind w:left="-105" w:leftChars="-50" w:right="-105" w:rightChars="-50"/>
              <w:jc w:val="center"/>
              <w:textAlignment w:val="baseline"/>
              <w:rPr>
                <w:szCs w:val="21"/>
              </w:rPr>
            </w:pPr>
            <w:r>
              <w:rPr>
                <w:szCs w:val="21"/>
              </w:rPr>
              <w:t>10</w:t>
            </w:r>
          </w:p>
        </w:tc>
        <w:tc>
          <w:tcPr>
            <w:tcW w:w="653" w:type="dxa"/>
            <w:tcBorders>
              <w:top w:val="single" w:color="auto" w:sz="4" w:space="0"/>
              <w:left w:val="nil"/>
              <w:bottom w:val="single" w:color="auto" w:sz="4" w:space="0"/>
              <w:right w:val="single" w:color="auto" w:sz="4" w:space="0"/>
            </w:tcBorders>
            <w:vAlign w:val="center"/>
          </w:tcPr>
          <w:p>
            <w:pPr>
              <w:adjustRightInd w:val="0"/>
              <w:snapToGrid w:val="0"/>
              <w:ind w:left="-105" w:leftChars="-50" w:right="-105" w:rightChars="-50"/>
              <w:jc w:val="center"/>
              <w:textAlignment w:val="baseline"/>
              <w:rPr>
                <w:szCs w:val="21"/>
              </w:rPr>
            </w:pPr>
            <w:r>
              <w:rPr>
                <w:szCs w:val="21"/>
              </w:rPr>
              <w:t>100</w:t>
            </w:r>
          </w:p>
        </w:tc>
        <w:tc>
          <w:tcPr>
            <w:tcW w:w="749" w:type="dxa"/>
            <w:tcBorders>
              <w:top w:val="single" w:color="auto" w:sz="4" w:space="0"/>
              <w:left w:val="nil"/>
              <w:bottom w:val="single" w:color="auto" w:sz="4" w:space="0"/>
              <w:right w:val="single" w:color="auto" w:sz="4" w:space="0"/>
            </w:tcBorders>
            <w:vAlign w:val="center"/>
          </w:tcPr>
          <w:p>
            <w:pPr>
              <w:adjustRightInd w:val="0"/>
              <w:snapToGrid w:val="0"/>
              <w:ind w:left="-105" w:leftChars="-50" w:right="-105" w:rightChars="-50"/>
              <w:jc w:val="center"/>
              <w:textAlignment w:val="baseline"/>
              <w:rPr>
                <w:color w:val="000000"/>
                <w:kern w:val="0"/>
                <w:szCs w:val="21"/>
              </w:rPr>
            </w:pPr>
            <w:r>
              <w:rPr>
                <w:szCs w:val="21"/>
              </w:rPr>
              <w:t>2011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5" w:hRule="atLeast"/>
        </w:trPr>
        <w:tc>
          <w:tcPr>
            <w:tcW w:w="1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80" w:lineRule="exact"/>
              <w:ind w:left="-105" w:leftChars="-50" w:right="-105" w:rightChars="-50"/>
              <w:jc w:val="center"/>
              <w:textAlignment w:val="baseline"/>
              <w:rPr>
                <w:color w:val="000000"/>
                <w:kern w:val="0"/>
                <w:szCs w:val="21"/>
              </w:rPr>
            </w:pPr>
            <w:r>
              <w:rPr>
                <w:szCs w:val="21"/>
              </w:rPr>
              <w:t>二级</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小学</w:t>
            </w:r>
          </w:p>
        </w:tc>
        <w:tc>
          <w:tcPr>
            <w:tcW w:w="4431" w:type="dxa"/>
            <w:tcBorders>
              <w:top w:val="single" w:color="auto" w:sz="4" w:space="0"/>
              <w:left w:val="nil"/>
              <w:bottom w:val="single" w:color="auto" w:sz="4" w:space="0"/>
              <w:right w:val="single" w:color="auto" w:sz="4" w:space="0"/>
            </w:tcBorders>
            <w:vAlign w:val="center"/>
          </w:tcPr>
          <w:p>
            <w:pPr>
              <w:widowControl/>
              <w:ind w:firstLine="400" w:firstLineChars="200"/>
              <w:jc w:val="center"/>
              <w:rPr>
                <w:color w:val="000000"/>
                <w:sz w:val="20"/>
              </w:rPr>
            </w:pPr>
            <w:r>
              <w:rPr>
                <w:color w:val="000000"/>
                <w:sz w:val="20"/>
              </w:rPr>
              <w:t>湘龙小学、中南小学、星沙实验小学、盼盼中心小学、华润小学、水电小学、金鹰小学、</w:t>
            </w:r>
          </w:p>
          <w:p>
            <w:pPr>
              <w:widowControl/>
              <w:ind w:firstLine="400" w:firstLineChars="200"/>
              <w:jc w:val="center"/>
              <w:rPr>
                <w:color w:val="000000"/>
                <w:kern w:val="0"/>
                <w:szCs w:val="21"/>
              </w:rPr>
            </w:pPr>
            <w:r>
              <w:rPr>
                <w:color w:val="000000"/>
                <w:sz w:val="20"/>
              </w:rPr>
              <w:t>大元中心小学、丁家岭小学、龙华小学</w:t>
            </w:r>
          </w:p>
        </w:tc>
        <w:tc>
          <w:tcPr>
            <w:tcW w:w="441" w:type="dxa"/>
            <w:tcBorders>
              <w:top w:val="single" w:color="auto" w:sz="4" w:space="0"/>
              <w:left w:val="nil"/>
              <w:bottom w:val="single" w:color="auto" w:sz="4" w:space="0"/>
              <w:right w:val="single" w:color="auto" w:sz="4" w:space="0"/>
            </w:tcBorders>
            <w:vAlign w:val="center"/>
          </w:tcPr>
          <w:p>
            <w:pPr>
              <w:adjustRightInd w:val="0"/>
              <w:snapToGrid w:val="0"/>
              <w:ind w:left="-105" w:leftChars="-50" w:right="-105" w:rightChars="-50"/>
              <w:jc w:val="center"/>
              <w:textAlignment w:val="baseline"/>
              <w:rPr>
                <w:szCs w:val="21"/>
              </w:rPr>
            </w:pPr>
            <w:r>
              <w:rPr>
                <w:szCs w:val="21"/>
              </w:rPr>
              <w:t>10</w:t>
            </w:r>
          </w:p>
        </w:tc>
        <w:tc>
          <w:tcPr>
            <w:tcW w:w="653" w:type="dxa"/>
            <w:tcBorders>
              <w:top w:val="single" w:color="auto" w:sz="4" w:space="0"/>
              <w:left w:val="nil"/>
              <w:bottom w:val="single" w:color="auto" w:sz="4" w:space="0"/>
              <w:right w:val="single" w:color="auto" w:sz="4" w:space="0"/>
            </w:tcBorders>
            <w:vAlign w:val="center"/>
          </w:tcPr>
          <w:p>
            <w:pPr>
              <w:adjustRightInd w:val="0"/>
              <w:snapToGrid w:val="0"/>
              <w:ind w:left="-105" w:leftChars="-50" w:right="-105" w:rightChars="-50"/>
              <w:jc w:val="center"/>
              <w:textAlignment w:val="baseline"/>
              <w:rPr>
                <w:szCs w:val="21"/>
              </w:rPr>
            </w:pPr>
            <w:r>
              <w:rPr>
                <w:szCs w:val="21"/>
              </w:rPr>
              <w:t>70</w:t>
            </w:r>
          </w:p>
        </w:tc>
        <w:tc>
          <w:tcPr>
            <w:tcW w:w="749" w:type="dxa"/>
            <w:tcBorders>
              <w:top w:val="single" w:color="auto" w:sz="4" w:space="0"/>
              <w:left w:val="nil"/>
              <w:bottom w:val="single" w:color="auto" w:sz="4" w:space="0"/>
              <w:right w:val="single" w:color="auto" w:sz="4" w:space="0"/>
            </w:tcBorders>
            <w:vAlign w:val="center"/>
          </w:tcPr>
          <w:p>
            <w:pPr>
              <w:adjustRightInd w:val="0"/>
              <w:snapToGrid w:val="0"/>
              <w:ind w:left="-105" w:leftChars="-50" w:right="-105" w:rightChars="-50"/>
              <w:jc w:val="center"/>
              <w:textAlignment w:val="baseline"/>
              <w:rPr>
                <w:color w:val="000000"/>
                <w:kern w:val="0"/>
                <w:szCs w:val="21"/>
              </w:rPr>
            </w:pPr>
            <w:r>
              <w:rPr>
                <w:szCs w:val="21"/>
              </w:rPr>
              <w:t>2011</w:t>
            </w:r>
          </w:p>
        </w:tc>
      </w:tr>
    </w:tbl>
    <w:p>
      <w:pPr>
        <w:spacing w:line="360" w:lineRule="auto"/>
        <w:jc w:val="center"/>
        <w:rPr>
          <w:b/>
          <w:sz w:val="24"/>
          <w:szCs w:val="24"/>
        </w:rPr>
      </w:pPr>
      <w:r>
        <w:rPr>
          <w:rFonts w:ascii="Times New Roman" w:hAnsi="Times New Roman" w:eastAsia="宋体" w:cs="Times New Roman"/>
          <w:b/>
          <w:kern w:val="2"/>
          <w:sz w:val="24"/>
          <w:szCs w:val="24"/>
          <w:lang w:val="en-US" w:eastAsia="zh-CN" w:bidi="ar-SA"/>
        </w:rPr>
        <w:pict>
          <v:shape id="图片 1580" o:spid="_x0000_s1127" type="#_x0000_t75" style="height:391.5pt;width:276.55pt;rotation:0f;" o:ole="f" fillcolor="#FFFFFF" filled="f" o:preferrelative="t" stroked="f" coordorigin="0,0" coordsize="21600,21600">
            <v:fill on="f" color2="#FFFFFF" focus="0%"/>
            <v:imagedata gain="65536f" blacklevel="0f" gamma="0" o:title="" r:id="rId46"/>
            <o:lock v:ext="edit" position="f" selection="f" grouping="f" rotation="f" cropping="f" text="f" aspectratio="t"/>
            <w10:wrap type="none"/>
            <w10:anchorlock/>
          </v:shape>
        </w:pict>
      </w:r>
    </w:p>
    <w:p>
      <w:pPr>
        <w:spacing w:line="360" w:lineRule="auto"/>
        <w:jc w:val="center"/>
        <w:rPr>
          <w:rFonts w:eastAsia="黑体"/>
          <w:b/>
          <w:bCs/>
          <w:sz w:val="24"/>
          <w:szCs w:val="24"/>
        </w:rPr>
      </w:pPr>
      <w:r>
        <w:rPr>
          <w:rFonts w:eastAsia="黑体"/>
          <w:b/>
          <w:bCs/>
          <w:sz w:val="24"/>
          <w:szCs w:val="24"/>
        </w:rPr>
        <w:t>图2-3-4城区学校作用分值示意图</w:t>
      </w:r>
    </w:p>
    <w:p>
      <w:pPr>
        <w:spacing w:beforeLines="50" w:line="360" w:lineRule="auto"/>
        <w:ind w:firstLine="482" w:firstLineChars="200"/>
        <w:jc w:val="left"/>
        <w:rPr>
          <w:b/>
          <w:sz w:val="24"/>
          <w:szCs w:val="24"/>
        </w:rPr>
      </w:pPr>
      <w:r>
        <w:rPr>
          <w:b/>
          <w:sz w:val="24"/>
          <w:szCs w:val="24"/>
        </w:rPr>
        <w:t>（5）大型超市</w:t>
      </w:r>
    </w:p>
    <w:p>
      <w:pPr>
        <w:spacing w:line="480" w:lineRule="exact"/>
        <w:ind w:firstLine="480" w:firstLineChars="200"/>
        <w:rPr>
          <w:sz w:val="24"/>
          <w:szCs w:val="24"/>
        </w:rPr>
      </w:pPr>
      <w:r>
        <w:rPr>
          <w:sz w:val="24"/>
          <w:szCs w:val="24"/>
        </w:rPr>
        <w:t>依据新规程要求，首次将超市纳入定级因子。本次仅选择对市民生活影响较大和规模较大的超市参与定级。依据大型超市占地规模、建筑面积、营业额、客流量等因素将长沙县城区大型超市共划分为两个级别，共选取了11个大型超市按照公式2-3-5进行指标无量纲化处理计算作用指数；按照公式2-3-6分别计算作用半径。各类农贸市场情况表见表2-3-11。</w:t>
      </w:r>
    </w:p>
    <w:p>
      <w:pPr>
        <w:tabs>
          <w:tab w:val="left" w:pos="720"/>
        </w:tabs>
        <w:spacing w:line="480" w:lineRule="exact"/>
        <w:ind w:firstLine="482" w:firstLineChars="200"/>
        <w:jc w:val="center"/>
        <w:rPr>
          <w:b/>
          <w:sz w:val="24"/>
          <w:szCs w:val="22"/>
        </w:rPr>
      </w:pPr>
      <w:r>
        <w:rPr>
          <w:b/>
          <w:sz w:val="24"/>
          <w:szCs w:val="22"/>
        </w:rPr>
        <w:t>表2-3-11 长沙县城区大型超市分布指标分析结果表</w:t>
      </w:r>
    </w:p>
    <w:tbl>
      <w:tblPr>
        <w:tblW w:w="857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9"/>
        <w:gridCol w:w="4395"/>
        <w:gridCol w:w="850"/>
        <w:gridCol w:w="1080"/>
        <w:gridCol w:w="1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trPr>
        <w:tc>
          <w:tcPr>
            <w:tcW w:w="114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因子级别</w:t>
            </w:r>
          </w:p>
        </w:tc>
        <w:tc>
          <w:tcPr>
            <w:tcW w:w="4395"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市场名称</w:t>
            </w:r>
          </w:p>
        </w:tc>
        <w:tc>
          <w:tcPr>
            <w:tcW w:w="850"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数量</w:t>
            </w:r>
          </w:p>
        </w:tc>
        <w:tc>
          <w:tcPr>
            <w:tcW w:w="1080"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平均功能分</w:t>
            </w:r>
          </w:p>
        </w:tc>
        <w:tc>
          <w:tcPr>
            <w:tcW w:w="1100"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作用半径(m)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49"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一级</w:t>
            </w:r>
          </w:p>
        </w:tc>
        <w:tc>
          <w:tcPr>
            <w:tcW w:w="4395" w:type="dxa"/>
            <w:tcBorders>
              <w:top w:val="nil"/>
              <w:left w:val="nil"/>
              <w:bottom w:val="single" w:color="auto" w:sz="4" w:space="0"/>
              <w:right w:val="single" w:color="auto" w:sz="4" w:space="0"/>
            </w:tcBorders>
            <w:vAlign w:val="center"/>
          </w:tcPr>
          <w:p>
            <w:pPr>
              <w:adjustRightInd w:val="0"/>
              <w:snapToGrid w:val="0"/>
              <w:jc w:val="center"/>
              <w:textAlignment w:val="baseline"/>
              <w:rPr>
                <w:color w:val="000000"/>
                <w:kern w:val="0"/>
                <w:szCs w:val="21"/>
              </w:rPr>
            </w:pPr>
            <w:r>
              <w:rPr>
                <w:color w:val="000000"/>
                <w:sz w:val="20"/>
              </w:rPr>
              <w:t>卜蜂莲花、华润万象、新一佳、家润多（昌和店）、家润多（筑梦店）</w:t>
            </w:r>
          </w:p>
        </w:tc>
        <w:tc>
          <w:tcPr>
            <w:tcW w:w="85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5</w:t>
            </w: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100</w:t>
            </w:r>
          </w:p>
        </w:tc>
        <w:tc>
          <w:tcPr>
            <w:tcW w:w="1100" w:type="dxa"/>
            <w:tcBorders>
              <w:top w:val="nil"/>
              <w:left w:val="nil"/>
              <w:bottom w:val="single" w:color="auto" w:sz="4" w:space="0"/>
              <w:right w:val="single" w:color="auto" w:sz="4" w:space="0"/>
            </w:tcBorders>
            <w:vAlign w:val="center"/>
          </w:tcPr>
          <w:p>
            <w:pPr>
              <w:widowControl/>
              <w:adjustRightInd w:val="0"/>
              <w:snapToGrid w:val="0"/>
              <w:ind w:left="-105" w:leftChars="-50" w:right="-105" w:rightChars="-50"/>
              <w:jc w:val="center"/>
              <w:rPr>
                <w:color w:val="000000"/>
                <w:kern w:val="0"/>
                <w:szCs w:val="21"/>
              </w:rPr>
            </w:pPr>
            <w:r>
              <w:rPr>
                <w:color w:val="000000"/>
                <w:kern w:val="0"/>
                <w:sz w:val="20"/>
              </w:rPr>
              <w:t>2844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49"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二级</w:t>
            </w:r>
          </w:p>
        </w:tc>
        <w:tc>
          <w:tcPr>
            <w:tcW w:w="4395" w:type="dxa"/>
            <w:tcBorders>
              <w:top w:val="nil"/>
              <w:left w:val="nil"/>
              <w:bottom w:val="single" w:color="auto" w:sz="4" w:space="0"/>
              <w:right w:val="single" w:color="auto" w:sz="4" w:space="0"/>
            </w:tcBorders>
            <w:vAlign w:val="center"/>
          </w:tcPr>
          <w:p>
            <w:pPr>
              <w:adjustRightInd w:val="0"/>
              <w:snapToGrid w:val="0"/>
              <w:jc w:val="center"/>
              <w:textAlignment w:val="baseline"/>
              <w:rPr>
                <w:color w:val="000000"/>
                <w:kern w:val="0"/>
                <w:szCs w:val="21"/>
              </w:rPr>
            </w:pPr>
            <w:r>
              <w:rPr>
                <w:color w:val="000000"/>
                <w:sz w:val="20"/>
              </w:rPr>
              <w:t>和通超市、家利多、恒生购物广场、莲花超市、万佳惠、步步高</w:t>
            </w:r>
          </w:p>
        </w:tc>
        <w:tc>
          <w:tcPr>
            <w:tcW w:w="85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6</w:t>
            </w:r>
          </w:p>
        </w:tc>
        <w:tc>
          <w:tcPr>
            <w:tcW w:w="108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60</w:t>
            </w:r>
          </w:p>
        </w:tc>
        <w:tc>
          <w:tcPr>
            <w:tcW w:w="1100" w:type="dxa"/>
            <w:tcBorders>
              <w:top w:val="nil"/>
              <w:left w:val="nil"/>
              <w:bottom w:val="single" w:color="auto" w:sz="4" w:space="0"/>
              <w:right w:val="single" w:color="auto" w:sz="4" w:space="0"/>
            </w:tcBorders>
            <w:vAlign w:val="center"/>
          </w:tcPr>
          <w:p>
            <w:pPr>
              <w:widowControl/>
              <w:adjustRightInd w:val="0"/>
              <w:snapToGrid w:val="0"/>
              <w:ind w:left="-105" w:leftChars="-50" w:right="-105" w:rightChars="-50"/>
              <w:jc w:val="center"/>
              <w:rPr>
                <w:color w:val="000000"/>
                <w:kern w:val="0"/>
                <w:szCs w:val="21"/>
              </w:rPr>
            </w:pPr>
            <w:r>
              <w:rPr>
                <w:color w:val="000000"/>
                <w:kern w:val="0"/>
                <w:sz w:val="20"/>
              </w:rPr>
              <w:t>2569</w:t>
            </w:r>
          </w:p>
        </w:tc>
      </w:tr>
    </w:tbl>
    <w:p>
      <w:pPr>
        <w:spacing w:line="360" w:lineRule="auto"/>
        <w:jc w:val="center"/>
        <w:rPr>
          <w:b/>
          <w:sz w:val="24"/>
          <w:szCs w:val="24"/>
        </w:rPr>
      </w:pPr>
      <w:r>
        <w:rPr>
          <w:rFonts w:ascii="Times New Roman" w:hAnsi="Times New Roman" w:eastAsia="宋体" w:cs="Times New Roman"/>
          <w:b/>
          <w:kern w:val="2"/>
          <w:sz w:val="24"/>
          <w:szCs w:val="24"/>
          <w:lang w:val="en-US" w:eastAsia="zh-CN" w:bidi="ar-SA"/>
        </w:rPr>
        <w:pict>
          <v:shape id="图片 1583" o:spid="_x0000_s1128" type="#_x0000_t75" style="height:401.25pt;width:283.45pt;rotation:0f;" o:ole="f" fillcolor="#FFFFFF" filled="f" o:preferrelative="t" stroked="f" coordorigin="0,0" coordsize="21600,21600">
            <v:fill on="f" color2="#FFFFFF" focus="0%"/>
            <v:imagedata gain="65536f" blacklevel="0f" gamma="0" o:title="" r:id="rId47"/>
            <o:lock v:ext="edit" position="f" selection="f" grouping="f" rotation="f" cropping="f" text="f" aspectratio="t"/>
            <w10:wrap type="none"/>
            <w10:anchorlock/>
          </v:shape>
        </w:pict>
      </w:r>
    </w:p>
    <w:p>
      <w:pPr>
        <w:spacing w:line="360" w:lineRule="auto"/>
        <w:jc w:val="center"/>
        <w:rPr>
          <w:rFonts w:eastAsia="黑体"/>
          <w:b/>
          <w:bCs/>
          <w:sz w:val="24"/>
          <w:szCs w:val="24"/>
        </w:rPr>
      </w:pPr>
      <w:r>
        <w:rPr>
          <w:rFonts w:eastAsia="黑体"/>
          <w:b/>
          <w:bCs/>
          <w:sz w:val="24"/>
          <w:szCs w:val="24"/>
        </w:rPr>
        <w:t>图2-3-5城区农贸市场作用分值示意图</w:t>
      </w:r>
    </w:p>
    <w:p>
      <w:pPr>
        <w:spacing w:line="360" w:lineRule="auto"/>
        <w:ind w:firstLine="560" w:firstLineChars="200"/>
        <w:outlineLvl w:val="2"/>
        <w:rPr>
          <w:rFonts w:eastAsia="黑体"/>
          <w:sz w:val="28"/>
          <w:szCs w:val="28"/>
        </w:rPr>
      </w:pPr>
      <w:bookmarkStart w:id="339" w:name="_Toc467846832"/>
      <w:bookmarkStart w:id="340" w:name="_Toc469296440"/>
      <w:bookmarkStart w:id="341" w:name="_Toc470721291"/>
      <w:bookmarkStart w:id="342" w:name="_Toc27554"/>
      <w:bookmarkStart w:id="343" w:name="_Toc6650"/>
      <w:bookmarkStart w:id="344" w:name="_Toc187314730"/>
      <w:bookmarkStart w:id="345" w:name="_Toc186548273"/>
      <w:r>
        <w:rPr>
          <w:rFonts w:eastAsia="黑体"/>
          <w:sz w:val="28"/>
          <w:szCs w:val="28"/>
        </w:rPr>
        <w:t>五、环境条件量化</w:t>
      </w:r>
      <w:bookmarkEnd w:id="339"/>
      <w:bookmarkEnd w:id="340"/>
      <w:bookmarkEnd w:id="341"/>
      <w:bookmarkEnd w:id="342"/>
      <w:bookmarkEnd w:id="343"/>
    </w:p>
    <w:p>
      <w:pPr>
        <w:spacing w:line="480" w:lineRule="exact"/>
        <w:ind w:firstLine="480" w:firstLineChars="200"/>
        <w:rPr>
          <w:sz w:val="24"/>
          <w:szCs w:val="24"/>
        </w:rPr>
      </w:pPr>
      <w:r>
        <w:rPr>
          <w:sz w:val="24"/>
          <w:szCs w:val="24"/>
        </w:rPr>
        <w:t>环境条件主要包括环境质量优劣度和自然条件优劣度。其中环境质量主要指在一个具体的环境内，环境的总体或环境的某些要素对人类的生存及社会经济发展的适宜程度，包括大气污染、噪声污染、水污染。而自然条件包括土地的工程地质、地形、地下水、洪水淹没等状况。根据长沙县城区自然条件的特点，选择地形条件和洪水淹没状况来衡量土地的自然条件优劣度。</w:t>
      </w:r>
    </w:p>
    <w:p>
      <w:pPr>
        <w:spacing w:line="480" w:lineRule="exact"/>
        <w:ind w:firstLine="480" w:firstLineChars="200"/>
        <w:rPr>
          <w:sz w:val="24"/>
          <w:szCs w:val="24"/>
        </w:rPr>
      </w:pPr>
      <w:r>
        <w:rPr>
          <w:sz w:val="24"/>
          <w:szCs w:val="24"/>
        </w:rPr>
        <w:t xml:space="preserve">长沙县城区环境空气质量总体水平较好，但局部地区有一定污染。来源主要为工业排放烟尘、废气、机动车尾气等。结合重点大气污染的分布状况，将长沙县大气环境质量分为两级，并分别赋予其作用分，结果见表2-3-12。 </w:t>
      </w:r>
    </w:p>
    <w:p>
      <w:pPr>
        <w:spacing w:line="360" w:lineRule="auto"/>
        <w:jc w:val="center"/>
        <w:rPr>
          <w:b/>
          <w:sz w:val="24"/>
          <w:szCs w:val="22"/>
        </w:rPr>
      </w:pPr>
      <w:r>
        <w:rPr>
          <w:b/>
          <w:sz w:val="20"/>
        </w:rPr>
        <w:br w:type="page"/>
      </w:r>
      <w:r>
        <w:rPr>
          <w:b/>
          <w:sz w:val="24"/>
          <w:szCs w:val="22"/>
        </w:rPr>
        <w:t>表2-3-12 长沙县城区大气污染分析结果表</w:t>
      </w:r>
    </w:p>
    <w:tbl>
      <w:tblPr>
        <w:tblW w:w="900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69"/>
        <w:gridCol w:w="1966"/>
        <w:gridCol w:w="3933"/>
        <w:gridCol w:w="16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jc w:val="center"/>
        </w:trPr>
        <w:tc>
          <w:tcPr>
            <w:tcW w:w="1469" w:type="dxa"/>
            <w:tcBorders>
              <w:top w:val="single" w:color="auto" w:sz="4" w:space="0"/>
              <w:left w:val="single" w:color="auto" w:sz="4" w:space="0"/>
              <w:bottom w:val="single" w:color="auto" w:sz="4" w:space="0"/>
              <w:right w:val="single" w:color="auto" w:sz="4" w:space="0"/>
            </w:tcBorders>
            <w:vAlign w:val="center"/>
          </w:tcPr>
          <w:p>
            <w:pPr>
              <w:jc w:val="center"/>
              <w:rPr>
                <w:b/>
                <w:color w:val="000000"/>
                <w:kern w:val="0"/>
                <w:sz w:val="20"/>
              </w:rPr>
            </w:pPr>
            <w:r>
              <w:rPr>
                <w:b/>
                <w:color w:val="000000"/>
                <w:kern w:val="0"/>
                <w:sz w:val="20"/>
              </w:rPr>
              <w:t>因子级别</w:t>
            </w:r>
          </w:p>
        </w:tc>
        <w:tc>
          <w:tcPr>
            <w:tcW w:w="1966" w:type="dxa"/>
            <w:tcBorders>
              <w:top w:val="single" w:color="auto" w:sz="4" w:space="0"/>
              <w:left w:val="single" w:color="auto" w:sz="4" w:space="0"/>
              <w:bottom w:val="single" w:color="auto" w:sz="4" w:space="0"/>
              <w:right w:val="single" w:color="auto" w:sz="4" w:space="0"/>
            </w:tcBorders>
            <w:vAlign w:val="center"/>
          </w:tcPr>
          <w:p>
            <w:pPr>
              <w:jc w:val="center"/>
              <w:rPr>
                <w:b/>
                <w:color w:val="000000"/>
                <w:kern w:val="0"/>
                <w:sz w:val="20"/>
              </w:rPr>
            </w:pPr>
            <w:r>
              <w:rPr>
                <w:b/>
                <w:color w:val="000000"/>
                <w:kern w:val="0"/>
                <w:sz w:val="20"/>
              </w:rPr>
              <w:t>污染程度描述</w:t>
            </w:r>
          </w:p>
        </w:tc>
        <w:tc>
          <w:tcPr>
            <w:tcW w:w="3933" w:type="dxa"/>
            <w:tcBorders>
              <w:top w:val="single" w:color="auto" w:sz="4" w:space="0"/>
              <w:left w:val="single" w:color="auto" w:sz="4" w:space="0"/>
              <w:bottom w:val="single" w:color="auto" w:sz="4" w:space="0"/>
              <w:right w:val="single" w:color="auto" w:sz="4" w:space="0"/>
            </w:tcBorders>
            <w:vAlign w:val="center"/>
          </w:tcPr>
          <w:p>
            <w:pPr>
              <w:jc w:val="center"/>
              <w:rPr>
                <w:b/>
                <w:color w:val="000000"/>
                <w:kern w:val="0"/>
                <w:sz w:val="20"/>
              </w:rPr>
            </w:pPr>
            <w:r>
              <w:rPr>
                <w:b/>
                <w:color w:val="000000"/>
                <w:kern w:val="0"/>
                <w:sz w:val="20"/>
              </w:rPr>
              <w:t>范围描述</w:t>
            </w:r>
          </w:p>
        </w:tc>
        <w:tc>
          <w:tcPr>
            <w:tcW w:w="1635" w:type="dxa"/>
            <w:tcBorders>
              <w:top w:val="single" w:color="auto" w:sz="4" w:space="0"/>
              <w:left w:val="single" w:color="auto" w:sz="4" w:space="0"/>
              <w:bottom w:val="single" w:color="auto" w:sz="4" w:space="0"/>
              <w:right w:val="single" w:color="auto" w:sz="4" w:space="0"/>
            </w:tcBorders>
            <w:vAlign w:val="center"/>
          </w:tcPr>
          <w:p>
            <w:pPr>
              <w:jc w:val="center"/>
              <w:rPr>
                <w:b/>
                <w:color w:val="000000"/>
                <w:kern w:val="0"/>
                <w:sz w:val="20"/>
              </w:rPr>
            </w:pPr>
            <w:r>
              <w:rPr>
                <w:b/>
                <w:color w:val="000000"/>
                <w:kern w:val="0"/>
                <w:sz w:val="20"/>
              </w:rPr>
              <w:t>作用分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11" w:hRule="atLeast"/>
          <w:jc w:val="center"/>
        </w:trPr>
        <w:tc>
          <w:tcPr>
            <w:tcW w:w="146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0"/>
              </w:rPr>
            </w:pPr>
            <w:r>
              <w:rPr>
                <w:color w:val="000000"/>
                <w:kern w:val="0"/>
                <w:sz w:val="20"/>
              </w:rPr>
              <w:t>一级</w:t>
            </w:r>
          </w:p>
        </w:tc>
        <w:tc>
          <w:tcPr>
            <w:tcW w:w="19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0"/>
              </w:rPr>
            </w:pPr>
            <w:r>
              <w:rPr>
                <w:color w:val="000000"/>
                <w:kern w:val="0"/>
                <w:sz w:val="20"/>
              </w:rPr>
              <w:t>空气质量良好</w:t>
            </w:r>
          </w:p>
        </w:tc>
        <w:tc>
          <w:tcPr>
            <w:tcW w:w="393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ind w:firstLine="400" w:firstLineChars="200"/>
              <w:jc w:val="center"/>
              <w:rPr>
                <w:color w:val="000000"/>
                <w:kern w:val="0"/>
                <w:sz w:val="20"/>
              </w:rPr>
            </w:pPr>
            <w:r>
              <w:rPr>
                <w:color w:val="000000"/>
                <w:kern w:val="0"/>
                <w:sz w:val="20"/>
              </w:rPr>
              <w:t>松雅湖国家湿地公园、徐特立公园、</w:t>
            </w:r>
          </w:p>
          <w:p>
            <w:pPr>
              <w:widowControl/>
              <w:adjustRightInd w:val="0"/>
              <w:snapToGrid w:val="0"/>
              <w:ind w:firstLine="400" w:firstLineChars="200"/>
              <w:jc w:val="center"/>
              <w:rPr>
                <w:color w:val="000000"/>
                <w:kern w:val="0"/>
                <w:sz w:val="20"/>
              </w:rPr>
            </w:pPr>
            <w:r>
              <w:rPr>
                <w:color w:val="000000"/>
                <w:kern w:val="0"/>
                <w:sz w:val="20"/>
              </w:rPr>
              <w:t>生态公园、星沙公园</w:t>
            </w:r>
          </w:p>
        </w:tc>
        <w:tc>
          <w:tcPr>
            <w:tcW w:w="163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0"/>
              </w:rPr>
            </w:pPr>
            <w:r>
              <w:rPr>
                <w:color w:val="000000"/>
                <w:kern w:val="0"/>
                <w:sz w:val="20"/>
              </w:rPr>
              <w: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jc w:val="center"/>
        </w:trPr>
        <w:tc>
          <w:tcPr>
            <w:tcW w:w="146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0"/>
              </w:rPr>
            </w:pPr>
            <w:r>
              <w:rPr>
                <w:color w:val="000000"/>
                <w:kern w:val="0"/>
                <w:sz w:val="20"/>
              </w:rPr>
              <w:t>二级</w:t>
            </w:r>
          </w:p>
        </w:tc>
        <w:tc>
          <w:tcPr>
            <w:tcW w:w="19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0"/>
              </w:rPr>
            </w:pPr>
            <w:r>
              <w:rPr>
                <w:color w:val="000000"/>
                <w:kern w:val="0"/>
                <w:sz w:val="20"/>
              </w:rPr>
              <w:t>有一定污染</w:t>
            </w:r>
          </w:p>
        </w:tc>
        <w:tc>
          <w:tcPr>
            <w:tcW w:w="393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0"/>
              </w:rPr>
            </w:pPr>
            <w:r>
              <w:rPr>
                <w:color w:val="000000"/>
                <w:kern w:val="0"/>
                <w:sz w:val="20"/>
              </w:rPr>
              <w:t>长沙经开区管辖范围及周边区域</w:t>
            </w:r>
          </w:p>
        </w:tc>
        <w:tc>
          <w:tcPr>
            <w:tcW w:w="163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0"/>
              </w:rPr>
            </w:pPr>
            <w:r>
              <w:rPr>
                <w:color w:val="000000"/>
                <w:kern w:val="0"/>
                <w:sz w:val="20"/>
              </w:rPr>
              <w:t>60</w:t>
            </w:r>
          </w:p>
        </w:tc>
      </w:tr>
    </w:tbl>
    <w:p>
      <w:pPr>
        <w:spacing w:line="480" w:lineRule="exact"/>
        <w:ind w:firstLine="480" w:firstLineChars="200"/>
        <w:rPr>
          <w:sz w:val="24"/>
          <w:szCs w:val="24"/>
        </w:rPr>
      </w:pPr>
      <w:r>
        <w:rPr>
          <w:sz w:val="24"/>
          <w:szCs w:val="24"/>
        </w:rPr>
        <w:t>长沙县城区内噪声污染主要是交通噪声污染、工业噪声污染。根据长沙县环保局提供的资料，结合长沙县各类用地的布局分析，我们按污染强度不同分为三个等级，并分别赋予其作用分，具体情况见表2-3-13。</w:t>
      </w:r>
    </w:p>
    <w:p>
      <w:pPr>
        <w:tabs>
          <w:tab w:val="left" w:pos="720"/>
        </w:tabs>
        <w:spacing w:line="480" w:lineRule="exact"/>
        <w:ind w:firstLine="482" w:firstLineChars="200"/>
        <w:jc w:val="center"/>
        <w:rPr>
          <w:b/>
          <w:sz w:val="24"/>
          <w:szCs w:val="22"/>
        </w:rPr>
      </w:pPr>
      <w:r>
        <w:rPr>
          <w:b/>
          <w:sz w:val="24"/>
          <w:szCs w:val="22"/>
        </w:rPr>
        <w:t>表2-3-13 长沙县城区噪声分析结果表</w:t>
      </w:r>
    </w:p>
    <w:tbl>
      <w:tblPr>
        <w:tblW w:w="900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83"/>
        <w:gridCol w:w="2380"/>
        <w:gridCol w:w="3428"/>
        <w:gridCol w:w="17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jc w:val="center"/>
        </w:trPr>
        <w:tc>
          <w:tcPr>
            <w:tcW w:w="1483" w:type="dxa"/>
            <w:tcBorders>
              <w:top w:val="single" w:color="auto" w:sz="4" w:space="0"/>
              <w:left w:val="single" w:color="auto" w:sz="4" w:space="0"/>
              <w:bottom w:val="single" w:color="auto" w:sz="4" w:space="0"/>
              <w:right w:val="single" w:color="auto" w:sz="4" w:space="0"/>
            </w:tcBorders>
            <w:vAlign w:val="center"/>
          </w:tcPr>
          <w:p>
            <w:pPr>
              <w:jc w:val="center"/>
              <w:rPr>
                <w:b/>
                <w:color w:val="000000"/>
                <w:kern w:val="0"/>
                <w:sz w:val="20"/>
              </w:rPr>
            </w:pPr>
            <w:r>
              <w:rPr>
                <w:b/>
                <w:color w:val="000000"/>
                <w:kern w:val="0"/>
                <w:sz w:val="20"/>
              </w:rPr>
              <w:t>因子级别</w:t>
            </w:r>
          </w:p>
        </w:tc>
        <w:tc>
          <w:tcPr>
            <w:tcW w:w="2380" w:type="dxa"/>
            <w:tcBorders>
              <w:top w:val="single" w:color="auto" w:sz="4" w:space="0"/>
              <w:left w:val="single" w:color="auto" w:sz="4" w:space="0"/>
              <w:bottom w:val="single" w:color="auto" w:sz="4" w:space="0"/>
              <w:right w:val="single" w:color="auto" w:sz="4" w:space="0"/>
            </w:tcBorders>
            <w:vAlign w:val="center"/>
          </w:tcPr>
          <w:p>
            <w:pPr>
              <w:jc w:val="center"/>
              <w:rPr>
                <w:b/>
                <w:color w:val="000000"/>
                <w:kern w:val="0"/>
                <w:sz w:val="20"/>
              </w:rPr>
            </w:pPr>
            <w:r>
              <w:rPr>
                <w:b/>
                <w:color w:val="000000"/>
                <w:kern w:val="0"/>
                <w:sz w:val="20"/>
              </w:rPr>
              <w:t>污染程度描述</w:t>
            </w:r>
          </w:p>
        </w:tc>
        <w:tc>
          <w:tcPr>
            <w:tcW w:w="3428" w:type="dxa"/>
            <w:tcBorders>
              <w:top w:val="single" w:color="auto" w:sz="4" w:space="0"/>
              <w:left w:val="single" w:color="auto" w:sz="4" w:space="0"/>
              <w:bottom w:val="single" w:color="auto" w:sz="4" w:space="0"/>
              <w:right w:val="single" w:color="auto" w:sz="4" w:space="0"/>
            </w:tcBorders>
            <w:vAlign w:val="center"/>
          </w:tcPr>
          <w:p>
            <w:pPr>
              <w:jc w:val="center"/>
              <w:rPr>
                <w:b/>
                <w:color w:val="000000"/>
                <w:kern w:val="0"/>
                <w:sz w:val="20"/>
              </w:rPr>
            </w:pPr>
            <w:r>
              <w:rPr>
                <w:b/>
                <w:color w:val="000000"/>
                <w:kern w:val="0"/>
                <w:sz w:val="20"/>
              </w:rPr>
              <w:t>等效声级（1dB(A)）</w:t>
            </w:r>
          </w:p>
        </w:tc>
        <w:tc>
          <w:tcPr>
            <w:tcW w:w="1712" w:type="dxa"/>
            <w:tcBorders>
              <w:top w:val="single" w:color="auto" w:sz="4" w:space="0"/>
              <w:left w:val="single" w:color="auto" w:sz="4" w:space="0"/>
              <w:bottom w:val="single" w:color="auto" w:sz="4" w:space="0"/>
              <w:right w:val="single" w:color="auto" w:sz="4" w:space="0"/>
            </w:tcBorders>
            <w:vAlign w:val="center"/>
          </w:tcPr>
          <w:p>
            <w:pPr>
              <w:jc w:val="center"/>
              <w:rPr>
                <w:b/>
                <w:color w:val="000000"/>
                <w:kern w:val="0"/>
                <w:sz w:val="20"/>
              </w:rPr>
            </w:pPr>
            <w:r>
              <w:rPr>
                <w:b/>
                <w:color w:val="000000"/>
                <w:kern w:val="0"/>
                <w:sz w:val="20"/>
              </w:rPr>
              <w:t>作用分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jc w:val="center"/>
        </w:trPr>
        <w:tc>
          <w:tcPr>
            <w:tcW w:w="1483"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一级</w:t>
            </w:r>
          </w:p>
        </w:tc>
        <w:tc>
          <w:tcPr>
            <w:tcW w:w="2380"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基本无污染</w:t>
            </w:r>
          </w:p>
        </w:tc>
        <w:tc>
          <w:tcPr>
            <w:tcW w:w="3428"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sym w:font="Symbol" w:char="F03C"/>
            </w:r>
            <w:r>
              <w:rPr>
                <w:color w:val="000000"/>
                <w:kern w:val="0"/>
                <w:sz w:val="20"/>
              </w:rPr>
              <w:t>50</w:t>
            </w:r>
          </w:p>
        </w:tc>
        <w:tc>
          <w:tcPr>
            <w:tcW w:w="1712"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jc w:val="center"/>
        </w:trPr>
        <w:tc>
          <w:tcPr>
            <w:tcW w:w="1483"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二级</w:t>
            </w:r>
          </w:p>
        </w:tc>
        <w:tc>
          <w:tcPr>
            <w:tcW w:w="2380"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轻度污染</w:t>
            </w:r>
          </w:p>
        </w:tc>
        <w:tc>
          <w:tcPr>
            <w:tcW w:w="3428"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50-55</w:t>
            </w:r>
          </w:p>
        </w:tc>
        <w:tc>
          <w:tcPr>
            <w:tcW w:w="1712"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jc w:val="center"/>
        </w:trPr>
        <w:tc>
          <w:tcPr>
            <w:tcW w:w="1483"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三级</w:t>
            </w:r>
          </w:p>
        </w:tc>
        <w:tc>
          <w:tcPr>
            <w:tcW w:w="2380"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污染较严重</w:t>
            </w:r>
          </w:p>
        </w:tc>
        <w:tc>
          <w:tcPr>
            <w:tcW w:w="3428"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55-60</w:t>
            </w:r>
          </w:p>
        </w:tc>
        <w:tc>
          <w:tcPr>
            <w:tcW w:w="1712"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30</w:t>
            </w:r>
          </w:p>
        </w:tc>
      </w:tr>
    </w:tbl>
    <w:p>
      <w:pPr>
        <w:spacing w:line="480" w:lineRule="exact"/>
        <w:ind w:firstLine="480" w:firstLineChars="200"/>
        <w:rPr>
          <w:sz w:val="24"/>
          <w:szCs w:val="24"/>
        </w:rPr>
      </w:pPr>
      <w:r>
        <w:rPr>
          <w:sz w:val="24"/>
          <w:szCs w:val="24"/>
        </w:rPr>
        <w:t>长沙县城区背面为捞刀河，南面为浏阳河，中间为松雅湖，地势较为平坦。结合长沙县城区二调最新成果图，按地貌类型和地面坡度，运用ARCGIS进行坡度分析将城区地形条件分为二级，并分别赋予其作用分，结果见下表。</w:t>
      </w:r>
    </w:p>
    <w:p>
      <w:pPr>
        <w:tabs>
          <w:tab w:val="left" w:pos="720"/>
        </w:tabs>
        <w:spacing w:line="480" w:lineRule="exact"/>
        <w:ind w:firstLine="482" w:firstLineChars="200"/>
        <w:jc w:val="center"/>
        <w:rPr>
          <w:b/>
          <w:sz w:val="24"/>
          <w:szCs w:val="22"/>
        </w:rPr>
      </w:pPr>
      <w:r>
        <w:rPr>
          <w:b/>
          <w:sz w:val="24"/>
          <w:szCs w:val="22"/>
        </w:rPr>
        <w:t>表2-3-14 长沙县城区地形指标分析结果表</w:t>
      </w:r>
    </w:p>
    <w:tbl>
      <w:tblPr>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1"/>
        <w:gridCol w:w="4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4501" w:type="dxa"/>
            <w:tcBorders>
              <w:bottom w:val="single" w:color="000000" w:sz="6" w:space="0"/>
              <w:right w:val="single" w:color="000000" w:sz="6" w:space="0"/>
            </w:tcBorders>
            <w:vAlign w:val="center"/>
          </w:tcPr>
          <w:p>
            <w:pPr>
              <w:jc w:val="center"/>
              <w:rPr>
                <w:b/>
                <w:sz w:val="20"/>
              </w:rPr>
            </w:pPr>
            <w:r>
              <w:rPr>
                <w:b/>
                <w:sz w:val="20"/>
              </w:rPr>
              <w:t>因子级别</w:t>
            </w:r>
          </w:p>
        </w:tc>
        <w:tc>
          <w:tcPr>
            <w:tcW w:w="4502" w:type="dxa"/>
            <w:tcBorders>
              <w:bottom w:val="single" w:color="000000" w:sz="6" w:space="0"/>
            </w:tcBorders>
            <w:vAlign w:val="center"/>
          </w:tcPr>
          <w:p>
            <w:pPr>
              <w:jc w:val="center"/>
              <w:rPr>
                <w:b/>
                <w:sz w:val="20"/>
              </w:rPr>
            </w:pPr>
            <w:r>
              <w:rPr>
                <w:b/>
                <w:sz w:val="20"/>
              </w:rPr>
              <w:t>功能分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4501" w:type="dxa"/>
            <w:tcBorders>
              <w:right w:val="single" w:color="000000" w:sz="6" w:space="0"/>
            </w:tcBorders>
            <w:vAlign w:val="center"/>
          </w:tcPr>
          <w:p>
            <w:pPr>
              <w:jc w:val="center"/>
              <w:rPr>
                <w:sz w:val="20"/>
              </w:rPr>
            </w:pPr>
            <w:r>
              <w:rPr>
                <w:sz w:val="20"/>
              </w:rPr>
              <w:t>一级</w:t>
            </w:r>
          </w:p>
        </w:tc>
        <w:tc>
          <w:tcPr>
            <w:tcW w:w="4502" w:type="dxa"/>
            <w:vAlign w:val="center"/>
          </w:tcPr>
          <w:p>
            <w:pPr>
              <w:jc w:val="center"/>
              <w:rPr>
                <w:sz w:val="20"/>
              </w:rPr>
            </w:pPr>
            <w:r>
              <w:rPr>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4501" w:type="dxa"/>
            <w:tcBorders>
              <w:top w:val="single" w:color="000000" w:sz="6" w:space="0"/>
              <w:right w:val="single" w:color="000000" w:sz="6" w:space="0"/>
            </w:tcBorders>
            <w:vAlign w:val="center"/>
          </w:tcPr>
          <w:p>
            <w:pPr>
              <w:jc w:val="center"/>
              <w:rPr>
                <w:sz w:val="20"/>
              </w:rPr>
            </w:pPr>
            <w:r>
              <w:rPr>
                <w:sz w:val="20"/>
              </w:rPr>
              <w:t>二级</w:t>
            </w:r>
          </w:p>
        </w:tc>
        <w:tc>
          <w:tcPr>
            <w:tcW w:w="4502" w:type="dxa"/>
            <w:tcBorders>
              <w:top w:val="single" w:color="000000" w:sz="6" w:space="0"/>
            </w:tcBorders>
            <w:vAlign w:val="center"/>
          </w:tcPr>
          <w:p>
            <w:pPr>
              <w:jc w:val="center"/>
              <w:rPr>
                <w:sz w:val="20"/>
              </w:rPr>
            </w:pPr>
            <w:r>
              <w:rPr>
                <w:sz w:val="20"/>
              </w:rPr>
              <w:t>75</w:t>
            </w:r>
          </w:p>
        </w:tc>
      </w:tr>
    </w:tbl>
    <w:p>
      <w:pPr>
        <w:tabs>
          <w:tab w:val="left" w:pos="720"/>
        </w:tabs>
        <w:spacing w:line="480" w:lineRule="exact"/>
        <w:ind w:firstLine="482" w:firstLineChars="200"/>
        <w:jc w:val="center"/>
        <w:rPr>
          <w:b/>
          <w:sz w:val="24"/>
          <w:szCs w:val="22"/>
        </w:rPr>
      </w:pPr>
      <w:r>
        <w:rPr>
          <w:b/>
          <w:sz w:val="24"/>
          <w:szCs w:val="22"/>
        </w:rPr>
        <w:t>表2-3-15 长沙县城区洪水淹没分析结果表</w:t>
      </w:r>
    </w:p>
    <w:tbl>
      <w:tblPr>
        <w:tblW w:w="900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76"/>
        <w:gridCol w:w="3277"/>
        <w:gridCol w:w="30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tblHeader/>
          <w:jc w:val="center"/>
        </w:trPr>
        <w:tc>
          <w:tcPr>
            <w:tcW w:w="2676" w:type="dxa"/>
            <w:tcBorders>
              <w:top w:val="single" w:color="auto" w:sz="4" w:space="0"/>
              <w:left w:val="single" w:color="auto" w:sz="4" w:space="0"/>
              <w:bottom w:val="single" w:color="auto" w:sz="4" w:space="0"/>
              <w:right w:val="single" w:color="auto" w:sz="4" w:space="0"/>
            </w:tcBorders>
            <w:vAlign w:val="center"/>
          </w:tcPr>
          <w:p>
            <w:pPr>
              <w:jc w:val="center"/>
              <w:rPr>
                <w:b/>
                <w:color w:val="000000"/>
                <w:kern w:val="0"/>
                <w:sz w:val="20"/>
              </w:rPr>
            </w:pPr>
            <w:r>
              <w:rPr>
                <w:b/>
                <w:color w:val="000000"/>
                <w:kern w:val="0"/>
                <w:sz w:val="20"/>
              </w:rPr>
              <w:t>因子级别</w:t>
            </w:r>
          </w:p>
        </w:tc>
        <w:tc>
          <w:tcPr>
            <w:tcW w:w="3277" w:type="dxa"/>
            <w:tcBorders>
              <w:top w:val="single" w:color="auto" w:sz="4" w:space="0"/>
              <w:left w:val="single" w:color="auto" w:sz="4" w:space="0"/>
              <w:bottom w:val="single" w:color="auto" w:sz="4" w:space="0"/>
              <w:right w:val="single" w:color="auto" w:sz="4" w:space="0"/>
            </w:tcBorders>
            <w:vAlign w:val="center"/>
          </w:tcPr>
          <w:p>
            <w:pPr>
              <w:jc w:val="center"/>
              <w:rPr>
                <w:b/>
                <w:color w:val="000000"/>
                <w:kern w:val="0"/>
                <w:sz w:val="20"/>
              </w:rPr>
            </w:pPr>
            <w:r>
              <w:rPr>
                <w:b/>
                <w:color w:val="000000"/>
                <w:kern w:val="0"/>
                <w:sz w:val="20"/>
              </w:rPr>
              <w:t>洪涝状况</w:t>
            </w:r>
          </w:p>
        </w:tc>
        <w:tc>
          <w:tcPr>
            <w:tcW w:w="3050" w:type="dxa"/>
            <w:tcBorders>
              <w:top w:val="single" w:color="auto" w:sz="4" w:space="0"/>
              <w:left w:val="single" w:color="auto" w:sz="4" w:space="0"/>
              <w:bottom w:val="single" w:color="auto" w:sz="4" w:space="0"/>
              <w:right w:val="single" w:color="auto" w:sz="4" w:space="0"/>
            </w:tcBorders>
            <w:vAlign w:val="center"/>
          </w:tcPr>
          <w:p>
            <w:pPr>
              <w:jc w:val="center"/>
              <w:rPr>
                <w:b/>
                <w:color w:val="000000"/>
                <w:kern w:val="0"/>
                <w:sz w:val="20"/>
              </w:rPr>
            </w:pPr>
            <w:r>
              <w:rPr>
                <w:b/>
                <w:color w:val="000000"/>
                <w:kern w:val="0"/>
                <w:sz w:val="20"/>
              </w:rPr>
              <w:t>作用分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11" w:hRule="atLeast"/>
          <w:jc w:val="center"/>
        </w:trPr>
        <w:tc>
          <w:tcPr>
            <w:tcW w:w="2676"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一级</w:t>
            </w:r>
          </w:p>
        </w:tc>
        <w:tc>
          <w:tcPr>
            <w:tcW w:w="3277"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100年一遇</w:t>
            </w:r>
          </w:p>
        </w:tc>
        <w:tc>
          <w:tcPr>
            <w:tcW w:w="3050"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2" w:hRule="atLeast"/>
          <w:jc w:val="center"/>
        </w:trPr>
        <w:tc>
          <w:tcPr>
            <w:tcW w:w="2676"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二级</w:t>
            </w:r>
          </w:p>
        </w:tc>
        <w:tc>
          <w:tcPr>
            <w:tcW w:w="3277"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30年一遇</w:t>
            </w:r>
          </w:p>
        </w:tc>
        <w:tc>
          <w:tcPr>
            <w:tcW w:w="3050"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 w:val="20"/>
              </w:rPr>
            </w:pPr>
            <w:r>
              <w:rPr>
                <w:color w:val="000000"/>
                <w:kern w:val="0"/>
                <w:sz w:val="20"/>
              </w:rPr>
              <w:t>60</w:t>
            </w:r>
          </w:p>
        </w:tc>
      </w:tr>
    </w:tbl>
    <w:p>
      <w:pPr>
        <w:spacing w:line="360" w:lineRule="auto"/>
        <w:ind w:firstLine="560" w:firstLineChars="200"/>
        <w:outlineLvl w:val="2"/>
        <w:rPr>
          <w:rFonts w:ascii="黑体" w:hAnsi="宋体" w:eastAsia="黑体"/>
          <w:sz w:val="28"/>
          <w:szCs w:val="28"/>
        </w:rPr>
      </w:pPr>
      <w:bookmarkStart w:id="346" w:name="_Toc526952084"/>
      <w:bookmarkStart w:id="347" w:name="_Toc19840"/>
      <w:bookmarkStart w:id="348" w:name="_Toc469296441"/>
      <w:bookmarkStart w:id="349" w:name="_Toc470721292"/>
      <w:bookmarkStart w:id="350" w:name="_Toc467846833"/>
      <w:bookmarkStart w:id="351" w:name="_Toc18517"/>
      <w:bookmarkStart w:id="352" w:name="_Toc31733"/>
      <w:bookmarkStart w:id="353" w:name="_Toc467846834"/>
      <w:bookmarkStart w:id="354" w:name="_Toc32182"/>
      <w:bookmarkStart w:id="355" w:name="_Toc470721293"/>
      <w:bookmarkStart w:id="356" w:name="_Toc469296442"/>
      <w:r>
        <w:rPr>
          <w:rFonts w:ascii="黑体" w:hAnsi="宋体" w:eastAsia="黑体"/>
          <w:sz w:val="28"/>
          <w:szCs w:val="28"/>
        </w:rPr>
        <w:t>六、人口状况</w:t>
      </w:r>
      <w:bookmarkEnd w:id="346"/>
      <w:bookmarkEnd w:id="347"/>
    </w:p>
    <w:p>
      <w:pPr>
        <w:adjustRightInd w:val="0"/>
        <w:snapToGrid w:val="0"/>
        <w:spacing w:line="360" w:lineRule="auto"/>
        <w:ind w:firstLine="480" w:firstLineChars="200"/>
        <w:rPr>
          <w:sz w:val="24"/>
          <w:szCs w:val="22"/>
        </w:rPr>
      </w:pPr>
      <w:r>
        <w:rPr>
          <w:sz w:val="24"/>
          <w:szCs w:val="22"/>
        </w:rPr>
        <w:t>在城市空间中，土地使用价值一般呈现出和人口密度相同的空间分布模式。在城市中心区，商服和办公设施高度聚集，土地利用率较高，导致中心区人口密度较高，地价也相对较高，即土地级别相对较高；而在远离中心的郊区，土地的利用率相对较低，与之相应，人口密度较低，地价也相对较低，即土地级别相对较低。对超过最佳人口密度的指标按以下方式进行预处理。</w:t>
      </w:r>
    </w:p>
    <w:p>
      <w:pPr>
        <w:spacing w:line="360" w:lineRule="auto"/>
        <w:ind w:firstLine="200"/>
        <w:jc w:val="center"/>
        <w:rPr>
          <w:sz w:val="24"/>
          <w:vertAlign w:val="subscript"/>
        </w:rPr>
      </w:pPr>
      <w:r>
        <w:rPr>
          <w:sz w:val="24"/>
        </w:rPr>
        <w:t>X</w:t>
      </w:r>
      <w:r>
        <w:rPr>
          <w:sz w:val="24"/>
          <w:vertAlign w:val="subscript"/>
        </w:rPr>
        <w:t>i</w:t>
      </w:r>
      <w:r>
        <w:rPr>
          <w:sz w:val="24"/>
        </w:rPr>
        <w:t>=2X</w:t>
      </w:r>
      <w:r>
        <w:rPr>
          <w:sz w:val="24"/>
          <w:vertAlign w:val="subscript"/>
        </w:rPr>
        <w:t>g</w:t>
      </w:r>
      <w:r>
        <w:rPr>
          <w:sz w:val="24"/>
        </w:rPr>
        <w:t>-X</w:t>
      </w:r>
      <w:r>
        <w:rPr>
          <w:sz w:val="24"/>
          <w:vertAlign w:val="subscript"/>
        </w:rPr>
        <w:t>max</w:t>
      </w:r>
    </w:p>
    <w:p>
      <w:pPr>
        <w:spacing w:line="360" w:lineRule="auto"/>
        <w:ind w:firstLine="480" w:firstLineChars="200"/>
        <w:rPr>
          <w:sz w:val="24"/>
        </w:rPr>
      </w:pPr>
      <w:r>
        <w:rPr>
          <w:sz w:val="24"/>
        </w:rPr>
        <w:t>式中：</w:t>
      </w:r>
      <w:r>
        <w:rPr>
          <w:i/>
          <w:sz w:val="24"/>
        </w:rPr>
        <w:t>X</w:t>
      </w:r>
      <w:r>
        <w:rPr>
          <w:i/>
          <w:sz w:val="24"/>
          <w:vertAlign w:val="subscript"/>
        </w:rPr>
        <w:t>i</w:t>
      </w:r>
      <w:r>
        <w:rPr>
          <w:sz w:val="24"/>
        </w:rPr>
        <w:t>—经处理后的某区域指标值</w:t>
      </w:r>
    </w:p>
    <w:p>
      <w:pPr>
        <w:spacing w:line="360" w:lineRule="auto"/>
        <w:ind w:firstLine="1200" w:firstLineChars="500"/>
        <w:rPr>
          <w:sz w:val="24"/>
        </w:rPr>
      </w:pPr>
      <w:r>
        <w:rPr>
          <w:i/>
          <w:sz w:val="24"/>
        </w:rPr>
        <w:t>X</w:t>
      </w:r>
      <w:r>
        <w:rPr>
          <w:i/>
          <w:sz w:val="24"/>
          <w:vertAlign w:val="subscript"/>
        </w:rPr>
        <w:t>g</w:t>
      </w:r>
      <w:r>
        <w:rPr>
          <w:sz w:val="24"/>
        </w:rPr>
        <w:t>—最佳人口密度指标值</w:t>
      </w:r>
    </w:p>
    <w:p>
      <w:pPr>
        <w:spacing w:line="360" w:lineRule="auto"/>
        <w:ind w:firstLine="1200" w:firstLineChars="500"/>
        <w:rPr>
          <w:sz w:val="24"/>
        </w:rPr>
      </w:pPr>
      <w:r>
        <w:rPr>
          <w:i/>
          <w:sz w:val="24"/>
        </w:rPr>
        <w:t>X</w:t>
      </w:r>
      <w:r>
        <w:rPr>
          <w:i/>
          <w:sz w:val="24"/>
          <w:vertAlign w:val="subscript"/>
        </w:rPr>
        <w:t>max</w:t>
      </w:r>
      <w:r>
        <w:rPr>
          <w:sz w:val="24"/>
        </w:rPr>
        <w:t>—超过最佳人口的密度指标值</w:t>
      </w:r>
    </w:p>
    <w:p>
      <w:pPr>
        <w:spacing w:line="360" w:lineRule="auto"/>
        <w:ind w:firstLine="480" w:firstLineChars="200"/>
        <w:rPr>
          <w:sz w:val="24"/>
        </w:rPr>
      </w:pPr>
      <w:r>
        <w:rPr>
          <w:sz w:val="24"/>
        </w:rPr>
        <w:t>人口密度按下式作用分计算：</w:t>
      </w:r>
    </w:p>
    <w:p>
      <w:pPr>
        <w:spacing w:line="360" w:lineRule="auto"/>
        <w:ind w:firstLine="200"/>
        <w:jc w:val="center"/>
        <w:rPr>
          <w:sz w:val="24"/>
        </w:rPr>
      </w:pPr>
      <w:r>
        <w:rPr>
          <w:sz w:val="24"/>
        </w:rPr>
        <w:t>F</w:t>
      </w:r>
      <w:r>
        <w:rPr>
          <w:sz w:val="24"/>
          <w:vertAlign w:val="subscript"/>
        </w:rPr>
        <w:t>i</w:t>
      </w:r>
      <w:r>
        <w:rPr>
          <w:sz w:val="24"/>
        </w:rPr>
        <w:t>=100×（X</w:t>
      </w:r>
      <w:r>
        <w:rPr>
          <w:sz w:val="24"/>
          <w:vertAlign w:val="subscript"/>
        </w:rPr>
        <w:t>i</w:t>
      </w:r>
      <w:r>
        <w:rPr>
          <w:sz w:val="24"/>
        </w:rPr>
        <w:t>-X</w:t>
      </w:r>
      <w:r>
        <w:rPr>
          <w:sz w:val="24"/>
          <w:vertAlign w:val="subscript"/>
        </w:rPr>
        <w:t>min</w:t>
      </w:r>
      <w:r>
        <w:rPr>
          <w:sz w:val="24"/>
        </w:rPr>
        <w:t>）／(Xg-X</w:t>
      </w:r>
      <w:r>
        <w:rPr>
          <w:sz w:val="24"/>
          <w:vertAlign w:val="subscript"/>
        </w:rPr>
        <w:t>min</w:t>
      </w:r>
      <w:r>
        <w:rPr>
          <w:sz w:val="24"/>
        </w:rPr>
        <w:t>)</w:t>
      </w:r>
    </w:p>
    <w:p>
      <w:pPr>
        <w:spacing w:line="360" w:lineRule="auto"/>
        <w:ind w:firstLine="480" w:firstLineChars="200"/>
        <w:rPr>
          <w:sz w:val="24"/>
        </w:rPr>
      </w:pPr>
      <w:r>
        <w:rPr>
          <w:sz w:val="24"/>
        </w:rPr>
        <w:t>式中：</w:t>
      </w:r>
      <w:r>
        <w:rPr>
          <w:i/>
          <w:sz w:val="24"/>
        </w:rPr>
        <w:t>F</w:t>
      </w:r>
      <w:r>
        <w:rPr>
          <w:i/>
          <w:sz w:val="24"/>
          <w:vertAlign w:val="subscript"/>
        </w:rPr>
        <w:t>i</w:t>
      </w:r>
      <w:r>
        <w:rPr>
          <w:sz w:val="24"/>
        </w:rPr>
        <w:t>—区域人口密度作用分</w:t>
      </w:r>
    </w:p>
    <w:p>
      <w:pPr>
        <w:spacing w:line="360" w:lineRule="auto"/>
        <w:ind w:firstLine="1200" w:firstLineChars="500"/>
        <w:rPr>
          <w:sz w:val="24"/>
        </w:rPr>
      </w:pPr>
      <w:r>
        <w:rPr>
          <w:i/>
          <w:sz w:val="24"/>
        </w:rPr>
        <w:t>X</w:t>
      </w:r>
      <w:r>
        <w:rPr>
          <w:i/>
          <w:sz w:val="24"/>
          <w:vertAlign w:val="subscript"/>
        </w:rPr>
        <w:t>i</w:t>
      </w:r>
      <w:r>
        <w:rPr>
          <w:sz w:val="24"/>
        </w:rPr>
        <w:t>—区域人口密度指标值</w:t>
      </w:r>
    </w:p>
    <w:p>
      <w:pPr>
        <w:spacing w:line="360" w:lineRule="auto"/>
        <w:ind w:firstLine="1197" w:firstLineChars="499"/>
        <w:rPr>
          <w:sz w:val="24"/>
        </w:rPr>
      </w:pPr>
      <w:r>
        <w:rPr>
          <w:i/>
          <w:sz w:val="24"/>
        </w:rPr>
        <w:t>Xg</w:t>
      </w:r>
      <w:r>
        <w:rPr>
          <w:sz w:val="24"/>
        </w:rPr>
        <w:t>—最佳人口密度</w:t>
      </w:r>
    </w:p>
    <w:p>
      <w:pPr>
        <w:spacing w:line="360" w:lineRule="auto"/>
        <w:ind w:firstLine="1197" w:firstLineChars="499"/>
        <w:rPr>
          <w:sz w:val="24"/>
        </w:rPr>
      </w:pPr>
      <w:r>
        <w:rPr>
          <w:i/>
          <w:sz w:val="24"/>
        </w:rPr>
        <w:t>X</w:t>
      </w:r>
      <w:r>
        <w:rPr>
          <w:i/>
          <w:sz w:val="24"/>
          <w:vertAlign w:val="subscript"/>
        </w:rPr>
        <w:t>min</w:t>
      </w:r>
      <w:r>
        <w:rPr>
          <w:sz w:val="24"/>
        </w:rPr>
        <w:t>—人口密度最小值</w:t>
      </w:r>
    </w:p>
    <w:p>
      <w:pPr>
        <w:adjustRightInd w:val="0"/>
        <w:snapToGrid w:val="0"/>
        <w:spacing w:line="360" w:lineRule="auto"/>
        <w:ind w:firstLine="480" w:firstLineChars="200"/>
        <w:rPr>
          <w:sz w:val="24"/>
          <w:szCs w:val="22"/>
        </w:rPr>
      </w:pPr>
      <w:r>
        <w:rPr>
          <w:sz w:val="24"/>
          <w:szCs w:val="22"/>
        </w:rPr>
        <w:t>将各区域人口密度值代入上式计算作用分，并做适当的修正处理，最后根据作用分划分三级，结果见表</w:t>
      </w:r>
      <w:r>
        <w:rPr>
          <w:rFonts w:hint="eastAsia"/>
          <w:sz w:val="24"/>
          <w:szCs w:val="22"/>
        </w:rPr>
        <w:t>2</w:t>
      </w:r>
      <w:r>
        <w:rPr>
          <w:sz w:val="24"/>
          <w:szCs w:val="22"/>
        </w:rPr>
        <w:t>-</w:t>
      </w:r>
      <w:r>
        <w:rPr>
          <w:rFonts w:hint="eastAsia"/>
          <w:sz w:val="24"/>
          <w:szCs w:val="22"/>
        </w:rPr>
        <w:t>3</w:t>
      </w:r>
      <w:r>
        <w:rPr>
          <w:sz w:val="24"/>
          <w:szCs w:val="22"/>
        </w:rPr>
        <w:t>-1</w:t>
      </w:r>
      <w:r>
        <w:rPr>
          <w:rFonts w:hint="eastAsia"/>
          <w:sz w:val="24"/>
          <w:szCs w:val="22"/>
        </w:rPr>
        <w:t>6</w:t>
      </w:r>
      <w:r>
        <w:rPr>
          <w:sz w:val="24"/>
          <w:szCs w:val="22"/>
        </w:rPr>
        <w:t>：</w:t>
      </w:r>
    </w:p>
    <w:p>
      <w:pPr>
        <w:tabs>
          <w:tab w:val="left" w:pos="720"/>
        </w:tabs>
        <w:spacing w:line="480" w:lineRule="exact"/>
        <w:ind w:firstLine="482" w:firstLineChars="200"/>
        <w:jc w:val="center"/>
        <w:rPr>
          <w:b/>
          <w:sz w:val="24"/>
          <w:szCs w:val="22"/>
        </w:rPr>
      </w:pPr>
      <w:r>
        <w:rPr>
          <w:b/>
          <w:sz w:val="24"/>
          <w:szCs w:val="22"/>
        </w:rPr>
        <w:t>表</w:t>
      </w:r>
      <w:r>
        <w:rPr>
          <w:rFonts w:hint="eastAsia"/>
          <w:b/>
          <w:sz w:val="24"/>
          <w:szCs w:val="22"/>
        </w:rPr>
        <w:t>2</w:t>
      </w:r>
      <w:r>
        <w:rPr>
          <w:b/>
          <w:sz w:val="24"/>
          <w:szCs w:val="22"/>
        </w:rPr>
        <w:t>-</w:t>
      </w:r>
      <w:r>
        <w:rPr>
          <w:rFonts w:hint="eastAsia"/>
          <w:b/>
          <w:sz w:val="24"/>
          <w:szCs w:val="22"/>
        </w:rPr>
        <w:t>3</w:t>
      </w:r>
      <w:r>
        <w:rPr>
          <w:b/>
          <w:sz w:val="24"/>
          <w:szCs w:val="22"/>
        </w:rPr>
        <w:t>-1</w:t>
      </w:r>
      <w:r>
        <w:rPr>
          <w:rFonts w:hint="eastAsia"/>
          <w:b/>
          <w:sz w:val="24"/>
          <w:szCs w:val="22"/>
        </w:rPr>
        <w:t>6</w:t>
      </w:r>
      <w:r>
        <w:rPr>
          <w:b/>
          <w:sz w:val="24"/>
          <w:szCs w:val="22"/>
        </w:rPr>
        <w:t xml:space="preserve">  人口密度指标分析表</w:t>
      </w:r>
    </w:p>
    <w:tbl>
      <w:tblPr>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37"/>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2129" w:type="dxa"/>
            <w:vAlign w:val="center"/>
          </w:tcPr>
          <w:p>
            <w:pPr>
              <w:spacing w:line="460" w:lineRule="exact"/>
              <w:jc w:val="center"/>
              <w:rPr>
                <w:b/>
                <w:bCs/>
                <w:sz w:val="20"/>
              </w:rPr>
            </w:pPr>
            <w:r>
              <w:rPr>
                <w:b/>
                <w:bCs/>
                <w:sz w:val="20"/>
              </w:rPr>
              <w:t>因子级别</w:t>
            </w:r>
          </w:p>
        </w:tc>
        <w:tc>
          <w:tcPr>
            <w:tcW w:w="2137" w:type="dxa"/>
            <w:vAlign w:val="center"/>
          </w:tcPr>
          <w:p>
            <w:pPr>
              <w:spacing w:line="460" w:lineRule="exact"/>
              <w:jc w:val="center"/>
              <w:rPr>
                <w:b/>
                <w:bCs/>
                <w:sz w:val="20"/>
              </w:rPr>
            </w:pPr>
            <w:r>
              <w:rPr>
                <w:b/>
                <w:bCs/>
                <w:sz w:val="20"/>
              </w:rPr>
              <w:t>一级</w:t>
            </w:r>
          </w:p>
        </w:tc>
        <w:tc>
          <w:tcPr>
            <w:tcW w:w="2131" w:type="dxa"/>
            <w:vAlign w:val="center"/>
          </w:tcPr>
          <w:p>
            <w:pPr>
              <w:spacing w:line="460" w:lineRule="exact"/>
              <w:jc w:val="center"/>
              <w:rPr>
                <w:b/>
                <w:bCs/>
                <w:sz w:val="20"/>
              </w:rPr>
            </w:pPr>
            <w:r>
              <w:rPr>
                <w:b/>
                <w:bCs/>
                <w:sz w:val="20"/>
              </w:rPr>
              <w:t>二级</w:t>
            </w:r>
          </w:p>
        </w:tc>
        <w:tc>
          <w:tcPr>
            <w:tcW w:w="2131" w:type="dxa"/>
            <w:vAlign w:val="center"/>
          </w:tcPr>
          <w:p>
            <w:pPr>
              <w:spacing w:line="460" w:lineRule="exact"/>
              <w:jc w:val="center"/>
              <w:rPr>
                <w:b/>
                <w:bCs/>
                <w:sz w:val="20"/>
              </w:rPr>
            </w:pPr>
            <w:r>
              <w:rPr>
                <w:b/>
                <w:bCs/>
                <w:sz w:val="2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2129" w:type="dxa"/>
            <w:vAlign w:val="center"/>
          </w:tcPr>
          <w:p>
            <w:pPr>
              <w:spacing w:line="460" w:lineRule="exact"/>
              <w:jc w:val="center"/>
              <w:rPr>
                <w:sz w:val="20"/>
              </w:rPr>
            </w:pPr>
            <w:r>
              <w:rPr>
                <w:sz w:val="20"/>
              </w:rPr>
              <w:t>作用分</w:t>
            </w:r>
          </w:p>
        </w:tc>
        <w:tc>
          <w:tcPr>
            <w:tcW w:w="2137" w:type="dxa"/>
            <w:vAlign w:val="center"/>
          </w:tcPr>
          <w:p>
            <w:pPr>
              <w:spacing w:line="460" w:lineRule="exact"/>
              <w:jc w:val="center"/>
              <w:rPr>
                <w:sz w:val="20"/>
              </w:rPr>
            </w:pPr>
            <w:r>
              <w:rPr>
                <w:sz w:val="20"/>
              </w:rPr>
              <w:t>100</w:t>
            </w:r>
          </w:p>
        </w:tc>
        <w:tc>
          <w:tcPr>
            <w:tcW w:w="2131" w:type="dxa"/>
            <w:vAlign w:val="center"/>
          </w:tcPr>
          <w:p>
            <w:pPr>
              <w:spacing w:line="460" w:lineRule="exact"/>
              <w:jc w:val="center"/>
              <w:rPr>
                <w:sz w:val="20"/>
              </w:rPr>
            </w:pPr>
            <w:r>
              <w:rPr>
                <w:sz w:val="20"/>
              </w:rPr>
              <w:t>80</w:t>
            </w:r>
          </w:p>
        </w:tc>
        <w:tc>
          <w:tcPr>
            <w:tcW w:w="2131" w:type="dxa"/>
            <w:vAlign w:val="center"/>
          </w:tcPr>
          <w:p>
            <w:pPr>
              <w:spacing w:line="460" w:lineRule="exact"/>
              <w:jc w:val="center"/>
              <w:rPr>
                <w:sz w:val="20"/>
              </w:rPr>
            </w:pPr>
            <w:r>
              <w:rPr>
                <w:sz w:val="20"/>
              </w:rPr>
              <w:t>60</w:t>
            </w:r>
          </w:p>
        </w:tc>
      </w:tr>
    </w:tbl>
    <w:p>
      <w:pPr>
        <w:spacing w:line="360" w:lineRule="auto"/>
        <w:ind w:firstLine="560" w:firstLineChars="200"/>
        <w:outlineLvl w:val="2"/>
        <w:rPr>
          <w:rFonts w:ascii="黑体" w:hAnsi="宋体" w:eastAsia="黑体"/>
          <w:sz w:val="28"/>
          <w:szCs w:val="28"/>
        </w:rPr>
      </w:pPr>
      <w:bookmarkStart w:id="357" w:name="_Toc32568"/>
      <w:r>
        <w:rPr>
          <w:rFonts w:hint="eastAsia" w:ascii="黑体" w:hAnsi="宋体" w:eastAsia="黑体"/>
          <w:sz w:val="28"/>
          <w:szCs w:val="28"/>
        </w:rPr>
        <w:t>七</w:t>
      </w:r>
      <w:r>
        <w:rPr>
          <w:rFonts w:ascii="黑体" w:hAnsi="宋体" w:eastAsia="黑体"/>
          <w:sz w:val="28"/>
          <w:szCs w:val="28"/>
        </w:rPr>
        <w:t>、</w:t>
      </w:r>
      <w:bookmarkEnd w:id="348"/>
      <w:bookmarkEnd w:id="349"/>
      <w:bookmarkEnd w:id="350"/>
      <w:r>
        <w:rPr>
          <w:rFonts w:ascii="黑体" w:hAnsi="宋体" w:eastAsia="黑体"/>
          <w:sz w:val="28"/>
          <w:szCs w:val="28"/>
        </w:rPr>
        <w:t>产业集聚</w:t>
      </w:r>
      <w:r>
        <w:rPr>
          <w:rFonts w:hint="eastAsia" w:ascii="黑体" w:hAnsi="宋体" w:eastAsia="黑体"/>
          <w:sz w:val="28"/>
          <w:szCs w:val="28"/>
        </w:rPr>
        <w:t>方面的因素</w:t>
      </w:r>
      <w:bookmarkEnd w:id="351"/>
      <w:bookmarkEnd w:id="352"/>
      <w:bookmarkEnd w:id="357"/>
    </w:p>
    <w:p>
      <w:pPr>
        <w:spacing w:line="480" w:lineRule="exact"/>
        <w:ind w:firstLine="480" w:firstLineChars="200"/>
        <w:rPr>
          <w:sz w:val="24"/>
          <w:szCs w:val="24"/>
        </w:rPr>
      </w:pPr>
      <w:r>
        <w:rPr>
          <w:sz w:val="24"/>
          <w:szCs w:val="24"/>
        </w:rPr>
        <w:t>产业集聚反映产业在一定范围的集中程度，一般可有工业区规模和协作条件两种具有一定相关性的因子来反映。考虑到协作企业相邻，运输最节约，能够产生规模效益，且对整个用地结构具有重大的影响，在充分调研的基础上，结合专家咨询的结果，根据</w:t>
      </w:r>
      <w:r>
        <w:rPr>
          <w:rFonts w:hint="eastAsia"/>
          <w:sz w:val="24"/>
          <w:szCs w:val="24"/>
        </w:rPr>
        <w:t>长沙县</w:t>
      </w:r>
      <w:r>
        <w:rPr>
          <w:sz w:val="24"/>
          <w:szCs w:val="24"/>
        </w:rPr>
        <w:t>的经济发展规划与工业规划布局，将产业集聚分为二个等级，并分别对不同区域赋值，结果见表</w:t>
      </w:r>
      <w:r>
        <w:rPr>
          <w:rFonts w:hint="eastAsia"/>
          <w:sz w:val="24"/>
          <w:szCs w:val="24"/>
        </w:rPr>
        <w:t>2-3-17</w:t>
      </w:r>
      <w:r>
        <w:rPr>
          <w:sz w:val="24"/>
          <w:szCs w:val="24"/>
        </w:rPr>
        <w:t>。</w:t>
      </w:r>
    </w:p>
    <w:p>
      <w:pPr>
        <w:tabs>
          <w:tab w:val="left" w:pos="720"/>
        </w:tabs>
        <w:spacing w:line="480" w:lineRule="exact"/>
        <w:jc w:val="center"/>
        <w:rPr>
          <w:b/>
          <w:sz w:val="24"/>
          <w:szCs w:val="22"/>
        </w:rPr>
      </w:pPr>
      <w:r>
        <w:rPr>
          <w:b/>
          <w:sz w:val="24"/>
          <w:szCs w:val="22"/>
        </w:rPr>
        <w:t>表</w:t>
      </w:r>
      <w:r>
        <w:rPr>
          <w:rFonts w:hint="eastAsia"/>
          <w:b/>
          <w:sz w:val="24"/>
          <w:szCs w:val="22"/>
        </w:rPr>
        <w:t>2-3-17</w:t>
      </w:r>
      <w:r>
        <w:rPr>
          <w:b/>
          <w:sz w:val="24"/>
          <w:szCs w:val="22"/>
        </w:rPr>
        <w:t xml:space="preserve">  产业集聚指标分析表</w:t>
      </w:r>
    </w:p>
    <w:tbl>
      <w:tblPr>
        <w:tblW w:w="7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5343"/>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4" w:type="dxa"/>
            <w:vAlign w:val="center"/>
          </w:tcPr>
          <w:p>
            <w:pPr>
              <w:spacing w:line="480" w:lineRule="exact"/>
              <w:jc w:val="center"/>
              <w:rPr>
                <w:b/>
                <w:sz w:val="20"/>
              </w:rPr>
            </w:pPr>
            <w:r>
              <w:rPr>
                <w:b/>
                <w:sz w:val="20"/>
              </w:rPr>
              <w:t>级别</w:t>
            </w:r>
          </w:p>
        </w:tc>
        <w:tc>
          <w:tcPr>
            <w:tcW w:w="5343" w:type="dxa"/>
            <w:vAlign w:val="center"/>
          </w:tcPr>
          <w:p>
            <w:pPr>
              <w:spacing w:line="480" w:lineRule="exact"/>
              <w:jc w:val="center"/>
              <w:rPr>
                <w:b/>
                <w:sz w:val="20"/>
              </w:rPr>
            </w:pPr>
            <w:r>
              <w:rPr>
                <w:b/>
                <w:sz w:val="20"/>
              </w:rPr>
              <w:t>指标</w:t>
            </w:r>
          </w:p>
        </w:tc>
        <w:tc>
          <w:tcPr>
            <w:tcW w:w="1424" w:type="dxa"/>
            <w:vAlign w:val="center"/>
          </w:tcPr>
          <w:p>
            <w:pPr>
              <w:spacing w:line="480" w:lineRule="exact"/>
              <w:jc w:val="center"/>
              <w:rPr>
                <w:b/>
                <w:sz w:val="20"/>
              </w:rPr>
            </w:pPr>
            <w:r>
              <w:rPr>
                <w:b/>
                <w:sz w:val="20"/>
              </w:rPr>
              <w:t>作用分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4" w:type="dxa"/>
            <w:vAlign w:val="center"/>
          </w:tcPr>
          <w:p>
            <w:pPr>
              <w:spacing w:line="480" w:lineRule="exact"/>
              <w:jc w:val="center"/>
              <w:rPr>
                <w:sz w:val="20"/>
              </w:rPr>
            </w:pPr>
            <w:r>
              <w:rPr>
                <w:sz w:val="20"/>
              </w:rPr>
              <w:t>一级</w:t>
            </w:r>
          </w:p>
        </w:tc>
        <w:tc>
          <w:tcPr>
            <w:tcW w:w="5343" w:type="dxa"/>
            <w:vAlign w:val="center"/>
          </w:tcPr>
          <w:p>
            <w:pPr>
              <w:spacing w:line="480" w:lineRule="exact"/>
              <w:jc w:val="center"/>
              <w:rPr>
                <w:sz w:val="20"/>
              </w:rPr>
            </w:pPr>
            <w:r>
              <w:rPr>
                <w:sz w:val="20"/>
              </w:rPr>
              <w:t>长沙经济技术开发区</w:t>
            </w:r>
          </w:p>
        </w:tc>
        <w:tc>
          <w:tcPr>
            <w:tcW w:w="1424" w:type="dxa"/>
            <w:vAlign w:val="center"/>
          </w:tcPr>
          <w:p>
            <w:pPr>
              <w:spacing w:line="480" w:lineRule="exact"/>
              <w:jc w:val="center"/>
              <w:rPr>
                <w:sz w:val="20"/>
              </w:rPr>
            </w:pPr>
            <w:r>
              <w:rPr>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4" w:type="dxa"/>
            <w:vAlign w:val="center"/>
          </w:tcPr>
          <w:p>
            <w:pPr>
              <w:spacing w:line="480" w:lineRule="exact"/>
              <w:jc w:val="center"/>
              <w:rPr>
                <w:sz w:val="20"/>
              </w:rPr>
            </w:pPr>
            <w:r>
              <w:rPr>
                <w:sz w:val="20"/>
              </w:rPr>
              <w:t>二级</w:t>
            </w:r>
          </w:p>
        </w:tc>
        <w:tc>
          <w:tcPr>
            <w:tcW w:w="5343" w:type="dxa"/>
            <w:vAlign w:val="center"/>
          </w:tcPr>
          <w:p>
            <w:pPr>
              <w:spacing w:line="480" w:lineRule="exact"/>
              <w:jc w:val="center"/>
              <w:rPr>
                <w:sz w:val="20"/>
              </w:rPr>
            </w:pPr>
            <w:r>
              <w:rPr>
                <w:sz w:val="20"/>
              </w:rPr>
              <w:t>其他区域</w:t>
            </w:r>
          </w:p>
        </w:tc>
        <w:tc>
          <w:tcPr>
            <w:tcW w:w="1424" w:type="dxa"/>
            <w:vAlign w:val="center"/>
          </w:tcPr>
          <w:p>
            <w:pPr>
              <w:spacing w:line="480" w:lineRule="exact"/>
              <w:jc w:val="center"/>
              <w:rPr>
                <w:sz w:val="20"/>
              </w:rPr>
            </w:pPr>
            <w:r>
              <w:rPr>
                <w:sz w:val="20"/>
              </w:rPr>
              <w:t>60</w:t>
            </w:r>
          </w:p>
        </w:tc>
      </w:tr>
    </w:tbl>
    <w:p>
      <w:pPr>
        <w:spacing w:line="360" w:lineRule="auto"/>
        <w:ind w:firstLine="560" w:firstLineChars="200"/>
        <w:jc w:val="center"/>
        <w:rPr>
          <w:rFonts w:ascii="黑体" w:hAnsi="宋体" w:eastAsia="黑体"/>
          <w:sz w:val="28"/>
          <w:szCs w:val="28"/>
        </w:rPr>
      </w:pPr>
      <w:r>
        <w:rPr>
          <w:rFonts w:hint="eastAsia" w:ascii="黑体" w:hAnsi="宋体" w:eastAsia="黑体" w:cs="Times New Roman"/>
          <w:kern w:val="2"/>
          <w:sz w:val="28"/>
          <w:szCs w:val="28"/>
          <w:lang w:val="en-US" w:eastAsia="zh-CN" w:bidi="ar-SA"/>
        </w:rPr>
        <w:pict>
          <v:shape id="图片 304" o:spid="_x0000_s1129" type="#_x0000_t75" style="position:absolute;left:0;margin-left:71.65pt;margin-top:3.45pt;height:384.75pt;width:271.8pt;mso-wrap-distance-bottom:0pt;mso-wrap-distance-top:0pt;rotation:0f;z-index:251725824;" o:ole="f" fillcolor="#FFFFFF" filled="f" o:preferrelative="t" stroked="f" coordorigin="0,0" coordsize="21600,21600">
            <v:fill on="f" color2="#FFFFFF" focus="0%"/>
            <v:imagedata gain="65536f" blacklevel="0f" gamma="0" o:title="" r:id="rId48"/>
            <o:lock v:ext="edit" position="f" selection="f" grouping="f" rotation="f" cropping="f" text="f" aspectratio="t"/>
            <w10:wrap type="topAndBottom"/>
          </v:shape>
        </w:pict>
      </w:r>
      <w:r>
        <w:rPr>
          <w:rFonts w:hint="eastAsia" w:ascii="黑体" w:hAnsi="黑体" w:eastAsia="黑体" w:cs="黑体"/>
          <w:b/>
          <w:bCs/>
          <w:sz w:val="24"/>
          <w:szCs w:val="24"/>
        </w:rPr>
        <w:t>图2-3-7 城区产业聚集作用分值示意图</w:t>
      </w:r>
    </w:p>
    <w:p>
      <w:pPr>
        <w:spacing w:line="360" w:lineRule="auto"/>
        <w:ind w:firstLine="560" w:firstLineChars="200"/>
        <w:outlineLvl w:val="2"/>
        <w:rPr>
          <w:rFonts w:ascii="黑体" w:hAnsi="宋体" w:eastAsia="黑体"/>
          <w:sz w:val="28"/>
          <w:szCs w:val="28"/>
          <w:lang w:val="zh-CN"/>
        </w:rPr>
      </w:pPr>
      <w:bookmarkStart w:id="358" w:name="_Toc455741141"/>
      <w:bookmarkStart w:id="359" w:name="_Toc868"/>
      <w:bookmarkStart w:id="360" w:name="_Toc457207831"/>
      <w:bookmarkStart w:id="361" w:name="_Toc526952086"/>
      <w:bookmarkStart w:id="362" w:name="_Toc470183186"/>
      <w:bookmarkStart w:id="363" w:name="_Toc482630057"/>
      <w:bookmarkStart w:id="364" w:name="_Toc495648850"/>
      <w:r>
        <w:rPr>
          <w:rFonts w:hint="eastAsia" w:ascii="黑体" w:hAnsi="宋体" w:eastAsia="黑体"/>
          <w:sz w:val="28"/>
          <w:szCs w:val="28"/>
          <w:lang w:val="zh-CN"/>
        </w:rPr>
        <w:t>八、城市规划的量化</w:t>
      </w:r>
      <w:bookmarkEnd w:id="358"/>
      <w:bookmarkEnd w:id="359"/>
      <w:bookmarkEnd w:id="360"/>
      <w:bookmarkEnd w:id="361"/>
      <w:bookmarkEnd w:id="362"/>
      <w:bookmarkEnd w:id="363"/>
      <w:bookmarkEnd w:id="364"/>
    </w:p>
    <w:p>
      <w:pPr>
        <w:spacing w:beforeLines="50"/>
        <w:ind w:firstLine="480" w:firstLineChars="200"/>
        <w:jc w:val="left"/>
        <w:textAlignment w:val="baseline"/>
        <w:rPr>
          <w:sz w:val="24"/>
          <w:szCs w:val="24"/>
          <w:lang w:val="zh-CN"/>
        </w:rPr>
      </w:pPr>
      <w:bookmarkStart w:id="365" w:name="_Toc457207832"/>
      <w:bookmarkStart w:id="366" w:name="_Toc470183187"/>
      <w:bookmarkStart w:id="367" w:name="_Toc455741142"/>
      <w:r>
        <w:rPr>
          <w:sz w:val="24"/>
          <w:szCs w:val="24"/>
          <w:lang w:val="zh-CN"/>
        </w:rPr>
        <w:t>（</w:t>
      </w:r>
      <w:r>
        <w:rPr>
          <w:rFonts w:hint="eastAsia"/>
          <w:sz w:val="24"/>
          <w:szCs w:val="24"/>
        </w:rPr>
        <w:t>1</w:t>
      </w:r>
      <w:r>
        <w:rPr>
          <w:sz w:val="24"/>
          <w:szCs w:val="24"/>
          <w:lang w:val="zh-CN"/>
        </w:rPr>
        <w:t>）用地规划</w:t>
      </w:r>
      <w:bookmarkEnd w:id="365"/>
      <w:bookmarkEnd w:id="366"/>
      <w:bookmarkEnd w:id="367"/>
    </w:p>
    <w:p>
      <w:pPr>
        <w:spacing w:line="480" w:lineRule="exact"/>
        <w:ind w:firstLine="480" w:firstLineChars="200"/>
        <w:rPr>
          <w:sz w:val="24"/>
          <w:szCs w:val="24"/>
        </w:rPr>
      </w:pPr>
      <w:r>
        <w:rPr>
          <w:sz w:val="24"/>
          <w:szCs w:val="24"/>
        </w:rPr>
        <w:t>根据《</w:t>
      </w:r>
      <w:r>
        <w:rPr>
          <w:rFonts w:hint="eastAsia"/>
          <w:sz w:val="24"/>
          <w:szCs w:val="24"/>
        </w:rPr>
        <w:t>长沙县</w:t>
      </w:r>
      <w:r>
        <w:rPr>
          <w:sz w:val="24"/>
          <w:szCs w:val="24"/>
        </w:rPr>
        <w:t>城市总体规划》，对用地规划因素进行综合分析。处理结果见表</w:t>
      </w:r>
      <w:r>
        <w:rPr>
          <w:rFonts w:hint="eastAsia"/>
          <w:sz w:val="24"/>
          <w:szCs w:val="24"/>
        </w:rPr>
        <w:t>2</w:t>
      </w:r>
      <w:r>
        <w:rPr>
          <w:sz w:val="24"/>
          <w:szCs w:val="24"/>
        </w:rPr>
        <w:t>-</w:t>
      </w:r>
      <w:r>
        <w:rPr>
          <w:rFonts w:hint="eastAsia"/>
          <w:sz w:val="24"/>
          <w:szCs w:val="24"/>
        </w:rPr>
        <w:t>3</w:t>
      </w:r>
      <w:r>
        <w:rPr>
          <w:sz w:val="24"/>
          <w:szCs w:val="24"/>
        </w:rPr>
        <w:t>-1</w:t>
      </w:r>
      <w:r>
        <w:rPr>
          <w:rFonts w:hint="eastAsia"/>
          <w:sz w:val="24"/>
          <w:szCs w:val="24"/>
        </w:rPr>
        <w:t>8</w:t>
      </w:r>
      <w:r>
        <w:rPr>
          <w:sz w:val="24"/>
          <w:szCs w:val="24"/>
        </w:rPr>
        <w:t>。</w:t>
      </w:r>
    </w:p>
    <w:p>
      <w:pPr>
        <w:tabs>
          <w:tab w:val="left" w:pos="720"/>
        </w:tabs>
        <w:spacing w:line="480" w:lineRule="exact"/>
        <w:jc w:val="center"/>
        <w:rPr>
          <w:b/>
          <w:sz w:val="24"/>
          <w:szCs w:val="22"/>
        </w:rPr>
      </w:pPr>
      <w:r>
        <w:rPr>
          <w:b/>
          <w:sz w:val="24"/>
          <w:szCs w:val="22"/>
        </w:rPr>
        <w:t>表</w:t>
      </w:r>
      <w:r>
        <w:rPr>
          <w:rFonts w:hint="eastAsia"/>
          <w:b/>
          <w:sz w:val="24"/>
          <w:szCs w:val="22"/>
        </w:rPr>
        <w:t>2</w:t>
      </w:r>
      <w:r>
        <w:rPr>
          <w:b/>
          <w:sz w:val="24"/>
          <w:szCs w:val="22"/>
        </w:rPr>
        <w:t>-</w:t>
      </w:r>
      <w:r>
        <w:rPr>
          <w:rFonts w:hint="eastAsia"/>
          <w:b/>
          <w:sz w:val="24"/>
          <w:szCs w:val="22"/>
        </w:rPr>
        <w:t>3</w:t>
      </w:r>
      <w:r>
        <w:rPr>
          <w:b/>
          <w:sz w:val="24"/>
          <w:szCs w:val="22"/>
        </w:rPr>
        <w:t>-1</w:t>
      </w:r>
      <w:r>
        <w:rPr>
          <w:rFonts w:hint="eastAsia"/>
          <w:b/>
          <w:sz w:val="24"/>
          <w:szCs w:val="22"/>
        </w:rPr>
        <w:t>8长沙县</w:t>
      </w:r>
      <w:r>
        <w:rPr>
          <w:b/>
          <w:sz w:val="24"/>
          <w:szCs w:val="22"/>
        </w:rPr>
        <w:t>城区用地规划指标分析结果表</w:t>
      </w:r>
    </w:p>
    <w:tbl>
      <w:tblPr>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857"/>
        <w:gridCol w:w="2704"/>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1856" w:type="dxa"/>
            <w:vAlign w:val="center"/>
          </w:tcPr>
          <w:p>
            <w:pPr>
              <w:spacing w:line="360" w:lineRule="auto"/>
              <w:jc w:val="center"/>
              <w:rPr>
                <w:color w:val="000000"/>
                <w:kern w:val="0"/>
                <w:szCs w:val="21"/>
              </w:rPr>
            </w:pPr>
            <w:r>
              <w:rPr>
                <w:color w:val="000000"/>
                <w:kern w:val="0"/>
                <w:szCs w:val="21"/>
              </w:rPr>
              <w:t>规划用途</w:t>
            </w:r>
          </w:p>
        </w:tc>
        <w:tc>
          <w:tcPr>
            <w:tcW w:w="1857" w:type="dxa"/>
            <w:vAlign w:val="center"/>
          </w:tcPr>
          <w:p>
            <w:pPr>
              <w:spacing w:line="360" w:lineRule="auto"/>
              <w:jc w:val="center"/>
              <w:rPr>
                <w:color w:val="000000"/>
                <w:kern w:val="0"/>
                <w:szCs w:val="21"/>
              </w:rPr>
            </w:pPr>
            <w:r>
              <w:rPr>
                <w:color w:val="000000"/>
                <w:kern w:val="0"/>
                <w:szCs w:val="21"/>
              </w:rPr>
              <w:t>规划为大型公共基础设施用地</w:t>
            </w:r>
          </w:p>
        </w:tc>
        <w:tc>
          <w:tcPr>
            <w:tcW w:w="2704" w:type="dxa"/>
            <w:vAlign w:val="center"/>
          </w:tcPr>
          <w:p>
            <w:pPr>
              <w:spacing w:line="360" w:lineRule="auto"/>
              <w:jc w:val="center"/>
              <w:rPr>
                <w:color w:val="000000"/>
                <w:kern w:val="0"/>
                <w:szCs w:val="21"/>
              </w:rPr>
            </w:pPr>
            <w:r>
              <w:rPr>
                <w:color w:val="000000"/>
                <w:kern w:val="0"/>
                <w:szCs w:val="21"/>
              </w:rPr>
              <w:t>规划为商服和住宅用地</w:t>
            </w:r>
          </w:p>
        </w:tc>
        <w:tc>
          <w:tcPr>
            <w:tcW w:w="2135" w:type="dxa"/>
            <w:vAlign w:val="center"/>
          </w:tcPr>
          <w:p>
            <w:pPr>
              <w:spacing w:line="360" w:lineRule="auto"/>
              <w:jc w:val="center"/>
              <w:rPr>
                <w:color w:val="000000"/>
                <w:kern w:val="0"/>
                <w:szCs w:val="21"/>
              </w:rPr>
            </w:pPr>
            <w:r>
              <w:rPr>
                <w:color w:val="000000"/>
                <w:kern w:val="0"/>
                <w:szCs w:val="21"/>
              </w:rPr>
              <w:t>规划为工矿仓储用地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1856" w:type="dxa"/>
            <w:vAlign w:val="center"/>
          </w:tcPr>
          <w:p>
            <w:pPr>
              <w:spacing w:line="360" w:lineRule="auto"/>
              <w:jc w:val="center"/>
              <w:rPr>
                <w:color w:val="000000"/>
                <w:kern w:val="0"/>
                <w:szCs w:val="21"/>
              </w:rPr>
            </w:pPr>
            <w:r>
              <w:rPr>
                <w:color w:val="000000"/>
                <w:kern w:val="0"/>
                <w:szCs w:val="21"/>
              </w:rPr>
              <w:t>作用分值</w:t>
            </w:r>
          </w:p>
        </w:tc>
        <w:tc>
          <w:tcPr>
            <w:tcW w:w="1857" w:type="dxa"/>
            <w:vAlign w:val="center"/>
          </w:tcPr>
          <w:p>
            <w:pPr>
              <w:spacing w:line="360" w:lineRule="auto"/>
              <w:jc w:val="center"/>
              <w:rPr>
                <w:color w:val="000000"/>
                <w:kern w:val="0"/>
                <w:szCs w:val="21"/>
              </w:rPr>
            </w:pPr>
            <w:r>
              <w:rPr>
                <w:szCs w:val="21"/>
              </w:rPr>
              <w:t>100</w:t>
            </w:r>
          </w:p>
        </w:tc>
        <w:tc>
          <w:tcPr>
            <w:tcW w:w="2704" w:type="dxa"/>
            <w:vAlign w:val="center"/>
          </w:tcPr>
          <w:p>
            <w:pPr>
              <w:spacing w:line="360" w:lineRule="auto"/>
              <w:jc w:val="center"/>
              <w:rPr>
                <w:color w:val="000000"/>
                <w:kern w:val="0"/>
                <w:szCs w:val="21"/>
              </w:rPr>
            </w:pPr>
            <w:r>
              <w:rPr>
                <w:color w:val="000000"/>
                <w:kern w:val="0"/>
                <w:szCs w:val="21"/>
              </w:rPr>
              <w:t>70</w:t>
            </w:r>
          </w:p>
        </w:tc>
        <w:tc>
          <w:tcPr>
            <w:tcW w:w="2135" w:type="dxa"/>
            <w:vAlign w:val="center"/>
          </w:tcPr>
          <w:p>
            <w:pPr>
              <w:spacing w:line="360" w:lineRule="auto"/>
              <w:jc w:val="center"/>
              <w:rPr>
                <w:color w:val="000000"/>
                <w:kern w:val="0"/>
                <w:szCs w:val="21"/>
              </w:rPr>
            </w:pPr>
            <w:r>
              <w:rPr>
                <w:color w:val="000000"/>
                <w:kern w:val="0"/>
                <w:szCs w:val="21"/>
              </w:rPr>
              <w:t>30</w:t>
            </w:r>
          </w:p>
        </w:tc>
      </w:tr>
    </w:tbl>
    <w:p>
      <w:pPr>
        <w:spacing w:beforeLines="50"/>
        <w:ind w:firstLine="470" w:firstLineChars="196"/>
        <w:jc w:val="left"/>
        <w:textAlignment w:val="baseline"/>
        <w:rPr>
          <w:sz w:val="24"/>
          <w:szCs w:val="24"/>
          <w:lang w:val="zh-CN"/>
        </w:rPr>
      </w:pPr>
      <w:r>
        <w:rPr>
          <w:sz w:val="24"/>
          <w:szCs w:val="24"/>
          <w:lang w:val="zh-CN"/>
        </w:rPr>
        <w:t>（</w:t>
      </w:r>
      <w:r>
        <w:rPr>
          <w:rFonts w:hint="eastAsia"/>
          <w:sz w:val="24"/>
          <w:szCs w:val="24"/>
        </w:rPr>
        <w:t>2</w:t>
      </w:r>
      <w:r>
        <w:rPr>
          <w:sz w:val="24"/>
          <w:szCs w:val="24"/>
          <w:lang w:val="zh-CN"/>
        </w:rPr>
        <w:t>）道路规划</w:t>
      </w:r>
    </w:p>
    <w:p>
      <w:pPr>
        <w:spacing w:line="480" w:lineRule="exact"/>
        <w:ind w:firstLine="480" w:firstLineChars="200"/>
        <w:rPr>
          <w:sz w:val="24"/>
          <w:szCs w:val="24"/>
        </w:rPr>
      </w:pPr>
      <w:r>
        <w:rPr>
          <w:sz w:val="24"/>
          <w:szCs w:val="24"/>
        </w:rPr>
        <w:t>本次土地定级道路规划因素主要指近期规划干道和次干道。根据《</w:t>
      </w:r>
      <w:r>
        <w:rPr>
          <w:rFonts w:hint="eastAsia"/>
          <w:sz w:val="24"/>
          <w:szCs w:val="24"/>
          <w:lang w:eastAsia="zh-CN"/>
        </w:rPr>
        <w:t>长沙县</w:t>
      </w:r>
      <w:r>
        <w:rPr>
          <w:sz w:val="24"/>
          <w:szCs w:val="24"/>
        </w:rPr>
        <w:t>城市总体规划》，对道路规划进行综合分析，其功能分和作用半径计算方法与道路通达度计算方法一样。道路规划因素指标分析结果见表</w:t>
      </w:r>
      <w:r>
        <w:rPr>
          <w:rFonts w:hint="eastAsia"/>
          <w:sz w:val="24"/>
          <w:szCs w:val="24"/>
        </w:rPr>
        <w:t>2</w:t>
      </w:r>
      <w:r>
        <w:rPr>
          <w:sz w:val="24"/>
          <w:szCs w:val="24"/>
        </w:rPr>
        <w:t>-</w:t>
      </w:r>
      <w:r>
        <w:rPr>
          <w:rFonts w:hint="eastAsia"/>
          <w:sz w:val="24"/>
          <w:szCs w:val="24"/>
        </w:rPr>
        <w:t>3</w:t>
      </w:r>
      <w:r>
        <w:rPr>
          <w:sz w:val="24"/>
          <w:szCs w:val="24"/>
        </w:rPr>
        <w:t>-</w:t>
      </w:r>
      <w:r>
        <w:rPr>
          <w:rFonts w:hint="eastAsia"/>
          <w:sz w:val="24"/>
          <w:szCs w:val="24"/>
        </w:rPr>
        <w:t>19</w:t>
      </w:r>
      <w:r>
        <w:rPr>
          <w:sz w:val="24"/>
          <w:szCs w:val="24"/>
        </w:rPr>
        <w:t>。</w:t>
      </w:r>
    </w:p>
    <w:p>
      <w:pPr>
        <w:tabs>
          <w:tab w:val="left" w:pos="720"/>
        </w:tabs>
        <w:spacing w:line="480" w:lineRule="exact"/>
        <w:jc w:val="center"/>
        <w:rPr>
          <w:b/>
          <w:sz w:val="24"/>
          <w:szCs w:val="22"/>
        </w:rPr>
      </w:pPr>
      <w:r>
        <w:rPr>
          <w:b/>
          <w:sz w:val="24"/>
          <w:szCs w:val="22"/>
        </w:rPr>
        <w:t>表</w:t>
      </w:r>
      <w:r>
        <w:rPr>
          <w:rFonts w:hint="eastAsia"/>
          <w:b/>
          <w:sz w:val="24"/>
          <w:szCs w:val="22"/>
        </w:rPr>
        <w:t>2</w:t>
      </w:r>
      <w:r>
        <w:rPr>
          <w:b/>
          <w:sz w:val="24"/>
          <w:szCs w:val="22"/>
        </w:rPr>
        <w:t>-</w:t>
      </w:r>
      <w:r>
        <w:rPr>
          <w:rFonts w:hint="eastAsia"/>
          <w:b/>
          <w:sz w:val="24"/>
          <w:szCs w:val="22"/>
        </w:rPr>
        <w:t>3</w:t>
      </w:r>
      <w:r>
        <w:rPr>
          <w:b/>
          <w:sz w:val="24"/>
          <w:szCs w:val="22"/>
        </w:rPr>
        <w:t>-</w:t>
      </w:r>
      <w:r>
        <w:rPr>
          <w:rFonts w:hint="eastAsia"/>
          <w:b/>
          <w:sz w:val="24"/>
          <w:szCs w:val="22"/>
        </w:rPr>
        <w:t>19</w:t>
      </w:r>
      <w:r>
        <w:rPr>
          <w:b/>
          <w:sz w:val="24"/>
          <w:szCs w:val="22"/>
        </w:rPr>
        <w:t xml:space="preserve"> </w:t>
      </w:r>
      <w:r>
        <w:rPr>
          <w:rFonts w:hint="eastAsia"/>
          <w:b/>
          <w:sz w:val="24"/>
          <w:szCs w:val="22"/>
        </w:rPr>
        <w:t>长沙县</w:t>
      </w:r>
      <w:r>
        <w:rPr>
          <w:b/>
          <w:sz w:val="24"/>
          <w:szCs w:val="22"/>
        </w:rPr>
        <w:t>城区道路规划指标分析结果表</w:t>
      </w:r>
    </w:p>
    <w:tbl>
      <w:tblPr>
        <w:tblW w:w="7369" w:type="dxa"/>
        <w:jc w:val="center"/>
        <w:tblInd w:w="2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1538"/>
        <w:gridCol w:w="2126"/>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1578" w:type="dxa"/>
            <w:vAlign w:val="center"/>
          </w:tcPr>
          <w:p>
            <w:pPr>
              <w:spacing w:line="360" w:lineRule="auto"/>
              <w:jc w:val="center"/>
              <w:rPr>
                <w:color w:val="000000"/>
                <w:kern w:val="0"/>
                <w:szCs w:val="21"/>
              </w:rPr>
            </w:pPr>
            <w:r>
              <w:rPr>
                <w:color w:val="000000"/>
                <w:kern w:val="0"/>
                <w:szCs w:val="21"/>
              </w:rPr>
              <w:t>因子级别</w:t>
            </w:r>
          </w:p>
        </w:tc>
        <w:tc>
          <w:tcPr>
            <w:tcW w:w="1538" w:type="dxa"/>
            <w:vAlign w:val="center"/>
          </w:tcPr>
          <w:p>
            <w:pPr>
              <w:spacing w:line="360" w:lineRule="auto"/>
              <w:jc w:val="center"/>
              <w:rPr>
                <w:color w:val="000000"/>
                <w:kern w:val="0"/>
                <w:szCs w:val="21"/>
              </w:rPr>
            </w:pPr>
            <w:r>
              <w:rPr>
                <w:color w:val="000000"/>
                <w:kern w:val="0"/>
                <w:szCs w:val="21"/>
              </w:rPr>
              <w:t>道路类型</w:t>
            </w:r>
          </w:p>
        </w:tc>
        <w:tc>
          <w:tcPr>
            <w:tcW w:w="2126" w:type="dxa"/>
            <w:vAlign w:val="center"/>
          </w:tcPr>
          <w:p>
            <w:pPr>
              <w:spacing w:line="360" w:lineRule="auto"/>
              <w:jc w:val="center"/>
              <w:rPr>
                <w:color w:val="000000"/>
                <w:kern w:val="0"/>
                <w:szCs w:val="21"/>
              </w:rPr>
            </w:pPr>
            <w:r>
              <w:rPr>
                <w:color w:val="000000"/>
                <w:kern w:val="0"/>
                <w:szCs w:val="21"/>
              </w:rPr>
              <w:t>平均功能分</w:t>
            </w:r>
          </w:p>
        </w:tc>
        <w:tc>
          <w:tcPr>
            <w:tcW w:w="2127" w:type="dxa"/>
            <w:vAlign w:val="center"/>
          </w:tcPr>
          <w:p>
            <w:pPr>
              <w:spacing w:line="360" w:lineRule="auto"/>
              <w:jc w:val="center"/>
              <w:rPr>
                <w:color w:val="000000"/>
                <w:kern w:val="0"/>
                <w:szCs w:val="21"/>
              </w:rPr>
            </w:pPr>
            <w:r>
              <w:rPr>
                <w:color w:val="000000"/>
                <w:kern w:val="0"/>
                <w:szCs w:val="21"/>
              </w:rPr>
              <w:t>作用半径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1578" w:type="dxa"/>
            <w:vAlign w:val="center"/>
          </w:tcPr>
          <w:p>
            <w:pPr>
              <w:spacing w:line="360" w:lineRule="auto"/>
              <w:jc w:val="center"/>
              <w:rPr>
                <w:color w:val="000000"/>
                <w:kern w:val="0"/>
                <w:szCs w:val="21"/>
              </w:rPr>
            </w:pPr>
            <w:r>
              <w:rPr>
                <w:color w:val="000000"/>
                <w:kern w:val="0"/>
                <w:szCs w:val="21"/>
              </w:rPr>
              <w:t>一级</w:t>
            </w:r>
          </w:p>
        </w:tc>
        <w:tc>
          <w:tcPr>
            <w:tcW w:w="1538" w:type="dxa"/>
            <w:vAlign w:val="center"/>
          </w:tcPr>
          <w:p>
            <w:pPr>
              <w:spacing w:line="360" w:lineRule="auto"/>
              <w:jc w:val="center"/>
              <w:rPr>
                <w:color w:val="000000"/>
                <w:kern w:val="0"/>
                <w:szCs w:val="21"/>
              </w:rPr>
            </w:pPr>
            <w:r>
              <w:rPr>
                <w:color w:val="000000"/>
                <w:kern w:val="0"/>
                <w:szCs w:val="21"/>
              </w:rPr>
              <w:t>主干道</w:t>
            </w:r>
          </w:p>
        </w:tc>
        <w:tc>
          <w:tcPr>
            <w:tcW w:w="2126" w:type="dxa"/>
            <w:vAlign w:val="center"/>
          </w:tcPr>
          <w:p>
            <w:pPr>
              <w:spacing w:line="360" w:lineRule="auto"/>
              <w:jc w:val="center"/>
              <w:rPr>
                <w:color w:val="000000"/>
                <w:kern w:val="0"/>
                <w:szCs w:val="21"/>
              </w:rPr>
            </w:pPr>
            <w:r>
              <w:rPr>
                <w:color w:val="000000"/>
                <w:kern w:val="0"/>
                <w:szCs w:val="21"/>
              </w:rPr>
              <w:t>100</w:t>
            </w:r>
          </w:p>
        </w:tc>
        <w:tc>
          <w:tcPr>
            <w:tcW w:w="2127" w:type="dxa"/>
            <w:vAlign w:val="center"/>
          </w:tcPr>
          <w:p>
            <w:pPr>
              <w:spacing w:line="360" w:lineRule="auto"/>
              <w:jc w:val="center"/>
              <w:rPr>
                <w:color w:val="000000"/>
                <w:kern w:val="0"/>
                <w:szCs w:val="21"/>
              </w:rPr>
            </w:pPr>
            <w:r>
              <w:rPr>
                <w:color w:val="000000"/>
                <w:kern w:val="0"/>
                <w:szCs w:val="21"/>
              </w:rPr>
              <w:t>1870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1578" w:type="dxa"/>
            <w:vAlign w:val="center"/>
          </w:tcPr>
          <w:p>
            <w:pPr>
              <w:spacing w:line="360" w:lineRule="auto"/>
              <w:jc w:val="center"/>
              <w:rPr>
                <w:color w:val="000000"/>
                <w:kern w:val="0"/>
                <w:szCs w:val="21"/>
              </w:rPr>
            </w:pPr>
            <w:r>
              <w:rPr>
                <w:color w:val="000000"/>
                <w:kern w:val="0"/>
                <w:szCs w:val="21"/>
              </w:rPr>
              <w:t>二级</w:t>
            </w:r>
          </w:p>
        </w:tc>
        <w:tc>
          <w:tcPr>
            <w:tcW w:w="1538" w:type="dxa"/>
            <w:vAlign w:val="center"/>
          </w:tcPr>
          <w:p>
            <w:pPr>
              <w:spacing w:line="360" w:lineRule="auto"/>
              <w:jc w:val="center"/>
              <w:rPr>
                <w:color w:val="000000"/>
                <w:kern w:val="0"/>
                <w:szCs w:val="21"/>
              </w:rPr>
            </w:pPr>
            <w:r>
              <w:rPr>
                <w:color w:val="000000"/>
                <w:kern w:val="0"/>
                <w:szCs w:val="21"/>
              </w:rPr>
              <w:t>次干道</w:t>
            </w:r>
          </w:p>
        </w:tc>
        <w:tc>
          <w:tcPr>
            <w:tcW w:w="2126" w:type="dxa"/>
            <w:vAlign w:val="center"/>
          </w:tcPr>
          <w:p>
            <w:pPr>
              <w:spacing w:line="360" w:lineRule="auto"/>
              <w:jc w:val="center"/>
              <w:rPr>
                <w:color w:val="000000"/>
                <w:kern w:val="0"/>
                <w:szCs w:val="21"/>
              </w:rPr>
            </w:pPr>
            <w:r>
              <w:rPr>
                <w:color w:val="000000"/>
                <w:kern w:val="0"/>
                <w:szCs w:val="21"/>
              </w:rPr>
              <w:t>65</w:t>
            </w:r>
          </w:p>
        </w:tc>
        <w:tc>
          <w:tcPr>
            <w:tcW w:w="2127" w:type="dxa"/>
            <w:vAlign w:val="center"/>
          </w:tcPr>
          <w:p>
            <w:pPr>
              <w:spacing w:line="360" w:lineRule="auto"/>
              <w:jc w:val="center"/>
              <w:rPr>
                <w:color w:val="000000"/>
                <w:kern w:val="0"/>
                <w:szCs w:val="21"/>
              </w:rPr>
            </w:pPr>
            <w:r>
              <w:rPr>
                <w:color w:val="000000"/>
                <w:kern w:val="0"/>
                <w:szCs w:val="21"/>
              </w:rPr>
              <w:t>2401</w:t>
            </w:r>
          </w:p>
        </w:tc>
      </w:tr>
    </w:tbl>
    <w:p>
      <w:pPr>
        <w:spacing w:line="360" w:lineRule="auto"/>
        <w:ind w:firstLine="560" w:firstLineChars="200"/>
        <w:outlineLvl w:val="2"/>
        <w:rPr>
          <w:rFonts w:eastAsia="黑体"/>
          <w:sz w:val="28"/>
          <w:szCs w:val="28"/>
        </w:rPr>
      </w:pPr>
      <w:bookmarkStart w:id="368" w:name="_Toc28761"/>
      <w:r>
        <w:rPr>
          <w:rFonts w:hint="eastAsia" w:eastAsia="黑体"/>
          <w:sz w:val="28"/>
          <w:szCs w:val="28"/>
        </w:rPr>
        <w:t>九</w:t>
      </w:r>
      <w:r>
        <w:rPr>
          <w:rFonts w:eastAsia="黑体"/>
          <w:sz w:val="28"/>
          <w:szCs w:val="28"/>
        </w:rPr>
        <w:t>、综合定级因素因子分布图</w:t>
      </w:r>
      <w:bookmarkEnd w:id="353"/>
      <w:bookmarkEnd w:id="354"/>
      <w:bookmarkEnd w:id="355"/>
      <w:bookmarkEnd w:id="356"/>
      <w:bookmarkEnd w:id="368"/>
    </w:p>
    <w:p>
      <w:pPr>
        <w:spacing w:line="480" w:lineRule="exact"/>
        <w:ind w:firstLine="480" w:firstLineChars="200"/>
        <w:rPr>
          <w:sz w:val="24"/>
          <w:szCs w:val="24"/>
        </w:rPr>
      </w:pPr>
      <w:r>
        <w:rPr>
          <w:sz w:val="24"/>
          <w:szCs w:val="24"/>
        </w:rPr>
        <w:t>根据前文分析，本次综合定级中，选用了商服繁华程度、交通条件、基本设施状况、环境条件和产业聚集方面等六大指标参与定级，根据相关规划、收集的基础资料及实地踏勘情况，对相关的因素因子进行整理分析，并依据规程要求划分了不同等级。具体因素因子分布图见图2-3-</w:t>
      </w:r>
      <w:r>
        <w:rPr>
          <w:rFonts w:hint="eastAsia"/>
          <w:sz w:val="24"/>
          <w:szCs w:val="24"/>
        </w:rPr>
        <w:t>8</w:t>
      </w:r>
      <w:r>
        <w:rPr>
          <w:sz w:val="24"/>
          <w:szCs w:val="24"/>
        </w:rPr>
        <w:t>。</w:t>
      </w:r>
    </w:p>
    <w:p>
      <w:pPr>
        <w:spacing w:line="360" w:lineRule="auto"/>
        <w:jc w:val="center"/>
        <w:rPr>
          <w:kern w:val="0"/>
          <w:sz w:val="24"/>
          <w:szCs w:val="24"/>
        </w:rPr>
      </w:pPr>
      <w:r>
        <w:rPr>
          <w:rFonts w:ascii="Times New Roman" w:hAnsi="Times New Roman" w:eastAsia="宋体" w:cs="Times New Roman"/>
          <w:kern w:val="0"/>
          <w:sz w:val="24"/>
          <w:szCs w:val="24"/>
          <w:lang w:val="en-US" w:eastAsia="zh-CN" w:bidi="ar-SA"/>
        </w:rPr>
        <w:pict>
          <v:shape id="图片 31" o:spid="_x0000_s1130" type="#_x0000_t75" style="height:313pt;width:221.15pt;rotation:0f;" o:ole="f" fillcolor="#FFFFFF" filled="f" o:preferrelative="t" stroked="t" coordorigin="0,0" coordsize="21600,21600">
            <v:fill on="f" color2="#FFFFFF" focus="0%"/>
            <v:stroke weight="0.5pt" color="#000000" color2="#FFFFFF" miterlimit="2"/>
            <v:imagedata gain="65536f" blacklevel="0f" gamma="0" o:title="" r:id="rId49"/>
            <o:lock v:ext="edit" position="f" selection="f" grouping="f" rotation="f" cropping="f" text="f" aspectratio="t"/>
            <w10:wrap type="none"/>
            <w10:anchorlock/>
          </v:shape>
        </w:pict>
      </w:r>
    </w:p>
    <w:p>
      <w:pPr>
        <w:spacing w:line="360" w:lineRule="auto"/>
        <w:jc w:val="center"/>
        <w:rPr>
          <w:rFonts w:eastAsia="黑体"/>
          <w:sz w:val="28"/>
          <w:szCs w:val="28"/>
        </w:rPr>
      </w:pPr>
      <w:r>
        <w:rPr>
          <w:rFonts w:eastAsia="黑体"/>
          <w:b/>
          <w:bCs/>
          <w:sz w:val="24"/>
          <w:szCs w:val="24"/>
        </w:rPr>
        <w:t>图2-3-</w:t>
      </w:r>
      <w:r>
        <w:rPr>
          <w:rFonts w:hint="eastAsia" w:eastAsia="黑体"/>
          <w:b/>
          <w:bCs/>
          <w:sz w:val="24"/>
          <w:szCs w:val="24"/>
        </w:rPr>
        <w:t>8</w:t>
      </w:r>
      <w:r>
        <w:rPr>
          <w:rFonts w:eastAsia="黑体"/>
          <w:b/>
          <w:bCs/>
          <w:sz w:val="24"/>
          <w:szCs w:val="24"/>
        </w:rPr>
        <w:t>城区</w:t>
      </w:r>
      <w:r>
        <w:rPr>
          <w:rFonts w:hint="eastAsia" w:eastAsia="黑体"/>
          <w:b/>
          <w:bCs/>
          <w:sz w:val="24"/>
          <w:szCs w:val="24"/>
        </w:rPr>
        <w:t>商服、住宅和公共管理与公共服务用地</w:t>
      </w:r>
      <w:r>
        <w:rPr>
          <w:rFonts w:eastAsia="黑体"/>
          <w:b/>
          <w:bCs/>
          <w:sz w:val="24"/>
          <w:szCs w:val="24"/>
        </w:rPr>
        <w:t>定级因素因子分布图</w:t>
      </w:r>
      <w:bookmarkStart w:id="369" w:name="_Toc467846835"/>
      <w:bookmarkStart w:id="370" w:name="_Toc469296443"/>
      <w:bookmarkStart w:id="371" w:name="_Toc470721294"/>
      <w:bookmarkStart w:id="372" w:name="_Toc3595"/>
      <w:r>
        <w:rPr>
          <w:rFonts w:hint="eastAsia" w:ascii="Times New Roman" w:hAnsi="Times New Roman" w:eastAsia="黑体" w:cs="Times New Roman"/>
          <w:kern w:val="2"/>
          <w:sz w:val="28"/>
          <w:szCs w:val="28"/>
          <w:lang w:val="en-US" w:eastAsia="zh-CN" w:bidi="ar-SA"/>
        </w:rPr>
        <w:pict>
          <v:shape id="图片 39" o:spid="_x0000_s1131" type="#_x0000_t75" style="height:332.35pt;width:234.8pt;rotation:0f;" o:ole="f" fillcolor="#FFFFFF" filled="f" o:preferrelative="t" stroked="f" coordorigin="0,0" coordsize="21600,21600">
            <v:fill on="f" color2="#FFFFFF" focus="0%"/>
            <v:imagedata gain="65536f" blacklevel="0f" gamma="0" o:title="" r:id="rId50"/>
            <o:lock v:ext="edit" position="f" selection="f" grouping="f" rotation="f" cropping="f" text="f" aspectratio="t"/>
            <w10:wrap type="none"/>
            <w10:anchorlock/>
          </v:shape>
        </w:pict>
      </w:r>
    </w:p>
    <w:p>
      <w:pPr>
        <w:spacing w:line="360" w:lineRule="auto"/>
        <w:jc w:val="center"/>
        <w:rPr>
          <w:rFonts w:eastAsia="黑体"/>
          <w:b/>
          <w:bCs/>
          <w:sz w:val="24"/>
          <w:szCs w:val="24"/>
        </w:rPr>
      </w:pPr>
      <w:r>
        <w:rPr>
          <w:rFonts w:eastAsia="黑体"/>
          <w:b/>
          <w:bCs/>
          <w:sz w:val="24"/>
          <w:szCs w:val="24"/>
        </w:rPr>
        <w:t>图2-3-</w:t>
      </w:r>
      <w:r>
        <w:rPr>
          <w:rFonts w:hint="eastAsia" w:eastAsia="黑体"/>
          <w:b/>
          <w:bCs/>
          <w:sz w:val="24"/>
          <w:szCs w:val="24"/>
        </w:rPr>
        <w:t>9</w:t>
      </w:r>
      <w:r>
        <w:rPr>
          <w:rFonts w:eastAsia="黑体"/>
          <w:b/>
          <w:bCs/>
          <w:sz w:val="24"/>
          <w:szCs w:val="24"/>
        </w:rPr>
        <w:t>城区</w:t>
      </w:r>
      <w:r>
        <w:rPr>
          <w:rFonts w:hint="eastAsia" w:eastAsia="黑体"/>
          <w:b/>
          <w:bCs/>
          <w:sz w:val="24"/>
          <w:szCs w:val="24"/>
        </w:rPr>
        <w:t>工矿仓储用地</w:t>
      </w:r>
      <w:r>
        <w:rPr>
          <w:rFonts w:eastAsia="黑体"/>
          <w:b/>
          <w:bCs/>
          <w:sz w:val="24"/>
          <w:szCs w:val="24"/>
        </w:rPr>
        <w:t>定级因素因子分布图</w:t>
      </w:r>
    </w:p>
    <w:p>
      <w:pPr>
        <w:spacing w:line="360" w:lineRule="auto"/>
        <w:ind w:firstLine="560" w:firstLineChars="200"/>
        <w:outlineLvl w:val="2"/>
        <w:rPr>
          <w:rFonts w:eastAsia="黑体"/>
          <w:sz w:val="28"/>
          <w:szCs w:val="28"/>
        </w:rPr>
      </w:pPr>
      <w:bookmarkStart w:id="373" w:name="_Toc11458"/>
      <w:r>
        <w:rPr>
          <w:rFonts w:hint="eastAsia" w:eastAsia="黑体"/>
          <w:sz w:val="28"/>
          <w:szCs w:val="28"/>
        </w:rPr>
        <w:t>十</w:t>
      </w:r>
      <w:r>
        <w:rPr>
          <w:rFonts w:eastAsia="黑体"/>
          <w:sz w:val="28"/>
          <w:szCs w:val="28"/>
        </w:rPr>
        <w:t>、定级单元因素分值计算</w:t>
      </w:r>
      <w:bookmarkEnd w:id="344"/>
      <w:bookmarkEnd w:id="345"/>
      <w:bookmarkEnd w:id="369"/>
      <w:bookmarkEnd w:id="370"/>
      <w:bookmarkEnd w:id="371"/>
      <w:bookmarkEnd w:id="372"/>
      <w:bookmarkEnd w:id="373"/>
    </w:p>
    <w:p>
      <w:pPr>
        <w:spacing w:line="360" w:lineRule="auto"/>
        <w:ind w:firstLine="482" w:firstLineChars="200"/>
        <w:jc w:val="left"/>
        <w:textAlignment w:val="baseline"/>
        <w:rPr>
          <w:b/>
          <w:bCs/>
          <w:sz w:val="24"/>
          <w:szCs w:val="24"/>
          <w:lang w:val="zh-CN"/>
        </w:rPr>
      </w:pPr>
      <w:bookmarkStart w:id="374" w:name="_Toc270766164"/>
      <w:bookmarkStart w:id="375" w:name="_Toc270349488"/>
      <w:bookmarkStart w:id="376" w:name="_Toc272656747"/>
      <w:bookmarkStart w:id="377" w:name="_Toc270349150"/>
      <w:bookmarkStart w:id="378" w:name="_Toc275347117"/>
      <w:r>
        <w:rPr>
          <w:b/>
          <w:bCs/>
          <w:sz w:val="24"/>
          <w:szCs w:val="24"/>
          <w:lang w:val="zh-CN"/>
        </w:rPr>
        <w:t>1、土地定级单元的划分</w:t>
      </w:r>
      <w:bookmarkEnd w:id="374"/>
      <w:bookmarkEnd w:id="375"/>
      <w:bookmarkEnd w:id="376"/>
      <w:bookmarkEnd w:id="377"/>
      <w:bookmarkEnd w:id="378"/>
    </w:p>
    <w:p>
      <w:pPr>
        <w:spacing w:line="480" w:lineRule="exact"/>
        <w:ind w:firstLine="480" w:firstLineChars="200"/>
        <w:rPr>
          <w:sz w:val="24"/>
          <w:szCs w:val="24"/>
        </w:rPr>
      </w:pPr>
      <w:r>
        <w:rPr>
          <w:sz w:val="24"/>
          <w:szCs w:val="24"/>
        </w:rPr>
        <w:t>定级单元是评定土地级别的基本空间单位，其内部土地特性和区位条件应基本一致。单元划分的方法通常有主导因素判定法、叠置法、动态网格法、网格法等。本次土地定级以计算机系统为辅助手段，应用网格法在系统内直接生成定级单元，网格大小为50米×50米。</w:t>
      </w:r>
    </w:p>
    <w:p>
      <w:pPr>
        <w:spacing w:line="360" w:lineRule="auto"/>
        <w:ind w:firstLine="482" w:firstLineChars="200"/>
        <w:jc w:val="left"/>
        <w:textAlignment w:val="baseline"/>
        <w:rPr>
          <w:b/>
          <w:bCs/>
          <w:sz w:val="24"/>
          <w:szCs w:val="24"/>
          <w:lang w:val="zh-CN"/>
        </w:rPr>
      </w:pPr>
      <w:bookmarkStart w:id="379" w:name="_Toc272656748"/>
      <w:bookmarkStart w:id="380" w:name="_Toc270349151"/>
      <w:bookmarkStart w:id="381" w:name="_Toc275347118"/>
      <w:bookmarkStart w:id="382" w:name="_Toc270349489"/>
      <w:bookmarkStart w:id="383" w:name="_Toc270766165"/>
      <w:r>
        <w:rPr>
          <w:b/>
          <w:bCs/>
          <w:sz w:val="24"/>
          <w:szCs w:val="24"/>
          <w:lang w:val="zh-CN"/>
        </w:rPr>
        <w:t>2、定级单元因素分值计算</w:t>
      </w:r>
      <w:bookmarkEnd w:id="379"/>
      <w:bookmarkEnd w:id="380"/>
      <w:bookmarkEnd w:id="381"/>
      <w:bookmarkEnd w:id="382"/>
      <w:bookmarkEnd w:id="383"/>
    </w:p>
    <w:p>
      <w:pPr>
        <w:spacing w:line="360" w:lineRule="auto"/>
        <w:ind w:firstLine="482" w:firstLineChars="200"/>
        <w:rPr>
          <w:b/>
          <w:sz w:val="24"/>
          <w:szCs w:val="24"/>
        </w:rPr>
      </w:pPr>
      <w:r>
        <w:rPr>
          <w:b/>
          <w:sz w:val="24"/>
          <w:szCs w:val="24"/>
        </w:rPr>
        <w:t>（1）定级因素因子类型</w:t>
      </w:r>
    </w:p>
    <w:p>
      <w:pPr>
        <w:spacing w:line="480" w:lineRule="exact"/>
        <w:ind w:firstLine="480" w:firstLineChars="200"/>
        <w:rPr>
          <w:sz w:val="24"/>
          <w:szCs w:val="24"/>
        </w:rPr>
      </w:pPr>
      <w:r>
        <w:rPr>
          <w:sz w:val="24"/>
          <w:szCs w:val="24"/>
        </w:rPr>
        <w:t>根据因素在城市中的空间分布形态及其影响土地质量的方式，可将定级因素可分为面状因素和点、线状因素两大类。</w:t>
      </w:r>
    </w:p>
    <w:p>
      <w:pPr>
        <w:spacing w:line="480" w:lineRule="exact"/>
        <w:ind w:firstLine="480" w:firstLineChars="200"/>
        <w:rPr>
          <w:sz w:val="24"/>
          <w:szCs w:val="24"/>
        </w:rPr>
      </w:pPr>
      <w:r>
        <w:rPr>
          <w:sz w:val="24"/>
          <w:szCs w:val="24"/>
        </w:rPr>
        <w:t>若因素对土地质量的影响仅与因素指标值有关，称之为面状因素。面状因素有两个主要特征：一是它所依附的客体在城市中分布的面积较大；二是这类因素仅对其自身客体所在位置产生影响，对周围的地块基本无外溢影响。面状因素按分布区域直接计算其对空间上各点的作用分。</w:t>
      </w:r>
    </w:p>
    <w:p>
      <w:pPr>
        <w:spacing w:line="480" w:lineRule="exact"/>
        <w:ind w:firstLine="480" w:firstLineChars="200"/>
        <w:rPr>
          <w:sz w:val="24"/>
          <w:szCs w:val="24"/>
        </w:rPr>
      </w:pPr>
      <w:r>
        <w:rPr>
          <w:sz w:val="24"/>
          <w:szCs w:val="24"/>
        </w:rPr>
        <w:t>若因素对土地质量的影响既与因素涉及的设施规模有关，又与距设施的相对距离有关，称之为点、线状因素。点、线状因素也有两个主要特征：一是它所依附的客体在城市占地面积小，在空间分布上集聚现象明显；二是这类因素不仅对其自身客体所在位置产生影响，而且还对周围的地块甚至整个城镇土地均产生不同的影响。点、线状因素的作用分值的计算方法是：设施边界范围内各点的因素作用分一致，都为该设施相应功能的功能分；边界范围以外的各点，根据不同因素及其影响随距离变化的特性不同，以因素的功能分按指数或线性规律衰减。指数衰减模型、线性衰减模型和相对距离的计算公式分别为：</w:t>
      </w:r>
    </w:p>
    <w:p>
      <w:pPr>
        <w:spacing w:line="360" w:lineRule="auto"/>
        <w:ind w:firstLine="480" w:firstLineChars="200"/>
        <w:rPr>
          <w:bCs/>
          <w:sz w:val="24"/>
          <w:vertAlign w:val="superscript"/>
        </w:rPr>
      </w:pPr>
      <w:r>
        <w:rPr>
          <w:bCs/>
          <w:sz w:val="24"/>
        </w:rPr>
        <w:t>指数模型：f</w:t>
      </w:r>
      <w:r>
        <w:rPr>
          <w:bCs/>
          <w:sz w:val="24"/>
          <w:vertAlign w:val="subscript"/>
        </w:rPr>
        <w:t>ij</w:t>
      </w:r>
      <w:r>
        <w:rPr>
          <w:bCs/>
          <w:sz w:val="24"/>
        </w:rPr>
        <w:t>=F</w:t>
      </w:r>
      <w:r>
        <w:rPr>
          <w:bCs/>
          <w:sz w:val="24"/>
          <w:vertAlign w:val="subscript"/>
        </w:rPr>
        <w:t>i</w:t>
      </w:r>
      <w:r>
        <w:rPr>
          <w:bCs/>
          <w:sz w:val="24"/>
          <w:vertAlign w:val="superscript"/>
        </w:rPr>
        <w:t>（1-r）</w:t>
      </w:r>
    </w:p>
    <w:p>
      <w:pPr>
        <w:spacing w:line="360" w:lineRule="auto"/>
        <w:ind w:firstLine="480" w:firstLineChars="200"/>
        <w:rPr>
          <w:bCs/>
          <w:sz w:val="24"/>
        </w:rPr>
      </w:pPr>
      <w:r>
        <w:rPr>
          <w:bCs/>
          <w:sz w:val="24"/>
        </w:rPr>
        <w:t>线性模型：F</w:t>
      </w:r>
      <w:r>
        <w:rPr>
          <w:bCs/>
          <w:sz w:val="24"/>
          <w:vertAlign w:val="subscript"/>
        </w:rPr>
        <w:t>ij</w:t>
      </w:r>
      <w:r>
        <w:rPr>
          <w:bCs/>
          <w:sz w:val="24"/>
        </w:rPr>
        <w:t>=F</w:t>
      </w:r>
      <w:r>
        <w:rPr>
          <w:bCs/>
          <w:sz w:val="24"/>
          <w:vertAlign w:val="subscript"/>
        </w:rPr>
        <w:t>i</w:t>
      </w:r>
      <w:r>
        <w:rPr>
          <w:bCs/>
          <w:sz w:val="24"/>
        </w:rPr>
        <w:t xml:space="preserve">×（1-r）  </w:t>
      </w:r>
    </w:p>
    <w:p>
      <w:pPr>
        <w:spacing w:line="360" w:lineRule="auto"/>
        <w:ind w:firstLine="480" w:firstLineChars="200"/>
        <w:rPr>
          <w:bCs/>
          <w:sz w:val="24"/>
        </w:rPr>
      </w:pPr>
      <w:r>
        <w:rPr>
          <w:bCs/>
          <w:sz w:val="24"/>
        </w:rPr>
        <w:t>上二式中：f</w:t>
      </w:r>
      <w:r>
        <w:rPr>
          <w:bCs/>
          <w:sz w:val="24"/>
          <w:vertAlign w:val="subscript"/>
        </w:rPr>
        <w:t>ij</w:t>
      </w:r>
      <w:r>
        <w:rPr>
          <w:bCs/>
          <w:sz w:val="24"/>
        </w:rPr>
        <w:t>——i定级因素因子对j单元的作用分值；F——i定级因素因子的功能分；r——i定级因素因子与j单元的相对距离。</w:t>
      </w:r>
    </w:p>
    <w:p>
      <w:pPr>
        <w:spacing w:line="360" w:lineRule="auto"/>
        <w:ind w:firstLine="480" w:firstLineChars="200"/>
        <w:rPr>
          <w:bCs/>
          <w:sz w:val="24"/>
        </w:rPr>
      </w:pPr>
      <w:r>
        <w:rPr>
          <w:bCs/>
          <w:sz w:val="24"/>
        </w:rPr>
        <w:t>其中，相对距离可用下式计算：</w:t>
      </w:r>
    </w:p>
    <w:p>
      <w:pPr>
        <w:spacing w:line="360" w:lineRule="auto"/>
        <w:ind w:firstLine="480" w:firstLineChars="200"/>
        <w:jc w:val="center"/>
        <w:rPr>
          <w:bCs/>
          <w:sz w:val="24"/>
        </w:rPr>
      </w:pPr>
      <w:r>
        <w:rPr>
          <w:bCs/>
          <w:sz w:val="24"/>
        </w:rPr>
        <w:t>r=d</w:t>
      </w:r>
      <w:r>
        <w:rPr>
          <w:bCs/>
          <w:sz w:val="24"/>
          <w:vertAlign w:val="subscript"/>
        </w:rPr>
        <w:t>i</w:t>
      </w:r>
      <w:r>
        <w:rPr>
          <w:bCs/>
          <w:sz w:val="24"/>
        </w:rPr>
        <w:t>/d  （0≤r≤1）</w:t>
      </w:r>
    </w:p>
    <w:p>
      <w:pPr>
        <w:spacing w:line="480" w:lineRule="exact"/>
        <w:ind w:firstLine="480" w:firstLineChars="200"/>
        <w:rPr>
          <w:sz w:val="24"/>
          <w:szCs w:val="24"/>
        </w:rPr>
      </w:pPr>
      <w:r>
        <w:rPr>
          <w:sz w:val="24"/>
          <w:szCs w:val="24"/>
        </w:rPr>
        <w:t>式中：di——某单元距i定级因素因子的实际距离；d——i定级因素因子的服务半径或影响距离。</w:t>
      </w:r>
    </w:p>
    <w:p>
      <w:pPr>
        <w:spacing w:line="360" w:lineRule="auto"/>
        <w:ind w:firstLine="482" w:firstLineChars="200"/>
        <w:rPr>
          <w:b/>
          <w:sz w:val="24"/>
          <w:szCs w:val="24"/>
        </w:rPr>
      </w:pPr>
      <w:r>
        <w:rPr>
          <w:b/>
          <w:sz w:val="24"/>
          <w:szCs w:val="24"/>
        </w:rPr>
        <w:t>（2）定级因素因子计算模型的确定</w:t>
      </w:r>
    </w:p>
    <w:p>
      <w:pPr>
        <w:spacing w:line="480" w:lineRule="exact"/>
        <w:ind w:firstLine="480" w:firstLineChars="200"/>
        <w:rPr>
          <w:sz w:val="24"/>
          <w:szCs w:val="24"/>
        </w:rPr>
      </w:pPr>
      <w:r>
        <w:rPr>
          <w:sz w:val="24"/>
          <w:szCs w:val="24"/>
        </w:rPr>
        <w:t>根据各定级因素因子的特点及其对各类用地的影响方式，在《土地定级与基准地价动态更新系统》软件中，分别确定各因素因子在各类定级中的计算模型，结果见表2-3-</w:t>
      </w:r>
      <w:r>
        <w:rPr>
          <w:rFonts w:hint="eastAsia"/>
          <w:sz w:val="24"/>
          <w:szCs w:val="24"/>
        </w:rPr>
        <w:t>20</w:t>
      </w:r>
      <w:r>
        <w:rPr>
          <w:sz w:val="24"/>
          <w:szCs w:val="24"/>
        </w:rPr>
        <w:t>。</w:t>
      </w:r>
    </w:p>
    <w:p>
      <w:pPr>
        <w:spacing w:line="360" w:lineRule="auto"/>
        <w:ind w:firstLine="482" w:firstLineChars="200"/>
        <w:rPr>
          <w:b/>
          <w:sz w:val="24"/>
          <w:szCs w:val="24"/>
        </w:rPr>
      </w:pPr>
      <w:r>
        <w:rPr>
          <w:b/>
          <w:sz w:val="24"/>
          <w:szCs w:val="24"/>
        </w:rPr>
        <w:t>3、障碍物影响处理</w:t>
      </w:r>
    </w:p>
    <w:p>
      <w:pPr>
        <w:spacing w:line="480" w:lineRule="exact"/>
        <w:ind w:firstLine="480" w:firstLineChars="200"/>
        <w:rPr>
          <w:sz w:val="24"/>
          <w:szCs w:val="24"/>
        </w:rPr>
      </w:pPr>
      <w:r>
        <w:rPr>
          <w:sz w:val="24"/>
          <w:szCs w:val="24"/>
        </w:rPr>
        <w:t>在定级区域内，湖泊、河流、铁路等障碍物的存在，使得定级因素与定级单元之间的可通达性受到阻隔，定级因素只能通过某一通道对其他区域发生作用。</w:t>
      </w:r>
    </w:p>
    <w:p>
      <w:pPr>
        <w:spacing w:line="480" w:lineRule="exact"/>
        <w:ind w:firstLine="480" w:firstLineChars="200"/>
        <w:rPr>
          <w:sz w:val="24"/>
          <w:szCs w:val="24"/>
        </w:rPr>
      </w:pPr>
      <w:r>
        <w:rPr>
          <w:sz w:val="24"/>
          <w:szCs w:val="24"/>
        </w:rPr>
        <w:t>长沙县城区受浏阳河、捞刀河等障碍物的阻碍定级因素对这些障碍物外的定级单元的影响不能跨越障碍物，而需通过障碍物上的通行点。将河流设置为障碍物，并在河流上的桥梁、铁路线上的通道处设立通行点，分值计算由系统软件自动完成。</w:t>
      </w:r>
    </w:p>
    <w:p>
      <w:pPr>
        <w:spacing w:line="360" w:lineRule="auto"/>
        <w:jc w:val="center"/>
        <w:rPr>
          <w:rFonts w:eastAsia="黑体"/>
          <w:b/>
          <w:sz w:val="24"/>
          <w:szCs w:val="24"/>
        </w:rPr>
      </w:pPr>
      <w:r>
        <w:rPr>
          <w:rFonts w:eastAsia="黑体"/>
          <w:b/>
          <w:sz w:val="24"/>
          <w:szCs w:val="24"/>
        </w:rPr>
        <w:br w:type="page"/>
      </w:r>
    </w:p>
    <w:p>
      <w:pPr>
        <w:spacing w:line="360" w:lineRule="auto"/>
        <w:jc w:val="center"/>
        <w:rPr>
          <w:rFonts w:eastAsia="黑体"/>
          <w:b/>
          <w:spacing w:val="-6"/>
          <w:sz w:val="24"/>
          <w:szCs w:val="24"/>
        </w:rPr>
      </w:pPr>
      <w:r>
        <w:rPr>
          <w:rFonts w:eastAsia="黑体"/>
          <w:b/>
          <w:spacing w:val="-6"/>
          <w:sz w:val="24"/>
          <w:szCs w:val="24"/>
        </w:rPr>
        <w:t>表2-3-</w:t>
      </w:r>
      <w:r>
        <w:rPr>
          <w:rFonts w:hint="eastAsia" w:eastAsia="黑体"/>
          <w:b/>
          <w:spacing w:val="-6"/>
          <w:sz w:val="24"/>
          <w:szCs w:val="24"/>
        </w:rPr>
        <w:t>20</w:t>
      </w:r>
      <w:r>
        <w:rPr>
          <w:rFonts w:eastAsia="黑体"/>
          <w:b/>
          <w:spacing w:val="-6"/>
          <w:sz w:val="24"/>
          <w:szCs w:val="24"/>
        </w:rPr>
        <w:t xml:space="preserve"> </w:t>
      </w:r>
      <w:r>
        <w:rPr>
          <w:rFonts w:hint="eastAsia" w:eastAsia="黑体"/>
          <w:b/>
          <w:spacing w:val="-6"/>
          <w:sz w:val="24"/>
          <w:szCs w:val="24"/>
        </w:rPr>
        <w:t>城区商服、住宅和公共管理与公共服务用地土地</w:t>
      </w:r>
      <w:r>
        <w:rPr>
          <w:rFonts w:eastAsia="黑体"/>
          <w:b/>
          <w:spacing w:val="-6"/>
          <w:sz w:val="24"/>
          <w:szCs w:val="24"/>
        </w:rPr>
        <w:t>定级因素因子算法模型表</w:t>
      </w:r>
    </w:p>
    <w:tbl>
      <w:tblP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b/>
                <w:bCs/>
                <w:color w:val="000000"/>
                <w:kern w:val="0"/>
                <w:szCs w:val="21"/>
              </w:rPr>
            </w:pPr>
            <w:r>
              <w:rPr>
                <w:b/>
                <w:bCs/>
                <w:color w:val="000000"/>
                <w:kern w:val="0"/>
                <w:szCs w:val="21"/>
              </w:rPr>
              <w:t>因子名称</w:t>
            </w:r>
          </w:p>
        </w:tc>
        <w:tc>
          <w:tcPr>
            <w:tcW w:w="2841" w:type="dxa"/>
            <w:vAlign w:val="center"/>
          </w:tcPr>
          <w:p>
            <w:pPr>
              <w:jc w:val="center"/>
              <w:rPr>
                <w:b/>
                <w:bCs/>
                <w:color w:val="000000"/>
                <w:kern w:val="0"/>
                <w:szCs w:val="21"/>
              </w:rPr>
            </w:pPr>
            <w:r>
              <w:rPr>
                <w:b/>
                <w:bCs/>
                <w:color w:val="000000"/>
                <w:kern w:val="0"/>
                <w:szCs w:val="21"/>
              </w:rPr>
              <w:t>算法模型</w:t>
            </w:r>
          </w:p>
        </w:tc>
        <w:tc>
          <w:tcPr>
            <w:tcW w:w="2841" w:type="dxa"/>
            <w:vAlign w:val="center"/>
          </w:tcPr>
          <w:p>
            <w:pPr>
              <w:jc w:val="center"/>
              <w:rPr>
                <w:b/>
                <w:bCs/>
                <w:color w:val="000000"/>
                <w:kern w:val="0"/>
                <w:szCs w:val="21"/>
              </w:rPr>
            </w:pPr>
            <w:r>
              <w:rPr>
                <w:b/>
                <w:bCs/>
                <w:color w:val="000000"/>
                <w:kern w:val="0"/>
                <w:szCs w:val="21"/>
              </w:rPr>
              <w:t>衰减模型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color w:val="000000"/>
                <w:kern w:val="0"/>
                <w:szCs w:val="21"/>
              </w:rPr>
              <w:t>商服繁华度</w:t>
            </w:r>
          </w:p>
        </w:tc>
        <w:tc>
          <w:tcPr>
            <w:tcW w:w="2841" w:type="dxa"/>
            <w:vAlign w:val="center"/>
          </w:tcPr>
          <w:p>
            <w:pPr>
              <w:jc w:val="center"/>
              <w:rPr>
                <w:color w:val="000000"/>
                <w:kern w:val="0"/>
                <w:szCs w:val="21"/>
              </w:rPr>
            </w:pPr>
            <w:r>
              <w:rPr>
                <w:color w:val="000000"/>
                <w:kern w:val="0"/>
                <w:szCs w:val="21"/>
              </w:rPr>
              <w:t>商服繁华度计算</w:t>
            </w:r>
          </w:p>
        </w:tc>
        <w:tc>
          <w:tcPr>
            <w:tcW w:w="2841" w:type="dxa"/>
            <w:vAlign w:val="center"/>
          </w:tcPr>
          <w:p>
            <w:pPr>
              <w:jc w:val="center"/>
              <w:rPr>
                <w:color w:val="000000"/>
                <w:kern w:val="0"/>
                <w:szCs w:val="21"/>
              </w:rPr>
            </w:pPr>
            <w:r>
              <w:rPr>
                <w:color w:val="000000"/>
                <w:kern w:val="0"/>
                <w:szCs w:val="21"/>
              </w:rPr>
              <w:t>指数模型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color w:val="000000"/>
                <w:kern w:val="0"/>
                <w:szCs w:val="21"/>
              </w:rPr>
              <w:t>道路通达度</w:t>
            </w:r>
          </w:p>
        </w:tc>
        <w:tc>
          <w:tcPr>
            <w:tcW w:w="2841" w:type="dxa"/>
            <w:vAlign w:val="center"/>
          </w:tcPr>
          <w:p>
            <w:pPr>
              <w:jc w:val="center"/>
              <w:rPr>
                <w:color w:val="000000"/>
                <w:kern w:val="0"/>
                <w:szCs w:val="21"/>
              </w:rPr>
            </w:pPr>
            <w:r>
              <w:rPr>
                <w:color w:val="000000"/>
                <w:kern w:val="0"/>
                <w:szCs w:val="21"/>
              </w:rPr>
              <w:t>道路通达度计算</w:t>
            </w:r>
          </w:p>
        </w:tc>
        <w:tc>
          <w:tcPr>
            <w:tcW w:w="2841" w:type="dxa"/>
            <w:vAlign w:val="center"/>
          </w:tcPr>
          <w:p>
            <w:pPr>
              <w:jc w:val="center"/>
              <w:rPr>
                <w:color w:val="000000"/>
                <w:kern w:val="0"/>
                <w:szCs w:val="21"/>
              </w:rPr>
            </w:pPr>
            <w:r>
              <w:rPr>
                <w:color w:val="000000"/>
                <w:kern w:val="0"/>
                <w:szCs w:val="21"/>
              </w:rPr>
              <w:t>指数模型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color w:val="000000"/>
                <w:kern w:val="0"/>
                <w:szCs w:val="21"/>
              </w:rPr>
              <w:t>公交便捷度</w:t>
            </w:r>
          </w:p>
        </w:tc>
        <w:tc>
          <w:tcPr>
            <w:tcW w:w="2841" w:type="dxa"/>
            <w:vAlign w:val="center"/>
          </w:tcPr>
          <w:p>
            <w:pPr>
              <w:jc w:val="center"/>
              <w:rPr>
                <w:color w:val="000000"/>
                <w:kern w:val="0"/>
                <w:szCs w:val="21"/>
              </w:rPr>
            </w:pPr>
            <w:r>
              <w:rPr>
                <w:color w:val="000000"/>
                <w:kern w:val="0"/>
                <w:szCs w:val="21"/>
              </w:rPr>
              <w:t>公交便捷度计算</w:t>
            </w:r>
          </w:p>
        </w:tc>
        <w:tc>
          <w:tcPr>
            <w:tcW w:w="2841" w:type="dxa"/>
            <w:vAlign w:val="center"/>
          </w:tcPr>
          <w:p>
            <w:pPr>
              <w:jc w:val="center"/>
              <w:rPr>
                <w:color w:val="000000"/>
                <w:kern w:val="0"/>
                <w:szCs w:val="21"/>
              </w:rPr>
            </w:pPr>
            <w:r>
              <w:rPr>
                <w:color w:val="000000"/>
                <w:kern w:val="0"/>
                <w:szCs w:val="21"/>
              </w:rPr>
              <w:t>线性模型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color w:val="000000"/>
                <w:kern w:val="0"/>
                <w:szCs w:val="21"/>
              </w:rPr>
              <w:t>汽车站</w:t>
            </w:r>
          </w:p>
        </w:tc>
        <w:tc>
          <w:tcPr>
            <w:tcW w:w="2841" w:type="dxa"/>
            <w:vAlign w:val="center"/>
          </w:tcPr>
          <w:p>
            <w:pPr>
              <w:jc w:val="center"/>
              <w:rPr>
                <w:color w:val="000000"/>
                <w:kern w:val="0"/>
                <w:szCs w:val="21"/>
              </w:rPr>
            </w:pPr>
            <w:r>
              <w:rPr>
                <w:color w:val="000000"/>
                <w:kern w:val="0"/>
                <w:szCs w:val="21"/>
              </w:rPr>
              <w:t>点、线、面扩散</w:t>
            </w:r>
          </w:p>
        </w:tc>
        <w:tc>
          <w:tcPr>
            <w:tcW w:w="2841" w:type="dxa"/>
            <w:vAlign w:val="center"/>
          </w:tcPr>
          <w:p>
            <w:pPr>
              <w:jc w:val="center"/>
              <w:rPr>
                <w:color w:val="000000"/>
                <w:kern w:val="0"/>
                <w:szCs w:val="21"/>
              </w:rPr>
            </w:pPr>
            <w:r>
              <w:rPr>
                <w:color w:val="000000"/>
                <w:kern w:val="0"/>
                <w:szCs w:val="21"/>
              </w:rPr>
              <w:t>线性模型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tabs>
                <w:tab w:val="center" w:pos="1312"/>
              </w:tabs>
              <w:jc w:val="center"/>
              <w:rPr>
                <w:color w:val="000000"/>
                <w:kern w:val="0"/>
                <w:szCs w:val="21"/>
              </w:rPr>
            </w:pPr>
            <w:r>
              <w:rPr>
                <w:rFonts w:hint="eastAsia"/>
                <w:color w:val="000000"/>
                <w:kern w:val="0"/>
                <w:szCs w:val="21"/>
              </w:rPr>
              <w:t>火车站</w:t>
            </w:r>
          </w:p>
        </w:tc>
        <w:tc>
          <w:tcPr>
            <w:tcW w:w="2841" w:type="dxa"/>
            <w:vAlign w:val="center"/>
          </w:tcPr>
          <w:p>
            <w:pPr>
              <w:jc w:val="center"/>
              <w:rPr>
                <w:color w:val="000000"/>
                <w:kern w:val="0"/>
                <w:szCs w:val="21"/>
              </w:rPr>
            </w:pPr>
            <w:r>
              <w:rPr>
                <w:color w:val="000000"/>
                <w:kern w:val="0"/>
                <w:szCs w:val="21"/>
              </w:rPr>
              <w:t>点、线、面扩散</w:t>
            </w:r>
          </w:p>
        </w:tc>
        <w:tc>
          <w:tcPr>
            <w:tcW w:w="2841" w:type="dxa"/>
            <w:vAlign w:val="center"/>
          </w:tcPr>
          <w:p>
            <w:pPr>
              <w:jc w:val="center"/>
              <w:rPr>
                <w:color w:val="000000"/>
                <w:kern w:val="0"/>
                <w:szCs w:val="21"/>
              </w:rPr>
            </w:pPr>
            <w:r>
              <w:rPr>
                <w:color w:val="000000"/>
                <w:kern w:val="0"/>
                <w:szCs w:val="21"/>
              </w:rPr>
              <w:t>线性模型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color w:val="000000"/>
                <w:kern w:val="0"/>
                <w:szCs w:val="21"/>
              </w:rPr>
              <w:t>供电</w:t>
            </w:r>
          </w:p>
        </w:tc>
        <w:tc>
          <w:tcPr>
            <w:tcW w:w="2841" w:type="dxa"/>
            <w:vAlign w:val="center"/>
          </w:tcPr>
          <w:p>
            <w:pPr>
              <w:jc w:val="center"/>
              <w:rPr>
                <w:color w:val="000000"/>
                <w:kern w:val="0"/>
                <w:szCs w:val="21"/>
              </w:rPr>
            </w:pPr>
            <w:r>
              <w:rPr>
                <w:color w:val="000000"/>
                <w:kern w:val="0"/>
                <w:szCs w:val="21"/>
              </w:rPr>
              <w:t>纯多边形</w:t>
            </w:r>
          </w:p>
        </w:tc>
        <w:tc>
          <w:tcPr>
            <w:tcW w:w="2841" w:type="dxa"/>
            <w:vAlign w:val="center"/>
          </w:tcPr>
          <w:p>
            <w:pPr>
              <w:jc w:val="center"/>
              <w:rPr>
                <w:color w:val="000000"/>
                <w:kern w:val="0"/>
                <w:szCs w:val="21"/>
              </w:rPr>
            </w:pPr>
            <w:r>
              <w:rPr>
                <w:color w:val="000000"/>
                <w:kern w:val="0"/>
                <w:szCs w:val="21"/>
              </w:rPr>
              <w:t>无衰减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color w:val="000000"/>
                <w:kern w:val="0"/>
                <w:szCs w:val="21"/>
              </w:rPr>
              <w:t>供水</w:t>
            </w:r>
          </w:p>
        </w:tc>
        <w:tc>
          <w:tcPr>
            <w:tcW w:w="2841" w:type="dxa"/>
            <w:vAlign w:val="center"/>
          </w:tcPr>
          <w:p>
            <w:pPr>
              <w:jc w:val="center"/>
              <w:rPr>
                <w:color w:val="000000"/>
                <w:kern w:val="0"/>
                <w:szCs w:val="21"/>
              </w:rPr>
            </w:pPr>
            <w:r>
              <w:rPr>
                <w:color w:val="000000"/>
                <w:kern w:val="0"/>
                <w:szCs w:val="21"/>
              </w:rPr>
              <w:t>纯多边形</w:t>
            </w:r>
          </w:p>
        </w:tc>
        <w:tc>
          <w:tcPr>
            <w:tcW w:w="2841" w:type="dxa"/>
            <w:vAlign w:val="center"/>
          </w:tcPr>
          <w:p>
            <w:pPr>
              <w:jc w:val="center"/>
              <w:rPr>
                <w:color w:val="000000"/>
                <w:kern w:val="0"/>
                <w:szCs w:val="21"/>
              </w:rPr>
            </w:pPr>
            <w:r>
              <w:rPr>
                <w:color w:val="000000"/>
                <w:kern w:val="0"/>
                <w:szCs w:val="21"/>
              </w:rPr>
              <w:t>无衰减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rFonts w:hint="eastAsia"/>
                <w:color w:val="000000"/>
                <w:kern w:val="0"/>
                <w:szCs w:val="21"/>
              </w:rPr>
              <w:t>通讯</w:t>
            </w:r>
          </w:p>
        </w:tc>
        <w:tc>
          <w:tcPr>
            <w:tcW w:w="2841" w:type="dxa"/>
            <w:vAlign w:val="center"/>
          </w:tcPr>
          <w:p>
            <w:pPr>
              <w:jc w:val="center"/>
              <w:rPr>
                <w:color w:val="000000"/>
                <w:kern w:val="0"/>
                <w:szCs w:val="21"/>
              </w:rPr>
            </w:pPr>
            <w:r>
              <w:rPr>
                <w:color w:val="000000"/>
                <w:kern w:val="0"/>
                <w:szCs w:val="21"/>
              </w:rPr>
              <w:t>纯多边形</w:t>
            </w:r>
          </w:p>
        </w:tc>
        <w:tc>
          <w:tcPr>
            <w:tcW w:w="2841" w:type="dxa"/>
            <w:vAlign w:val="center"/>
          </w:tcPr>
          <w:p>
            <w:pPr>
              <w:jc w:val="center"/>
              <w:rPr>
                <w:color w:val="000000"/>
                <w:kern w:val="0"/>
                <w:szCs w:val="21"/>
              </w:rPr>
            </w:pPr>
            <w:r>
              <w:rPr>
                <w:color w:val="000000"/>
                <w:kern w:val="0"/>
                <w:szCs w:val="21"/>
              </w:rPr>
              <w:t>无衰减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color w:val="000000"/>
                <w:kern w:val="0"/>
                <w:szCs w:val="21"/>
              </w:rPr>
              <w:t>排水</w:t>
            </w:r>
          </w:p>
        </w:tc>
        <w:tc>
          <w:tcPr>
            <w:tcW w:w="2841" w:type="dxa"/>
            <w:vAlign w:val="center"/>
          </w:tcPr>
          <w:p>
            <w:pPr>
              <w:jc w:val="center"/>
              <w:rPr>
                <w:color w:val="000000"/>
                <w:kern w:val="0"/>
                <w:szCs w:val="21"/>
              </w:rPr>
            </w:pPr>
            <w:r>
              <w:rPr>
                <w:color w:val="000000"/>
                <w:kern w:val="0"/>
                <w:szCs w:val="21"/>
              </w:rPr>
              <w:t>纯多边形</w:t>
            </w:r>
          </w:p>
        </w:tc>
        <w:tc>
          <w:tcPr>
            <w:tcW w:w="2841" w:type="dxa"/>
            <w:vAlign w:val="center"/>
          </w:tcPr>
          <w:p>
            <w:pPr>
              <w:jc w:val="center"/>
              <w:rPr>
                <w:color w:val="000000"/>
                <w:kern w:val="0"/>
                <w:szCs w:val="21"/>
              </w:rPr>
            </w:pPr>
            <w:r>
              <w:rPr>
                <w:color w:val="000000"/>
                <w:kern w:val="0"/>
                <w:szCs w:val="21"/>
              </w:rPr>
              <w:t>无衰减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rFonts w:hint="eastAsia"/>
                <w:color w:val="000000"/>
                <w:kern w:val="0"/>
                <w:szCs w:val="21"/>
              </w:rPr>
              <w:t>学校</w:t>
            </w:r>
          </w:p>
        </w:tc>
        <w:tc>
          <w:tcPr>
            <w:tcW w:w="2841" w:type="dxa"/>
            <w:vAlign w:val="center"/>
          </w:tcPr>
          <w:p>
            <w:pPr>
              <w:jc w:val="center"/>
              <w:rPr>
                <w:color w:val="000000"/>
                <w:kern w:val="0"/>
                <w:szCs w:val="21"/>
              </w:rPr>
            </w:pPr>
            <w:r>
              <w:rPr>
                <w:color w:val="000000"/>
                <w:kern w:val="0"/>
                <w:szCs w:val="21"/>
              </w:rPr>
              <w:t>点、线、面扩散</w:t>
            </w:r>
          </w:p>
        </w:tc>
        <w:tc>
          <w:tcPr>
            <w:tcW w:w="2841" w:type="dxa"/>
            <w:vAlign w:val="center"/>
          </w:tcPr>
          <w:p>
            <w:pPr>
              <w:jc w:val="center"/>
              <w:rPr>
                <w:color w:val="000000"/>
                <w:kern w:val="0"/>
                <w:szCs w:val="21"/>
              </w:rPr>
            </w:pPr>
            <w:r>
              <w:rPr>
                <w:color w:val="000000"/>
                <w:kern w:val="0"/>
                <w:szCs w:val="21"/>
              </w:rPr>
              <w:t>线性模型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color w:val="000000"/>
                <w:kern w:val="0"/>
                <w:szCs w:val="21"/>
              </w:rPr>
              <w:t>医院</w:t>
            </w:r>
          </w:p>
        </w:tc>
        <w:tc>
          <w:tcPr>
            <w:tcW w:w="2841" w:type="dxa"/>
            <w:vAlign w:val="center"/>
          </w:tcPr>
          <w:p>
            <w:pPr>
              <w:jc w:val="center"/>
              <w:rPr>
                <w:color w:val="000000"/>
                <w:kern w:val="0"/>
                <w:szCs w:val="21"/>
              </w:rPr>
            </w:pPr>
            <w:r>
              <w:rPr>
                <w:color w:val="000000"/>
                <w:kern w:val="0"/>
                <w:szCs w:val="21"/>
              </w:rPr>
              <w:t>点、线、面扩散</w:t>
            </w:r>
          </w:p>
        </w:tc>
        <w:tc>
          <w:tcPr>
            <w:tcW w:w="2841" w:type="dxa"/>
            <w:vAlign w:val="center"/>
          </w:tcPr>
          <w:p>
            <w:pPr>
              <w:jc w:val="center"/>
              <w:rPr>
                <w:color w:val="000000"/>
                <w:kern w:val="0"/>
                <w:szCs w:val="21"/>
              </w:rPr>
            </w:pPr>
            <w:r>
              <w:rPr>
                <w:color w:val="000000"/>
                <w:kern w:val="0"/>
                <w:szCs w:val="21"/>
              </w:rPr>
              <w:t>线性模型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color w:val="000000"/>
                <w:kern w:val="0"/>
                <w:szCs w:val="21"/>
              </w:rPr>
              <w:t>大型超市</w:t>
            </w:r>
          </w:p>
        </w:tc>
        <w:tc>
          <w:tcPr>
            <w:tcW w:w="2841" w:type="dxa"/>
            <w:vAlign w:val="center"/>
          </w:tcPr>
          <w:p>
            <w:pPr>
              <w:jc w:val="center"/>
              <w:rPr>
                <w:color w:val="000000"/>
                <w:kern w:val="0"/>
                <w:szCs w:val="21"/>
              </w:rPr>
            </w:pPr>
            <w:r>
              <w:rPr>
                <w:color w:val="000000"/>
                <w:kern w:val="0"/>
                <w:szCs w:val="21"/>
              </w:rPr>
              <w:t>点、线、面扩散</w:t>
            </w:r>
          </w:p>
        </w:tc>
        <w:tc>
          <w:tcPr>
            <w:tcW w:w="2841" w:type="dxa"/>
            <w:vAlign w:val="center"/>
          </w:tcPr>
          <w:p>
            <w:pPr>
              <w:jc w:val="center"/>
              <w:rPr>
                <w:color w:val="000000"/>
                <w:kern w:val="0"/>
                <w:szCs w:val="21"/>
              </w:rPr>
            </w:pPr>
            <w:r>
              <w:rPr>
                <w:color w:val="000000"/>
                <w:kern w:val="0"/>
                <w:szCs w:val="21"/>
              </w:rPr>
              <w:t>线性模型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widowControl/>
              <w:jc w:val="center"/>
              <w:rPr>
                <w:color w:val="000000"/>
                <w:kern w:val="0"/>
                <w:szCs w:val="21"/>
              </w:rPr>
            </w:pPr>
            <w:r>
              <w:rPr>
                <w:color w:val="000000"/>
                <w:kern w:val="0"/>
                <w:szCs w:val="21"/>
              </w:rPr>
              <w:t>大气污染</w:t>
            </w:r>
          </w:p>
        </w:tc>
        <w:tc>
          <w:tcPr>
            <w:tcW w:w="2841" w:type="dxa"/>
            <w:vAlign w:val="center"/>
          </w:tcPr>
          <w:p>
            <w:pPr>
              <w:jc w:val="center"/>
              <w:rPr>
                <w:color w:val="000000"/>
                <w:kern w:val="0"/>
                <w:szCs w:val="21"/>
              </w:rPr>
            </w:pPr>
            <w:r>
              <w:rPr>
                <w:color w:val="000000"/>
                <w:kern w:val="0"/>
                <w:szCs w:val="21"/>
              </w:rPr>
              <w:t>纯多边形</w:t>
            </w:r>
          </w:p>
        </w:tc>
        <w:tc>
          <w:tcPr>
            <w:tcW w:w="2841" w:type="dxa"/>
            <w:vAlign w:val="center"/>
          </w:tcPr>
          <w:p>
            <w:pPr>
              <w:jc w:val="center"/>
              <w:rPr>
                <w:color w:val="000000"/>
                <w:kern w:val="0"/>
                <w:szCs w:val="21"/>
              </w:rPr>
            </w:pPr>
            <w:r>
              <w:rPr>
                <w:color w:val="000000"/>
                <w:kern w:val="0"/>
                <w:szCs w:val="21"/>
              </w:rPr>
              <w:t>无衰减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widowControl/>
              <w:jc w:val="center"/>
              <w:rPr>
                <w:color w:val="000000"/>
                <w:kern w:val="0"/>
                <w:szCs w:val="21"/>
              </w:rPr>
            </w:pPr>
            <w:r>
              <w:rPr>
                <w:color w:val="000000"/>
                <w:kern w:val="0"/>
                <w:szCs w:val="21"/>
              </w:rPr>
              <w:t>噪声</w:t>
            </w:r>
          </w:p>
        </w:tc>
        <w:tc>
          <w:tcPr>
            <w:tcW w:w="2841" w:type="dxa"/>
            <w:vAlign w:val="center"/>
          </w:tcPr>
          <w:p>
            <w:pPr>
              <w:jc w:val="center"/>
              <w:rPr>
                <w:color w:val="000000"/>
                <w:kern w:val="0"/>
                <w:szCs w:val="21"/>
              </w:rPr>
            </w:pPr>
            <w:r>
              <w:rPr>
                <w:color w:val="000000"/>
                <w:kern w:val="0"/>
                <w:szCs w:val="21"/>
              </w:rPr>
              <w:t>纯多边形</w:t>
            </w:r>
          </w:p>
        </w:tc>
        <w:tc>
          <w:tcPr>
            <w:tcW w:w="2841" w:type="dxa"/>
            <w:vAlign w:val="center"/>
          </w:tcPr>
          <w:p>
            <w:pPr>
              <w:jc w:val="center"/>
              <w:rPr>
                <w:color w:val="000000"/>
                <w:kern w:val="0"/>
                <w:szCs w:val="21"/>
              </w:rPr>
            </w:pPr>
            <w:r>
              <w:rPr>
                <w:color w:val="000000"/>
                <w:kern w:val="0"/>
                <w:szCs w:val="21"/>
              </w:rPr>
              <w:t>无衰减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widowControl/>
              <w:jc w:val="center"/>
              <w:rPr>
                <w:color w:val="000000"/>
                <w:kern w:val="0"/>
                <w:szCs w:val="21"/>
              </w:rPr>
            </w:pPr>
            <w:r>
              <w:rPr>
                <w:color w:val="000000"/>
                <w:kern w:val="0"/>
                <w:szCs w:val="21"/>
              </w:rPr>
              <w:t>用地规划</w:t>
            </w:r>
          </w:p>
        </w:tc>
        <w:tc>
          <w:tcPr>
            <w:tcW w:w="2841" w:type="dxa"/>
            <w:vAlign w:val="center"/>
          </w:tcPr>
          <w:p>
            <w:pPr>
              <w:widowControl/>
              <w:jc w:val="center"/>
              <w:rPr>
                <w:color w:val="000000"/>
                <w:kern w:val="0"/>
                <w:szCs w:val="21"/>
              </w:rPr>
            </w:pPr>
            <w:r>
              <w:rPr>
                <w:color w:val="000000"/>
                <w:kern w:val="0"/>
                <w:szCs w:val="21"/>
              </w:rPr>
              <w:t>纯多边形</w:t>
            </w:r>
          </w:p>
        </w:tc>
        <w:tc>
          <w:tcPr>
            <w:tcW w:w="2841" w:type="dxa"/>
            <w:vAlign w:val="center"/>
          </w:tcPr>
          <w:p>
            <w:pPr>
              <w:widowControl/>
              <w:jc w:val="center"/>
              <w:rPr>
                <w:color w:val="000000"/>
                <w:kern w:val="0"/>
                <w:szCs w:val="21"/>
              </w:rPr>
            </w:pPr>
            <w:r>
              <w:rPr>
                <w:color w:val="000000"/>
                <w:kern w:val="0"/>
                <w:szCs w:val="21"/>
              </w:rPr>
              <w:t>无衰减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widowControl/>
              <w:jc w:val="center"/>
              <w:rPr>
                <w:color w:val="000000"/>
                <w:kern w:val="0"/>
                <w:szCs w:val="21"/>
              </w:rPr>
            </w:pPr>
            <w:r>
              <w:rPr>
                <w:color w:val="000000"/>
                <w:kern w:val="0"/>
                <w:szCs w:val="21"/>
              </w:rPr>
              <w:t>道路规划</w:t>
            </w:r>
          </w:p>
        </w:tc>
        <w:tc>
          <w:tcPr>
            <w:tcW w:w="2841" w:type="dxa"/>
            <w:vAlign w:val="center"/>
          </w:tcPr>
          <w:p>
            <w:pPr>
              <w:widowControl/>
              <w:jc w:val="center"/>
              <w:rPr>
                <w:color w:val="000000"/>
                <w:kern w:val="0"/>
                <w:szCs w:val="21"/>
              </w:rPr>
            </w:pPr>
            <w:r>
              <w:rPr>
                <w:color w:val="000000"/>
                <w:kern w:val="0"/>
                <w:szCs w:val="21"/>
              </w:rPr>
              <w:t>纯多边形</w:t>
            </w:r>
          </w:p>
        </w:tc>
        <w:tc>
          <w:tcPr>
            <w:tcW w:w="2841" w:type="dxa"/>
            <w:vAlign w:val="center"/>
          </w:tcPr>
          <w:p>
            <w:pPr>
              <w:widowControl/>
              <w:jc w:val="center"/>
              <w:rPr>
                <w:color w:val="000000"/>
                <w:kern w:val="0"/>
                <w:szCs w:val="21"/>
              </w:rPr>
            </w:pPr>
            <w:r>
              <w:rPr>
                <w:color w:val="000000"/>
                <w:kern w:val="0"/>
                <w:szCs w:val="21"/>
              </w:rPr>
              <w:t>无衰减</w:t>
            </w:r>
          </w:p>
        </w:tc>
      </w:tr>
    </w:tbl>
    <w:p>
      <w:pPr>
        <w:spacing w:line="360" w:lineRule="auto"/>
        <w:jc w:val="center"/>
        <w:rPr>
          <w:rFonts w:eastAsia="黑体"/>
          <w:b/>
          <w:sz w:val="24"/>
          <w:szCs w:val="24"/>
        </w:rPr>
      </w:pPr>
    </w:p>
    <w:p>
      <w:pPr>
        <w:spacing w:line="360" w:lineRule="auto"/>
        <w:jc w:val="center"/>
        <w:rPr>
          <w:rFonts w:eastAsia="黑体"/>
          <w:b/>
          <w:sz w:val="24"/>
          <w:szCs w:val="24"/>
        </w:rPr>
      </w:pPr>
      <w:r>
        <w:rPr>
          <w:rFonts w:eastAsia="黑体"/>
          <w:b/>
          <w:sz w:val="24"/>
          <w:szCs w:val="24"/>
        </w:rPr>
        <w:t>表2-3-</w:t>
      </w:r>
      <w:r>
        <w:rPr>
          <w:rFonts w:hint="eastAsia" w:eastAsia="黑体"/>
          <w:b/>
          <w:sz w:val="24"/>
          <w:szCs w:val="24"/>
        </w:rPr>
        <w:t>21</w:t>
      </w:r>
      <w:r>
        <w:rPr>
          <w:rFonts w:eastAsia="黑体"/>
          <w:b/>
          <w:sz w:val="24"/>
          <w:szCs w:val="24"/>
        </w:rPr>
        <w:t xml:space="preserve">  </w:t>
      </w:r>
      <w:r>
        <w:rPr>
          <w:rFonts w:hint="eastAsia" w:eastAsia="黑体"/>
          <w:b/>
          <w:sz w:val="24"/>
          <w:szCs w:val="24"/>
        </w:rPr>
        <w:t>城区工矿仓储用地</w:t>
      </w:r>
      <w:r>
        <w:rPr>
          <w:rFonts w:eastAsia="黑体"/>
          <w:b/>
          <w:sz w:val="24"/>
          <w:szCs w:val="24"/>
        </w:rPr>
        <w:t>土地定级因素因子算法模型表</w:t>
      </w:r>
    </w:p>
    <w:tbl>
      <w:tblP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b/>
                <w:bCs/>
                <w:color w:val="000000"/>
                <w:kern w:val="0"/>
                <w:szCs w:val="21"/>
              </w:rPr>
            </w:pPr>
            <w:r>
              <w:rPr>
                <w:b/>
                <w:bCs/>
                <w:color w:val="000000"/>
                <w:kern w:val="0"/>
                <w:szCs w:val="21"/>
              </w:rPr>
              <w:t>因子名称</w:t>
            </w:r>
          </w:p>
        </w:tc>
        <w:tc>
          <w:tcPr>
            <w:tcW w:w="2841" w:type="dxa"/>
            <w:vAlign w:val="center"/>
          </w:tcPr>
          <w:p>
            <w:pPr>
              <w:jc w:val="center"/>
              <w:rPr>
                <w:b/>
                <w:bCs/>
                <w:color w:val="000000"/>
                <w:kern w:val="0"/>
                <w:szCs w:val="21"/>
              </w:rPr>
            </w:pPr>
            <w:r>
              <w:rPr>
                <w:b/>
                <w:bCs/>
                <w:color w:val="000000"/>
                <w:kern w:val="0"/>
                <w:szCs w:val="21"/>
              </w:rPr>
              <w:t>算法模型</w:t>
            </w:r>
          </w:p>
        </w:tc>
        <w:tc>
          <w:tcPr>
            <w:tcW w:w="2841" w:type="dxa"/>
            <w:vAlign w:val="center"/>
          </w:tcPr>
          <w:p>
            <w:pPr>
              <w:jc w:val="center"/>
              <w:rPr>
                <w:b/>
                <w:bCs/>
                <w:color w:val="000000"/>
                <w:kern w:val="0"/>
                <w:szCs w:val="21"/>
              </w:rPr>
            </w:pPr>
            <w:r>
              <w:rPr>
                <w:b/>
                <w:bCs/>
                <w:color w:val="000000"/>
                <w:kern w:val="0"/>
                <w:szCs w:val="21"/>
              </w:rPr>
              <w:t>衰减模型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color w:val="000000"/>
                <w:kern w:val="0"/>
                <w:szCs w:val="21"/>
              </w:rPr>
              <w:t>道路通达度</w:t>
            </w:r>
          </w:p>
        </w:tc>
        <w:tc>
          <w:tcPr>
            <w:tcW w:w="2841" w:type="dxa"/>
            <w:vAlign w:val="center"/>
          </w:tcPr>
          <w:p>
            <w:pPr>
              <w:jc w:val="center"/>
              <w:rPr>
                <w:color w:val="000000"/>
                <w:kern w:val="0"/>
                <w:szCs w:val="21"/>
              </w:rPr>
            </w:pPr>
            <w:r>
              <w:rPr>
                <w:color w:val="000000"/>
                <w:kern w:val="0"/>
                <w:szCs w:val="21"/>
              </w:rPr>
              <w:t>道路通达度计算</w:t>
            </w:r>
          </w:p>
        </w:tc>
        <w:tc>
          <w:tcPr>
            <w:tcW w:w="2841" w:type="dxa"/>
            <w:vAlign w:val="center"/>
          </w:tcPr>
          <w:p>
            <w:pPr>
              <w:jc w:val="center"/>
              <w:rPr>
                <w:color w:val="000000"/>
                <w:kern w:val="0"/>
                <w:szCs w:val="21"/>
              </w:rPr>
            </w:pPr>
            <w:r>
              <w:rPr>
                <w:color w:val="000000"/>
                <w:kern w:val="0"/>
                <w:szCs w:val="21"/>
              </w:rPr>
              <w:t>指数模型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color w:val="000000"/>
                <w:kern w:val="0"/>
                <w:szCs w:val="21"/>
              </w:rPr>
              <w:t>汽车站</w:t>
            </w:r>
          </w:p>
        </w:tc>
        <w:tc>
          <w:tcPr>
            <w:tcW w:w="2841" w:type="dxa"/>
            <w:vAlign w:val="center"/>
          </w:tcPr>
          <w:p>
            <w:pPr>
              <w:jc w:val="center"/>
              <w:rPr>
                <w:color w:val="000000"/>
                <w:kern w:val="0"/>
                <w:szCs w:val="21"/>
              </w:rPr>
            </w:pPr>
            <w:r>
              <w:rPr>
                <w:color w:val="000000"/>
                <w:kern w:val="0"/>
                <w:szCs w:val="21"/>
              </w:rPr>
              <w:t>点、线、面扩散</w:t>
            </w:r>
          </w:p>
        </w:tc>
        <w:tc>
          <w:tcPr>
            <w:tcW w:w="2841" w:type="dxa"/>
            <w:vAlign w:val="center"/>
          </w:tcPr>
          <w:p>
            <w:pPr>
              <w:jc w:val="center"/>
              <w:rPr>
                <w:color w:val="000000"/>
                <w:kern w:val="0"/>
                <w:szCs w:val="21"/>
              </w:rPr>
            </w:pPr>
            <w:r>
              <w:rPr>
                <w:color w:val="000000"/>
                <w:kern w:val="0"/>
                <w:szCs w:val="21"/>
              </w:rPr>
              <w:t>线性模型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tabs>
                <w:tab w:val="center" w:pos="1312"/>
              </w:tabs>
              <w:jc w:val="center"/>
              <w:rPr>
                <w:color w:val="000000"/>
                <w:kern w:val="0"/>
                <w:szCs w:val="21"/>
              </w:rPr>
            </w:pPr>
            <w:r>
              <w:rPr>
                <w:rFonts w:hint="eastAsia"/>
                <w:color w:val="000000"/>
                <w:kern w:val="0"/>
                <w:szCs w:val="21"/>
              </w:rPr>
              <w:t>火车站</w:t>
            </w:r>
          </w:p>
        </w:tc>
        <w:tc>
          <w:tcPr>
            <w:tcW w:w="2841" w:type="dxa"/>
            <w:vAlign w:val="center"/>
          </w:tcPr>
          <w:p>
            <w:pPr>
              <w:jc w:val="center"/>
              <w:rPr>
                <w:color w:val="000000"/>
                <w:kern w:val="0"/>
                <w:szCs w:val="21"/>
              </w:rPr>
            </w:pPr>
            <w:r>
              <w:rPr>
                <w:color w:val="000000"/>
                <w:kern w:val="0"/>
                <w:szCs w:val="21"/>
              </w:rPr>
              <w:t>点、线、面扩散</w:t>
            </w:r>
          </w:p>
        </w:tc>
        <w:tc>
          <w:tcPr>
            <w:tcW w:w="2841" w:type="dxa"/>
            <w:vAlign w:val="center"/>
          </w:tcPr>
          <w:p>
            <w:pPr>
              <w:jc w:val="center"/>
              <w:rPr>
                <w:color w:val="000000"/>
                <w:kern w:val="0"/>
                <w:szCs w:val="21"/>
              </w:rPr>
            </w:pPr>
            <w:r>
              <w:rPr>
                <w:color w:val="000000"/>
                <w:kern w:val="0"/>
                <w:szCs w:val="21"/>
              </w:rPr>
              <w:t>线性模型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color w:val="000000"/>
                <w:kern w:val="0"/>
                <w:szCs w:val="21"/>
              </w:rPr>
              <w:t>供电</w:t>
            </w:r>
          </w:p>
        </w:tc>
        <w:tc>
          <w:tcPr>
            <w:tcW w:w="2841" w:type="dxa"/>
            <w:vAlign w:val="center"/>
          </w:tcPr>
          <w:p>
            <w:pPr>
              <w:jc w:val="center"/>
              <w:rPr>
                <w:color w:val="000000"/>
                <w:kern w:val="0"/>
                <w:szCs w:val="21"/>
              </w:rPr>
            </w:pPr>
            <w:r>
              <w:rPr>
                <w:color w:val="000000"/>
                <w:kern w:val="0"/>
                <w:szCs w:val="21"/>
              </w:rPr>
              <w:t>纯多边形</w:t>
            </w:r>
          </w:p>
        </w:tc>
        <w:tc>
          <w:tcPr>
            <w:tcW w:w="2841" w:type="dxa"/>
            <w:vAlign w:val="center"/>
          </w:tcPr>
          <w:p>
            <w:pPr>
              <w:jc w:val="center"/>
              <w:rPr>
                <w:color w:val="000000"/>
                <w:kern w:val="0"/>
                <w:szCs w:val="21"/>
              </w:rPr>
            </w:pPr>
            <w:r>
              <w:rPr>
                <w:color w:val="000000"/>
                <w:kern w:val="0"/>
                <w:szCs w:val="21"/>
              </w:rPr>
              <w:t>无衰减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color w:val="000000"/>
                <w:kern w:val="0"/>
                <w:szCs w:val="21"/>
              </w:rPr>
              <w:t>供水</w:t>
            </w:r>
          </w:p>
        </w:tc>
        <w:tc>
          <w:tcPr>
            <w:tcW w:w="2841" w:type="dxa"/>
            <w:vAlign w:val="center"/>
          </w:tcPr>
          <w:p>
            <w:pPr>
              <w:jc w:val="center"/>
              <w:rPr>
                <w:color w:val="000000"/>
                <w:kern w:val="0"/>
                <w:szCs w:val="21"/>
              </w:rPr>
            </w:pPr>
            <w:r>
              <w:rPr>
                <w:color w:val="000000"/>
                <w:kern w:val="0"/>
                <w:szCs w:val="21"/>
              </w:rPr>
              <w:t>纯多边形</w:t>
            </w:r>
          </w:p>
        </w:tc>
        <w:tc>
          <w:tcPr>
            <w:tcW w:w="2841" w:type="dxa"/>
            <w:vAlign w:val="center"/>
          </w:tcPr>
          <w:p>
            <w:pPr>
              <w:jc w:val="center"/>
              <w:rPr>
                <w:color w:val="000000"/>
                <w:kern w:val="0"/>
                <w:szCs w:val="21"/>
              </w:rPr>
            </w:pPr>
            <w:r>
              <w:rPr>
                <w:color w:val="000000"/>
                <w:kern w:val="0"/>
                <w:szCs w:val="21"/>
              </w:rPr>
              <w:t>无衰减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rFonts w:hint="eastAsia"/>
                <w:color w:val="000000"/>
                <w:kern w:val="0"/>
                <w:szCs w:val="21"/>
              </w:rPr>
              <w:t>通讯</w:t>
            </w:r>
          </w:p>
        </w:tc>
        <w:tc>
          <w:tcPr>
            <w:tcW w:w="2841" w:type="dxa"/>
            <w:vAlign w:val="center"/>
          </w:tcPr>
          <w:p>
            <w:pPr>
              <w:jc w:val="center"/>
              <w:rPr>
                <w:color w:val="000000"/>
                <w:kern w:val="0"/>
                <w:szCs w:val="21"/>
              </w:rPr>
            </w:pPr>
            <w:r>
              <w:rPr>
                <w:color w:val="000000"/>
                <w:kern w:val="0"/>
                <w:szCs w:val="21"/>
              </w:rPr>
              <w:t>纯多边形</w:t>
            </w:r>
          </w:p>
        </w:tc>
        <w:tc>
          <w:tcPr>
            <w:tcW w:w="2841" w:type="dxa"/>
            <w:vAlign w:val="center"/>
          </w:tcPr>
          <w:p>
            <w:pPr>
              <w:jc w:val="center"/>
              <w:rPr>
                <w:color w:val="000000"/>
                <w:kern w:val="0"/>
                <w:szCs w:val="21"/>
              </w:rPr>
            </w:pPr>
            <w:r>
              <w:rPr>
                <w:color w:val="000000"/>
                <w:kern w:val="0"/>
                <w:szCs w:val="21"/>
              </w:rPr>
              <w:t>无衰减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jc w:val="center"/>
              <w:rPr>
                <w:color w:val="000000"/>
                <w:kern w:val="0"/>
                <w:szCs w:val="21"/>
              </w:rPr>
            </w:pPr>
            <w:r>
              <w:rPr>
                <w:color w:val="000000"/>
                <w:kern w:val="0"/>
                <w:szCs w:val="21"/>
              </w:rPr>
              <w:t>排水</w:t>
            </w:r>
          </w:p>
        </w:tc>
        <w:tc>
          <w:tcPr>
            <w:tcW w:w="2841" w:type="dxa"/>
            <w:vAlign w:val="center"/>
          </w:tcPr>
          <w:p>
            <w:pPr>
              <w:jc w:val="center"/>
              <w:rPr>
                <w:color w:val="000000"/>
                <w:kern w:val="0"/>
                <w:szCs w:val="21"/>
              </w:rPr>
            </w:pPr>
            <w:r>
              <w:rPr>
                <w:color w:val="000000"/>
                <w:kern w:val="0"/>
                <w:szCs w:val="21"/>
              </w:rPr>
              <w:t>纯多边形</w:t>
            </w:r>
          </w:p>
        </w:tc>
        <w:tc>
          <w:tcPr>
            <w:tcW w:w="2841" w:type="dxa"/>
            <w:vAlign w:val="center"/>
          </w:tcPr>
          <w:p>
            <w:pPr>
              <w:jc w:val="center"/>
              <w:rPr>
                <w:color w:val="000000"/>
                <w:kern w:val="0"/>
                <w:szCs w:val="21"/>
              </w:rPr>
            </w:pPr>
            <w:r>
              <w:rPr>
                <w:color w:val="000000"/>
                <w:kern w:val="0"/>
                <w:szCs w:val="21"/>
              </w:rPr>
              <w:t>无衰减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widowControl/>
              <w:jc w:val="center"/>
              <w:rPr>
                <w:color w:val="000000"/>
                <w:kern w:val="0"/>
                <w:szCs w:val="21"/>
              </w:rPr>
            </w:pPr>
            <w:r>
              <w:rPr>
                <w:color w:val="000000"/>
                <w:kern w:val="0"/>
                <w:szCs w:val="21"/>
              </w:rPr>
              <w:t>产业聚集</w:t>
            </w:r>
          </w:p>
        </w:tc>
        <w:tc>
          <w:tcPr>
            <w:tcW w:w="2841" w:type="dxa"/>
            <w:vAlign w:val="top"/>
          </w:tcPr>
          <w:p>
            <w:pPr>
              <w:jc w:val="center"/>
              <w:rPr>
                <w:szCs w:val="21"/>
              </w:rPr>
            </w:pPr>
            <w:r>
              <w:rPr>
                <w:color w:val="000000"/>
                <w:kern w:val="0"/>
                <w:szCs w:val="21"/>
              </w:rPr>
              <w:t>点、线、面扩散</w:t>
            </w:r>
          </w:p>
        </w:tc>
        <w:tc>
          <w:tcPr>
            <w:tcW w:w="2841" w:type="dxa"/>
            <w:vAlign w:val="center"/>
          </w:tcPr>
          <w:p>
            <w:pPr>
              <w:jc w:val="center"/>
              <w:rPr>
                <w:color w:val="000000"/>
                <w:kern w:val="0"/>
                <w:szCs w:val="21"/>
              </w:rPr>
            </w:pPr>
            <w:r>
              <w:rPr>
                <w:color w:val="000000"/>
                <w:kern w:val="0"/>
                <w:szCs w:val="21"/>
              </w:rPr>
              <w:t>线性模型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widowControl/>
              <w:jc w:val="center"/>
              <w:rPr>
                <w:color w:val="000000"/>
                <w:kern w:val="0"/>
                <w:szCs w:val="21"/>
              </w:rPr>
            </w:pPr>
            <w:r>
              <w:rPr>
                <w:color w:val="000000"/>
                <w:kern w:val="0"/>
                <w:szCs w:val="21"/>
              </w:rPr>
              <w:t>用地规划</w:t>
            </w:r>
          </w:p>
        </w:tc>
        <w:tc>
          <w:tcPr>
            <w:tcW w:w="2841" w:type="dxa"/>
            <w:vAlign w:val="center"/>
          </w:tcPr>
          <w:p>
            <w:pPr>
              <w:widowControl/>
              <w:jc w:val="center"/>
              <w:rPr>
                <w:color w:val="000000"/>
                <w:kern w:val="0"/>
                <w:szCs w:val="21"/>
              </w:rPr>
            </w:pPr>
            <w:r>
              <w:rPr>
                <w:color w:val="000000"/>
                <w:kern w:val="0"/>
                <w:szCs w:val="21"/>
              </w:rPr>
              <w:t>纯多边形</w:t>
            </w:r>
          </w:p>
        </w:tc>
        <w:tc>
          <w:tcPr>
            <w:tcW w:w="2841" w:type="dxa"/>
            <w:vAlign w:val="center"/>
          </w:tcPr>
          <w:p>
            <w:pPr>
              <w:widowControl/>
              <w:jc w:val="center"/>
              <w:rPr>
                <w:color w:val="000000"/>
                <w:kern w:val="0"/>
                <w:szCs w:val="21"/>
              </w:rPr>
            </w:pPr>
            <w:r>
              <w:rPr>
                <w:color w:val="000000"/>
                <w:kern w:val="0"/>
                <w:szCs w:val="21"/>
              </w:rPr>
              <w:t>无衰减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840" w:type="dxa"/>
            <w:vAlign w:val="center"/>
          </w:tcPr>
          <w:p>
            <w:pPr>
              <w:widowControl/>
              <w:jc w:val="center"/>
              <w:rPr>
                <w:color w:val="000000"/>
                <w:kern w:val="0"/>
                <w:szCs w:val="21"/>
              </w:rPr>
            </w:pPr>
            <w:r>
              <w:rPr>
                <w:color w:val="000000"/>
                <w:kern w:val="0"/>
                <w:szCs w:val="21"/>
              </w:rPr>
              <w:t>道路规划</w:t>
            </w:r>
          </w:p>
        </w:tc>
        <w:tc>
          <w:tcPr>
            <w:tcW w:w="2841" w:type="dxa"/>
            <w:vAlign w:val="center"/>
          </w:tcPr>
          <w:p>
            <w:pPr>
              <w:widowControl/>
              <w:jc w:val="center"/>
              <w:rPr>
                <w:color w:val="000000"/>
                <w:kern w:val="0"/>
                <w:szCs w:val="21"/>
              </w:rPr>
            </w:pPr>
            <w:r>
              <w:rPr>
                <w:color w:val="000000"/>
                <w:kern w:val="0"/>
                <w:szCs w:val="21"/>
              </w:rPr>
              <w:t>纯多边形</w:t>
            </w:r>
          </w:p>
        </w:tc>
        <w:tc>
          <w:tcPr>
            <w:tcW w:w="2841" w:type="dxa"/>
            <w:vAlign w:val="center"/>
          </w:tcPr>
          <w:p>
            <w:pPr>
              <w:widowControl/>
              <w:jc w:val="center"/>
              <w:rPr>
                <w:color w:val="000000"/>
                <w:kern w:val="0"/>
                <w:szCs w:val="21"/>
              </w:rPr>
            </w:pPr>
            <w:r>
              <w:rPr>
                <w:color w:val="000000"/>
                <w:kern w:val="0"/>
                <w:szCs w:val="21"/>
              </w:rPr>
              <w:t>无衰减</w:t>
            </w:r>
          </w:p>
        </w:tc>
      </w:tr>
    </w:tbl>
    <w:p>
      <w:pPr>
        <w:rPr>
          <w:sz w:val="24"/>
        </w:rPr>
        <w:sectPr>
          <w:pgSz w:w="11906" w:h="16838"/>
          <w:pgMar w:top="1440" w:right="1800" w:bottom="1440" w:left="1800" w:header="851" w:footer="992" w:gutter="0"/>
          <w:cols w:space="720" w:num="1"/>
          <w:docGrid w:type="lines" w:linePitch="312" w:charSpace="0"/>
        </w:sectPr>
      </w:pPr>
    </w:p>
    <w:p>
      <w:pPr>
        <w:widowControl/>
        <w:jc w:val="center"/>
        <w:outlineLvl w:val="1"/>
        <w:rPr>
          <w:rFonts w:eastAsia="黑体"/>
          <w:sz w:val="32"/>
          <w:szCs w:val="32"/>
        </w:rPr>
      </w:pPr>
      <w:bookmarkStart w:id="384" w:name="_Toc21233"/>
      <w:bookmarkStart w:id="385" w:name="_Toc427343275"/>
      <w:bookmarkStart w:id="386" w:name="_Toc2846"/>
      <w:bookmarkStart w:id="387" w:name="_Toc467846836"/>
      <w:bookmarkStart w:id="388" w:name="_Toc470721295"/>
      <w:bookmarkStart w:id="389" w:name="_Toc469296444"/>
      <w:bookmarkStart w:id="390" w:name="_Toc3775"/>
      <w:bookmarkStart w:id="391" w:name="_Toc24224"/>
      <w:r>
        <w:rPr>
          <w:rFonts w:eastAsia="黑体"/>
          <w:sz w:val="32"/>
          <w:szCs w:val="32"/>
        </w:rPr>
        <w:t>第四章  土地级别的确定</w:t>
      </w:r>
      <w:bookmarkEnd w:id="384"/>
      <w:bookmarkEnd w:id="385"/>
      <w:bookmarkEnd w:id="386"/>
      <w:bookmarkEnd w:id="387"/>
      <w:bookmarkEnd w:id="388"/>
      <w:bookmarkEnd w:id="389"/>
      <w:bookmarkEnd w:id="390"/>
      <w:bookmarkEnd w:id="391"/>
    </w:p>
    <w:p>
      <w:pPr>
        <w:spacing w:line="560" w:lineRule="exact"/>
        <w:ind w:firstLine="560" w:firstLineChars="200"/>
        <w:outlineLvl w:val="2"/>
        <w:rPr>
          <w:rFonts w:eastAsia="黑体"/>
          <w:sz w:val="28"/>
          <w:szCs w:val="28"/>
        </w:rPr>
      </w:pPr>
      <w:bookmarkStart w:id="392" w:name="_Toc271529441"/>
      <w:bookmarkStart w:id="393" w:name="_Toc232"/>
      <w:bookmarkStart w:id="394" w:name="_Toc32381"/>
      <w:bookmarkStart w:id="395" w:name="_Toc467846837"/>
      <w:bookmarkStart w:id="396" w:name="_Toc469296445"/>
      <w:bookmarkStart w:id="397" w:name="_Toc470721296"/>
      <w:r>
        <w:rPr>
          <w:rFonts w:eastAsia="黑体"/>
          <w:sz w:val="28"/>
          <w:szCs w:val="28"/>
        </w:rPr>
        <w:t>一、</w:t>
      </w:r>
      <w:bookmarkEnd w:id="392"/>
      <w:r>
        <w:rPr>
          <w:rFonts w:eastAsia="黑体"/>
          <w:sz w:val="28"/>
          <w:szCs w:val="28"/>
        </w:rPr>
        <w:t>定级单元总分值的计算</w:t>
      </w:r>
      <w:bookmarkEnd w:id="393"/>
      <w:bookmarkEnd w:id="394"/>
      <w:bookmarkEnd w:id="395"/>
      <w:bookmarkEnd w:id="396"/>
      <w:bookmarkEnd w:id="397"/>
    </w:p>
    <w:p>
      <w:pPr>
        <w:spacing w:line="480" w:lineRule="exact"/>
        <w:ind w:firstLine="480" w:firstLineChars="200"/>
        <w:rPr>
          <w:sz w:val="24"/>
          <w:szCs w:val="24"/>
        </w:rPr>
      </w:pPr>
      <w:bookmarkStart w:id="398" w:name="_Toc271529442"/>
      <w:r>
        <w:rPr>
          <w:sz w:val="24"/>
          <w:szCs w:val="24"/>
        </w:rPr>
        <w:t>商服用地、住宅用地</w:t>
      </w:r>
      <w:r>
        <w:rPr>
          <w:rFonts w:hint="eastAsia"/>
          <w:sz w:val="24"/>
          <w:szCs w:val="24"/>
        </w:rPr>
        <w:t>和公共管理与公共服务用地</w:t>
      </w:r>
      <w:r>
        <w:rPr>
          <w:sz w:val="24"/>
          <w:szCs w:val="24"/>
        </w:rPr>
        <w:t>综合定级和工矿仓储用地分类定级的定级单元总分值，按《城镇土地分等定级规程》，采用多因素赋权加和法由计算机自动计算，参与各类定级总分值计算的相应评价因素及其权重见本章第二节的表格。计算公式如下：</w:t>
      </w:r>
    </w:p>
    <w:p>
      <w:pPr>
        <w:ind w:firstLine="480" w:firstLineChars="200"/>
        <w:jc w:val="center"/>
        <w:rPr>
          <w:rFonts w:eastAsia="文鼎粗钢笔行楷"/>
          <w:b/>
          <w:i/>
          <w:sz w:val="24"/>
        </w:rPr>
      </w:pPr>
      <w:r>
        <w:rPr>
          <w:rFonts w:ascii="Times New Roman" w:hAnsi="Times New Roman" w:eastAsia="宋体" w:cs="Times New Roman"/>
          <w:kern w:val="2"/>
          <w:position w:val="-28"/>
          <w:sz w:val="24"/>
          <w:lang w:val="en-US" w:eastAsia="zh-CN" w:bidi="ar-SA"/>
        </w:rPr>
        <w:object>
          <v:shape id="Picture 4" type="#_x0000_t75" style="height:34.35pt;width:61.1pt;rotation:0f;" o:ole="t" fillcolor="#FFFFFF" filled="f" o:preferrelative="t" stroked="f" coordorigin="0,0" coordsize="21600,21600">
            <v:fill on="f" color2="#FFFFFF" focus="0%"/>
            <v:imagedata gain="65536f" blacklevel="0f" gamma="0" o:title="" r:id="rId52"/>
            <o:lock v:ext="edit" position="f" selection="f" grouping="f" rotation="f" cropping="f" text="f" aspectratio="t"/>
            <w10:wrap type="none"/>
            <w10:anchorlock/>
          </v:shape>
          <o:OLEObject Type="Embed" ProgID="" ShapeID="Picture 4" DrawAspect="Content" ObjectID="_106" r:id="rId51"/>
        </w:object>
      </w:r>
    </w:p>
    <w:p>
      <w:pPr>
        <w:spacing w:line="360" w:lineRule="auto"/>
        <w:ind w:firstLine="480" w:firstLineChars="200"/>
        <w:rPr>
          <w:sz w:val="24"/>
        </w:rPr>
      </w:pPr>
      <w:r>
        <w:rPr>
          <w:sz w:val="24"/>
        </w:rPr>
        <w:t>式中：P——单元总分值；F</w:t>
      </w:r>
      <w:r>
        <w:rPr>
          <w:sz w:val="24"/>
          <w:vertAlign w:val="subscript"/>
        </w:rPr>
        <w:t>i</w:t>
      </w:r>
      <w:r>
        <w:rPr>
          <w:sz w:val="24"/>
        </w:rPr>
        <w:t xml:space="preserve"> ——因素分值；W</w:t>
      </w:r>
      <w:r>
        <w:rPr>
          <w:sz w:val="24"/>
          <w:vertAlign w:val="subscript"/>
        </w:rPr>
        <w:t>i</w:t>
      </w:r>
      <w:r>
        <w:rPr>
          <w:sz w:val="24"/>
        </w:rPr>
        <w:t xml:space="preserve"> ——因素权重值； n —— 因素个数。</w:t>
      </w:r>
    </w:p>
    <w:p>
      <w:pPr>
        <w:spacing w:line="360" w:lineRule="auto"/>
        <w:jc w:val="center"/>
        <w:rPr>
          <w:sz w:val="24"/>
        </w:rPr>
      </w:pPr>
      <w:r>
        <w:rPr>
          <w:rFonts w:ascii="Times New Roman" w:hAnsi="Times New Roman" w:eastAsia="宋体" w:cs="Times New Roman"/>
          <w:kern w:val="2"/>
          <w:sz w:val="24"/>
          <w:lang w:val="en-US" w:eastAsia="zh-CN" w:bidi="ar-SA"/>
        </w:rPr>
        <w:pict>
          <v:shape id="图片 89" o:spid="_x0000_s1133" type="#_x0000_t75" style="height:363.1pt;width:232.45pt;rotation:0f;" o:ole="f" fillcolor="#FFFFFF" filled="f" o:preferrelative="t" stroked="f" coordorigin="0,0" coordsize="21600,21600">
            <v:fill on="f" color2="#FFFFFF" focus="0%"/>
            <v:imagedata gain="65536f" blacklevel="0f" gamma="0" o:title="" r:id="rId53"/>
            <o:lock v:ext="edit" position="f" selection="f" grouping="f" rotation="f" cropping="f" text="f" aspectratio="t"/>
            <w10:wrap type="none"/>
            <w10:anchorlock/>
          </v:shape>
        </w:pict>
      </w:r>
    </w:p>
    <w:p>
      <w:pPr>
        <w:spacing w:line="360" w:lineRule="auto"/>
        <w:jc w:val="center"/>
        <w:rPr>
          <w:rFonts w:eastAsia="黑体"/>
          <w:bCs/>
          <w:sz w:val="24"/>
          <w:szCs w:val="24"/>
        </w:rPr>
      </w:pPr>
      <w:r>
        <w:rPr>
          <w:rFonts w:eastAsia="黑体"/>
          <w:b/>
          <w:bCs/>
          <w:sz w:val="24"/>
          <w:szCs w:val="24"/>
        </w:rPr>
        <w:t xml:space="preserve">图2-4-1 </w:t>
      </w:r>
      <w:r>
        <w:rPr>
          <w:rFonts w:hint="eastAsia" w:eastAsia="黑体"/>
          <w:b/>
          <w:bCs/>
          <w:sz w:val="24"/>
          <w:szCs w:val="24"/>
        </w:rPr>
        <w:t>商服、住宅、公共管理与公共服务用地</w:t>
      </w:r>
      <w:r>
        <w:rPr>
          <w:rFonts w:eastAsia="黑体"/>
          <w:b/>
          <w:bCs/>
          <w:sz w:val="24"/>
          <w:szCs w:val="24"/>
        </w:rPr>
        <w:t>综合定级分值叠加示意图</w:t>
      </w:r>
    </w:p>
    <w:p>
      <w:pPr>
        <w:spacing w:line="360" w:lineRule="auto"/>
        <w:jc w:val="center"/>
        <w:rPr>
          <w:sz w:val="24"/>
        </w:rPr>
      </w:pPr>
      <w:r>
        <w:rPr>
          <w:rFonts w:hint="eastAsia" w:ascii="Times New Roman" w:hAnsi="Times New Roman" w:eastAsia="宋体" w:cs="Times New Roman"/>
          <w:kern w:val="2"/>
          <w:sz w:val="24"/>
          <w:lang w:val="en-US" w:eastAsia="zh-CN" w:bidi="ar-SA"/>
        </w:rPr>
        <w:pict>
          <v:shape id="图片 116" o:spid="_x0000_s1134" type="#_x0000_t75" style="height:338.75pt;width:239.15pt;rotation:0f;" o:ole="f" fillcolor="#FFFFFF" filled="f" o:preferrelative="t" stroked="f" coordorigin="0,0" coordsize="21600,21600">
            <v:fill on="f" color2="#FFFFFF" focus="0%"/>
            <v:imagedata gain="65536f" blacklevel="0f" gamma="0" o:title="" r:id="rId54"/>
            <o:lock v:ext="edit" position="f" selection="f" grouping="f" rotation="f" cropping="f" text="f" aspectratio="t"/>
            <w10:wrap type="none"/>
            <w10:anchorlock/>
          </v:shape>
        </w:pict>
      </w:r>
    </w:p>
    <w:p>
      <w:pPr>
        <w:spacing w:line="360" w:lineRule="auto"/>
        <w:jc w:val="center"/>
        <w:rPr>
          <w:rFonts w:eastAsia="黑体"/>
          <w:bCs/>
          <w:sz w:val="24"/>
          <w:szCs w:val="24"/>
        </w:rPr>
      </w:pPr>
      <w:r>
        <w:rPr>
          <w:rFonts w:eastAsia="黑体"/>
          <w:b/>
          <w:bCs/>
          <w:sz w:val="24"/>
          <w:szCs w:val="24"/>
        </w:rPr>
        <w:t>图2-4-</w:t>
      </w:r>
      <w:r>
        <w:rPr>
          <w:rFonts w:hint="eastAsia" w:eastAsia="黑体"/>
          <w:b/>
          <w:bCs/>
          <w:sz w:val="24"/>
          <w:szCs w:val="24"/>
        </w:rPr>
        <w:t>2</w:t>
      </w:r>
      <w:r>
        <w:rPr>
          <w:rFonts w:eastAsia="黑体"/>
          <w:b/>
          <w:bCs/>
          <w:sz w:val="24"/>
          <w:szCs w:val="24"/>
        </w:rPr>
        <w:t xml:space="preserve"> </w:t>
      </w:r>
      <w:r>
        <w:rPr>
          <w:rFonts w:hint="eastAsia" w:eastAsia="黑体"/>
          <w:b/>
          <w:bCs/>
          <w:sz w:val="24"/>
          <w:szCs w:val="24"/>
        </w:rPr>
        <w:t>工矿仓储用地</w:t>
      </w:r>
      <w:r>
        <w:rPr>
          <w:rFonts w:eastAsia="黑体"/>
          <w:b/>
          <w:bCs/>
          <w:sz w:val="24"/>
          <w:szCs w:val="24"/>
        </w:rPr>
        <w:t>定级分值叠加示意图</w:t>
      </w:r>
    </w:p>
    <w:p>
      <w:pPr>
        <w:spacing w:line="560" w:lineRule="exact"/>
        <w:ind w:firstLine="560" w:firstLineChars="200"/>
        <w:outlineLvl w:val="2"/>
        <w:rPr>
          <w:rFonts w:eastAsia="黑体"/>
          <w:sz w:val="28"/>
          <w:szCs w:val="28"/>
        </w:rPr>
      </w:pPr>
      <w:bookmarkStart w:id="399" w:name="_Toc467846838"/>
      <w:bookmarkStart w:id="400" w:name="_Toc469296446"/>
      <w:bookmarkStart w:id="401" w:name="_Toc14674"/>
      <w:bookmarkStart w:id="402" w:name="_Toc470721297"/>
      <w:bookmarkStart w:id="403" w:name="_Toc27351"/>
      <w:r>
        <w:rPr>
          <w:rFonts w:eastAsia="黑体"/>
          <w:sz w:val="28"/>
          <w:szCs w:val="28"/>
        </w:rPr>
        <w:t>二、土地级别总分值图级别界线的划定</w:t>
      </w:r>
      <w:bookmarkEnd w:id="399"/>
      <w:bookmarkEnd w:id="400"/>
      <w:bookmarkEnd w:id="401"/>
      <w:bookmarkEnd w:id="402"/>
      <w:bookmarkEnd w:id="403"/>
    </w:p>
    <w:p>
      <w:pPr>
        <w:spacing w:line="360" w:lineRule="auto"/>
        <w:ind w:firstLine="480" w:firstLineChars="200"/>
        <w:jc w:val="left"/>
        <w:rPr>
          <w:sz w:val="24"/>
          <w:lang w:val="zh-CN"/>
        </w:rPr>
      </w:pPr>
      <w:r>
        <w:rPr>
          <w:sz w:val="24"/>
          <w:lang w:val="zh-CN"/>
        </w:rPr>
        <w:t>一个级别土地是一个相对的均值地域，土地级别内各土地单元的总分值接近，在直方图上则表现为土地单元相对集中。各级别土地的平均分值有明显的差异，呈现出层次性。因此土地级别之间会出现明显的“峰谷”现象，而突变处的总分值即可作为分值界限值。</w:t>
      </w:r>
    </w:p>
    <w:p>
      <w:pPr>
        <w:spacing w:line="480" w:lineRule="exact"/>
        <w:ind w:firstLine="480" w:firstLineChars="200"/>
        <w:jc w:val="left"/>
        <w:rPr>
          <w:kern w:val="0"/>
          <w:sz w:val="24"/>
          <w:szCs w:val="24"/>
        </w:rPr>
      </w:pPr>
      <w:r>
        <w:rPr>
          <w:sz w:val="24"/>
          <w:lang w:val="zh-CN"/>
        </w:rPr>
        <w:t>采用计算机辅助系统，按照自然间断点分级法，最终分别形成土地综合定级总分频率图和分值界线图。</w:t>
      </w:r>
    </w:p>
    <w:p>
      <w:pPr>
        <w:adjustRightInd w:val="0"/>
        <w:snapToGrid w:val="0"/>
        <w:spacing w:line="360" w:lineRule="auto"/>
        <w:jc w:val="center"/>
      </w:pPr>
      <w:r>
        <w:rPr>
          <w:rFonts w:ascii="Times New Roman" w:hAnsi="Times New Roman" w:eastAsia="宋体" w:cs="Times New Roman"/>
          <w:spacing w:val="-6"/>
          <w:kern w:val="0"/>
          <w:sz w:val="24"/>
          <w:szCs w:val="24"/>
          <w:lang w:val="en-US" w:eastAsia="zh-CN" w:bidi="ar-SA"/>
        </w:rPr>
        <w:pict>
          <v:shape id="图片 1589" o:spid="_x0000_s1135" type="#_x0000_t75" style="position:absolute;left:0;margin-left:45.9pt;margin-top:7.7pt;height:278.8pt;width:349.75pt;mso-wrap-distance-bottom:0pt;mso-wrap-distance-top:0pt;rotation:0f;z-index:251698176;" o:ole="f" fillcolor="#FFFFFF" filled="f" o:preferrelative="t" stroked="f" coordorigin="0,0" coordsize="21600,21600">
            <v:fill on="f" color2="#FFFFFF" focus="0%"/>
            <v:imagedata gain="65536f" blacklevel="0f" gamma="0" o:title="" r:id="rId55"/>
            <o:lock v:ext="edit" position="f" selection="f" grouping="f" rotation="f" cropping="f" text="f" aspectratio="t"/>
            <w10:wrap type="topAndBottom"/>
          </v:shape>
        </w:pict>
      </w:r>
      <w:r>
        <w:rPr>
          <w:rFonts w:eastAsia="黑体"/>
          <w:b/>
          <w:bCs/>
          <w:spacing w:val="-6"/>
          <w:sz w:val="24"/>
        </w:rPr>
        <w:t>图2-4-</w:t>
      </w:r>
      <w:r>
        <w:rPr>
          <w:rFonts w:hint="eastAsia" w:eastAsia="黑体"/>
          <w:b/>
          <w:bCs/>
          <w:spacing w:val="-6"/>
          <w:sz w:val="24"/>
        </w:rPr>
        <w:t>3</w:t>
      </w:r>
      <w:r>
        <w:rPr>
          <w:rFonts w:eastAsia="黑体"/>
          <w:b/>
          <w:bCs/>
          <w:spacing w:val="-6"/>
          <w:sz w:val="24"/>
        </w:rPr>
        <w:t xml:space="preserve"> </w:t>
      </w:r>
      <w:r>
        <w:rPr>
          <w:rFonts w:eastAsia="黑体"/>
          <w:b/>
          <w:bCs/>
          <w:spacing w:val="-6"/>
          <w:sz w:val="24"/>
          <w:szCs w:val="22"/>
        </w:rPr>
        <w:t>城区</w:t>
      </w:r>
      <w:r>
        <w:rPr>
          <w:rFonts w:hint="eastAsia" w:eastAsia="黑体"/>
          <w:b/>
          <w:bCs/>
          <w:spacing w:val="-6"/>
          <w:sz w:val="24"/>
          <w:szCs w:val="24"/>
        </w:rPr>
        <w:t>商服、住宅、公共管理与公共服务用地</w:t>
      </w:r>
      <w:r>
        <w:rPr>
          <w:rFonts w:eastAsia="黑体"/>
          <w:b/>
          <w:bCs/>
          <w:spacing w:val="-6"/>
          <w:sz w:val="24"/>
        </w:rPr>
        <w:t>综合定级总分频率图和分值界限</w:t>
      </w:r>
      <w:r>
        <w:rPr>
          <w:rFonts w:eastAsia="黑体"/>
          <w:b/>
          <w:bCs/>
          <w:sz w:val="24"/>
        </w:rPr>
        <w:t>图</w:t>
      </w:r>
      <w:r>
        <w:rPr>
          <w:rFonts w:ascii="Times New Roman" w:hAnsi="Times New Roman" w:eastAsia="宋体" w:cs="Times New Roman"/>
          <w:kern w:val="2"/>
          <w:sz w:val="21"/>
          <w:lang w:val="en-US" w:eastAsia="zh-CN" w:bidi="ar-SA"/>
        </w:rPr>
        <w:pict>
          <v:shape id="图片 55" o:spid="_x0000_s1136" type="#_x0000_t75" style="height:253.5pt;width:342.3pt;rotation:0f;" o:ole="f" fillcolor="#FFFFFF" filled="f" o:preferrelative="t" stroked="f" coordorigin="0,0" coordsize="21600,21600">
            <v:fill on="f" color2="#FFFFFF" focus="0%"/>
            <v:imagedata gain="65536f" blacklevel="0f" gamma="0" o:title="" r:id="rId56"/>
            <o:lock v:ext="edit" position="f" selection="f" grouping="f" rotation="f" cropping="f" text="f" aspectratio="t"/>
            <w10:wrap type="none"/>
            <w10:anchorlock/>
          </v:shape>
        </w:pict>
      </w:r>
    </w:p>
    <w:p>
      <w:pPr>
        <w:adjustRightInd w:val="0"/>
        <w:snapToGrid w:val="0"/>
        <w:spacing w:line="360" w:lineRule="auto"/>
        <w:jc w:val="center"/>
        <w:rPr>
          <w:rFonts w:eastAsia="黑体"/>
          <w:b/>
          <w:bCs/>
          <w:sz w:val="24"/>
          <w:szCs w:val="22"/>
        </w:rPr>
      </w:pPr>
      <w:r>
        <w:rPr>
          <w:rFonts w:eastAsia="黑体"/>
          <w:b/>
          <w:bCs/>
          <w:sz w:val="24"/>
          <w:szCs w:val="22"/>
        </w:rPr>
        <w:t>图</w:t>
      </w:r>
      <w:r>
        <w:rPr>
          <w:rFonts w:hint="eastAsia" w:eastAsia="黑体"/>
          <w:b/>
          <w:bCs/>
          <w:sz w:val="24"/>
          <w:szCs w:val="22"/>
        </w:rPr>
        <w:t>2</w:t>
      </w:r>
      <w:r>
        <w:rPr>
          <w:rFonts w:eastAsia="黑体"/>
          <w:b/>
          <w:bCs/>
          <w:sz w:val="24"/>
          <w:szCs w:val="22"/>
        </w:rPr>
        <w:t>-</w:t>
      </w:r>
      <w:r>
        <w:rPr>
          <w:rFonts w:hint="eastAsia" w:eastAsia="黑体"/>
          <w:b/>
          <w:bCs/>
          <w:sz w:val="24"/>
          <w:szCs w:val="22"/>
        </w:rPr>
        <w:t>4</w:t>
      </w:r>
      <w:r>
        <w:rPr>
          <w:rFonts w:eastAsia="黑体"/>
          <w:b/>
          <w:bCs/>
          <w:sz w:val="24"/>
          <w:szCs w:val="22"/>
        </w:rPr>
        <w:t>-</w:t>
      </w:r>
      <w:r>
        <w:rPr>
          <w:rFonts w:hint="eastAsia" w:eastAsia="黑体"/>
          <w:b/>
          <w:bCs/>
          <w:sz w:val="24"/>
          <w:szCs w:val="22"/>
        </w:rPr>
        <w:t>4</w:t>
      </w:r>
      <w:r>
        <w:rPr>
          <w:rFonts w:eastAsia="黑体"/>
          <w:b/>
          <w:bCs/>
          <w:sz w:val="24"/>
          <w:szCs w:val="22"/>
        </w:rPr>
        <w:t>城区工矿仓储用地定级总分频率图和分值界限图</w:t>
      </w:r>
    </w:p>
    <w:p>
      <w:pPr>
        <w:spacing w:line="560" w:lineRule="exact"/>
        <w:ind w:firstLine="560" w:firstLineChars="200"/>
        <w:outlineLvl w:val="2"/>
        <w:rPr>
          <w:rFonts w:eastAsia="黑体"/>
          <w:sz w:val="28"/>
          <w:szCs w:val="28"/>
        </w:rPr>
      </w:pPr>
      <w:bookmarkStart w:id="404" w:name="_Toc470721298"/>
      <w:bookmarkStart w:id="405" w:name="_Toc467846839"/>
      <w:bookmarkStart w:id="406" w:name="_Toc3032"/>
      <w:bookmarkStart w:id="407" w:name="_Toc469296447"/>
      <w:bookmarkStart w:id="408" w:name="_Toc4457"/>
      <w:r>
        <w:rPr>
          <w:rFonts w:eastAsia="黑体"/>
          <w:sz w:val="28"/>
          <w:szCs w:val="28"/>
        </w:rPr>
        <w:t>三、土地级别的</w:t>
      </w:r>
      <w:bookmarkEnd w:id="398"/>
      <w:r>
        <w:rPr>
          <w:rFonts w:eastAsia="黑体"/>
          <w:sz w:val="28"/>
          <w:szCs w:val="28"/>
        </w:rPr>
        <w:t>初步划定</w:t>
      </w:r>
      <w:bookmarkEnd w:id="404"/>
      <w:bookmarkEnd w:id="405"/>
      <w:bookmarkEnd w:id="406"/>
      <w:bookmarkEnd w:id="407"/>
      <w:bookmarkEnd w:id="408"/>
    </w:p>
    <w:p>
      <w:pPr>
        <w:spacing w:line="480" w:lineRule="exact"/>
        <w:ind w:firstLine="480" w:firstLineChars="200"/>
        <w:rPr>
          <w:sz w:val="24"/>
          <w:szCs w:val="24"/>
        </w:rPr>
      </w:pPr>
      <w:bookmarkStart w:id="409" w:name="_Toc6367"/>
      <w:bookmarkStart w:id="410" w:name="_Toc469296448"/>
      <w:bookmarkStart w:id="411" w:name="_Toc467846840"/>
      <w:bookmarkStart w:id="412" w:name="_Toc470721299"/>
      <w:r>
        <w:rPr>
          <w:sz w:val="24"/>
          <w:szCs w:val="24"/>
        </w:rPr>
        <w:t>按《城镇土地分等定级规程》的要求，结合</w:t>
      </w:r>
      <w:r>
        <w:rPr>
          <w:rFonts w:hint="eastAsia"/>
          <w:sz w:val="24"/>
          <w:szCs w:val="24"/>
        </w:rPr>
        <w:t>长沙县</w:t>
      </w:r>
      <w:r>
        <w:rPr>
          <w:sz w:val="24"/>
          <w:szCs w:val="24"/>
        </w:rPr>
        <w:t>的原定级成果及现状特点，通过总分频率法确定的分值频率，选取城区中已建成的能产生较大影响的街区、道路、水域和铁路或规划的道路对级别进行初步划分由课题组成员采用特尔菲法确定各类定级的级别数目，共划分为五个级别。</w:t>
      </w:r>
    </w:p>
    <w:p>
      <w:pPr>
        <w:spacing w:line="560" w:lineRule="exact"/>
        <w:ind w:firstLine="560" w:firstLineChars="200"/>
        <w:outlineLvl w:val="2"/>
        <w:rPr>
          <w:rFonts w:eastAsia="黑体"/>
          <w:sz w:val="28"/>
          <w:szCs w:val="28"/>
        </w:rPr>
      </w:pPr>
      <w:bookmarkStart w:id="413" w:name="_Toc11399"/>
      <w:r>
        <w:rPr>
          <w:rFonts w:hint="eastAsia" w:eastAsia="黑体"/>
          <w:sz w:val="28"/>
          <w:szCs w:val="28"/>
        </w:rPr>
        <w:t>四、</w:t>
      </w:r>
      <w:r>
        <w:rPr>
          <w:rFonts w:eastAsia="黑体"/>
          <w:sz w:val="28"/>
          <w:szCs w:val="28"/>
        </w:rPr>
        <w:t>土地级别</w:t>
      </w:r>
      <w:r>
        <w:rPr>
          <w:rFonts w:hint="eastAsia" w:eastAsia="黑体"/>
          <w:sz w:val="28"/>
          <w:szCs w:val="28"/>
        </w:rPr>
        <w:t>初步定级成果</w:t>
      </w:r>
      <w:bookmarkEnd w:id="413"/>
    </w:p>
    <w:p>
      <w:pPr>
        <w:spacing w:line="360" w:lineRule="auto"/>
        <w:jc w:val="center"/>
        <w:rPr>
          <w:rFonts w:eastAsia="黑体"/>
          <w:sz w:val="28"/>
          <w:szCs w:val="28"/>
        </w:rPr>
      </w:pPr>
      <w:r>
        <w:rPr>
          <w:rFonts w:ascii="Times New Roman" w:hAnsi="Times New Roman" w:eastAsia="黑体" w:cs="Times New Roman"/>
          <w:b/>
          <w:bCs/>
          <w:kern w:val="2"/>
          <w:sz w:val="24"/>
          <w:szCs w:val="22"/>
          <w:lang w:val="en-US" w:eastAsia="zh-CN" w:bidi="ar-SA"/>
        </w:rPr>
        <w:pict>
          <v:shape id="图片 9" o:spid="_x0000_s1137" type="#_x0000_t75" style="position:absolute;left:0;margin-left:31.55pt;margin-top:122.15pt;height:551.1pt;width:383.1pt;mso-position-vertical-relative:page;mso-wrap-distance-bottom:0pt;mso-wrap-distance-top:0pt;rotation:0f;z-index:251727872;" o:ole="f" fillcolor="#FFFFFF" filled="f" o:preferrelative="t" stroked="f" coordorigin="0,0" coordsize="21600,21600">
            <v:fill on="f" color2="#FFFFFF" focus="0%"/>
            <v:imagedata cropleft="699f" croptop="952f" cropright="1264f" gain="65536f" blacklevel="0f" gamma="0" o:title="" r:id="rId57"/>
            <o:lock v:ext="edit" position="f" selection="f" grouping="f" rotation="f" cropping="f" text="f" aspectratio="t"/>
            <w10:wrap type="topAndBottom"/>
          </v:shape>
        </w:pict>
      </w:r>
      <w:r>
        <w:rPr>
          <w:rFonts w:eastAsia="黑体"/>
          <w:b/>
          <w:bCs/>
          <w:sz w:val="24"/>
          <w:szCs w:val="22"/>
        </w:rPr>
        <w:t>图2-4-</w:t>
      </w:r>
      <w:r>
        <w:rPr>
          <w:rFonts w:hint="eastAsia" w:eastAsia="黑体"/>
          <w:b/>
          <w:bCs/>
          <w:sz w:val="24"/>
          <w:szCs w:val="22"/>
        </w:rPr>
        <w:t>5</w:t>
      </w:r>
      <w:r>
        <w:rPr>
          <w:rFonts w:eastAsia="黑体"/>
          <w:b/>
          <w:bCs/>
          <w:sz w:val="24"/>
          <w:szCs w:val="22"/>
        </w:rPr>
        <w:t xml:space="preserve"> 长沙县城区商服、住宅</w:t>
      </w:r>
      <w:r>
        <w:rPr>
          <w:rFonts w:hint="eastAsia" w:eastAsia="黑体"/>
          <w:b/>
          <w:bCs/>
          <w:sz w:val="24"/>
          <w:szCs w:val="22"/>
        </w:rPr>
        <w:t>和公共管理与公共服务用地初步</w:t>
      </w:r>
      <w:r>
        <w:rPr>
          <w:rFonts w:eastAsia="黑体"/>
          <w:b/>
          <w:bCs/>
          <w:sz w:val="24"/>
          <w:szCs w:val="22"/>
        </w:rPr>
        <w:t>定级图</w:t>
      </w:r>
      <w:r>
        <w:rPr>
          <w:rFonts w:hint="eastAsia" w:ascii="Times New Roman" w:hAnsi="Times New Roman" w:eastAsia="黑体" w:cs="Times New Roman"/>
          <w:kern w:val="2"/>
          <w:sz w:val="28"/>
          <w:szCs w:val="28"/>
          <w:lang w:val="en-US" w:eastAsia="zh-CN" w:bidi="ar-SA"/>
        </w:rPr>
        <w:pict>
          <v:shape id="图片 119" o:spid="_x0000_s1138" type="#_x0000_t75" style="height:519.8pt;width:379.2pt;rotation:0f;" o:ole="f" fillcolor="#FFFFFF" filled="f" o:preferrelative="t" stroked="f" coordorigin="0,0" coordsize="21600,21600">
            <v:fill on="f" color2="#FFFFFF" focus="0%"/>
            <v:imagedata gain="65536f" blacklevel="0f" gamma="0" o:title="" r:id="rId58"/>
            <o:lock v:ext="edit" position="f" selection="f" grouping="f" rotation="f" cropping="f" text="f" aspectratio="t"/>
            <w10:wrap type="none"/>
            <w10:anchorlock/>
          </v:shape>
        </w:pict>
      </w:r>
    </w:p>
    <w:p>
      <w:pPr>
        <w:spacing w:line="360" w:lineRule="auto"/>
        <w:jc w:val="center"/>
        <w:rPr>
          <w:rFonts w:eastAsia="黑体"/>
          <w:b/>
          <w:bCs/>
          <w:sz w:val="24"/>
          <w:szCs w:val="22"/>
        </w:rPr>
      </w:pPr>
      <w:r>
        <w:rPr>
          <w:rFonts w:eastAsia="黑体"/>
          <w:b/>
          <w:bCs/>
          <w:sz w:val="24"/>
          <w:szCs w:val="22"/>
        </w:rPr>
        <w:t>图2-4-</w:t>
      </w:r>
      <w:r>
        <w:rPr>
          <w:rFonts w:hint="eastAsia" w:eastAsia="黑体"/>
          <w:b/>
          <w:bCs/>
          <w:sz w:val="24"/>
          <w:szCs w:val="22"/>
        </w:rPr>
        <w:t>6</w:t>
      </w:r>
      <w:r>
        <w:rPr>
          <w:rFonts w:eastAsia="黑体"/>
          <w:b/>
          <w:bCs/>
          <w:sz w:val="24"/>
          <w:szCs w:val="22"/>
        </w:rPr>
        <w:t xml:space="preserve"> 长沙县城区工矿仓储用地</w:t>
      </w:r>
      <w:r>
        <w:rPr>
          <w:rFonts w:hint="eastAsia" w:eastAsia="黑体"/>
          <w:b/>
          <w:bCs/>
          <w:sz w:val="24"/>
          <w:szCs w:val="22"/>
        </w:rPr>
        <w:t>初步</w:t>
      </w:r>
      <w:r>
        <w:rPr>
          <w:rFonts w:eastAsia="黑体"/>
          <w:b/>
          <w:bCs/>
          <w:sz w:val="24"/>
          <w:szCs w:val="22"/>
        </w:rPr>
        <w:t>定级</w:t>
      </w:r>
      <w:r>
        <w:rPr>
          <w:rFonts w:hint="eastAsia" w:eastAsia="黑体"/>
          <w:b/>
          <w:bCs/>
          <w:sz w:val="24"/>
          <w:szCs w:val="22"/>
        </w:rPr>
        <w:t>图</w:t>
      </w:r>
    </w:p>
    <w:p>
      <w:pPr>
        <w:spacing w:line="560" w:lineRule="exact"/>
        <w:ind w:firstLine="560" w:firstLineChars="200"/>
        <w:outlineLvl w:val="2"/>
        <w:rPr>
          <w:rFonts w:eastAsia="黑体"/>
          <w:sz w:val="28"/>
          <w:szCs w:val="28"/>
        </w:rPr>
      </w:pPr>
      <w:bookmarkStart w:id="414" w:name="_Toc15068"/>
      <w:r>
        <w:rPr>
          <w:rFonts w:hint="eastAsia" w:eastAsia="黑体"/>
          <w:sz w:val="28"/>
          <w:szCs w:val="28"/>
        </w:rPr>
        <w:t>五</w:t>
      </w:r>
      <w:r>
        <w:rPr>
          <w:rFonts w:eastAsia="黑体"/>
          <w:sz w:val="28"/>
          <w:szCs w:val="28"/>
        </w:rPr>
        <w:t>、土地级别的检验及调整</w:t>
      </w:r>
      <w:bookmarkEnd w:id="409"/>
      <w:bookmarkEnd w:id="410"/>
      <w:bookmarkEnd w:id="411"/>
      <w:bookmarkEnd w:id="412"/>
      <w:bookmarkEnd w:id="414"/>
    </w:p>
    <w:p>
      <w:pPr>
        <w:spacing w:line="480" w:lineRule="exact"/>
        <w:ind w:firstLine="480" w:firstLineChars="200"/>
        <w:rPr>
          <w:sz w:val="24"/>
          <w:szCs w:val="24"/>
        </w:rPr>
      </w:pPr>
      <w:r>
        <w:rPr>
          <w:sz w:val="24"/>
          <w:szCs w:val="24"/>
        </w:rPr>
        <w:t>采用多因素综合评定法确定的是土地的初步级别，但是否能真实地反映各级别之间的土地质量差异，还需通过土地级差收益测算或市场交易价格定级进行验证，并根据验证结果对其修订与调整。对于上述多因素定级成果，我们展开了三个方面的验证：</w:t>
      </w:r>
    </w:p>
    <w:p>
      <w:pPr>
        <w:spacing w:line="480" w:lineRule="exact"/>
        <w:ind w:firstLine="480" w:firstLineChars="200"/>
        <w:rPr>
          <w:sz w:val="24"/>
          <w:szCs w:val="24"/>
        </w:rPr>
      </w:pPr>
      <w:r>
        <w:rPr>
          <w:sz w:val="24"/>
          <w:szCs w:val="24"/>
        </w:rPr>
        <w:t>1、将该成果与上一轮定级成果进行比对。经比较，该成果保证了与上一轮成果的充分衔接，并没有大范围的全面的调整，并且并没有违背土地不断增值这一规律和特性，即在级别调整过程中，没有出现上一轮高级别范围变为这一轮更新成果的低级别范围的情况，而是随着社会经济的发展，同一用途低级别范围向高级别范围转变。</w:t>
      </w:r>
    </w:p>
    <w:p>
      <w:pPr>
        <w:spacing w:line="480" w:lineRule="exact"/>
        <w:ind w:firstLine="480" w:firstLineChars="200"/>
        <w:rPr>
          <w:sz w:val="24"/>
          <w:szCs w:val="24"/>
        </w:rPr>
      </w:pPr>
      <w:r>
        <w:rPr>
          <w:sz w:val="24"/>
          <w:szCs w:val="24"/>
        </w:rPr>
        <w:t>2、长沙县土地市场较为发达，土地交易案例比较丰富，具备了利用市场交易样点资料划分土地级别的基本条件，故本次长沙县城区土地定级还可以采用市场交易价格定级法来校验多因素综合评定法的划分结果，并以此作为土地级别调整的主要依据之一。市场交易价格定级法校验土地级别的工作步骤：</w:t>
      </w:r>
    </w:p>
    <w:p>
      <w:pPr>
        <w:spacing w:line="480" w:lineRule="exact"/>
        <w:ind w:firstLine="480" w:firstLineChars="200"/>
        <w:rPr>
          <w:sz w:val="24"/>
          <w:szCs w:val="24"/>
        </w:rPr>
      </w:pPr>
      <w:r>
        <w:rPr>
          <w:sz w:val="24"/>
          <w:szCs w:val="24"/>
        </w:rPr>
        <w:t>（1）根据用地性质、区位条件和样本地价水平划分均质区域。</w:t>
      </w:r>
    </w:p>
    <w:p>
      <w:pPr>
        <w:spacing w:line="480" w:lineRule="exact"/>
        <w:ind w:firstLine="480" w:firstLineChars="200"/>
        <w:rPr>
          <w:sz w:val="24"/>
          <w:szCs w:val="24"/>
        </w:rPr>
      </w:pPr>
      <w:r>
        <w:rPr>
          <w:sz w:val="24"/>
          <w:szCs w:val="24"/>
        </w:rPr>
        <w:t>（2）对均质区域内的样点地价进行统计检验和分析，得出各均质区域的平均地价。</w:t>
      </w:r>
    </w:p>
    <w:p>
      <w:pPr>
        <w:spacing w:line="480" w:lineRule="exact"/>
        <w:ind w:firstLine="480" w:firstLineChars="200"/>
        <w:rPr>
          <w:sz w:val="24"/>
          <w:szCs w:val="24"/>
        </w:rPr>
      </w:pPr>
      <w:r>
        <w:rPr>
          <w:sz w:val="24"/>
          <w:szCs w:val="24"/>
        </w:rPr>
        <w:t>（3）根据均质区域样本平均地价水平，采用数轴法及方差分析确定各土地级别相对应的平均地价区间。</w:t>
      </w:r>
    </w:p>
    <w:p>
      <w:pPr>
        <w:spacing w:line="480" w:lineRule="exact"/>
        <w:ind w:firstLine="480" w:firstLineChars="200"/>
        <w:rPr>
          <w:sz w:val="24"/>
          <w:szCs w:val="24"/>
        </w:rPr>
      </w:pPr>
      <w:r>
        <w:rPr>
          <w:sz w:val="24"/>
          <w:szCs w:val="24"/>
        </w:rPr>
        <w:t>（4）在图上对处于同一地价区间的相邻均质区域勾画连块，落实边界，形成市场交易价格定级结果。</w:t>
      </w:r>
    </w:p>
    <w:p>
      <w:pPr>
        <w:spacing w:line="480" w:lineRule="exact"/>
        <w:ind w:firstLine="480" w:firstLineChars="200"/>
        <w:rPr>
          <w:sz w:val="24"/>
          <w:szCs w:val="24"/>
        </w:rPr>
      </w:pPr>
      <w:r>
        <w:rPr>
          <w:sz w:val="24"/>
          <w:szCs w:val="24"/>
        </w:rPr>
        <w:t>在前文中对长沙县土地市场交易和房地产市场交易情况进行了分析，就土地价格和房产价格的在区域上的变化与我们划定的级别范围是相吻合的。另外在后文中也将深入分析，将各均质区域的价格进行聚类合并后，也基本与通过综合定级因素划定的级别范围相吻合。</w:t>
      </w:r>
    </w:p>
    <w:p>
      <w:pPr>
        <w:spacing w:line="480" w:lineRule="exact"/>
        <w:ind w:firstLine="480" w:firstLineChars="200"/>
        <w:rPr>
          <w:sz w:val="24"/>
          <w:szCs w:val="24"/>
        </w:rPr>
      </w:pPr>
      <w:r>
        <w:rPr>
          <w:sz w:val="24"/>
          <w:szCs w:val="24"/>
        </w:rPr>
        <w:t>3、为了保证该成果科学、合理且符合实际，我们邀请了长沙县国土资源局、规建局的有关领导、专家、估价师从长沙县发展现状、未来发展重点、实际市场交易情况等多方面对级别范围划定的合理性和前瞻性进行了分析，并进行现场评议，还对某些有争议的区域进行实地踏勘，有针对性的对一些局部区域进行了调整</w:t>
      </w:r>
      <w:r>
        <w:rPr>
          <w:rFonts w:hint="eastAsia"/>
          <w:sz w:val="24"/>
          <w:szCs w:val="24"/>
        </w:rPr>
        <w:t>。同时，由于本轮工矿仓储用地的初步定级范围与上轮工矿仓储用地级别范围差异不大，为了保持基准地价使用的延续性，经县政府常务会审议决定，本次工矿仓储用地级别范围与上轮保持一致。</w:t>
      </w:r>
    </w:p>
    <w:p>
      <w:pPr>
        <w:spacing w:line="560" w:lineRule="exact"/>
        <w:ind w:firstLine="560" w:firstLineChars="200"/>
        <w:outlineLvl w:val="2"/>
        <w:rPr>
          <w:rFonts w:eastAsia="黑体"/>
          <w:sz w:val="28"/>
          <w:szCs w:val="28"/>
        </w:rPr>
      </w:pPr>
      <w:bookmarkStart w:id="415" w:name="_Toc470721300"/>
      <w:bookmarkStart w:id="416" w:name="_Toc469296449"/>
      <w:bookmarkStart w:id="417" w:name="_Toc31471"/>
      <w:bookmarkStart w:id="418" w:name="_Toc467846841"/>
      <w:bookmarkStart w:id="419" w:name="_Toc3134"/>
      <w:r>
        <w:rPr>
          <w:rFonts w:hint="eastAsia" w:eastAsia="黑体"/>
          <w:sz w:val="28"/>
          <w:szCs w:val="28"/>
        </w:rPr>
        <w:t>六</w:t>
      </w:r>
      <w:r>
        <w:rPr>
          <w:rFonts w:eastAsia="黑体"/>
          <w:sz w:val="28"/>
          <w:szCs w:val="28"/>
        </w:rPr>
        <w:t>、土地级别的最终确定</w:t>
      </w:r>
      <w:bookmarkEnd w:id="415"/>
      <w:bookmarkEnd w:id="416"/>
      <w:bookmarkEnd w:id="417"/>
      <w:bookmarkEnd w:id="418"/>
      <w:bookmarkEnd w:id="419"/>
    </w:p>
    <w:p>
      <w:pPr>
        <w:spacing w:line="480" w:lineRule="exact"/>
        <w:ind w:firstLine="480" w:firstLineChars="200"/>
        <w:rPr>
          <w:sz w:val="24"/>
          <w:szCs w:val="24"/>
        </w:rPr>
      </w:pPr>
      <w:r>
        <w:rPr>
          <w:sz w:val="24"/>
          <w:szCs w:val="24"/>
        </w:rPr>
        <w:t>在初步定级的基础上，结合县城实际发展情况，结合交易样点的论证，并经征求相关部门的意见，对初步成果进行了适当调整，并最终得出长沙县城区</w:t>
      </w:r>
      <w:r>
        <w:rPr>
          <w:rFonts w:hint="eastAsia"/>
          <w:sz w:val="24"/>
          <w:szCs w:val="24"/>
        </w:rPr>
        <w:t>商服、住宅和公共管理与公共服务用地</w:t>
      </w:r>
      <w:r>
        <w:rPr>
          <w:sz w:val="24"/>
          <w:szCs w:val="24"/>
        </w:rPr>
        <w:t>综合定级成果图</w:t>
      </w:r>
      <w:r>
        <w:rPr>
          <w:rFonts w:hint="eastAsia"/>
          <w:sz w:val="24"/>
          <w:szCs w:val="24"/>
        </w:rPr>
        <w:t>以及</w:t>
      </w:r>
      <w:r>
        <w:rPr>
          <w:sz w:val="24"/>
          <w:szCs w:val="24"/>
        </w:rPr>
        <w:t>长沙县城区工矿仓储用地定级图</w:t>
      </w:r>
      <w:r>
        <w:rPr>
          <w:rFonts w:hint="eastAsia"/>
          <w:sz w:val="24"/>
          <w:szCs w:val="24"/>
        </w:rPr>
        <w:t>，</w:t>
      </w:r>
      <w:r>
        <w:rPr>
          <w:sz w:val="24"/>
        </w:rPr>
        <w:t>级别数量均为5级</w:t>
      </w:r>
      <w:r>
        <w:rPr>
          <w:sz w:val="24"/>
          <w:szCs w:val="24"/>
        </w:rPr>
        <w:t>。各土地级别范围描述见表2-4-1、2-4-3，各级别面积见表2-4-2、2-4-4。</w:t>
      </w:r>
    </w:p>
    <w:p>
      <w:pPr>
        <w:spacing w:line="360" w:lineRule="auto"/>
        <w:jc w:val="center"/>
        <w:rPr>
          <w:rFonts w:eastAsia="黑体"/>
          <w:b/>
          <w:bCs/>
          <w:sz w:val="24"/>
        </w:rPr>
      </w:pPr>
      <w:r>
        <w:rPr>
          <w:rFonts w:eastAsia="黑体"/>
          <w:b/>
          <w:bCs/>
          <w:sz w:val="24"/>
        </w:rPr>
        <w:br w:type="page"/>
      </w:r>
      <w:r>
        <w:rPr>
          <w:rFonts w:eastAsia="黑体"/>
          <w:b/>
          <w:bCs/>
          <w:sz w:val="24"/>
        </w:rPr>
        <w:t>表2-4-1  长沙县城区商服、住宅和</w:t>
      </w:r>
      <w:r>
        <w:rPr>
          <w:rFonts w:hint="eastAsia" w:eastAsia="黑体"/>
          <w:b/>
          <w:bCs/>
          <w:sz w:val="24"/>
        </w:rPr>
        <w:t>公共管理与公共服务用地综合定级</w:t>
      </w:r>
      <w:r>
        <w:rPr>
          <w:rFonts w:eastAsia="黑体"/>
          <w:b/>
          <w:bCs/>
          <w:sz w:val="24"/>
        </w:rPr>
        <w:t>级别范围描述</w:t>
      </w:r>
    </w:p>
    <w:tbl>
      <w:tblPr>
        <w:tblW w:w="90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01" w:type="dxa"/>
            <w:vAlign w:val="center"/>
          </w:tcPr>
          <w:p>
            <w:pPr>
              <w:widowControl/>
              <w:spacing w:line="360" w:lineRule="exact"/>
              <w:jc w:val="center"/>
              <w:rPr>
                <w:b/>
                <w:bCs/>
                <w:color w:val="000000"/>
                <w:kern w:val="0"/>
                <w:szCs w:val="21"/>
              </w:rPr>
            </w:pPr>
            <w:r>
              <w:rPr>
                <w:b/>
                <w:bCs/>
                <w:color w:val="000000"/>
                <w:kern w:val="0"/>
                <w:szCs w:val="21"/>
              </w:rPr>
              <w:t>土地级别</w:t>
            </w:r>
          </w:p>
        </w:tc>
        <w:tc>
          <w:tcPr>
            <w:tcW w:w="7938" w:type="dxa"/>
            <w:vAlign w:val="center"/>
          </w:tcPr>
          <w:p>
            <w:pPr>
              <w:widowControl/>
              <w:spacing w:line="360" w:lineRule="exact"/>
              <w:jc w:val="center"/>
              <w:rPr>
                <w:b/>
                <w:bCs/>
                <w:color w:val="000000"/>
                <w:kern w:val="0"/>
                <w:szCs w:val="21"/>
              </w:rPr>
            </w:pPr>
            <w:r>
              <w:rPr>
                <w:b/>
                <w:bCs/>
                <w:color w:val="000000"/>
                <w:kern w:val="0"/>
                <w:szCs w:val="21"/>
              </w:rPr>
              <w:t>片区范围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01" w:type="dxa"/>
            <w:vAlign w:val="top"/>
          </w:tcPr>
          <w:p>
            <w:pPr>
              <w:spacing w:line="360" w:lineRule="exact"/>
              <w:jc w:val="center"/>
              <w:rPr>
                <w:b/>
                <w:bCs/>
                <w:color w:val="000000"/>
                <w:sz w:val="22"/>
                <w:szCs w:val="22"/>
              </w:rPr>
            </w:pPr>
            <w:r>
              <w:rPr>
                <w:b/>
                <w:bCs/>
                <w:color w:val="000000"/>
                <w:sz w:val="22"/>
                <w:szCs w:val="22"/>
              </w:rPr>
              <w:t>Ⅰ</w:t>
            </w:r>
          </w:p>
        </w:tc>
        <w:tc>
          <w:tcPr>
            <w:tcW w:w="7938" w:type="dxa"/>
            <w:vAlign w:val="center"/>
          </w:tcPr>
          <w:p>
            <w:pPr>
              <w:widowControl/>
              <w:shd w:val="clear" w:color="auto" w:fill="FFFFFF"/>
              <w:spacing w:line="360" w:lineRule="exact"/>
              <w:rPr>
                <w:color w:val="000000"/>
                <w:kern w:val="0"/>
                <w:sz w:val="22"/>
                <w:szCs w:val="22"/>
              </w:rPr>
            </w:pPr>
            <w:r>
              <w:rPr>
                <w:bCs/>
                <w:kern w:val="0"/>
                <w:sz w:val="20"/>
              </w:rPr>
              <w:t>京珠高速—望仙路—东三线—开元路—东一线—长浏高速—京珠高速；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01" w:type="dxa"/>
            <w:vAlign w:val="top"/>
          </w:tcPr>
          <w:p>
            <w:pPr>
              <w:spacing w:line="360" w:lineRule="exact"/>
              <w:jc w:val="center"/>
              <w:rPr>
                <w:b/>
                <w:bCs/>
                <w:color w:val="000000"/>
                <w:sz w:val="22"/>
                <w:szCs w:val="22"/>
              </w:rPr>
            </w:pPr>
            <w:r>
              <w:rPr>
                <w:b/>
                <w:bCs/>
                <w:color w:val="000000"/>
                <w:sz w:val="22"/>
                <w:szCs w:val="22"/>
              </w:rPr>
              <w:t>Ⅱ</w:t>
            </w:r>
          </w:p>
        </w:tc>
        <w:tc>
          <w:tcPr>
            <w:tcW w:w="7938" w:type="dxa"/>
            <w:vAlign w:val="center"/>
          </w:tcPr>
          <w:p>
            <w:pPr>
              <w:widowControl/>
              <w:shd w:val="clear" w:color="auto" w:fill="FFFFFF"/>
              <w:spacing w:line="360" w:lineRule="exact"/>
              <w:rPr>
                <w:color w:val="000000"/>
                <w:kern w:val="0"/>
                <w:sz w:val="22"/>
                <w:szCs w:val="22"/>
              </w:rPr>
            </w:pPr>
            <w:r>
              <w:rPr>
                <w:sz w:val="20"/>
              </w:rPr>
              <w:t>规划道路—捞刀河路—捞刀河—捞刀河路—东七线—漓湘路—小塘路—泉源路—东六线—远大二路—长沙县靠市区行政界线—规划道路（Ⅰ级区域除外）；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01" w:type="dxa"/>
            <w:vAlign w:val="top"/>
          </w:tcPr>
          <w:p>
            <w:pPr>
              <w:spacing w:line="360" w:lineRule="exact"/>
              <w:jc w:val="center"/>
              <w:rPr>
                <w:b/>
                <w:bCs/>
                <w:color w:val="000000"/>
                <w:sz w:val="22"/>
                <w:szCs w:val="22"/>
              </w:rPr>
            </w:pPr>
            <w:r>
              <w:rPr>
                <w:b/>
                <w:bCs/>
                <w:color w:val="000000"/>
                <w:sz w:val="22"/>
                <w:szCs w:val="22"/>
              </w:rPr>
              <w:t>Ⅲ</w:t>
            </w:r>
          </w:p>
        </w:tc>
        <w:tc>
          <w:tcPr>
            <w:tcW w:w="7938" w:type="dxa"/>
            <w:vAlign w:val="center"/>
          </w:tcPr>
          <w:p>
            <w:pPr>
              <w:widowControl/>
              <w:shd w:val="clear" w:color="auto" w:fill="FFFFFF"/>
              <w:spacing w:line="360" w:lineRule="exact"/>
              <w:rPr>
                <w:color w:val="000000"/>
                <w:kern w:val="0"/>
                <w:sz w:val="22"/>
                <w:szCs w:val="22"/>
              </w:rPr>
            </w:pPr>
            <w:r>
              <w:rPr>
                <w:sz w:val="20"/>
              </w:rPr>
              <w:t>长沙县靠市区行政界线—捞刀河—韶塘坡路—福安路—北头港路—黄兴大道—滨湖东路—龙塘路—漓湘路—黄兴大道—机场高速—浏阳河—长沙县靠市区行政界线（Ⅰ级、Ⅱ级区域除外）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01" w:type="dxa"/>
            <w:vAlign w:val="top"/>
          </w:tcPr>
          <w:p>
            <w:pPr>
              <w:spacing w:line="360" w:lineRule="exact"/>
              <w:jc w:val="center"/>
              <w:rPr>
                <w:b/>
                <w:bCs/>
                <w:color w:val="000000"/>
                <w:sz w:val="22"/>
                <w:szCs w:val="22"/>
              </w:rPr>
            </w:pPr>
            <w:r>
              <w:rPr>
                <w:b/>
                <w:bCs/>
                <w:color w:val="000000"/>
                <w:sz w:val="22"/>
                <w:szCs w:val="22"/>
              </w:rPr>
              <w:t>Ⅳ</w:t>
            </w:r>
          </w:p>
        </w:tc>
        <w:tc>
          <w:tcPr>
            <w:tcW w:w="7938" w:type="dxa"/>
            <w:vAlign w:val="center"/>
          </w:tcPr>
          <w:p>
            <w:pPr>
              <w:widowControl/>
              <w:shd w:val="clear" w:color="auto" w:fill="FFFFFF"/>
              <w:spacing w:line="360" w:lineRule="exact"/>
              <w:rPr>
                <w:color w:val="000000"/>
                <w:kern w:val="0"/>
                <w:sz w:val="22"/>
                <w:szCs w:val="22"/>
              </w:rPr>
            </w:pPr>
            <w:r>
              <w:rPr>
                <w:sz w:val="20"/>
              </w:rPr>
              <w:t>长沙县靠市区行政界线—物流大道—东十一线—机场高速—黄兴大道—北头港路—福安路—韶塘坡路—浏阳河—长沙县靠市区行政界线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01" w:type="dxa"/>
            <w:vAlign w:val="top"/>
          </w:tcPr>
          <w:p>
            <w:pPr>
              <w:spacing w:line="360" w:lineRule="exact"/>
              <w:jc w:val="center"/>
              <w:rPr>
                <w:b/>
                <w:bCs/>
                <w:color w:val="000000"/>
                <w:sz w:val="22"/>
                <w:szCs w:val="22"/>
              </w:rPr>
            </w:pPr>
            <w:r>
              <w:rPr>
                <w:b/>
                <w:bCs/>
                <w:color w:val="000000"/>
                <w:sz w:val="22"/>
                <w:szCs w:val="22"/>
              </w:rPr>
              <w:t>Ⅴ</w:t>
            </w:r>
          </w:p>
        </w:tc>
        <w:tc>
          <w:tcPr>
            <w:tcW w:w="7938" w:type="dxa"/>
            <w:vAlign w:val="center"/>
          </w:tcPr>
          <w:p>
            <w:pPr>
              <w:widowControl/>
              <w:shd w:val="clear" w:color="auto" w:fill="FFFFFF"/>
              <w:spacing w:line="360" w:lineRule="exact"/>
              <w:rPr>
                <w:color w:val="000000"/>
                <w:kern w:val="0"/>
                <w:sz w:val="22"/>
                <w:szCs w:val="22"/>
              </w:rPr>
            </w:pPr>
            <w:r>
              <w:rPr>
                <w:sz w:val="20"/>
              </w:rPr>
              <w:t>在县城基准地价更新范围内，除Ⅰ、Ⅱ、Ⅲ、Ⅳ级区以外的区域。</w:t>
            </w:r>
          </w:p>
        </w:tc>
      </w:tr>
    </w:tbl>
    <w:p>
      <w:pPr>
        <w:spacing w:line="360" w:lineRule="auto"/>
        <w:jc w:val="center"/>
        <w:rPr>
          <w:rFonts w:eastAsia="黑体"/>
          <w:b/>
          <w:sz w:val="24"/>
          <w:szCs w:val="24"/>
        </w:rPr>
      </w:pPr>
    </w:p>
    <w:p>
      <w:pPr>
        <w:spacing w:line="360" w:lineRule="auto"/>
        <w:jc w:val="center"/>
        <w:rPr>
          <w:rFonts w:eastAsia="黑体"/>
          <w:b/>
          <w:sz w:val="24"/>
          <w:szCs w:val="24"/>
        </w:rPr>
      </w:pPr>
      <w:r>
        <w:rPr>
          <w:rFonts w:eastAsia="黑体"/>
          <w:b/>
          <w:sz w:val="24"/>
          <w:szCs w:val="24"/>
        </w:rPr>
        <w:t xml:space="preserve">表2-4-2  </w:t>
      </w:r>
      <w:r>
        <w:rPr>
          <w:rFonts w:eastAsia="黑体"/>
          <w:b/>
          <w:bCs/>
          <w:sz w:val="24"/>
        </w:rPr>
        <w:t>城区商服、住宅和</w:t>
      </w:r>
      <w:r>
        <w:rPr>
          <w:rFonts w:hint="eastAsia" w:eastAsia="黑体"/>
          <w:b/>
          <w:bCs/>
          <w:sz w:val="24"/>
        </w:rPr>
        <w:t>公共管理与公共服务用地综合定级</w:t>
      </w:r>
      <w:r>
        <w:rPr>
          <w:rFonts w:eastAsia="黑体"/>
          <w:b/>
          <w:sz w:val="24"/>
          <w:szCs w:val="24"/>
        </w:rPr>
        <w:t>土地面积统计表</w:t>
      </w:r>
    </w:p>
    <w:p>
      <w:pPr>
        <w:adjustRightInd w:val="0"/>
        <w:snapToGrid w:val="0"/>
        <w:ind w:firstLine="422" w:firstLineChars="200"/>
        <w:jc w:val="right"/>
        <w:rPr>
          <w:b/>
          <w:szCs w:val="21"/>
        </w:rPr>
      </w:pPr>
      <w:r>
        <w:rPr>
          <w:b/>
          <w:szCs w:val="21"/>
        </w:rPr>
        <w:t>单位：平方公里</w:t>
      </w:r>
    </w:p>
    <w:tbl>
      <w:tblPr>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786"/>
        <w:gridCol w:w="984"/>
        <w:gridCol w:w="833"/>
        <w:gridCol w:w="984"/>
        <w:gridCol w:w="984"/>
        <w:gridCol w:w="1355"/>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2154" w:type="dxa"/>
            <w:vAlign w:val="center"/>
          </w:tcPr>
          <w:p>
            <w:pPr>
              <w:spacing w:line="240" w:lineRule="exact"/>
              <w:jc w:val="center"/>
              <w:rPr>
                <w:b/>
                <w:sz w:val="20"/>
              </w:rPr>
            </w:pPr>
            <w:r>
              <w:rPr>
                <w:b/>
                <w:sz w:val="20"/>
              </w:rPr>
              <w:t>土地级别</w:t>
            </w:r>
          </w:p>
        </w:tc>
        <w:tc>
          <w:tcPr>
            <w:tcW w:w="786" w:type="dxa"/>
            <w:vAlign w:val="center"/>
          </w:tcPr>
          <w:p>
            <w:pPr>
              <w:spacing w:line="240" w:lineRule="exact"/>
              <w:jc w:val="center"/>
              <w:rPr>
                <w:b/>
                <w:sz w:val="20"/>
              </w:rPr>
            </w:pPr>
            <w:r>
              <w:rPr>
                <w:b/>
                <w:sz w:val="20"/>
              </w:rPr>
              <w:t>一级</w:t>
            </w:r>
          </w:p>
        </w:tc>
        <w:tc>
          <w:tcPr>
            <w:tcW w:w="984" w:type="dxa"/>
            <w:vAlign w:val="center"/>
          </w:tcPr>
          <w:p>
            <w:pPr>
              <w:spacing w:line="240" w:lineRule="exact"/>
              <w:jc w:val="center"/>
              <w:rPr>
                <w:b/>
                <w:sz w:val="20"/>
              </w:rPr>
            </w:pPr>
            <w:r>
              <w:rPr>
                <w:b/>
                <w:sz w:val="20"/>
              </w:rPr>
              <w:t>二级</w:t>
            </w:r>
          </w:p>
        </w:tc>
        <w:tc>
          <w:tcPr>
            <w:tcW w:w="833" w:type="dxa"/>
            <w:vAlign w:val="center"/>
          </w:tcPr>
          <w:p>
            <w:pPr>
              <w:spacing w:line="240" w:lineRule="exact"/>
              <w:jc w:val="center"/>
              <w:rPr>
                <w:b/>
                <w:sz w:val="20"/>
              </w:rPr>
            </w:pPr>
            <w:r>
              <w:rPr>
                <w:b/>
                <w:sz w:val="20"/>
              </w:rPr>
              <w:t>三级</w:t>
            </w:r>
          </w:p>
        </w:tc>
        <w:tc>
          <w:tcPr>
            <w:tcW w:w="984" w:type="dxa"/>
            <w:vAlign w:val="center"/>
          </w:tcPr>
          <w:p>
            <w:pPr>
              <w:spacing w:line="240" w:lineRule="exact"/>
              <w:jc w:val="center"/>
              <w:rPr>
                <w:b/>
                <w:sz w:val="20"/>
              </w:rPr>
            </w:pPr>
            <w:r>
              <w:rPr>
                <w:b/>
                <w:sz w:val="20"/>
              </w:rPr>
              <w:t>四级</w:t>
            </w:r>
          </w:p>
        </w:tc>
        <w:tc>
          <w:tcPr>
            <w:tcW w:w="984" w:type="dxa"/>
            <w:vAlign w:val="center"/>
          </w:tcPr>
          <w:p>
            <w:pPr>
              <w:spacing w:line="240" w:lineRule="exact"/>
              <w:jc w:val="center"/>
              <w:rPr>
                <w:b/>
                <w:sz w:val="20"/>
              </w:rPr>
            </w:pPr>
            <w:r>
              <w:rPr>
                <w:b/>
                <w:sz w:val="20"/>
              </w:rPr>
              <w:t>五级</w:t>
            </w:r>
          </w:p>
        </w:tc>
        <w:tc>
          <w:tcPr>
            <w:tcW w:w="1355" w:type="dxa"/>
            <w:vAlign w:val="center"/>
          </w:tcPr>
          <w:p>
            <w:pPr>
              <w:spacing w:line="240" w:lineRule="exact"/>
              <w:jc w:val="center"/>
              <w:rPr>
                <w:b/>
                <w:sz w:val="20"/>
              </w:rPr>
            </w:pPr>
            <w:r>
              <w:rPr>
                <w:b/>
                <w:sz w:val="20"/>
              </w:rPr>
              <w:t>其他</w:t>
            </w:r>
          </w:p>
          <w:p>
            <w:pPr>
              <w:spacing w:line="240" w:lineRule="exact"/>
              <w:jc w:val="center"/>
              <w:rPr>
                <w:b/>
                <w:sz w:val="20"/>
              </w:rPr>
            </w:pPr>
            <w:r>
              <w:rPr>
                <w:b/>
                <w:sz w:val="20"/>
              </w:rPr>
              <w:t>（水系道路）</w:t>
            </w:r>
          </w:p>
        </w:tc>
        <w:tc>
          <w:tcPr>
            <w:tcW w:w="952" w:type="dxa"/>
            <w:vAlign w:val="center"/>
          </w:tcPr>
          <w:p>
            <w:pPr>
              <w:spacing w:line="240" w:lineRule="exact"/>
              <w:jc w:val="center"/>
              <w:rPr>
                <w:b/>
                <w:sz w:val="20"/>
              </w:rPr>
            </w:pPr>
            <w:r>
              <w:rPr>
                <w:b/>
                <w:sz w:val="20"/>
              </w:rPr>
              <w:t>土地总面积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2154" w:type="dxa"/>
            <w:vAlign w:val="center"/>
          </w:tcPr>
          <w:p>
            <w:pPr>
              <w:jc w:val="center"/>
              <w:rPr>
                <w:b/>
                <w:sz w:val="20"/>
              </w:rPr>
            </w:pPr>
            <w:r>
              <w:rPr>
                <w:b/>
                <w:sz w:val="20"/>
              </w:rPr>
              <w:t>级别面积（km</w:t>
            </w:r>
            <w:r>
              <w:rPr>
                <w:b/>
                <w:sz w:val="20"/>
                <w:vertAlign w:val="superscript"/>
              </w:rPr>
              <w:t>2</w:t>
            </w:r>
            <w:r>
              <w:rPr>
                <w:b/>
                <w:sz w:val="20"/>
              </w:rPr>
              <w:t>）</w:t>
            </w:r>
          </w:p>
        </w:tc>
        <w:tc>
          <w:tcPr>
            <w:tcW w:w="786" w:type="dxa"/>
            <w:vAlign w:val="center"/>
          </w:tcPr>
          <w:p>
            <w:pPr>
              <w:widowControl/>
              <w:jc w:val="center"/>
              <w:textAlignment w:val="bottom"/>
              <w:rPr>
                <w:color w:val="000000"/>
                <w:sz w:val="20"/>
              </w:rPr>
            </w:pPr>
            <w:r>
              <w:rPr>
                <w:rFonts w:eastAsia="Tahoma"/>
                <w:color w:val="000000"/>
                <w:kern w:val="0"/>
                <w:sz w:val="20"/>
                <w:lang/>
              </w:rPr>
              <w:t>3.13</w:t>
            </w:r>
          </w:p>
        </w:tc>
        <w:tc>
          <w:tcPr>
            <w:tcW w:w="984" w:type="dxa"/>
            <w:vAlign w:val="center"/>
          </w:tcPr>
          <w:p>
            <w:pPr>
              <w:widowControl/>
              <w:jc w:val="center"/>
              <w:textAlignment w:val="bottom"/>
              <w:rPr>
                <w:color w:val="000000"/>
                <w:sz w:val="20"/>
              </w:rPr>
            </w:pPr>
            <w:r>
              <w:rPr>
                <w:rFonts w:eastAsia="Tahoma"/>
                <w:color w:val="000000"/>
                <w:kern w:val="0"/>
                <w:sz w:val="20"/>
                <w:lang/>
              </w:rPr>
              <w:t>37.22</w:t>
            </w:r>
          </w:p>
        </w:tc>
        <w:tc>
          <w:tcPr>
            <w:tcW w:w="833" w:type="dxa"/>
            <w:vAlign w:val="center"/>
          </w:tcPr>
          <w:p>
            <w:pPr>
              <w:widowControl/>
              <w:jc w:val="center"/>
              <w:textAlignment w:val="bottom"/>
              <w:rPr>
                <w:color w:val="000000"/>
                <w:sz w:val="20"/>
              </w:rPr>
            </w:pPr>
            <w:r>
              <w:rPr>
                <w:rFonts w:eastAsia="Tahoma"/>
                <w:color w:val="000000"/>
                <w:kern w:val="0"/>
                <w:sz w:val="20"/>
                <w:lang/>
              </w:rPr>
              <w:t>28.9</w:t>
            </w:r>
          </w:p>
        </w:tc>
        <w:tc>
          <w:tcPr>
            <w:tcW w:w="984" w:type="dxa"/>
            <w:vAlign w:val="center"/>
          </w:tcPr>
          <w:p>
            <w:pPr>
              <w:widowControl/>
              <w:jc w:val="center"/>
              <w:textAlignment w:val="bottom"/>
              <w:rPr>
                <w:color w:val="000000"/>
                <w:sz w:val="20"/>
              </w:rPr>
            </w:pPr>
            <w:r>
              <w:rPr>
                <w:rFonts w:eastAsia="Tahoma"/>
                <w:color w:val="000000"/>
                <w:kern w:val="0"/>
                <w:sz w:val="20"/>
                <w:lang/>
              </w:rPr>
              <w:t>28.39</w:t>
            </w:r>
          </w:p>
        </w:tc>
        <w:tc>
          <w:tcPr>
            <w:tcW w:w="984" w:type="dxa"/>
            <w:vAlign w:val="center"/>
          </w:tcPr>
          <w:p>
            <w:pPr>
              <w:widowControl/>
              <w:jc w:val="center"/>
              <w:textAlignment w:val="bottom"/>
              <w:rPr>
                <w:color w:val="000000"/>
                <w:sz w:val="20"/>
              </w:rPr>
            </w:pPr>
            <w:r>
              <w:rPr>
                <w:rFonts w:eastAsia="Tahoma"/>
                <w:color w:val="000000"/>
                <w:kern w:val="0"/>
                <w:sz w:val="20"/>
                <w:lang/>
              </w:rPr>
              <w:t>23.12</w:t>
            </w:r>
          </w:p>
        </w:tc>
        <w:tc>
          <w:tcPr>
            <w:tcW w:w="1355" w:type="dxa"/>
            <w:vAlign w:val="center"/>
          </w:tcPr>
          <w:p>
            <w:pPr>
              <w:widowControl/>
              <w:jc w:val="center"/>
              <w:textAlignment w:val="bottom"/>
              <w:rPr>
                <w:color w:val="000000"/>
                <w:sz w:val="20"/>
              </w:rPr>
            </w:pPr>
            <w:r>
              <w:rPr>
                <w:rFonts w:eastAsia="Tahoma"/>
                <w:color w:val="000000"/>
                <w:kern w:val="0"/>
                <w:sz w:val="20"/>
                <w:lang/>
              </w:rPr>
              <w:t>8.24</w:t>
            </w:r>
          </w:p>
        </w:tc>
        <w:tc>
          <w:tcPr>
            <w:tcW w:w="952" w:type="dxa"/>
            <w:vAlign w:val="center"/>
          </w:tcPr>
          <w:p>
            <w:pPr>
              <w:jc w:val="center"/>
              <w:rPr>
                <w:color w:val="000000"/>
                <w:sz w:val="20"/>
              </w:rPr>
            </w:pPr>
            <w:r>
              <w:rPr>
                <w:color w:val="000000"/>
                <w:sz w:val="20"/>
              </w:rPr>
              <w:t>127.00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2154" w:type="dxa"/>
            <w:vAlign w:val="center"/>
          </w:tcPr>
          <w:p>
            <w:pPr>
              <w:jc w:val="center"/>
              <w:rPr>
                <w:b/>
                <w:sz w:val="20"/>
              </w:rPr>
            </w:pPr>
            <w:r>
              <w:rPr>
                <w:b/>
                <w:sz w:val="20"/>
              </w:rPr>
              <w:t>占定级总面积比例</w:t>
            </w:r>
          </w:p>
        </w:tc>
        <w:tc>
          <w:tcPr>
            <w:tcW w:w="786" w:type="dxa"/>
            <w:vAlign w:val="center"/>
          </w:tcPr>
          <w:p>
            <w:pPr>
              <w:widowControl/>
              <w:jc w:val="center"/>
              <w:textAlignment w:val="bottom"/>
              <w:rPr>
                <w:color w:val="000000"/>
                <w:sz w:val="20"/>
              </w:rPr>
            </w:pPr>
            <w:r>
              <w:rPr>
                <w:rFonts w:eastAsia="Tahoma"/>
                <w:color w:val="000000"/>
                <w:kern w:val="0"/>
                <w:sz w:val="20"/>
                <w:lang/>
              </w:rPr>
              <w:t>2.46%</w:t>
            </w:r>
          </w:p>
        </w:tc>
        <w:tc>
          <w:tcPr>
            <w:tcW w:w="984" w:type="dxa"/>
            <w:vAlign w:val="center"/>
          </w:tcPr>
          <w:p>
            <w:pPr>
              <w:widowControl/>
              <w:jc w:val="center"/>
              <w:textAlignment w:val="bottom"/>
              <w:rPr>
                <w:color w:val="000000"/>
                <w:sz w:val="20"/>
              </w:rPr>
            </w:pPr>
            <w:r>
              <w:rPr>
                <w:rFonts w:eastAsia="Tahoma"/>
                <w:color w:val="000000"/>
                <w:kern w:val="0"/>
                <w:sz w:val="20"/>
                <w:lang/>
              </w:rPr>
              <w:t>29.76%</w:t>
            </w:r>
          </w:p>
        </w:tc>
        <w:tc>
          <w:tcPr>
            <w:tcW w:w="833" w:type="dxa"/>
            <w:vAlign w:val="center"/>
          </w:tcPr>
          <w:p>
            <w:pPr>
              <w:widowControl/>
              <w:jc w:val="center"/>
              <w:textAlignment w:val="bottom"/>
              <w:rPr>
                <w:color w:val="000000"/>
                <w:sz w:val="20"/>
              </w:rPr>
            </w:pPr>
            <w:r>
              <w:rPr>
                <w:rFonts w:eastAsia="Tahoma"/>
                <w:color w:val="000000"/>
                <w:kern w:val="0"/>
                <w:sz w:val="20"/>
                <w:lang/>
              </w:rPr>
              <w:t>20.72%</w:t>
            </w:r>
          </w:p>
        </w:tc>
        <w:tc>
          <w:tcPr>
            <w:tcW w:w="984" w:type="dxa"/>
            <w:vAlign w:val="center"/>
          </w:tcPr>
          <w:p>
            <w:pPr>
              <w:widowControl/>
              <w:jc w:val="center"/>
              <w:textAlignment w:val="bottom"/>
              <w:rPr>
                <w:color w:val="000000"/>
                <w:sz w:val="20"/>
              </w:rPr>
            </w:pPr>
            <w:r>
              <w:rPr>
                <w:rFonts w:eastAsia="Tahoma"/>
                <w:color w:val="000000"/>
                <w:kern w:val="0"/>
                <w:sz w:val="20"/>
                <w:lang/>
              </w:rPr>
              <w:t>22.3</w:t>
            </w:r>
            <w:r>
              <w:rPr>
                <w:rFonts w:hint="eastAsia" w:eastAsia="Tahoma"/>
                <w:color w:val="000000"/>
                <w:kern w:val="0"/>
                <w:sz w:val="20"/>
                <w:lang/>
              </w:rPr>
              <w:t>6</w:t>
            </w:r>
            <w:r>
              <w:rPr>
                <w:rFonts w:eastAsia="Tahoma"/>
                <w:color w:val="000000"/>
                <w:kern w:val="0"/>
                <w:sz w:val="20"/>
                <w:lang/>
              </w:rPr>
              <w:t>%</w:t>
            </w:r>
          </w:p>
        </w:tc>
        <w:tc>
          <w:tcPr>
            <w:tcW w:w="984" w:type="dxa"/>
            <w:vAlign w:val="center"/>
          </w:tcPr>
          <w:p>
            <w:pPr>
              <w:widowControl/>
              <w:jc w:val="center"/>
              <w:textAlignment w:val="bottom"/>
              <w:rPr>
                <w:color w:val="000000"/>
                <w:sz w:val="20"/>
              </w:rPr>
            </w:pPr>
            <w:r>
              <w:rPr>
                <w:rFonts w:eastAsia="Tahoma"/>
                <w:color w:val="000000"/>
                <w:kern w:val="0"/>
                <w:sz w:val="20"/>
                <w:lang/>
              </w:rPr>
              <w:t>18.2</w:t>
            </w:r>
            <w:r>
              <w:rPr>
                <w:rFonts w:hint="eastAsia" w:eastAsia="Tahoma"/>
                <w:color w:val="000000"/>
                <w:kern w:val="0"/>
                <w:sz w:val="20"/>
                <w:lang/>
              </w:rPr>
              <w:t>1</w:t>
            </w:r>
            <w:r>
              <w:rPr>
                <w:rFonts w:eastAsia="Tahoma"/>
                <w:color w:val="000000"/>
                <w:kern w:val="0"/>
                <w:sz w:val="20"/>
                <w:lang/>
              </w:rPr>
              <w:t>%</w:t>
            </w:r>
          </w:p>
        </w:tc>
        <w:tc>
          <w:tcPr>
            <w:tcW w:w="1355" w:type="dxa"/>
            <w:vAlign w:val="center"/>
          </w:tcPr>
          <w:p>
            <w:pPr>
              <w:widowControl/>
              <w:jc w:val="center"/>
              <w:textAlignment w:val="bottom"/>
              <w:rPr>
                <w:color w:val="000000"/>
                <w:sz w:val="20"/>
              </w:rPr>
            </w:pPr>
            <w:r>
              <w:rPr>
                <w:rFonts w:eastAsia="Tahoma"/>
                <w:color w:val="000000"/>
                <w:kern w:val="0"/>
                <w:sz w:val="20"/>
                <w:lang/>
              </w:rPr>
              <w:t>6.49%</w:t>
            </w:r>
          </w:p>
        </w:tc>
        <w:tc>
          <w:tcPr>
            <w:tcW w:w="952" w:type="dxa"/>
            <w:vAlign w:val="center"/>
          </w:tcPr>
          <w:p>
            <w:pPr>
              <w:jc w:val="center"/>
              <w:rPr>
                <w:color w:val="000000"/>
                <w:sz w:val="20"/>
              </w:rPr>
            </w:pPr>
            <w:r>
              <w:rPr>
                <w:color w:val="000000"/>
                <w:sz w:val="20"/>
              </w:rPr>
              <w:t>100.00%</w:t>
            </w:r>
          </w:p>
        </w:tc>
      </w:tr>
    </w:tbl>
    <w:p>
      <w:pPr>
        <w:spacing w:line="360" w:lineRule="auto"/>
        <w:jc w:val="center"/>
        <w:rPr>
          <w:rFonts w:eastAsia="黑体"/>
          <w:b/>
          <w:sz w:val="24"/>
          <w:szCs w:val="24"/>
        </w:rPr>
      </w:pPr>
      <w:bookmarkStart w:id="420" w:name="_Toc461568107"/>
      <w:bookmarkStart w:id="421" w:name="_Toc213589792"/>
      <w:bookmarkStart w:id="422" w:name="_Toc32555"/>
    </w:p>
    <w:p>
      <w:pPr>
        <w:spacing w:line="360" w:lineRule="auto"/>
        <w:jc w:val="center"/>
        <w:rPr>
          <w:rFonts w:eastAsia="黑体"/>
          <w:b/>
          <w:sz w:val="24"/>
          <w:szCs w:val="24"/>
        </w:rPr>
      </w:pPr>
      <w:r>
        <w:rPr>
          <w:rFonts w:eastAsia="黑体"/>
          <w:b/>
          <w:sz w:val="24"/>
          <w:szCs w:val="24"/>
        </w:rPr>
        <w:t>表2-4-3  长沙县城区工矿仓储用地级别范围描述</w:t>
      </w:r>
    </w:p>
    <w:tbl>
      <w:tblPr>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7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933" w:type="dxa"/>
            <w:vAlign w:val="center"/>
          </w:tcPr>
          <w:p>
            <w:pPr>
              <w:widowControl/>
              <w:shd w:val="clear" w:color="auto" w:fill="FFFFFF"/>
              <w:spacing w:line="360" w:lineRule="exact"/>
              <w:jc w:val="center"/>
              <w:rPr>
                <w:b/>
                <w:sz w:val="20"/>
              </w:rPr>
            </w:pPr>
            <w:r>
              <w:rPr>
                <w:b/>
                <w:sz w:val="20"/>
              </w:rPr>
              <w:t>级别</w:t>
            </w:r>
          </w:p>
        </w:tc>
        <w:tc>
          <w:tcPr>
            <w:tcW w:w="7964" w:type="dxa"/>
            <w:vAlign w:val="center"/>
          </w:tcPr>
          <w:p>
            <w:pPr>
              <w:widowControl/>
              <w:shd w:val="clear" w:color="auto" w:fill="FFFFFF"/>
              <w:spacing w:line="360" w:lineRule="exact"/>
              <w:jc w:val="center"/>
              <w:rPr>
                <w:b/>
                <w:sz w:val="20"/>
              </w:rPr>
            </w:pPr>
            <w:r>
              <w:rPr>
                <w:b/>
                <w:sz w:val="20"/>
              </w:rPr>
              <w:t>范围描述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33" w:type="dxa"/>
            <w:vAlign w:val="top"/>
          </w:tcPr>
          <w:p>
            <w:pPr>
              <w:spacing w:line="360" w:lineRule="exact"/>
              <w:jc w:val="center"/>
              <w:rPr>
                <w:sz w:val="20"/>
              </w:rPr>
            </w:pPr>
            <w:r>
              <w:rPr>
                <w:b/>
                <w:bCs/>
                <w:color w:val="000000"/>
                <w:sz w:val="22"/>
                <w:szCs w:val="22"/>
              </w:rPr>
              <w:t>Ⅰ</w:t>
            </w:r>
          </w:p>
        </w:tc>
        <w:tc>
          <w:tcPr>
            <w:tcW w:w="7964" w:type="dxa"/>
            <w:vAlign w:val="center"/>
          </w:tcPr>
          <w:p>
            <w:pPr>
              <w:widowControl/>
              <w:shd w:val="clear" w:color="auto" w:fill="FFFFFF"/>
              <w:spacing w:line="360" w:lineRule="exact"/>
              <w:rPr>
                <w:sz w:val="20"/>
              </w:rPr>
            </w:pPr>
            <w:r>
              <w:rPr>
                <w:bCs/>
                <w:kern w:val="0"/>
                <w:sz w:val="20"/>
              </w:rPr>
              <w:t>板仓中路—开元路—棠坡路—东一线—长浏高速—板仓中路；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933" w:type="dxa"/>
            <w:vAlign w:val="top"/>
          </w:tcPr>
          <w:p>
            <w:pPr>
              <w:spacing w:line="360" w:lineRule="exact"/>
              <w:jc w:val="center"/>
              <w:rPr>
                <w:sz w:val="20"/>
              </w:rPr>
            </w:pPr>
            <w:r>
              <w:rPr>
                <w:b/>
                <w:bCs/>
                <w:color w:val="000000"/>
                <w:sz w:val="22"/>
                <w:szCs w:val="22"/>
              </w:rPr>
              <w:t>Ⅱ</w:t>
            </w:r>
          </w:p>
        </w:tc>
        <w:tc>
          <w:tcPr>
            <w:tcW w:w="7964" w:type="dxa"/>
            <w:vAlign w:val="top"/>
          </w:tcPr>
          <w:p>
            <w:pPr>
              <w:widowControl/>
              <w:shd w:val="clear" w:color="auto" w:fill="FFFFFF"/>
              <w:spacing w:line="360" w:lineRule="exact"/>
              <w:jc w:val="left"/>
              <w:rPr>
                <w:sz w:val="20"/>
              </w:rPr>
            </w:pPr>
            <w:r>
              <w:rPr>
                <w:sz w:val="20"/>
              </w:rPr>
              <w:t>漓湘路—万家丽路—捞刀河路—捞刀河—滨湖中路—特立路—长浏高速—小塘路—泉源路—东四线—盼盼路—星沙大道—长沙县靠近市区行政界线—漓湘路（Ⅰ级区域除外）；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933" w:type="dxa"/>
            <w:vAlign w:val="top"/>
          </w:tcPr>
          <w:p>
            <w:pPr>
              <w:spacing w:line="360" w:lineRule="exact"/>
              <w:jc w:val="center"/>
              <w:rPr>
                <w:sz w:val="20"/>
              </w:rPr>
            </w:pPr>
            <w:r>
              <w:rPr>
                <w:b/>
                <w:bCs/>
                <w:color w:val="000000"/>
                <w:sz w:val="22"/>
                <w:szCs w:val="22"/>
              </w:rPr>
              <w:t>Ⅲ</w:t>
            </w:r>
          </w:p>
        </w:tc>
        <w:tc>
          <w:tcPr>
            <w:tcW w:w="7964" w:type="dxa"/>
            <w:vAlign w:val="center"/>
          </w:tcPr>
          <w:p>
            <w:pPr>
              <w:widowControl/>
              <w:shd w:val="clear" w:color="auto" w:fill="FFFFFF"/>
              <w:spacing w:line="360" w:lineRule="exact"/>
              <w:jc w:val="left"/>
              <w:rPr>
                <w:sz w:val="20"/>
              </w:rPr>
            </w:pPr>
            <w:r>
              <w:rPr>
                <w:sz w:val="20"/>
              </w:rPr>
              <w:t>长沙县靠近市区行政界线—捞刀河—韶塘破路—白头洲路—回龙路—黄兴大道—远大二路—长沙县靠近市区行政界线（Ⅰ级、Ⅱ级区域除外）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933" w:type="dxa"/>
            <w:vAlign w:val="top"/>
          </w:tcPr>
          <w:p>
            <w:pPr>
              <w:spacing w:line="360" w:lineRule="exact"/>
              <w:jc w:val="center"/>
              <w:rPr>
                <w:sz w:val="20"/>
              </w:rPr>
            </w:pPr>
            <w:r>
              <w:rPr>
                <w:b/>
                <w:bCs/>
                <w:color w:val="000000"/>
                <w:sz w:val="22"/>
                <w:szCs w:val="22"/>
              </w:rPr>
              <w:t>Ⅳ</w:t>
            </w:r>
          </w:p>
        </w:tc>
        <w:tc>
          <w:tcPr>
            <w:tcW w:w="7964" w:type="dxa"/>
            <w:vAlign w:val="center"/>
          </w:tcPr>
          <w:p>
            <w:pPr>
              <w:widowControl/>
              <w:shd w:val="clear" w:color="auto" w:fill="FFFFFF"/>
              <w:spacing w:line="360" w:lineRule="exact"/>
              <w:jc w:val="left"/>
              <w:rPr>
                <w:sz w:val="20"/>
              </w:rPr>
            </w:pPr>
            <w:r>
              <w:rPr>
                <w:sz w:val="20"/>
              </w:rPr>
              <w:t>长沙县靠近市区行政界线—沙安路—物流大道—捞刀河—北头港路—东十一线—映霞路—长沙县靠近市区行政界线（Ⅰ级、Ⅱ级、Ⅲ级区域除外）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933" w:type="dxa"/>
            <w:vAlign w:val="center"/>
          </w:tcPr>
          <w:p>
            <w:pPr>
              <w:widowControl/>
              <w:shd w:val="clear" w:color="auto" w:fill="FFFFFF"/>
              <w:spacing w:line="360" w:lineRule="exact"/>
              <w:jc w:val="center"/>
              <w:rPr>
                <w:sz w:val="20"/>
              </w:rPr>
            </w:pPr>
            <w:r>
              <w:rPr>
                <w:b/>
                <w:bCs/>
                <w:color w:val="000000"/>
                <w:sz w:val="22"/>
                <w:szCs w:val="22"/>
              </w:rPr>
              <w:t>Ⅴ</w:t>
            </w:r>
          </w:p>
        </w:tc>
        <w:tc>
          <w:tcPr>
            <w:tcW w:w="7964" w:type="dxa"/>
            <w:vAlign w:val="center"/>
          </w:tcPr>
          <w:p>
            <w:pPr>
              <w:widowControl/>
              <w:shd w:val="clear" w:color="auto" w:fill="FFFFFF"/>
              <w:spacing w:line="360" w:lineRule="exact"/>
              <w:jc w:val="left"/>
              <w:rPr>
                <w:sz w:val="20"/>
              </w:rPr>
            </w:pPr>
            <w:r>
              <w:rPr>
                <w:sz w:val="20"/>
              </w:rPr>
              <w:t>在县城基准地价更新范围内，除Ⅰ、Ⅱ、Ⅲ、Ⅳ级区以外的区域。</w:t>
            </w:r>
          </w:p>
        </w:tc>
      </w:tr>
    </w:tbl>
    <w:p>
      <w:pPr>
        <w:spacing w:line="360" w:lineRule="auto"/>
        <w:jc w:val="center"/>
        <w:rPr>
          <w:rFonts w:eastAsia="黑体"/>
          <w:b/>
          <w:sz w:val="24"/>
          <w:szCs w:val="24"/>
        </w:rPr>
      </w:pPr>
    </w:p>
    <w:p>
      <w:pPr>
        <w:spacing w:line="360" w:lineRule="auto"/>
        <w:jc w:val="center"/>
        <w:rPr>
          <w:rFonts w:eastAsia="黑体"/>
          <w:b/>
          <w:sz w:val="24"/>
          <w:szCs w:val="24"/>
        </w:rPr>
      </w:pPr>
      <w:r>
        <w:rPr>
          <w:rFonts w:eastAsia="黑体"/>
          <w:b/>
          <w:sz w:val="24"/>
          <w:szCs w:val="24"/>
        </w:rPr>
        <w:t>表2-4-4  长沙县城区工矿仓储用地级别面积统计表</w:t>
      </w:r>
    </w:p>
    <w:p>
      <w:pPr>
        <w:adjustRightInd w:val="0"/>
        <w:snapToGrid w:val="0"/>
        <w:ind w:firstLine="422" w:firstLineChars="200"/>
        <w:jc w:val="right"/>
        <w:rPr>
          <w:b/>
          <w:szCs w:val="21"/>
        </w:rPr>
      </w:pPr>
      <w:r>
        <w:rPr>
          <w:b/>
          <w:szCs w:val="21"/>
        </w:rPr>
        <w:t>单位：平方公里</w:t>
      </w:r>
    </w:p>
    <w:tbl>
      <w:tblPr>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8"/>
        <w:gridCol w:w="950"/>
        <w:gridCol w:w="950"/>
        <w:gridCol w:w="950"/>
        <w:gridCol w:w="950"/>
        <w:gridCol w:w="950"/>
        <w:gridCol w:w="1367"/>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8" w:type="dxa"/>
            <w:vAlign w:val="center"/>
          </w:tcPr>
          <w:p>
            <w:pPr>
              <w:jc w:val="center"/>
            </w:pPr>
            <w:r>
              <w:rPr>
                <w:b/>
                <w:sz w:val="20"/>
              </w:rPr>
              <w:t>土地级别</w:t>
            </w:r>
          </w:p>
        </w:tc>
        <w:tc>
          <w:tcPr>
            <w:tcW w:w="950" w:type="dxa"/>
            <w:vAlign w:val="center"/>
          </w:tcPr>
          <w:p>
            <w:pPr>
              <w:jc w:val="center"/>
              <w:rPr>
                <w:b/>
                <w:bCs/>
              </w:rPr>
            </w:pPr>
            <w:r>
              <w:rPr>
                <w:b/>
                <w:bCs/>
              </w:rPr>
              <w:t>一级</w:t>
            </w:r>
          </w:p>
        </w:tc>
        <w:tc>
          <w:tcPr>
            <w:tcW w:w="950" w:type="dxa"/>
            <w:vAlign w:val="center"/>
          </w:tcPr>
          <w:p>
            <w:pPr>
              <w:jc w:val="center"/>
              <w:rPr>
                <w:b/>
                <w:bCs/>
              </w:rPr>
            </w:pPr>
            <w:r>
              <w:rPr>
                <w:b/>
                <w:bCs/>
              </w:rPr>
              <w:t>二级</w:t>
            </w:r>
          </w:p>
        </w:tc>
        <w:tc>
          <w:tcPr>
            <w:tcW w:w="950" w:type="dxa"/>
            <w:vAlign w:val="center"/>
          </w:tcPr>
          <w:p>
            <w:pPr>
              <w:jc w:val="center"/>
              <w:rPr>
                <w:b/>
                <w:bCs/>
              </w:rPr>
            </w:pPr>
            <w:r>
              <w:rPr>
                <w:b/>
                <w:bCs/>
              </w:rPr>
              <w:t>三级</w:t>
            </w:r>
          </w:p>
        </w:tc>
        <w:tc>
          <w:tcPr>
            <w:tcW w:w="950" w:type="dxa"/>
            <w:vAlign w:val="center"/>
          </w:tcPr>
          <w:p>
            <w:pPr>
              <w:jc w:val="center"/>
              <w:rPr>
                <w:b/>
                <w:bCs/>
              </w:rPr>
            </w:pPr>
            <w:r>
              <w:rPr>
                <w:b/>
                <w:bCs/>
              </w:rPr>
              <w:t>四级</w:t>
            </w:r>
          </w:p>
        </w:tc>
        <w:tc>
          <w:tcPr>
            <w:tcW w:w="950" w:type="dxa"/>
            <w:vAlign w:val="center"/>
          </w:tcPr>
          <w:p>
            <w:pPr>
              <w:jc w:val="center"/>
              <w:rPr>
                <w:b/>
                <w:bCs/>
              </w:rPr>
            </w:pPr>
            <w:r>
              <w:rPr>
                <w:b/>
                <w:bCs/>
              </w:rPr>
              <w:t>五级</w:t>
            </w:r>
          </w:p>
        </w:tc>
        <w:tc>
          <w:tcPr>
            <w:tcW w:w="1367" w:type="dxa"/>
            <w:vAlign w:val="center"/>
          </w:tcPr>
          <w:p>
            <w:pPr>
              <w:spacing w:line="240" w:lineRule="exact"/>
              <w:jc w:val="center"/>
              <w:rPr>
                <w:b/>
                <w:sz w:val="20"/>
              </w:rPr>
            </w:pPr>
            <w:r>
              <w:rPr>
                <w:b/>
                <w:sz w:val="20"/>
              </w:rPr>
              <w:t>其他</w:t>
            </w:r>
          </w:p>
          <w:p>
            <w:pPr>
              <w:jc w:val="center"/>
              <w:rPr>
                <w:b/>
                <w:bCs/>
              </w:rPr>
            </w:pPr>
            <w:r>
              <w:rPr>
                <w:b/>
                <w:sz w:val="20"/>
              </w:rPr>
              <w:t>（水系道路）</w:t>
            </w:r>
          </w:p>
        </w:tc>
        <w:tc>
          <w:tcPr>
            <w:tcW w:w="1052" w:type="dxa"/>
            <w:vAlign w:val="center"/>
          </w:tcPr>
          <w:p>
            <w:pPr>
              <w:jc w:val="center"/>
              <w:rPr>
                <w:b/>
                <w:bCs/>
              </w:rPr>
            </w:pPr>
            <w:r>
              <w:rPr>
                <w:b/>
                <w:bCs/>
              </w:rPr>
              <w:t>土地总面积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8" w:type="dxa"/>
            <w:vAlign w:val="center"/>
          </w:tcPr>
          <w:p>
            <w:pPr>
              <w:jc w:val="center"/>
              <w:rPr>
                <w:b/>
                <w:bCs/>
              </w:rPr>
            </w:pPr>
            <w:r>
              <w:rPr>
                <w:b/>
                <w:bCs/>
              </w:rPr>
              <w:t>级别面积（km</w:t>
            </w:r>
            <w:r>
              <w:rPr>
                <w:b/>
                <w:bCs/>
                <w:vertAlign w:val="superscript"/>
              </w:rPr>
              <w:t>2</w:t>
            </w:r>
            <w:r>
              <w:rPr>
                <w:b/>
                <w:bCs/>
              </w:rPr>
              <w:t>）</w:t>
            </w:r>
          </w:p>
        </w:tc>
        <w:tc>
          <w:tcPr>
            <w:tcW w:w="950" w:type="dxa"/>
            <w:vAlign w:val="center"/>
          </w:tcPr>
          <w:p>
            <w:pPr>
              <w:jc w:val="center"/>
              <w:rPr>
                <w:color w:val="000000"/>
                <w:sz w:val="22"/>
                <w:szCs w:val="22"/>
              </w:rPr>
            </w:pPr>
            <w:r>
              <w:rPr>
                <w:color w:val="000000"/>
                <w:sz w:val="22"/>
                <w:szCs w:val="22"/>
              </w:rPr>
              <w:t>1.99</w:t>
            </w:r>
          </w:p>
        </w:tc>
        <w:tc>
          <w:tcPr>
            <w:tcW w:w="950" w:type="dxa"/>
            <w:vAlign w:val="center"/>
          </w:tcPr>
          <w:p>
            <w:pPr>
              <w:jc w:val="center"/>
              <w:rPr>
                <w:color w:val="000000"/>
                <w:sz w:val="22"/>
                <w:szCs w:val="22"/>
              </w:rPr>
            </w:pPr>
            <w:r>
              <w:rPr>
                <w:color w:val="000000"/>
                <w:sz w:val="22"/>
                <w:szCs w:val="22"/>
              </w:rPr>
              <w:t>27.76</w:t>
            </w:r>
          </w:p>
        </w:tc>
        <w:tc>
          <w:tcPr>
            <w:tcW w:w="950" w:type="dxa"/>
            <w:vAlign w:val="center"/>
          </w:tcPr>
          <w:p>
            <w:pPr>
              <w:jc w:val="center"/>
              <w:rPr>
                <w:color w:val="000000"/>
                <w:sz w:val="22"/>
                <w:szCs w:val="22"/>
              </w:rPr>
            </w:pPr>
            <w:r>
              <w:rPr>
                <w:color w:val="000000"/>
                <w:sz w:val="22"/>
                <w:szCs w:val="22"/>
              </w:rPr>
              <w:t>24.02</w:t>
            </w:r>
          </w:p>
        </w:tc>
        <w:tc>
          <w:tcPr>
            <w:tcW w:w="950" w:type="dxa"/>
            <w:vAlign w:val="center"/>
          </w:tcPr>
          <w:p>
            <w:pPr>
              <w:jc w:val="center"/>
              <w:rPr>
                <w:color w:val="000000"/>
                <w:sz w:val="22"/>
                <w:szCs w:val="22"/>
              </w:rPr>
            </w:pPr>
            <w:r>
              <w:rPr>
                <w:color w:val="000000"/>
                <w:sz w:val="22"/>
                <w:szCs w:val="22"/>
              </w:rPr>
              <w:t>23.47</w:t>
            </w:r>
          </w:p>
        </w:tc>
        <w:tc>
          <w:tcPr>
            <w:tcW w:w="950" w:type="dxa"/>
            <w:vAlign w:val="center"/>
          </w:tcPr>
          <w:p>
            <w:pPr>
              <w:widowControl/>
              <w:jc w:val="center"/>
              <w:textAlignment w:val="bottom"/>
              <w:rPr>
                <w:color w:val="000000"/>
                <w:sz w:val="22"/>
                <w:szCs w:val="22"/>
              </w:rPr>
            </w:pPr>
            <w:r>
              <w:rPr>
                <w:rFonts w:eastAsia="Tahoma"/>
                <w:color w:val="000000"/>
                <w:kern w:val="0"/>
                <w:sz w:val="22"/>
                <w:szCs w:val="22"/>
                <w:lang/>
              </w:rPr>
              <w:t>41.52</w:t>
            </w:r>
          </w:p>
        </w:tc>
        <w:tc>
          <w:tcPr>
            <w:tcW w:w="1367" w:type="dxa"/>
            <w:vAlign w:val="center"/>
          </w:tcPr>
          <w:p>
            <w:pPr>
              <w:widowControl/>
              <w:jc w:val="center"/>
              <w:textAlignment w:val="bottom"/>
              <w:rPr>
                <w:color w:val="000000"/>
                <w:sz w:val="22"/>
                <w:szCs w:val="22"/>
              </w:rPr>
            </w:pPr>
            <w:r>
              <w:rPr>
                <w:rFonts w:eastAsia="Tahoma"/>
                <w:color w:val="000000"/>
                <w:kern w:val="0"/>
                <w:sz w:val="22"/>
                <w:szCs w:val="22"/>
                <w:lang/>
              </w:rPr>
              <w:t>8.24</w:t>
            </w:r>
          </w:p>
        </w:tc>
        <w:tc>
          <w:tcPr>
            <w:tcW w:w="1052" w:type="dxa"/>
            <w:vAlign w:val="center"/>
          </w:tcPr>
          <w:p>
            <w:pPr>
              <w:jc w:val="center"/>
              <w:rPr>
                <w:color w:val="000000"/>
                <w:sz w:val="22"/>
                <w:szCs w:val="22"/>
              </w:rPr>
            </w:pPr>
            <w:r>
              <w:rPr>
                <w:color w:val="000000"/>
                <w:sz w:val="22"/>
                <w:szCs w:val="22"/>
              </w:rPr>
              <w:t>127.00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2118" w:type="dxa"/>
            <w:vAlign w:val="center"/>
          </w:tcPr>
          <w:p>
            <w:pPr>
              <w:jc w:val="center"/>
              <w:rPr>
                <w:b/>
                <w:bCs/>
              </w:rPr>
            </w:pPr>
            <w:r>
              <w:rPr>
                <w:b/>
                <w:bCs/>
              </w:rPr>
              <w:t>占定级总面积比例</w:t>
            </w:r>
          </w:p>
        </w:tc>
        <w:tc>
          <w:tcPr>
            <w:tcW w:w="950" w:type="dxa"/>
            <w:vAlign w:val="center"/>
          </w:tcPr>
          <w:p>
            <w:pPr>
              <w:jc w:val="center"/>
              <w:rPr>
                <w:color w:val="000000"/>
                <w:sz w:val="22"/>
                <w:szCs w:val="22"/>
              </w:rPr>
            </w:pPr>
            <w:r>
              <w:rPr>
                <w:color w:val="000000"/>
                <w:sz w:val="22"/>
                <w:szCs w:val="22"/>
              </w:rPr>
              <w:t>1.57</w:t>
            </w:r>
            <w:r>
              <w:rPr>
                <w:rFonts w:eastAsia="Tahoma"/>
                <w:color w:val="000000"/>
                <w:kern w:val="0"/>
                <w:sz w:val="22"/>
                <w:szCs w:val="22"/>
                <w:lang/>
              </w:rPr>
              <w:t>%</w:t>
            </w:r>
          </w:p>
        </w:tc>
        <w:tc>
          <w:tcPr>
            <w:tcW w:w="950" w:type="dxa"/>
            <w:vAlign w:val="center"/>
          </w:tcPr>
          <w:p>
            <w:pPr>
              <w:widowControl/>
              <w:jc w:val="center"/>
              <w:textAlignment w:val="bottom"/>
              <w:rPr>
                <w:color w:val="000000"/>
                <w:sz w:val="22"/>
                <w:szCs w:val="22"/>
              </w:rPr>
            </w:pPr>
            <w:r>
              <w:rPr>
                <w:rFonts w:eastAsia="Tahoma"/>
                <w:color w:val="000000"/>
                <w:kern w:val="0"/>
                <w:sz w:val="22"/>
                <w:szCs w:val="22"/>
                <w:lang/>
              </w:rPr>
              <w:t>21.86%</w:t>
            </w:r>
          </w:p>
        </w:tc>
        <w:tc>
          <w:tcPr>
            <w:tcW w:w="950" w:type="dxa"/>
            <w:vAlign w:val="center"/>
          </w:tcPr>
          <w:p>
            <w:pPr>
              <w:widowControl/>
              <w:jc w:val="center"/>
              <w:textAlignment w:val="bottom"/>
              <w:rPr>
                <w:color w:val="000000"/>
                <w:sz w:val="22"/>
                <w:szCs w:val="22"/>
              </w:rPr>
            </w:pPr>
            <w:r>
              <w:rPr>
                <w:rFonts w:eastAsia="Tahoma"/>
                <w:color w:val="000000"/>
                <w:kern w:val="0"/>
                <w:sz w:val="22"/>
                <w:szCs w:val="22"/>
                <w:lang/>
              </w:rPr>
              <w:t>18.91%</w:t>
            </w:r>
          </w:p>
        </w:tc>
        <w:tc>
          <w:tcPr>
            <w:tcW w:w="950" w:type="dxa"/>
            <w:vAlign w:val="center"/>
          </w:tcPr>
          <w:p>
            <w:pPr>
              <w:widowControl/>
              <w:jc w:val="center"/>
              <w:textAlignment w:val="bottom"/>
              <w:rPr>
                <w:color w:val="000000"/>
                <w:sz w:val="22"/>
                <w:szCs w:val="22"/>
              </w:rPr>
            </w:pPr>
            <w:r>
              <w:rPr>
                <w:rFonts w:eastAsia="Tahoma"/>
                <w:color w:val="000000"/>
                <w:kern w:val="0"/>
                <w:sz w:val="22"/>
                <w:szCs w:val="22"/>
                <w:lang/>
              </w:rPr>
              <w:t>18.48%</w:t>
            </w:r>
          </w:p>
        </w:tc>
        <w:tc>
          <w:tcPr>
            <w:tcW w:w="950" w:type="dxa"/>
            <w:vAlign w:val="center"/>
          </w:tcPr>
          <w:p>
            <w:pPr>
              <w:widowControl/>
              <w:jc w:val="center"/>
              <w:textAlignment w:val="bottom"/>
              <w:rPr>
                <w:color w:val="000000"/>
                <w:sz w:val="22"/>
                <w:szCs w:val="22"/>
              </w:rPr>
            </w:pPr>
            <w:r>
              <w:rPr>
                <w:rFonts w:eastAsia="Tahoma"/>
                <w:color w:val="000000"/>
                <w:kern w:val="0"/>
                <w:sz w:val="22"/>
                <w:szCs w:val="22"/>
                <w:lang/>
              </w:rPr>
              <w:t>32.69%</w:t>
            </w:r>
          </w:p>
        </w:tc>
        <w:tc>
          <w:tcPr>
            <w:tcW w:w="1367" w:type="dxa"/>
            <w:vAlign w:val="center"/>
          </w:tcPr>
          <w:p>
            <w:pPr>
              <w:jc w:val="center"/>
              <w:rPr>
                <w:color w:val="000000"/>
                <w:sz w:val="22"/>
                <w:szCs w:val="22"/>
              </w:rPr>
            </w:pPr>
            <w:r>
              <w:rPr>
                <w:rFonts w:eastAsia="Tahoma"/>
                <w:color w:val="000000"/>
                <w:kern w:val="0"/>
                <w:sz w:val="22"/>
                <w:szCs w:val="22"/>
                <w:lang/>
              </w:rPr>
              <w:t>6.49%</w:t>
            </w:r>
          </w:p>
        </w:tc>
        <w:tc>
          <w:tcPr>
            <w:tcW w:w="1052" w:type="dxa"/>
            <w:vAlign w:val="center"/>
          </w:tcPr>
          <w:p>
            <w:pPr>
              <w:jc w:val="center"/>
              <w:rPr>
                <w:color w:val="000000"/>
                <w:sz w:val="22"/>
                <w:szCs w:val="22"/>
              </w:rPr>
            </w:pPr>
            <w:r>
              <w:rPr>
                <w:color w:val="000000"/>
                <w:sz w:val="22"/>
                <w:szCs w:val="22"/>
              </w:rPr>
              <w:t>100.00%</w:t>
            </w:r>
          </w:p>
        </w:tc>
      </w:tr>
    </w:tbl>
    <w:p>
      <w:pPr>
        <w:widowControl/>
        <w:ind w:firstLine="560" w:firstLineChars="200"/>
        <w:jc w:val="left"/>
        <w:rPr>
          <w:rFonts w:eastAsia="黑体"/>
          <w:b/>
          <w:bCs/>
          <w:sz w:val="24"/>
          <w:szCs w:val="24"/>
        </w:rPr>
      </w:pPr>
      <w:r>
        <w:rPr>
          <w:rFonts w:ascii="Times New Roman" w:hAnsi="Times New Roman" w:eastAsia="黑体" w:cs="Times New Roman"/>
          <w:kern w:val="2"/>
          <w:sz w:val="28"/>
          <w:szCs w:val="28"/>
          <w:lang w:val="en-US" w:eastAsia="zh-CN" w:bidi="ar-SA"/>
        </w:rPr>
        <w:pict>
          <v:shape id="图片 9" o:spid="_x0000_s1139" type="#_x0000_t75" style="position:absolute;left:0;margin-left:31.85pt;margin-top:12.15pt;height:561.35pt;width:396.4pt;mso-wrap-distance-bottom:0pt;mso-wrap-distance-top:0pt;rotation:0f;z-index:251726848;" o:ole="f" fillcolor="#FFFFFF" filled="f" o:preferrelative="t" stroked="f" coordorigin="0,0" coordsize="21600,21600">
            <v:fill on="f" color2="#FFFFFF" focus="0%"/>
            <v:imagedata gain="65536f" blacklevel="0f" gamma="0" o:title="" r:id="rId57"/>
            <o:lock v:ext="edit" position="f" selection="f" grouping="f" rotation="f" cropping="f" text="f" aspectratio="t"/>
            <w10:wrap type="topAndBottom"/>
          </v:shape>
        </w:pict>
      </w:r>
      <w:r>
        <w:rPr>
          <w:rFonts w:eastAsia="黑体"/>
          <w:b/>
          <w:bCs/>
          <w:sz w:val="24"/>
          <w:szCs w:val="24"/>
        </w:rPr>
        <w:t>图2-4-</w:t>
      </w:r>
      <w:r>
        <w:rPr>
          <w:rFonts w:hint="eastAsia" w:eastAsia="黑体"/>
          <w:b/>
          <w:bCs/>
          <w:sz w:val="24"/>
          <w:szCs w:val="24"/>
        </w:rPr>
        <w:t>7</w:t>
      </w:r>
      <w:r>
        <w:rPr>
          <w:rFonts w:eastAsia="黑体"/>
          <w:b/>
          <w:bCs/>
          <w:sz w:val="24"/>
          <w:szCs w:val="24"/>
        </w:rPr>
        <w:t xml:space="preserve"> 长沙县城区商服、住宅</w:t>
      </w:r>
      <w:r>
        <w:rPr>
          <w:rFonts w:hint="eastAsia" w:eastAsia="黑体"/>
          <w:b/>
          <w:bCs/>
          <w:sz w:val="24"/>
          <w:szCs w:val="24"/>
        </w:rPr>
        <w:t>和公共管理与公共服务用地</w:t>
      </w:r>
      <w:r>
        <w:rPr>
          <w:rFonts w:eastAsia="黑体"/>
          <w:b/>
          <w:bCs/>
          <w:sz w:val="24"/>
          <w:szCs w:val="24"/>
        </w:rPr>
        <w:t>土地定级图</w:t>
      </w:r>
    </w:p>
    <w:p>
      <w:pPr>
        <w:spacing w:line="360" w:lineRule="auto"/>
        <w:jc w:val="center"/>
        <w:rPr>
          <w:rFonts w:eastAsia="黑体"/>
          <w:b/>
          <w:bCs/>
          <w:sz w:val="24"/>
          <w:szCs w:val="22"/>
        </w:rPr>
        <w:sectPr>
          <w:footerReference r:id="rId12" w:type="default"/>
          <w:pgSz w:w="11907" w:h="16840"/>
          <w:pgMar w:top="1361" w:right="1531" w:bottom="1361" w:left="1531" w:header="851" w:footer="992" w:gutter="0"/>
          <w:cols w:space="720" w:num="1"/>
          <w:docGrid w:linePitch="312" w:charSpace="0"/>
        </w:sectPr>
      </w:pPr>
      <w:bookmarkStart w:id="423" w:name="_Toc470721301"/>
      <w:bookmarkStart w:id="424" w:name="_Toc467846842"/>
      <w:bookmarkStart w:id="425" w:name="_Toc469296450"/>
      <w:r>
        <w:rPr>
          <w:rFonts w:ascii="Times New Roman" w:hAnsi="Times New Roman" w:eastAsia="黑体" w:cs="Times New Roman"/>
          <w:b/>
          <w:bCs/>
          <w:kern w:val="2"/>
          <w:sz w:val="24"/>
          <w:szCs w:val="22"/>
          <w:lang w:val="en-US" w:eastAsia="zh-CN" w:bidi="ar-SA"/>
        </w:rPr>
        <w:pict>
          <v:shape id="图片 305" o:spid="_x0000_s1140" type="#_x0000_t75" style="position:absolute;left:0;margin-left:110.2pt;margin-top:12.6pt;height:551.15pt;width:389.25pt;mso-position-horizontal-relative:page;mso-wrap-distance-bottom:0pt;mso-wrap-distance-top:0pt;rotation:0f;z-index:251686912;" o:ole="f" fillcolor="#FFFFFF" filled="f" o:preferrelative="t" stroked="f" coordorigin="0,0" coordsize="21600,21600">
            <v:fill on="f" color2="#FFFFFF" focus="0%"/>
            <v:imagedata gain="65536f" blacklevel="0f" gamma="0" o:title="" r:id="rId59"/>
            <o:lock v:ext="edit" position="f" selection="f" grouping="f" rotation="f" cropping="f" text="f" aspectratio="t"/>
            <w10:wrap type="topAndBottom"/>
          </v:shape>
        </w:pict>
      </w:r>
      <w:r>
        <w:rPr>
          <w:rFonts w:eastAsia="黑体"/>
          <w:b/>
          <w:bCs/>
          <w:sz w:val="24"/>
          <w:szCs w:val="22"/>
        </w:rPr>
        <w:t>图2-4-</w:t>
      </w:r>
      <w:r>
        <w:rPr>
          <w:rFonts w:hint="eastAsia" w:eastAsia="黑体"/>
          <w:b/>
          <w:bCs/>
          <w:sz w:val="24"/>
          <w:szCs w:val="22"/>
        </w:rPr>
        <w:t>8</w:t>
      </w:r>
      <w:r>
        <w:rPr>
          <w:rFonts w:eastAsia="黑体"/>
          <w:b/>
          <w:bCs/>
          <w:sz w:val="24"/>
          <w:szCs w:val="22"/>
        </w:rPr>
        <w:t xml:space="preserve"> 长沙县城区工矿仓储用地土地定级图</w:t>
      </w:r>
    </w:p>
    <w:p>
      <w:pPr>
        <w:widowControl/>
        <w:jc w:val="center"/>
        <w:outlineLvl w:val="1"/>
        <w:rPr>
          <w:rFonts w:eastAsia="黑体"/>
          <w:sz w:val="32"/>
          <w:szCs w:val="32"/>
        </w:rPr>
      </w:pPr>
      <w:bookmarkStart w:id="426" w:name="_Toc13441"/>
      <w:bookmarkStart w:id="427" w:name="_Toc19295"/>
      <w:bookmarkStart w:id="428" w:name="_Toc27944"/>
      <w:bookmarkStart w:id="429" w:name="_Toc4264"/>
      <w:r>
        <w:rPr>
          <w:rFonts w:eastAsia="黑体"/>
          <w:sz w:val="32"/>
          <w:szCs w:val="32"/>
        </w:rPr>
        <w:t>第五章  均质区域划分</w:t>
      </w:r>
      <w:bookmarkEnd w:id="420"/>
      <w:bookmarkEnd w:id="423"/>
      <w:bookmarkEnd w:id="424"/>
      <w:bookmarkEnd w:id="425"/>
      <w:bookmarkEnd w:id="426"/>
      <w:bookmarkEnd w:id="427"/>
      <w:bookmarkEnd w:id="428"/>
      <w:bookmarkEnd w:id="429"/>
    </w:p>
    <w:p>
      <w:pPr>
        <w:spacing w:line="480" w:lineRule="exact"/>
        <w:ind w:firstLine="480" w:firstLineChars="200"/>
        <w:rPr>
          <w:sz w:val="24"/>
          <w:szCs w:val="24"/>
        </w:rPr>
      </w:pPr>
      <w:r>
        <w:rPr>
          <w:sz w:val="24"/>
          <w:szCs w:val="24"/>
        </w:rPr>
        <w:t>均质地域是指功能呈离散、均匀分布的连续区域。均质性即地域在职能演变分化过程中表现出来的一种保持同质、排斥异质的特性。在其作用下，城市地域中出现与周围毗邻地域存在着明显职能差别的连续地段，是各影响因素在该区片内保持均质性的地域单位，即均质区域。如居住区、商服区、工业区等。均质地域总是以某项职能为主要指标，其他职能或为这一主要职能服务（如居住区中的商服网点、绿化带等），或被这一主要职能所排斥（如商服区中的住宅及工厂等）。均质地域是相对的、动态的，其均质性在地域职能分化的动态中表现出来。为了更好的体现长沙县商服用地、住宅用地定级因素因子在各级别内的差异，在定级结果的基础上，还划分均质区域。</w:t>
      </w:r>
    </w:p>
    <w:p>
      <w:pPr>
        <w:spacing w:line="360" w:lineRule="auto"/>
        <w:ind w:firstLine="560" w:firstLineChars="200"/>
        <w:outlineLvl w:val="2"/>
        <w:rPr>
          <w:rFonts w:eastAsia="黑体"/>
          <w:sz w:val="28"/>
          <w:szCs w:val="28"/>
        </w:rPr>
      </w:pPr>
      <w:bookmarkStart w:id="430" w:name="_Toc14074"/>
      <w:bookmarkStart w:id="431" w:name="_Toc4265"/>
      <w:bookmarkStart w:id="432" w:name="_Toc461568108"/>
      <w:bookmarkStart w:id="433" w:name="_Toc470721302"/>
      <w:bookmarkStart w:id="434" w:name="_Toc469296451"/>
      <w:bookmarkStart w:id="435" w:name="_Toc467846843"/>
      <w:r>
        <w:rPr>
          <w:rFonts w:eastAsia="黑体"/>
          <w:sz w:val="28"/>
          <w:szCs w:val="28"/>
        </w:rPr>
        <w:t>一、均质地域划分的原则</w:t>
      </w:r>
      <w:bookmarkEnd w:id="430"/>
      <w:bookmarkEnd w:id="431"/>
      <w:bookmarkEnd w:id="432"/>
      <w:bookmarkEnd w:id="433"/>
      <w:bookmarkEnd w:id="434"/>
      <w:bookmarkEnd w:id="435"/>
    </w:p>
    <w:p>
      <w:pPr>
        <w:spacing w:line="480" w:lineRule="exact"/>
        <w:ind w:firstLine="480" w:firstLineChars="200"/>
        <w:rPr>
          <w:sz w:val="24"/>
          <w:szCs w:val="24"/>
        </w:rPr>
      </w:pPr>
      <w:r>
        <w:rPr>
          <w:sz w:val="24"/>
          <w:szCs w:val="24"/>
        </w:rPr>
        <w:t>1、参评因素均一性</w:t>
      </w:r>
    </w:p>
    <w:p>
      <w:pPr>
        <w:spacing w:line="480" w:lineRule="exact"/>
        <w:ind w:firstLine="480" w:firstLineChars="200"/>
        <w:rPr>
          <w:sz w:val="24"/>
          <w:szCs w:val="24"/>
        </w:rPr>
      </w:pPr>
      <w:r>
        <w:rPr>
          <w:sz w:val="24"/>
          <w:szCs w:val="24"/>
        </w:rPr>
        <w:t>即该区片内部影响土地质量各因素差异较小，具有相对一致性；</w:t>
      </w:r>
    </w:p>
    <w:p>
      <w:pPr>
        <w:spacing w:line="480" w:lineRule="exact"/>
        <w:ind w:firstLine="480" w:firstLineChars="200"/>
        <w:rPr>
          <w:sz w:val="24"/>
          <w:szCs w:val="24"/>
        </w:rPr>
      </w:pPr>
      <w:r>
        <w:rPr>
          <w:sz w:val="24"/>
          <w:szCs w:val="24"/>
        </w:rPr>
        <w:t>2、线性地物明显，权属界限完整</w:t>
      </w:r>
    </w:p>
    <w:p>
      <w:pPr>
        <w:spacing w:line="480" w:lineRule="exact"/>
        <w:ind w:firstLine="480" w:firstLineChars="200"/>
        <w:rPr>
          <w:sz w:val="24"/>
          <w:szCs w:val="24"/>
        </w:rPr>
      </w:pPr>
      <w:r>
        <w:rPr>
          <w:sz w:val="24"/>
          <w:szCs w:val="24"/>
        </w:rPr>
        <w:t>区片的边界应易于识别，一般以地图上明显的地形线、分水岭、河流、交通线等线性地物分界，且注意保持地籍权属界线完整；</w:t>
      </w:r>
    </w:p>
    <w:p>
      <w:pPr>
        <w:spacing w:line="480" w:lineRule="exact"/>
        <w:ind w:firstLine="480" w:firstLineChars="200"/>
        <w:rPr>
          <w:sz w:val="24"/>
          <w:szCs w:val="24"/>
        </w:rPr>
      </w:pPr>
      <w:r>
        <w:rPr>
          <w:sz w:val="24"/>
          <w:szCs w:val="24"/>
        </w:rPr>
        <w:t>3、规划用途一致性</w:t>
      </w:r>
    </w:p>
    <w:p>
      <w:pPr>
        <w:spacing w:line="480" w:lineRule="exact"/>
        <w:ind w:firstLine="480" w:firstLineChars="200"/>
        <w:rPr>
          <w:sz w:val="24"/>
          <w:szCs w:val="24"/>
        </w:rPr>
      </w:pPr>
      <w:r>
        <w:rPr>
          <w:sz w:val="24"/>
          <w:szCs w:val="24"/>
        </w:rPr>
        <w:t>城镇规划用途影响地价，甚至起到决定性作用，区段（片）的划分必须考虑规划因素；</w:t>
      </w:r>
    </w:p>
    <w:p>
      <w:pPr>
        <w:spacing w:line="480" w:lineRule="exact"/>
        <w:ind w:firstLine="480" w:firstLineChars="200"/>
        <w:rPr>
          <w:sz w:val="24"/>
          <w:szCs w:val="24"/>
        </w:rPr>
      </w:pPr>
      <w:r>
        <w:rPr>
          <w:sz w:val="24"/>
          <w:szCs w:val="24"/>
        </w:rPr>
        <w:t>4、可操作性</w:t>
      </w:r>
    </w:p>
    <w:p>
      <w:pPr>
        <w:spacing w:line="480" w:lineRule="exact"/>
        <w:ind w:firstLine="480" w:firstLineChars="200"/>
        <w:rPr>
          <w:sz w:val="24"/>
          <w:szCs w:val="24"/>
        </w:rPr>
      </w:pPr>
      <w:r>
        <w:rPr>
          <w:sz w:val="24"/>
          <w:szCs w:val="24"/>
        </w:rPr>
        <w:t>既要求科学划分区片，又要使工作可行，必须适当确定区片数量，且区片界线多取直线，以利用成果应用与实际操作。</w:t>
      </w:r>
    </w:p>
    <w:p>
      <w:pPr>
        <w:spacing w:line="360" w:lineRule="auto"/>
        <w:ind w:firstLine="560" w:firstLineChars="200"/>
        <w:outlineLvl w:val="2"/>
        <w:rPr>
          <w:rFonts w:eastAsia="黑体"/>
          <w:sz w:val="28"/>
          <w:szCs w:val="28"/>
        </w:rPr>
      </w:pPr>
      <w:bookmarkStart w:id="436" w:name="_Toc17438"/>
      <w:bookmarkStart w:id="437" w:name="_Toc470721303"/>
      <w:bookmarkStart w:id="438" w:name="_Toc461568109"/>
      <w:bookmarkStart w:id="439" w:name="_Toc467846844"/>
      <w:bookmarkStart w:id="440" w:name="_Toc30389"/>
      <w:bookmarkStart w:id="441" w:name="_Toc469296452"/>
      <w:r>
        <w:rPr>
          <w:rFonts w:eastAsia="黑体"/>
          <w:sz w:val="28"/>
          <w:szCs w:val="28"/>
        </w:rPr>
        <w:t>二、均质地域划分技术流程</w:t>
      </w:r>
      <w:bookmarkEnd w:id="436"/>
      <w:bookmarkEnd w:id="437"/>
      <w:bookmarkEnd w:id="438"/>
      <w:bookmarkEnd w:id="439"/>
      <w:bookmarkEnd w:id="440"/>
      <w:bookmarkEnd w:id="441"/>
    </w:p>
    <w:p>
      <w:pPr>
        <w:spacing w:line="480" w:lineRule="exact"/>
        <w:ind w:firstLine="480" w:firstLineChars="200"/>
        <w:rPr>
          <w:sz w:val="24"/>
          <w:szCs w:val="24"/>
        </w:rPr>
      </w:pPr>
      <w:r>
        <w:rPr>
          <w:sz w:val="24"/>
          <w:szCs w:val="24"/>
        </w:rPr>
        <w:t>1、在土地综合定级结果的基础上，按照道路围成的封闭区间或土地条件基本相似合并围成的封闭区间作为均质地域划分最小应用单元；</w:t>
      </w:r>
    </w:p>
    <w:p>
      <w:pPr>
        <w:spacing w:line="480" w:lineRule="exact"/>
        <w:ind w:firstLine="480" w:firstLineChars="200"/>
        <w:rPr>
          <w:sz w:val="24"/>
          <w:szCs w:val="24"/>
        </w:rPr>
      </w:pPr>
      <w:r>
        <w:rPr>
          <w:sz w:val="24"/>
          <w:szCs w:val="24"/>
        </w:rPr>
        <w:t>2、根据定级因素因子在均质地域的分布情况，进行初步划分；</w:t>
      </w:r>
    </w:p>
    <w:p>
      <w:pPr>
        <w:spacing w:line="480" w:lineRule="exact"/>
        <w:ind w:firstLine="480" w:firstLineChars="200"/>
        <w:rPr>
          <w:sz w:val="24"/>
          <w:szCs w:val="24"/>
        </w:rPr>
      </w:pPr>
      <w:r>
        <w:rPr>
          <w:sz w:val="24"/>
          <w:szCs w:val="24"/>
        </w:rPr>
        <w:t>3、为减少主观因素对城市区片划分结果的影响，借助SPSS18.0社会科学统计分析软件和GIS软件，采用K-均值动态聚类分析和GIS软件对长沙县城区均质地域进行划分。具体步骤：</w:t>
      </w:r>
      <w:r>
        <w:rPr>
          <w:sz w:val="24"/>
          <w:szCs w:val="24"/>
        </w:rPr>
        <w:fldChar w:fldCharType="begin"/>
      </w:r>
      <w:r>
        <w:rPr>
          <w:sz w:val="24"/>
          <w:szCs w:val="24"/>
        </w:rPr>
        <w:instrText xml:space="preserve"> = 1 \* GB3 </w:instrText>
      </w:r>
      <w:r>
        <w:rPr>
          <w:sz w:val="24"/>
          <w:szCs w:val="24"/>
        </w:rPr>
        <w:fldChar w:fldCharType="separate"/>
      </w:r>
      <w:r>
        <w:rPr>
          <w:sz w:val="24"/>
          <w:szCs w:val="24"/>
        </w:rPr>
        <w:t>①</w:t>
      </w:r>
      <w:r>
        <w:rPr>
          <w:sz w:val="24"/>
          <w:szCs w:val="24"/>
        </w:rPr>
        <w:fldChar w:fldCharType="end"/>
      </w:r>
      <w:r>
        <w:rPr>
          <w:sz w:val="24"/>
          <w:szCs w:val="24"/>
        </w:rPr>
        <w:t>首先指定分类数量K,由计算机系统自动选取K个初始凝聚点；</w:t>
      </w:r>
      <w:r>
        <w:rPr>
          <w:sz w:val="24"/>
          <w:szCs w:val="24"/>
        </w:rPr>
        <w:fldChar w:fldCharType="begin"/>
      </w:r>
      <w:r>
        <w:rPr>
          <w:sz w:val="24"/>
          <w:szCs w:val="24"/>
        </w:rPr>
        <w:instrText xml:space="preserve"> = 2 \* GB3 </w:instrText>
      </w:r>
      <w:r>
        <w:rPr>
          <w:sz w:val="24"/>
          <w:szCs w:val="24"/>
        </w:rPr>
        <w:fldChar w:fldCharType="separate"/>
      </w:r>
      <w:r>
        <w:rPr>
          <w:sz w:val="24"/>
          <w:szCs w:val="24"/>
        </w:rPr>
        <w:t>②</w:t>
      </w:r>
      <w:r>
        <w:rPr>
          <w:sz w:val="24"/>
          <w:szCs w:val="24"/>
        </w:rPr>
        <w:fldChar w:fldCharType="end"/>
      </w:r>
      <w:r>
        <w:rPr>
          <w:sz w:val="24"/>
          <w:szCs w:val="24"/>
        </w:rPr>
        <w:t>将所有基本定级单元按照距离初始凝聚点距离最小的原则进行归类；</w:t>
      </w:r>
      <w:r>
        <w:rPr>
          <w:sz w:val="24"/>
          <w:szCs w:val="24"/>
        </w:rPr>
        <w:fldChar w:fldCharType="begin"/>
      </w:r>
      <w:r>
        <w:rPr>
          <w:sz w:val="24"/>
          <w:szCs w:val="24"/>
        </w:rPr>
        <w:instrText xml:space="preserve"> = 3 \* GB3 </w:instrText>
      </w:r>
      <w:r>
        <w:rPr>
          <w:sz w:val="24"/>
          <w:szCs w:val="24"/>
        </w:rPr>
        <w:fldChar w:fldCharType="separate"/>
      </w:r>
      <w:r>
        <w:rPr>
          <w:sz w:val="24"/>
          <w:szCs w:val="24"/>
        </w:rPr>
        <w:t>③</w:t>
      </w:r>
      <w:r>
        <w:rPr>
          <w:sz w:val="24"/>
          <w:szCs w:val="24"/>
        </w:rPr>
        <w:fldChar w:fldCharType="end"/>
      </w:r>
      <w:r>
        <w:rPr>
          <w:sz w:val="24"/>
          <w:szCs w:val="24"/>
        </w:rPr>
        <w:t>一次分类结束后，重新计算各类的重心即类内均值，作为新的凝聚点。若新凝聚点与上次旧凝聚点重合或满足一定的收敛要求时，则聚类过程终止，否则回到</w:t>
      </w:r>
      <w:r>
        <w:rPr>
          <w:sz w:val="24"/>
          <w:szCs w:val="24"/>
        </w:rPr>
        <w:fldChar w:fldCharType="begin"/>
      </w:r>
      <w:r>
        <w:rPr>
          <w:sz w:val="24"/>
          <w:szCs w:val="24"/>
        </w:rPr>
        <w:instrText xml:space="preserve"> = 2 \* GB3 </w:instrText>
      </w:r>
      <w:r>
        <w:rPr>
          <w:sz w:val="24"/>
          <w:szCs w:val="24"/>
        </w:rPr>
        <w:fldChar w:fldCharType="separate"/>
      </w:r>
      <w:r>
        <w:rPr>
          <w:sz w:val="24"/>
          <w:szCs w:val="24"/>
        </w:rPr>
        <w:t>②</w:t>
      </w:r>
      <w:r>
        <w:rPr>
          <w:sz w:val="24"/>
          <w:szCs w:val="24"/>
        </w:rPr>
        <w:fldChar w:fldCharType="end"/>
      </w:r>
      <w:r>
        <w:rPr>
          <w:sz w:val="24"/>
          <w:szCs w:val="24"/>
        </w:rPr>
        <w:t>继续进行。</w:t>
      </w:r>
    </w:p>
    <w:p>
      <w:pPr>
        <w:spacing w:line="360" w:lineRule="auto"/>
        <w:jc w:val="center"/>
        <w:rPr>
          <w:sz w:val="24"/>
        </w:rPr>
      </w:pPr>
      <w:r>
        <w:rPr>
          <w:rFonts w:ascii="Times New Roman" w:hAnsi="Times New Roman" w:eastAsia="宋体" w:cs="Times New Roman"/>
          <w:kern w:val="2"/>
          <w:sz w:val="21"/>
          <w:lang w:val="en-US" w:eastAsia="zh-CN" w:bidi="ar-SA"/>
        </w:rPr>
        <w:pict>
          <v:group id="画布 1571" o:spid="_x0000_s1141" style="height:182.25pt;width:415.5pt;rotation:0f;" coordorigin="0,0" coordsize="8310,3645">
            <o:lock v:ext="edit" position="f" selection="f" grouping="f" rotation="f" cropping="f" text="f" aspectratio="f"/>
            <v:rect id="Rectangle 82" o:spid="_x0000_s1142" style="position:absolute;left:0;top:0;height:3645;width:8310;rotation:0f;" o:ole="f" fillcolor="#FFFFFF" filled="f" o:preferrelative="t" stroked="f" coordsize="21600,21600">
              <v:fill on="f" color2="#FFFFFF" focus="0%"/>
              <v:imagedata gain="65536f" blacklevel="0f" gamma="0"/>
              <o:lock v:ext="edit" position="f" selection="f" grouping="f" rotation="f" cropping="f" text="f" aspectratio="f"/>
            </v:rect>
            <v:rect id="文本框 1" o:spid="_x0000_s1143" style="position:absolute;left:210;top:1155;height:420;width:1290;rotation:0f;" o:ole="f" fillcolor="#FFFFFF" filled="t" o:preferrelative="t" stroked="t" coordsize="21600,21600">
              <v:stroke weight="0.5pt" color="#000000" color2="#FFFFFF" miterlimit="2"/>
              <v:imagedata gain="65536f" blacklevel="0f" gamma="0"/>
              <o:lock v:ext="edit" position="f" selection="f" grouping="f" rotation="f" cropping="f" text="f" aspectratio="f"/>
              <v:textbox>
                <w:txbxContent>
                  <w:p>
                    <w:pPr>
                      <w:ind w:firstLine="90" w:firstLineChars="50"/>
                      <w:rPr>
                        <w:sz w:val="18"/>
                        <w:szCs w:val="18"/>
                      </w:rPr>
                    </w:pPr>
                    <w:r>
                      <w:rPr>
                        <w:rFonts w:hint="eastAsia"/>
                        <w:sz w:val="18"/>
                        <w:szCs w:val="18"/>
                      </w:rPr>
                      <w:t>选择聚点</w:t>
                    </w:r>
                  </w:p>
                </w:txbxContent>
              </v:textbox>
            </v:rect>
            <v:shape id="流程图: 决策 2" o:spid="_x0000_s1144" type="#_x0000_t110" style="position:absolute;left:3990;top:675;height:1393;width:2385;rotation:0f;" o:ole="f" fillcolor="#FFFFFF" filled="f" o:preferrelative="t" stroked="t" coordorigin="0,0" coordsize="21600,21600">
              <v:fill on="f" color2="#FFFFFF" focus="0%"/>
              <v:stroke weight="0.5pt" color="#000000" color2="#FFFFFF" miterlimit="2"/>
              <v:imagedata gain="65536f" blacklevel="0f" gamma="0"/>
              <o:lock v:ext="edit" position="f" selection="f" grouping="f" rotation="f" cropping="f" text="f" aspectratio="f"/>
              <v:textbox>
                <w:txbxContent>
                  <w:p>
                    <w:pPr>
                      <w:ind w:firstLine="180" w:firstLineChars="100"/>
                      <w:rPr>
                        <w:color w:val="000000"/>
                        <w:sz w:val="18"/>
                        <w:szCs w:val="18"/>
                      </w:rPr>
                    </w:pPr>
                    <w:r>
                      <w:rPr>
                        <w:rFonts w:hint="eastAsia"/>
                        <w:color w:val="000000"/>
                        <w:sz w:val="18"/>
                        <w:szCs w:val="18"/>
                      </w:rPr>
                      <w:t>分类是</w:t>
                    </w:r>
                  </w:p>
                  <w:p>
                    <w:pPr>
                      <w:ind w:firstLine="180" w:firstLineChars="100"/>
                      <w:rPr>
                        <w:color w:val="000000"/>
                        <w:sz w:val="18"/>
                        <w:szCs w:val="18"/>
                      </w:rPr>
                    </w:pPr>
                    <w:r>
                      <w:rPr>
                        <w:rFonts w:hint="eastAsia"/>
                        <w:color w:val="000000"/>
                        <w:sz w:val="18"/>
                        <w:szCs w:val="18"/>
                      </w:rPr>
                      <w:t>否合理</w:t>
                    </w:r>
                  </w:p>
                </w:txbxContent>
              </v:textbox>
            </v:shape>
            <v:rect id="文本框 2" o:spid="_x0000_s1145" style="position:absolute;left:2203;top:1166;height:420;width:1290;rotation:0f;" o:ole="f" fillcolor="#FFFFFF" filled="t" o:preferrelative="t" stroked="t" coordsize="21600,21600">
              <v:stroke weight="0.5pt" color="#000000" color2="#FFFFFF" miterlimit="2"/>
              <v:imagedata gain="65536f" blacklevel="0f" gamma="0"/>
              <o:lock v:ext="edit" position="f" selection="f" grouping="f" rotation="f" cropping="f" text="f" aspectratio="f"/>
              <v:textbox>
                <w:txbxContent>
                  <w:p>
                    <w:pPr>
                      <w:pStyle w:val="39"/>
                      <w:spacing w:before="0" w:beforeAutospacing="0" w:after="0" w:afterAutospacing="0"/>
                      <w:ind w:firstLine="101"/>
                      <w:jc w:val="center"/>
                      <w:rPr>
                        <w:sz w:val="18"/>
                        <w:szCs w:val="18"/>
                      </w:rPr>
                    </w:pPr>
                    <w:r>
                      <w:rPr>
                        <w:rFonts w:hint="eastAsia"/>
                        <w:kern w:val="2"/>
                        <w:sz w:val="18"/>
                        <w:szCs w:val="18"/>
                      </w:rPr>
                      <w:t>初始分类</w:t>
                    </w:r>
                  </w:p>
                </w:txbxContent>
              </v:textbox>
            </v:rect>
            <v:rect id="文本框 2" o:spid="_x0000_s1146" style="position:absolute;left:4544;top:2684;height:420;width:1289;rotation:0f;" o:ole="f" fillcolor="#FFFFFF" filled="t" o:preferrelative="t" stroked="t" coordsize="21600,21600">
              <v:stroke weight="0.5pt" color="#000000" color2="#FFFFFF" miterlimit="2"/>
              <v:imagedata gain="65536f" blacklevel="0f" gamma="0"/>
              <o:lock v:ext="edit" position="f" selection="f" grouping="f" rotation="f" cropping="f" text="f" aspectratio="f"/>
              <v:textbox>
                <w:txbxContent>
                  <w:p>
                    <w:pPr>
                      <w:pStyle w:val="39"/>
                      <w:spacing w:before="0" w:beforeAutospacing="0" w:after="0" w:afterAutospacing="0"/>
                      <w:ind w:firstLine="101"/>
                      <w:jc w:val="both"/>
                      <w:rPr>
                        <w:sz w:val="18"/>
                        <w:szCs w:val="18"/>
                      </w:rPr>
                    </w:pPr>
                    <w:r>
                      <w:rPr>
                        <w:rFonts w:hint="eastAsia" w:hAnsi="Times New Roman"/>
                        <w:sz w:val="18"/>
                        <w:szCs w:val="18"/>
                      </w:rPr>
                      <w:t>修改</w:t>
                    </w:r>
                    <w:r>
                      <w:rPr>
                        <w:rFonts w:hAnsi="Times New Roman"/>
                        <w:sz w:val="18"/>
                        <w:szCs w:val="18"/>
                      </w:rPr>
                      <w:t>分类</w:t>
                    </w:r>
                  </w:p>
                </w:txbxContent>
              </v:textbox>
            </v:rect>
            <v:rect id="文本框 8" o:spid="_x0000_s1147" style="position:absolute;left:6975;top:540;height:1665;width:615;rotation:0f;" o:ole="f" fillcolor="#FFFFFF" filled="t" o:preferrelative="t" stroked="t" coordsize="21600,21600">
              <v:stroke weight="0.5pt" color="#000000" color2="#FFFFFF" miterlimit="2"/>
              <v:imagedata gain="65536f" blacklevel="0f" gamma="0"/>
              <o:lock v:ext="edit" position="f" selection="f" grouping="f" rotation="f" cropping="f" text="f" aspectratio="f"/>
              <v:textbox style="layout-flow:vertical-ideographic;">
                <w:txbxContent>
                  <w:p>
                    <w:pPr>
                      <w:ind w:firstLine="270" w:firstLineChars="150"/>
                      <w:rPr>
                        <w:sz w:val="18"/>
                        <w:szCs w:val="18"/>
                      </w:rPr>
                    </w:pPr>
                    <w:r>
                      <w:rPr>
                        <w:rFonts w:hint="eastAsia"/>
                        <w:sz w:val="18"/>
                        <w:szCs w:val="18"/>
                      </w:rPr>
                      <w:t>最终分类</w:t>
                    </w:r>
                  </w:p>
                </w:txbxContent>
              </v:textbox>
            </v:rect>
            <v:shape id="直接箭头连接符 9" o:spid="_x0000_s1148" type="#_x0000_t32" style="position:absolute;left:1500;top:1365;height:0;width:703;rotation:0f;" o:ole="f" fillcolor="#FFFFFF" filled="t" o:preferrelative="t" stroked="t" coordorigin="0,0" coordsize="21600,21600">
              <v:stroke color="#000000" color2="#FFFFFF" joinstyle="round" endarrow="block"/>
              <v:imagedata gain="65536f" blacklevel="0f" gamma="0"/>
              <o:lock v:ext="edit" position="f" selection="f" grouping="f" rotation="f" cropping="f" text="f" aspectratio="f"/>
            </v:shape>
            <v:shape id="直接箭头连接符 13" o:spid="_x0000_s1149" type="#_x0000_t32" style="position:absolute;left:6375;top:1372;height:0;width:600;rotation:0f;" o:ole="f" fillcolor="#FFFFFF" filled="t" o:preferrelative="t" stroked="t" coordorigin="0,0" coordsize="21600,21600">
              <v:stroke color="#000000" color2="#FFFFFF" joinstyle="round" endarrow="block"/>
              <v:imagedata gain="65536f" blacklevel="0f" gamma="0"/>
              <o:lock v:ext="edit" position="f" selection="f" grouping="f" rotation="f" cropping="f" text="f" aspectratio="f"/>
            </v:shape>
            <v:rect id="文本框 14" o:spid="_x0000_s1150" style="position:absolute;left:6375;top:795;height:540;width:510;rotation:0f;" o:ole="f" fillcolor="#FFFFFF" filled="f" o:preferrelative="t" stroked="f" coordsize="21600,21600">
              <v:fill on="f" color2="#FFFFFF" focus="0%"/>
              <v:imagedata gain="65536f" blacklevel="0f" gamma="0"/>
              <o:lock v:ext="edit" position="f" selection="f" grouping="f" rotation="f" cropping="f" text="f" aspectratio="f"/>
              <v:textbox>
                <w:txbxContent>
                  <w:p>
                    <w:pPr>
                      <w:rPr>
                        <w:sz w:val="18"/>
                        <w:szCs w:val="18"/>
                      </w:rPr>
                    </w:pPr>
                    <w:r>
                      <w:rPr>
                        <w:rFonts w:hint="eastAsia"/>
                        <w:sz w:val="18"/>
                        <w:szCs w:val="18"/>
                      </w:rPr>
                      <w:t>是</w:t>
                    </w:r>
                  </w:p>
                </w:txbxContent>
              </v:textbox>
            </v:rect>
            <v:shape id="直接箭头连接符 15" o:spid="_x0000_s1151" type="#_x0000_t32" style="position:absolute;left:5182;top:2068;height:616;width:6;rotation:0f;" o:ole="f" fillcolor="#FFFFFF" filled="t" o:preferrelative="t" stroked="t" coordorigin="0,0" coordsize="21600,21600">
              <v:stroke color="#000000" color2="#FFFFFF" joinstyle="round" endarrow="block"/>
              <v:imagedata gain="65536f" blacklevel="0f" gamma="0"/>
              <o:lock v:ext="edit" position="f" selection="f" grouping="f" rotation="f" cropping="f" text="f" aspectratio="f"/>
            </v:shape>
            <v:rect id="文本框 13" o:spid="_x0000_s1152" style="position:absolute;left:5248;top:2024;height:538;width:510;rotation:0f;" o:ole="f" fillcolor="#FFFFFF" filled="f" o:preferrelative="t" stroked="f" coordsize="21600,21600">
              <v:fill on="f" color2="#FFFFFF" focus="0%"/>
              <v:imagedata gain="65536f" blacklevel="0f" gamma="0"/>
              <o:lock v:ext="edit" position="f" selection="f" grouping="f" rotation="f" cropping="f" text="f" aspectratio="f"/>
              <v:textbox>
                <w:txbxContent>
                  <w:p>
                    <w:pPr>
                      <w:pStyle w:val="39"/>
                      <w:spacing w:before="0" w:beforeAutospacing="0" w:after="0" w:afterAutospacing="0"/>
                      <w:jc w:val="both"/>
                      <w:rPr>
                        <w:sz w:val="18"/>
                        <w:szCs w:val="18"/>
                      </w:rPr>
                    </w:pPr>
                    <w:r>
                      <w:rPr>
                        <w:rFonts w:hint="eastAsia"/>
                        <w:kern w:val="2"/>
                        <w:sz w:val="18"/>
                        <w:szCs w:val="18"/>
                      </w:rPr>
                      <w:t>否</w:t>
                    </w:r>
                  </w:p>
                </w:txbxContent>
              </v:textbox>
            </v:rect>
            <v:shape id="肘形连接符 17" o:spid="_x0000_s1153" type="#_x0000_t33" style="position:absolute;left:2848;top:1586;height:1305;width:1725;rotation:11796480f;" o:ole="f" fillcolor="#FFFFFF" filled="t" o:preferrelative="t" stroked="t" coordorigin="0,0" coordsize="21600,21600">
              <v:stroke color="#000000" color2="#FFFFFF" miterlimit="2" endarrow="block"/>
              <v:imagedata gain="65536f" blacklevel="0f" gamma="0"/>
              <o:lock v:ext="edit" position="f" selection="f" grouping="f" rotation="f" cropping="f" text="f" aspectratio="f"/>
            </v:shape>
            <v:shape id="直接箭头连接符 18" o:spid="_x0000_s1154" type="#_x0000_t32" style="position:absolute;left:3493;top:1372;flip:y;height:4;width:497;rotation:0f;" o:ole="f" fillcolor="#FFFFFF" filled="t" o:preferrelative="t" stroked="t" coordorigin="0,0" coordsize="21600,21600">
              <v:stroke color="#000000" color2="#FFFFFF" joinstyle="round" endarrow="block"/>
              <v:imagedata gain="65536f" blacklevel="0f" gamma="0"/>
              <o:lock v:ext="edit" position="f" selection="f" grouping="f" rotation="f" cropping="f" text="f" aspectratio="f"/>
            </v:shape>
            <w10:wrap type="none"/>
            <w10:anchorlock/>
          </v:group>
        </w:pict>
      </w:r>
    </w:p>
    <w:p>
      <w:pPr>
        <w:spacing w:line="360" w:lineRule="auto"/>
        <w:jc w:val="center"/>
        <w:rPr>
          <w:rFonts w:eastAsia="黑体"/>
          <w:b/>
          <w:bCs/>
          <w:sz w:val="24"/>
        </w:rPr>
      </w:pPr>
      <w:r>
        <w:rPr>
          <w:rFonts w:eastAsia="黑体"/>
          <w:b/>
          <w:bCs/>
          <w:sz w:val="24"/>
        </w:rPr>
        <w:t>图2-5-1 长沙县城区K-均值动态聚类流程图</w:t>
      </w:r>
    </w:p>
    <w:p>
      <w:pPr>
        <w:spacing w:line="360" w:lineRule="auto"/>
        <w:ind w:firstLine="560" w:firstLineChars="200"/>
        <w:outlineLvl w:val="2"/>
        <w:rPr>
          <w:rFonts w:eastAsia="黑体"/>
          <w:sz w:val="28"/>
          <w:szCs w:val="28"/>
        </w:rPr>
      </w:pPr>
      <w:bookmarkStart w:id="442" w:name="_Toc467846845"/>
      <w:bookmarkStart w:id="443" w:name="_Toc461568110"/>
      <w:bookmarkStart w:id="444" w:name="_Toc469296453"/>
      <w:bookmarkStart w:id="445" w:name="_Toc470721304"/>
      <w:bookmarkStart w:id="446" w:name="_Toc9215"/>
      <w:bookmarkStart w:id="447" w:name="_Toc15813"/>
      <w:r>
        <w:rPr>
          <w:rFonts w:eastAsia="黑体"/>
          <w:sz w:val="28"/>
          <w:szCs w:val="28"/>
        </w:rPr>
        <w:t>三、商服用地、住宅用地</w:t>
      </w:r>
      <w:r>
        <w:rPr>
          <w:rFonts w:hint="eastAsia" w:eastAsia="黑体"/>
          <w:sz w:val="28"/>
          <w:szCs w:val="28"/>
        </w:rPr>
        <w:t>和公共管理与公共服务用地</w:t>
      </w:r>
      <w:r>
        <w:rPr>
          <w:rFonts w:eastAsia="黑体"/>
          <w:sz w:val="28"/>
          <w:szCs w:val="28"/>
        </w:rPr>
        <w:t>均质区域</w:t>
      </w:r>
      <w:bookmarkEnd w:id="442"/>
      <w:bookmarkEnd w:id="443"/>
      <w:r>
        <w:rPr>
          <w:rFonts w:eastAsia="黑体"/>
          <w:sz w:val="28"/>
          <w:szCs w:val="28"/>
        </w:rPr>
        <w:t>作用分值测算过程</w:t>
      </w:r>
      <w:bookmarkEnd w:id="444"/>
      <w:bookmarkEnd w:id="445"/>
      <w:r>
        <w:rPr>
          <w:rFonts w:eastAsia="黑体"/>
          <w:sz w:val="28"/>
          <w:szCs w:val="28"/>
        </w:rPr>
        <w:t>和结果</w:t>
      </w:r>
      <w:bookmarkEnd w:id="446"/>
      <w:bookmarkEnd w:id="447"/>
    </w:p>
    <w:p>
      <w:pPr>
        <w:spacing w:line="480" w:lineRule="exact"/>
        <w:ind w:firstLine="480" w:firstLineChars="200"/>
        <w:rPr>
          <w:sz w:val="24"/>
          <w:szCs w:val="24"/>
        </w:rPr>
      </w:pPr>
      <w:r>
        <w:rPr>
          <w:sz w:val="24"/>
          <w:szCs w:val="24"/>
        </w:rPr>
        <w:t>1、选择影响均质区域作用分值的因素因子</w:t>
      </w:r>
    </w:p>
    <w:p>
      <w:pPr>
        <w:spacing w:line="480" w:lineRule="exact"/>
        <w:ind w:firstLine="480" w:firstLineChars="200"/>
        <w:rPr>
          <w:rFonts w:hint="eastAsia"/>
          <w:sz w:val="24"/>
          <w:szCs w:val="24"/>
        </w:rPr>
      </w:pPr>
      <w:r>
        <w:rPr>
          <w:rFonts w:hint="eastAsia"/>
          <w:sz w:val="24"/>
          <w:szCs w:val="24"/>
        </w:rPr>
        <w:t>参照城区定级过程，选择影响均质区域作用分值的因素因子与商服用地、住宅用地和公共管理与公共服务用地定级因素因子体系一致，详见表2-2-1.</w:t>
      </w:r>
    </w:p>
    <w:p>
      <w:pPr>
        <w:spacing w:line="480" w:lineRule="exact"/>
        <w:ind w:firstLine="480" w:firstLineChars="200"/>
        <w:rPr>
          <w:sz w:val="24"/>
          <w:szCs w:val="24"/>
        </w:rPr>
      </w:pPr>
      <w:r>
        <w:rPr>
          <w:sz w:val="24"/>
          <w:szCs w:val="24"/>
        </w:rPr>
        <w:t>2、确定因素因子权重</w:t>
      </w:r>
    </w:p>
    <w:p>
      <w:pPr>
        <w:spacing w:line="480" w:lineRule="exact"/>
        <w:ind w:firstLine="480" w:firstLineChars="200"/>
        <w:rPr>
          <w:sz w:val="24"/>
          <w:szCs w:val="24"/>
        </w:rPr>
      </w:pPr>
      <w:r>
        <w:rPr>
          <w:rFonts w:hint="eastAsia"/>
          <w:sz w:val="24"/>
          <w:szCs w:val="24"/>
        </w:rPr>
        <w:t>参照城区定级过程，</w:t>
      </w:r>
      <w:r>
        <w:rPr>
          <w:sz w:val="24"/>
          <w:szCs w:val="24"/>
        </w:rPr>
        <w:t>各均质区域内</w:t>
      </w:r>
      <w:r>
        <w:rPr>
          <w:rFonts w:hint="eastAsia"/>
          <w:sz w:val="24"/>
          <w:szCs w:val="24"/>
        </w:rPr>
        <w:t>商服用地、住宅用地和公共管理与公共服务用地</w:t>
      </w:r>
      <w:r>
        <w:rPr>
          <w:sz w:val="24"/>
          <w:szCs w:val="24"/>
        </w:rPr>
        <w:t>作用分值计算的相应评价因素及权重见表2-5-1。</w:t>
      </w:r>
    </w:p>
    <w:p>
      <w:pPr>
        <w:spacing w:line="360" w:lineRule="auto"/>
        <w:jc w:val="center"/>
        <w:rPr>
          <w:b/>
          <w:sz w:val="24"/>
        </w:rPr>
      </w:pPr>
      <w:r>
        <w:rPr>
          <w:b/>
          <w:sz w:val="24"/>
        </w:rPr>
        <w:br w:type="page"/>
      </w:r>
    </w:p>
    <w:p>
      <w:pPr>
        <w:tabs>
          <w:tab w:val="left" w:pos="720"/>
        </w:tabs>
        <w:spacing w:line="400" w:lineRule="exact"/>
        <w:jc w:val="center"/>
        <w:rPr>
          <w:rFonts w:hint="eastAsia"/>
          <w:b/>
          <w:spacing w:val="-17"/>
          <w:sz w:val="24"/>
          <w:szCs w:val="22"/>
        </w:rPr>
      </w:pPr>
      <w:r>
        <w:rPr>
          <w:b/>
          <w:sz w:val="24"/>
        </w:rPr>
        <w:t>表2-5-1　</w:t>
      </w:r>
      <w:r>
        <w:rPr>
          <w:rFonts w:hint="eastAsia"/>
          <w:b/>
          <w:spacing w:val="-17"/>
          <w:sz w:val="24"/>
          <w:szCs w:val="22"/>
        </w:rPr>
        <w:t>长沙县城区商服用地、住宅用地和公共管理与公共服务用地</w:t>
      </w:r>
    </w:p>
    <w:p>
      <w:pPr>
        <w:tabs>
          <w:tab w:val="left" w:pos="720"/>
        </w:tabs>
        <w:spacing w:line="400" w:lineRule="exact"/>
        <w:jc w:val="center"/>
        <w:rPr>
          <w:b/>
          <w:spacing w:val="-17"/>
          <w:sz w:val="24"/>
          <w:szCs w:val="22"/>
        </w:rPr>
      </w:pPr>
      <w:r>
        <w:rPr>
          <w:rFonts w:hint="eastAsia"/>
          <w:b/>
          <w:spacing w:val="-17"/>
          <w:sz w:val="24"/>
          <w:szCs w:val="22"/>
        </w:rPr>
        <w:t>均质区域</w:t>
      </w:r>
      <w:r>
        <w:rPr>
          <w:b/>
          <w:spacing w:val="-17"/>
          <w:sz w:val="24"/>
          <w:szCs w:val="22"/>
        </w:rPr>
        <w:t>因素、因子权重值确定表</w:t>
      </w:r>
    </w:p>
    <w:tbl>
      <w:tblPr>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4"/>
        <w:gridCol w:w="838"/>
        <w:gridCol w:w="1781"/>
        <w:gridCol w:w="839"/>
        <w:gridCol w:w="3111"/>
        <w:gridCol w:w="8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因素层</w:t>
            </w:r>
          </w:p>
        </w:tc>
        <w:tc>
          <w:tcPr>
            <w:tcW w:w="838"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权重</w:t>
            </w:r>
          </w:p>
        </w:tc>
        <w:tc>
          <w:tcPr>
            <w:tcW w:w="178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839"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权重</w:t>
            </w:r>
          </w:p>
        </w:tc>
        <w:tc>
          <w:tcPr>
            <w:tcW w:w="311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指标层</w:t>
            </w:r>
          </w:p>
        </w:tc>
        <w:tc>
          <w:tcPr>
            <w:tcW w:w="839"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权重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7" w:hRule="atLeast"/>
          <w:jc w:val="center"/>
        </w:trPr>
        <w:tc>
          <w:tcPr>
            <w:tcW w:w="1114"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繁华程度</w:t>
            </w:r>
          </w:p>
        </w:tc>
        <w:tc>
          <w:tcPr>
            <w:tcW w:w="838"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0.2556</w:t>
            </w:r>
          </w:p>
        </w:tc>
        <w:tc>
          <w:tcPr>
            <w:tcW w:w="178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商服繁华影响度</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0.2556</w:t>
            </w: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距离商服中心距离</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0.2556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114"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交通条件</w:t>
            </w:r>
          </w:p>
        </w:tc>
        <w:tc>
          <w:tcPr>
            <w:tcW w:w="83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0.2015</w:t>
            </w:r>
          </w:p>
        </w:tc>
        <w:tc>
          <w:tcPr>
            <w:tcW w:w="178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道路通达度</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0.1189</w:t>
            </w: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通过道路等级</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0.1189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9"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公交便捷度</w:t>
            </w:r>
          </w:p>
        </w:tc>
        <w:tc>
          <w:tcPr>
            <w:tcW w:w="839"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0.0826</w:t>
            </w: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公交线路数量</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1"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距离公交站点（</w:t>
            </w:r>
            <w:r>
              <w:rPr>
                <w:rFonts w:hint="eastAsia"/>
                <w:color w:val="000000"/>
                <w:kern w:val="0"/>
                <w:szCs w:val="21"/>
              </w:rPr>
              <w:t xml:space="preserve"> 轨道交通</w:t>
            </w:r>
            <w:r>
              <w:rPr>
                <w:color w:val="000000"/>
                <w:kern w:val="0"/>
                <w:szCs w:val="21"/>
              </w:rPr>
              <w:t>站）距离</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14"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基本设施</w:t>
            </w:r>
          </w:p>
        </w:tc>
        <w:tc>
          <w:tcPr>
            <w:tcW w:w="83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0.2227</w:t>
            </w:r>
          </w:p>
        </w:tc>
        <w:tc>
          <w:tcPr>
            <w:tcW w:w="1781"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基础设施完善度</w:t>
            </w:r>
          </w:p>
        </w:tc>
        <w:tc>
          <w:tcPr>
            <w:tcW w:w="839"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0.0903</w:t>
            </w: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供水</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供电</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通讯</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排水</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公用设施完备度</w:t>
            </w:r>
          </w:p>
        </w:tc>
        <w:tc>
          <w:tcPr>
            <w:tcW w:w="839"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0.1324</w:t>
            </w: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距离医院距离</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8"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距离中小学距离</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1"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距离农贸市场距离</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6"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距离文体设施距离</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114"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环境条件</w:t>
            </w:r>
          </w:p>
        </w:tc>
        <w:tc>
          <w:tcPr>
            <w:tcW w:w="83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0.1637</w:t>
            </w:r>
          </w:p>
        </w:tc>
        <w:tc>
          <w:tcPr>
            <w:tcW w:w="1781"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环境质量优劣度</w:t>
            </w:r>
          </w:p>
        </w:tc>
        <w:tc>
          <w:tcPr>
            <w:tcW w:w="839"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0.0925</w:t>
            </w: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绿地覆盖率</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0.0462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三废污染程度</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自然条件优劣度</w:t>
            </w:r>
          </w:p>
        </w:tc>
        <w:tc>
          <w:tcPr>
            <w:tcW w:w="839"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0.0712</w:t>
            </w: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地形、地质优劣情况</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6"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洪涝灾害频率</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14"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其他方面</w:t>
            </w:r>
          </w:p>
        </w:tc>
        <w:tc>
          <w:tcPr>
            <w:tcW w:w="83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0.1565</w:t>
            </w:r>
          </w:p>
        </w:tc>
        <w:tc>
          <w:tcPr>
            <w:tcW w:w="1781"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城市规划</w:t>
            </w:r>
          </w:p>
        </w:tc>
        <w:tc>
          <w:tcPr>
            <w:tcW w:w="839"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0.1565</w:t>
            </w: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道路规划</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78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39"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11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用地规划</w:t>
            </w:r>
          </w:p>
        </w:tc>
        <w:tc>
          <w:tcPr>
            <w:tcW w:w="83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0.0850</w:t>
            </w:r>
          </w:p>
        </w:tc>
      </w:tr>
    </w:tbl>
    <w:p>
      <w:pPr>
        <w:spacing w:line="360" w:lineRule="auto"/>
        <w:jc w:val="center"/>
        <w:rPr>
          <w:rFonts w:hint="eastAsia"/>
          <w:sz w:val="24"/>
          <w:szCs w:val="24"/>
        </w:rPr>
      </w:pPr>
    </w:p>
    <w:p>
      <w:pPr>
        <w:spacing w:line="360" w:lineRule="auto"/>
        <w:ind w:firstLine="480" w:firstLineChars="200"/>
        <w:jc w:val="left"/>
        <w:rPr>
          <w:sz w:val="24"/>
          <w:szCs w:val="24"/>
        </w:rPr>
      </w:pPr>
      <w:r>
        <w:rPr>
          <w:sz w:val="24"/>
          <w:szCs w:val="24"/>
        </w:rPr>
        <w:t>3、作用分值测算流程</w:t>
      </w:r>
    </w:p>
    <w:p>
      <w:pPr>
        <w:spacing w:line="480" w:lineRule="exact"/>
        <w:ind w:firstLine="480" w:firstLineChars="200"/>
        <w:rPr>
          <w:sz w:val="24"/>
          <w:szCs w:val="24"/>
        </w:rPr>
      </w:pPr>
      <w:r>
        <w:rPr>
          <w:sz w:val="24"/>
          <w:szCs w:val="24"/>
        </w:rPr>
        <w:t>参照土地综合定级因素量化及作用分值计算中同样的方法，如测算商服繁华影响度量化、交通条件的量化等过程，采用多因素赋权加和法由计算机自动计算确定各均质区域作用分值。</w:t>
      </w:r>
    </w:p>
    <w:p>
      <w:pPr>
        <w:spacing w:line="480" w:lineRule="exact"/>
        <w:ind w:firstLine="480" w:firstLineChars="200"/>
        <w:rPr>
          <w:sz w:val="24"/>
          <w:szCs w:val="24"/>
        </w:rPr>
      </w:pPr>
      <w:r>
        <w:rPr>
          <w:sz w:val="24"/>
          <w:szCs w:val="24"/>
        </w:rPr>
        <w:t>4、长沙县城区</w:t>
      </w:r>
      <w:r>
        <w:rPr>
          <w:rFonts w:hint="eastAsia"/>
          <w:sz w:val="24"/>
          <w:szCs w:val="24"/>
        </w:rPr>
        <w:t>商服用地、住宅用地和公共管理与公共服务用地</w:t>
      </w:r>
      <w:r>
        <w:rPr>
          <w:sz w:val="24"/>
          <w:szCs w:val="24"/>
        </w:rPr>
        <w:t>均质区域划分结果</w:t>
      </w:r>
    </w:p>
    <w:p>
      <w:pPr>
        <w:widowControl/>
        <w:jc w:val="left"/>
        <w:rPr>
          <w:sz w:val="24"/>
          <w:szCs w:val="24"/>
        </w:rPr>
      </w:pPr>
      <w:r>
        <w:rPr>
          <w:sz w:val="24"/>
          <w:szCs w:val="24"/>
        </w:rPr>
        <w:br w:type="page"/>
      </w:r>
    </w:p>
    <w:p>
      <w:pPr>
        <w:spacing w:line="360" w:lineRule="auto"/>
        <w:jc w:val="center"/>
        <w:rPr>
          <w:b/>
          <w:sz w:val="24"/>
          <w:szCs w:val="24"/>
        </w:rPr>
      </w:pPr>
      <w:r>
        <w:rPr>
          <w:b/>
          <w:sz w:val="24"/>
          <w:szCs w:val="24"/>
        </w:rPr>
        <w:t>表2-5-</w:t>
      </w:r>
      <w:r>
        <w:rPr>
          <w:rFonts w:hint="eastAsia"/>
          <w:b/>
          <w:sz w:val="24"/>
          <w:szCs w:val="24"/>
        </w:rPr>
        <w:t>2</w:t>
      </w:r>
      <w:r>
        <w:rPr>
          <w:b/>
          <w:sz w:val="24"/>
          <w:szCs w:val="24"/>
        </w:rPr>
        <w:t xml:space="preserve"> 城区</w:t>
      </w:r>
      <w:r>
        <w:rPr>
          <w:rFonts w:hint="eastAsia"/>
          <w:b/>
          <w:sz w:val="24"/>
          <w:szCs w:val="24"/>
        </w:rPr>
        <w:t>商服用地、住宅用地和公共管理与公共服务用地</w:t>
      </w:r>
      <w:r>
        <w:rPr>
          <w:b/>
          <w:sz w:val="24"/>
          <w:szCs w:val="24"/>
        </w:rPr>
        <w:t>均质区域划分结果表</w:t>
      </w:r>
    </w:p>
    <w:tbl>
      <w:tblPr>
        <w:tblW w:w="9585" w:type="dxa"/>
        <w:jc w:val="center"/>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50"/>
        <w:gridCol w:w="914"/>
        <w:gridCol w:w="5782"/>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jc w:val="center"/>
        </w:trPr>
        <w:tc>
          <w:tcPr>
            <w:tcW w:w="1008" w:type="dxa"/>
            <w:vAlign w:val="center"/>
          </w:tcPr>
          <w:p>
            <w:pPr>
              <w:widowControl/>
              <w:spacing w:line="400" w:lineRule="exact"/>
              <w:jc w:val="center"/>
              <w:rPr>
                <w:b/>
                <w:bCs/>
                <w:color w:val="000000"/>
                <w:kern w:val="0"/>
                <w:sz w:val="20"/>
              </w:rPr>
            </w:pPr>
            <w:r>
              <w:rPr>
                <w:b/>
                <w:bCs/>
                <w:color w:val="000000"/>
                <w:kern w:val="0"/>
                <w:sz w:val="20"/>
              </w:rPr>
              <w:t>均值区域号</w:t>
            </w:r>
          </w:p>
        </w:tc>
        <w:tc>
          <w:tcPr>
            <w:tcW w:w="850" w:type="dxa"/>
            <w:vAlign w:val="center"/>
          </w:tcPr>
          <w:p>
            <w:pPr>
              <w:widowControl/>
              <w:spacing w:line="400" w:lineRule="exact"/>
              <w:jc w:val="center"/>
              <w:rPr>
                <w:b/>
                <w:bCs/>
                <w:color w:val="000000"/>
                <w:kern w:val="0"/>
                <w:sz w:val="20"/>
              </w:rPr>
            </w:pPr>
            <w:r>
              <w:rPr>
                <w:b/>
                <w:bCs/>
                <w:color w:val="000000"/>
                <w:kern w:val="0"/>
                <w:sz w:val="20"/>
              </w:rPr>
              <w:t>所属级别</w:t>
            </w:r>
          </w:p>
        </w:tc>
        <w:tc>
          <w:tcPr>
            <w:tcW w:w="914" w:type="dxa"/>
            <w:vAlign w:val="center"/>
          </w:tcPr>
          <w:p>
            <w:pPr>
              <w:widowControl/>
              <w:spacing w:line="400" w:lineRule="exact"/>
              <w:jc w:val="center"/>
              <w:rPr>
                <w:b/>
                <w:bCs/>
                <w:color w:val="000000"/>
                <w:kern w:val="0"/>
                <w:sz w:val="20"/>
              </w:rPr>
            </w:pPr>
            <w:r>
              <w:rPr>
                <w:b/>
                <w:bCs/>
                <w:color w:val="000000"/>
                <w:kern w:val="0"/>
                <w:sz w:val="20"/>
              </w:rPr>
              <w:t>作用分值</w:t>
            </w:r>
          </w:p>
        </w:tc>
        <w:tc>
          <w:tcPr>
            <w:tcW w:w="5782" w:type="dxa"/>
            <w:vAlign w:val="center"/>
          </w:tcPr>
          <w:p>
            <w:pPr>
              <w:widowControl/>
              <w:spacing w:line="400" w:lineRule="exact"/>
              <w:jc w:val="center"/>
              <w:rPr>
                <w:b/>
                <w:bCs/>
                <w:color w:val="000000"/>
                <w:kern w:val="0"/>
                <w:sz w:val="20"/>
              </w:rPr>
            </w:pPr>
            <w:r>
              <w:rPr>
                <w:b/>
                <w:bCs/>
                <w:color w:val="000000"/>
                <w:kern w:val="0"/>
                <w:sz w:val="20"/>
              </w:rPr>
              <w:t>边界范围</w:t>
            </w:r>
          </w:p>
        </w:tc>
        <w:tc>
          <w:tcPr>
            <w:tcW w:w="1031" w:type="dxa"/>
            <w:vAlign w:val="center"/>
          </w:tcPr>
          <w:p>
            <w:pPr>
              <w:widowControl/>
              <w:spacing w:line="400" w:lineRule="exact"/>
              <w:jc w:val="center"/>
              <w:rPr>
                <w:b/>
                <w:bCs/>
                <w:color w:val="000000"/>
                <w:kern w:val="0"/>
                <w:sz w:val="20"/>
              </w:rPr>
            </w:pPr>
            <w:r>
              <w:rPr>
                <w:b/>
                <w:bCs/>
                <w:color w:val="000000"/>
                <w:kern w:val="0"/>
                <w:sz w:val="20"/>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J018</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一级</w:t>
            </w:r>
          </w:p>
        </w:tc>
        <w:tc>
          <w:tcPr>
            <w:tcW w:w="914" w:type="dxa"/>
            <w:vAlign w:val="center"/>
          </w:tcPr>
          <w:p>
            <w:pPr>
              <w:widowControl/>
              <w:jc w:val="center"/>
              <w:textAlignment w:val="center"/>
              <w:rPr>
                <w:rFonts w:hint="eastAsia" w:eastAsia="宋体"/>
                <w:color w:val="000000"/>
                <w:kern w:val="0"/>
                <w:sz w:val="22"/>
                <w:szCs w:val="22"/>
                <w:lang w:val="en-US" w:eastAsia="zh-CN"/>
              </w:rPr>
            </w:pPr>
            <w:r>
              <w:rPr>
                <w:rFonts w:hint="eastAsia"/>
                <w:color w:val="000000"/>
                <w:kern w:val="0"/>
                <w:sz w:val="22"/>
                <w:szCs w:val="22"/>
                <w:lang/>
              </w:rPr>
              <w:t>70.02</w:t>
            </w:r>
          </w:p>
        </w:tc>
        <w:tc>
          <w:tcPr>
            <w:tcW w:w="5782" w:type="dxa"/>
            <w:vAlign w:val="center"/>
          </w:tcPr>
          <w:p>
            <w:pPr>
              <w:widowControl/>
              <w:spacing w:line="400" w:lineRule="exact"/>
              <w:jc w:val="center"/>
              <w:rPr>
                <w:color w:val="000000"/>
                <w:kern w:val="0"/>
                <w:sz w:val="22"/>
                <w:szCs w:val="22"/>
              </w:rPr>
            </w:pPr>
            <w:r>
              <w:rPr>
                <w:color w:val="000000"/>
                <w:kern w:val="0"/>
                <w:sz w:val="22"/>
                <w:szCs w:val="22"/>
              </w:rPr>
              <w:t>望仙路-东三线-开元路-星沙大道-望仙路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 xml:space="preserve">0.62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J012</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一级</w:t>
            </w:r>
          </w:p>
        </w:tc>
        <w:tc>
          <w:tcPr>
            <w:tcW w:w="914" w:type="dxa"/>
            <w:vAlign w:val="center"/>
          </w:tcPr>
          <w:p>
            <w:pPr>
              <w:widowControl/>
              <w:jc w:val="center"/>
              <w:textAlignment w:val="center"/>
              <w:rPr>
                <w:color w:val="000000"/>
                <w:kern w:val="0"/>
                <w:sz w:val="22"/>
                <w:szCs w:val="22"/>
              </w:rPr>
            </w:pPr>
            <w:r>
              <w:rPr>
                <w:rFonts w:hint="eastAsia"/>
                <w:color w:val="000000"/>
                <w:kern w:val="0"/>
                <w:sz w:val="22"/>
                <w:szCs w:val="22"/>
                <w:lang/>
              </w:rPr>
              <w:t>69.85</w:t>
            </w:r>
          </w:p>
        </w:tc>
        <w:tc>
          <w:tcPr>
            <w:tcW w:w="5782" w:type="dxa"/>
            <w:vAlign w:val="center"/>
          </w:tcPr>
          <w:p>
            <w:pPr>
              <w:widowControl/>
              <w:spacing w:line="400" w:lineRule="exact"/>
              <w:jc w:val="center"/>
              <w:rPr>
                <w:color w:val="000000"/>
                <w:kern w:val="0"/>
                <w:sz w:val="22"/>
                <w:szCs w:val="22"/>
              </w:rPr>
            </w:pPr>
            <w:r>
              <w:rPr>
                <w:color w:val="000000"/>
                <w:kern w:val="0"/>
                <w:sz w:val="22"/>
                <w:szCs w:val="22"/>
              </w:rPr>
              <w:t>望仙路-星沙大道-开元路-望仙路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 xml:space="preserve">0.37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J013</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一级</w:t>
            </w:r>
          </w:p>
        </w:tc>
        <w:tc>
          <w:tcPr>
            <w:tcW w:w="914" w:type="dxa"/>
            <w:vAlign w:val="center"/>
          </w:tcPr>
          <w:p>
            <w:pPr>
              <w:widowControl/>
              <w:jc w:val="center"/>
              <w:textAlignment w:val="center"/>
              <w:rPr>
                <w:color w:val="000000"/>
                <w:kern w:val="0"/>
                <w:sz w:val="22"/>
                <w:szCs w:val="22"/>
              </w:rPr>
            </w:pPr>
            <w:r>
              <w:rPr>
                <w:color w:val="000000"/>
                <w:kern w:val="0"/>
                <w:sz w:val="22"/>
                <w:szCs w:val="22"/>
                <w:lang/>
              </w:rPr>
              <w:t>6</w:t>
            </w:r>
            <w:r>
              <w:rPr>
                <w:rFonts w:hint="eastAsia"/>
                <w:color w:val="000000"/>
                <w:kern w:val="0"/>
                <w:sz w:val="22"/>
                <w:szCs w:val="22"/>
                <w:lang/>
              </w:rPr>
              <w:t>7.07</w:t>
            </w:r>
          </w:p>
        </w:tc>
        <w:tc>
          <w:tcPr>
            <w:tcW w:w="5782" w:type="dxa"/>
            <w:vAlign w:val="center"/>
          </w:tcPr>
          <w:p>
            <w:pPr>
              <w:widowControl/>
              <w:spacing w:line="400" w:lineRule="exact"/>
              <w:jc w:val="center"/>
              <w:rPr>
                <w:color w:val="000000"/>
                <w:kern w:val="0"/>
                <w:sz w:val="22"/>
                <w:szCs w:val="22"/>
              </w:rPr>
            </w:pPr>
            <w:r>
              <w:rPr>
                <w:color w:val="000000"/>
                <w:kern w:val="0"/>
                <w:sz w:val="22"/>
                <w:szCs w:val="22"/>
              </w:rPr>
              <w:t>开元路-星沙大道-三一路-京珠高速-开元路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 xml:space="preserve">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J014</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一级</w:t>
            </w:r>
          </w:p>
        </w:tc>
        <w:tc>
          <w:tcPr>
            <w:tcW w:w="914" w:type="dxa"/>
            <w:vAlign w:val="center"/>
          </w:tcPr>
          <w:p>
            <w:pPr>
              <w:widowControl/>
              <w:jc w:val="center"/>
              <w:textAlignment w:val="center"/>
              <w:rPr>
                <w:color w:val="000000"/>
                <w:kern w:val="0"/>
                <w:sz w:val="22"/>
                <w:szCs w:val="22"/>
              </w:rPr>
            </w:pPr>
            <w:r>
              <w:rPr>
                <w:rFonts w:hint="eastAsia"/>
                <w:color w:val="000000"/>
                <w:kern w:val="0"/>
                <w:sz w:val="22"/>
                <w:szCs w:val="22"/>
                <w:lang/>
              </w:rPr>
              <w:t>65.49</w:t>
            </w:r>
          </w:p>
        </w:tc>
        <w:tc>
          <w:tcPr>
            <w:tcW w:w="5782" w:type="dxa"/>
            <w:vAlign w:val="center"/>
          </w:tcPr>
          <w:p>
            <w:pPr>
              <w:widowControl/>
              <w:spacing w:line="400" w:lineRule="exact"/>
              <w:jc w:val="center"/>
              <w:rPr>
                <w:color w:val="000000"/>
                <w:kern w:val="0"/>
                <w:sz w:val="22"/>
                <w:szCs w:val="22"/>
              </w:rPr>
            </w:pPr>
            <w:r>
              <w:rPr>
                <w:color w:val="000000"/>
                <w:kern w:val="0"/>
                <w:sz w:val="22"/>
                <w:szCs w:val="22"/>
              </w:rPr>
              <w:t>三一路-星沙大道-长浏高速-京珠高速-三一路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 xml:space="preserve">0.92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J019</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一级</w:t>
            </w:r>
          </w:p>
        </w:tc>
        <w:tc>
          <w:tcPr>
            <w:tcW w:w="914" w:type="dxa"/>
            <w:vAlign w:val="center"/>
          </w:tcPr>
          <w:p>
            <w:pPr>
              <w:widowControl/>
              <w:jc w:val="center"/>
              <w:textAlignment w:val="center"/>
              <w:rPr>
                <w:color w:val="000000"/>
                <w:kern w:val="0"/>
                <w:sz w:val="22"/>
                <w:szCs w:val="22"/>
              </w:rPr>
            </w:pPr>
            <w:r>
              <w:rPr>
                <w:rFonts w:hint="eastAsia"/>
                <w:color w:val="000000"/>
                <w:kern w:val="0"/>
                <w:sz w:val="22"/>
                <w:szCs w:val="22"/>
                <w:lang/>
              </w:rPr>
              <w:t>62.34</w:t>
            </w:r>
          </w:p>
        </w:tc>
        <w:tc>
          <w:tcPr>
            <w:tcW w:w="5782" w:type="dxa"/>
            <w:vAlign w:val="center"/>
          </w:tcPr>
          <w:p>
            <w:pPr>
              <w:widowControl/>
              <w:spacing w:line="400" w:lineRule="exact"/>
              <w:jc w:val="center"/>
              <w:rPr>
                <w:color w:val="000000"/>
                <w:kern w:val="0"/>
                <w:sz w:val="22"/>
                <w:szCs w:val="22"/>
              </w:rPr>
            </w:pPr>
            <w:r>
              <w:rPr>
                <w:color w:val="000000"/>
                <w:kern w:val="0"/>
                <w:sz w:val="22"/>
                <w:szCs w:val="22"/>
              </w:rPr>
              <w:t>开元路-东二线-长浏高速-星沙大道-开元路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 xml:space="preserve">0.49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J011</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jc w:val="center"/>
              <w:textAlignment w:val="center"/>
              <w:rPr>
                <w:color w:val="000000"/>
                <w:kern w:val="0"/>
                <w:sz w:val="22"/>
                <w:szCs w:val="22"/>
              </w:rPr>
            </w:pPr>
            <w:r>
              <w:rPr>
                <w:rFonts w:hint="eastAsia"/>
                <w:color w:val="000000"/>
                <w:kern w:val="0"/>
                <w:sz w:val="22"/>
                <w:szCs w:val="22"/>
                <w:lang/>
              </w:rPr>
              <w:t>57.93</w:t>
            </w:r>
          </w:p>
        </w:tc>
        <w:tc>
          <w:tcPr>
            <w:tcW w:w="5782" w:type="dxa"/>
            <w:vAlign w:val="center"/>
          </w:tcPr>
          <w:p>
            <w:pPr>
              <w:widowControl/>
              <w:spacing w:line="400" w:lineRule="exact"/>
              <w:jc w:val="center"/>
              <w:rPr>
                <w:color w:val="000000"/>
                <w:kern w:val="0"/>
                <w:sz w:val="22"/>
                <w:szCs w:val="22"/>
              </w:rPr>
            </w:pPr>
            <w:r>
              <w:rPr>
                <w:color w:val="000000"/>
                <w:kern w:val="0"/>
                <w:sz w:val="22"/>
                <w:szCs w:val="22"/>
              </w:rPr>
              <w:t>京珠高速-特立路-东四线-开元路-东三线-望仙路-京珠高速</w:t>
            </w:r>
          </w:p>
        </w:tc>
        <w:tc>
          <w:tcPr>
            <w:tcW w:w="1031" w:type="dxa"/>
            <w:vAlign w:val="center"/>
          </w:tcPr>
          <w:p>
            <w:pPr>
              <w:widowControl/>
              <w:spacing w:line="400" w:lineRule="exact"/>
              <w:jc w:val="center"/>
              <w:rPr>
                <w:color w:val="000000"/>
                <w:kern w:val="0"/>
                <w:sz w:val="22"/>
                <w:szCs w:val="22"/>
              </w:rPr>
            </w:pPr>
            <w:r>
              <w:rPr>
                <w:color w:val="000000"/>
                <w:kern w:val="0"/>
                <w:sz w:val="22"/>
                <w:szCs w:val="22"/>
              </w:rPr>
              <w:t xml:space="preserve">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J020</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jc w:val="center"/>
              <w:textAlignment w:val="center"/>
              <w:rPr>
                <w:color w:val="000000"/>
                <w:kern w:val="0"/>
                <w:sz w:val="22"/>
                <w:szCs w:val="22"/>
              </w:rPr>
            </w:pPr>
            <w:r>
              <w:rPr>
                <w:rFonts w:hint="eastAsia"/>
                <w:color w:val="000000"/>
                <w:kern w:val="0"/>
                <w:sz w:val="22"/>
                <w:szCs w:val="22"/>
                <w:lang/>
              </w:rPr>
              <w:t>56.34</w:t>
            </w:r>
          </w:p>
        </w:tc>
        <w:tc>
          <w:tcPr>
            <w:tcW w:w="5782" w:type="dxa"/>
            <w:vAlign w:val="center"/>
          </w:tcPr>
          <w:p>
            <w:pPr>
              <w:widowControl/>
              <w:spacing w:line="400" w:lineRule="exact"/>
              <w:jc w:val="center"/>
              <w:rPr>
                <w:color w:val="000000"/>
                <w:kern w:val="0"/>
                <w:sz w:val="22"/>
                <w:szCs w:val="22"/>
              </w:rPr>
            </w:pPr>
            <w:r>
              <w:rPr>
                <w:color w:val="000000"/>
                <w:kern w:val="0"/>
                <w:sz w:val="22"/>
                <w:szCs w:val="22"/>
              </w:rPr>
              <w:t>开元路-东四线-长浏高速-东一线-开元路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 xml:space="preserve">1.38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J015</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jc w:val="center"/>
              <w:textAlignment w:val="center"/>
              <w:rPr>
                <w:color w:val="000000"/>
                <w:kern w:val="0"/>
                <w:sz w:val="22"/>
                <w:szCs w:val="22"/>
              </w:rPr>
            </w:pPr>
            <w:r>
              <w:rPr>
                <w:color w:val="000000"/>
                <w:kern w:val="0"/>
                <w:sz w:val="22"/>
                <w:szCs w:val="22"/>
                <w:lang/>
              </w:rPr>
              <w:t>55.45</w:t>
            </w:r>
          </w:p>
        </w:tc>
        <w:tc>
          <w:tcPr>
            <w:tcW w:w="5782" w:type="dxa"/>
            <w:vAlign w:val="center"/>
          </w:tcPr>
          <w:p>
            <w:pPr>
              <w:widowControl/>
              <w:spacing w:line="400" w:lineRule="exact"/>
              <w:jc w:val="center"/>
              <w:rPr>
                <w:color w:val="000000"/>
                <w:kern w:val="0"/>
                <w:sz w:val="22"/>
                <w:szCs w:val="22"/>
              </w:rPr>
            </w:pPr>
            <w:r>
              <w:rPr>
                <w:color w:val="000000"/>
                <w:kern w:val="0"/>
                <w:sz w:val="22"/>
                <w:szCs w:val="22"/>
              </w:rPr>
              <w:t>长浏高速-星沙大道-漓湘路-京珠高速-长浏高速</w:t>
            </w:r>
          </w:p>
        </w:tc>
        <w:tc>
          <w:tcPr>
            <w:tcW w:w="1031" w:type="dxa"/>
            <w:vAlign w:val="center"/>
          </w:tcPr>
          <w:p>
            <w:pPr>
              <w:widowControl/>
              <w:spacing w:line="400" w:lineRule="exact"/>
              <w:jc w:val="center"/>
              <w:rPr>
                <w:color w:val="000000"/>
                <w:kern w:val="0"/>
                <w:sz w:val="22"/>
                <w:szCs w:val="22"/>
              </w:rPr>
            </w:pPr>
            <w:r>
              <w:rPr>
                <w:color w:val="000000"/>
                <w:kern w:val="0"/>
                <w:sz w:val="22"/>
                <w:szCs w:val="22"/>
              </w:rPr>
              <w:t xml:space="preserve">3.39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J023</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jc w:val="center"/>
              <w:textAlignment w:val="center"/>
              <w:rPr>
                <w:color w:val="000000"/>
                <w:kern w:val="0"/>
                <w:sz w:val="22"/>
                <w:szCs w:val="22"/>
              </w:rPr>
            </w:pPr>
            <w:r>
              <w:rPr>
                <w:rFonts w:hint="eastAsia"/>
                <w:color w:val="000000"/>
                <w:kern w:val="0"/>
                <w:sz w:val="22"/>
                <w:szCs w:val="22"/>
                <w:lang/>
              </w:rPr>
              <w:t>54.08</w:t>
            </w:r>
          </w:p>
        </w:tc>
        <w:tc>
          <w:tcPr>
            <w:tcW w:w="5782" w:type="dxa"/>
            <w:vAlign w:val="center"/>
          </w:tcPr>
          <w:p>
            <w:pPr>
              <w:widowControl/>
              <w:spacing w:line="400" w:lineRule="exact"/>
              <w:jc w:val="center"/>
              <w:rPr>
                <w:color w:val="000000"/>
                <w:kern w:val="0"/>
                <w:sz w:val="22"/>
                <w:szCs w:val="22"/>
              </w:rPr>
            </w:pPr>
            <w:r>
              <w:rPr>
                <w:color w:val="000000"/>
                <w:kern w:val="0"/>
                <w:sz w:val="22"/>
                <w:szCs w:val="22"/>
              </w:rPr>
              <w:t>特立路-东七线-开元路-东四线-特立路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 xml:space="preserve">1.20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J024</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57.30</w:t>
            </w:r>
          </w:p>
        </w:tc>
        <w:tc>
          <w:tcPr>
            <w:tcW w:w="5782" w:type="dxa"/>
            <w:vAlign w:val="center"/>
          </w:tcPr>
          <w:p>
            <w:pPr>
              <w:widowControl/>
              <w:spacing w:line="400" w:lineRule="exact"/>
              <w:jc w:val="center"/>
              <w:rPr>
                <w:color w:val="000000"/>
                <w:kern w:val="0"/>
                <w:sz w:val="22"/>
                <w:szCs w:val="22"/>
              </w:rPr>
            </w:pPr>
            <w:r>
              <w:rPr>
                <w:color w:val="000000"/>
                <w:kern w:val="0"/>
                <w:sz w:val="22"/>
                <w:szCs w:val="22"/>
              </w:rPr>
              <w:t>开元路-东七线-长浏高速-东四线-开元路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J021</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jc w:val="center"/>
              <w:textAlignment w:val="center"/>
              <w:rPr>
                <w:color w:val="000000"/>
                <w:kern w:val="0"/>
                <w:sz w:val="22"/>
                <w:szCs w:val="22"/>
              </w:rPr>
            </w:pPr>
            <w:r>
              <w:rPr>
                <w:color w:val="000000"/>
                <w:kern w:val="0"/>
                <w:sz w:val="22"/>
                <w:szCs w:val="22"/>
                <w:lang/>
              </w:rPr>
              <w:t>53.18</w:t>
            </w:r>
          </w:p>
        </w:tc>
        <w:tc>
          <w:tcPr>
            <w:tcW w:w="5782" w:type="dxa"/>
            <w:vAlign w:val="center"/>
          </w:tcPr>
          <w:p>
            <w:pPr>
              <w:widowControl/>
              <w:spacing w:line="400" w:lineRule="exact"/>
              <w:jc w:val="center"/>
              <w:rPr>
                <w:color w:val="000000"/>
                <w:kern w:val="0"/>
                <w:sz w:val="22"/>
                <w:szCs w:val="22"/>
              </w:rPr>
            </w:pPr>
            <w:r>
              <w:rPr>
                <w:color w:val="000000"/>
                <w:kern w:val="0"/>
                <w:sz w:val="22"/>
                <w:szCs w:val="22"/>
              </w:rPr>
              <w:t>长浏高速-东四线-漓湘路-星沙大道-长浏高速</w:t>
            </w:r>
          </w:p>
        </w:tc>
        <w:tc>
          <w:tcPr>
            <w:tcW w:w="1031" w:type="dxa"/>
            <w:vAlign w:val="center"/>
          </w:tcPr>
          <w:p>
            <w:pPr>
              <w:widowControl/>
              <w:spacing w:line="400" w:lineRule="exact"/>
              <w:jc w:val="center"/>
              <w:rPr>
                <w:color w:val="000000"/>
                <w:kern w:val="0"/>
                <w:sz w:val="22"/>
                <w:szCs w:val="22"/>
              </w:rPr>
            </w:pPr>
            <w:r>
              <w:rPr>
                <w:color w:val="000000"/>
                <w:kern w:val="0"/>
                <w:sz w:val="22"/>
                <w:szCs w:val="22"/>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J022</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jc w:val="center"/>
              <w:textAlignment w:val="center"/>
              <w:rPr>
                <w:color w:val="000000"/>
                <w:kern w:val="0"/>
                <w:sz w:val="22"/>
                <w:szCs w:val="22"/>
              </w:rPr>
            </w:pPr>
            <w:r>
              <w:rPr>
                <w:color w:val="000000"/>
                <w:kern w:val="0"/>
                <w:sz w:val="22"/>
                <w:szCs w:val="22"/>
                <w:lang/>
              </w:rPr>
              <w:t>51.02</w:t>
            </w:r>
          </w:p>
        </w:tc>
        <w:tc>
          <w:tcPr>
            <w:tcW w:w="5782" w:type="dxa"/>
            <w:vAlign w:val="center"/>
          </w:tcPr>
          <w:p>
            <w:pPr>
              <w:widowControl/>
              <w:spacing w:line="400" w:lineRule="exact"/>
              <w:jc w:val="center"/>
              <w:rPr>
                <w:color w:val="000000"/>
                <w:kern w:val="0"/>
                <w:sz w:val="22"/>
                <w:szCs w:val="22"/>
              </w:rPr>
            </w:pPr>
            <w:r>
              <w:rPr>
                <w:color w:val="000000"/>
                <w:kern w:val="0"/>
                <w:sz w:val="22"/>
                <w:szCs w:val="22"/>
              </w:rPr>
              <w:t>漓湘路-东四线-规划边界-星沙大道-漓湘路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J025</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jc w:val="center"/>
              <w:textAlignment w:val="center"/>
              <w:rPr>
                <w:color w:val="000000"/>
                <w:kern w:val="0"/>
                <w:sz w:val="22"/>
                <w:szCs w:val="22"/>
              </w:rPr>
            </w:pPr>
            <w:r>
              <w:rPr>
                <w:color w:val="000000"/>
                <w:kern w:val="0"/>
                <w:sz w:val="22"/>
                <w:szCs w:val="22"/>
                <w:lang/>
              </w:rPr>
              <w:t>50.36</w:t>
            </w:r>
          </w:p>
        </w:tc>
        <w:tc>
          <w:tcPr>
            <w:tcW w:w="5782" w:type="dxa"/>
            <w:vAlign w:val="center"/>
          </w:tcPr>
          <w:p>
            <w:pPr>
              <w:widowControl/>
              <w:spacing w:line="400" w:lineRule="exact"/>
              <w:jc w:val="center"/>
              <w:rPr>
                <w:color w:val="000000"/>
                <w:kern w:val="0"/>
                <w:sz w:val="22"/>
                <w:szCs w:val="22"/>
              </w:rPr>
            </w:pPr>
            <w:r>
              <w:rPr>
                <w:color w:val="000000"/>
                <w:kern w:val="0"/>
                <w:sz w:val="22"/>
                <w:szCs w:val="22"/>
              </w:rPr>
              <w:t>长浏高速-东七线-漓湘路-东四线-长浏高速</w:t>
            </w:r>
          </w:p>
        </w:tc>
        <w:tc>
          <w:tcPr>
            <w:tcW w:w="1031" w:type="dxa"/>
            <w:vAlign w:val="center"/>
          </w:tcPr>
          <w:p>
            <w:pPr>
              <w:widowControl/>
              <w:spacing w:line="400" w:lineRule="exact"/>
              <w:jc w:val="center"/>
              <w:rPr>
                <w:color w:val="000000"/>
                <w:kern w:val="0"/>
                <w:sz w:val="22"/>
                <w:szCs w:val="22"/>
              </w:rPr>
            </w:pPr>
            <w:r>
              <w:rPr>
                <w:color w:val="000000"/>
                <w:kern w:val="0"/>
                <w:sz w:val="22"/>
                <w:szCs w:val="22"/>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J026</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rPr>
              <w:t>49</w:t>
            </w:r>
            <w:r>
              <w:rPr>
                <w:color w:val="000000"/>
                <w:kern w:val="0"/>
                <w:sz w:val="22"/>
                <w:szCs w:val="22"/>
                <w:lang/>
              </w:rPr>
              <w:t>.22</w:t>
            </w:r>
          </w:p>
        </w:tc>
        <w:tc>
          <w:tcPr>
            <w:tcW w:w="5782" w:type="dxa"/>
            <w:vAlign w:val="center"/>
          </w:tcPr>
          <w:p>
            <w:pPr>
              <w:widowControl/>
              <w:spacing w:line="400" w:lineRule="exact"/>
              <w:jc w:val="center"/>
              <w:rPr>
                <w:color w:val="000000"/>
                <w:kern w:val="0"/>
                <w:sz w:val="22"/>
                <w:szCs w:val="22"/>
              </w:rPr>
            </w:pPr>
            <w:r>
              <w:rPr>
                <w:color w:val="000000"/>
                <w:kern w:val="0"/>
                <w:sz w:val="22"/>
                <w:szCs w:val="22"/>
              </w:rPr>
              <w:t>漓湘路-小塘路-泉源路-东六线-远大路-东四线-漓湘路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J010</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jc w:val="center"/>
              <w:textAlignment w:val="center"/>
              <w:rPr>
                <w:color w:val="000000"/>
                <w:kern w:val="0"/>
                <w:sz w:val="22"/>
                <w:szCs w:val="22"/>
              </w:rPr>
            </w:pPr>
            <w:r>
              <w:rPr>
                <w:color w:val="000000"/>
                <w:kern w:val="0"/>
                <w:sz w:val="22"/>
                <w:szCs w:val="22"/>
                <w:lang/>
              </w:rPr>
              <w:t>48.03</w:t>
            </w:r>
          </w:p>
        </w:tc>
        <w:tc>
          <w:tcPr>
            <w:tcW w:w="5782" w:type="dxa"/>
            <w:vAlign w:val="center"/>
          </w:tcPr>
          <w:p>
            <w:pPr>
              <w:widowControl/>
              <w:spacing w:line="400" w:lineRule="exact"/>
              <w:jc w:val="center"/>
              <w:rPr>
                <w:color w:val="000000"/>
                <w:kern w:val="0"/>
                <w:sz w:val="22"/>
                <w:szCs w:val="22"/>
              </w:rPr>
            </w:pPr>
            <w:r>
              <w:rPr>
                <w:color w:val="000000"/>
                <w:kern w:val="0"/>
                <w:sz w:val="22"/>
                <w:szCs w:val="22"/>
              </w:rPr>
              <w:t>滨湖路-星沙大道-特立路-京珠高速-滨湖路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J017</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jc w:val="center"/>
              <w:textAlignment w:val="center"/>
              <w:rPr>
                <w:color w:val="000000"/>
                <w:kern w:val="0"/>
                <w:sz w:val="22"/>
                <w:szCs w:val="22"/>
              </w:rPr>
            </w:pPr>
            <w:r>
              <w:rPr>
                <w:color w:val="000000"/>
                <w:kern w:val="0"/>
                <w:sz w:val="22"/>
                <w:szCs w:val="22"/>
                <w:lang/>
              </w:rPr>
              <w:t>4</w:t>
            </w:r>
            <w:r>
              <w:rPr>
                <w:rFonts w:hint="eastAsia"/>
                <w:color w:val="000000"/>
                <w:kern w:val="0"/>
                <w:sz w:val="22"/>
                <w:szCs w:val="22"/>
                <w:lang/>
              </w:rPr>
              <w:t>7</w:t>
            </w:r>
            <w:r>
              <w:rPr>
                <w:color w:val="000000"/>
                <w:kern w:val="0"/>
                <w:sz w:val="22"/>
                <w:szCs w:val="22"/>
                <w:lang/>
              </w:rPr>
              <w:t>.61</w:t>
            </w:r>
          </w:p>
        </w:tc>
        <w:tc>
          <w:tcPr>
            <w:tcW w:w="5782" w:type="dxa"/>
            <w:vAlign w:val="center"/>
          </w:tcPr>
          <w:p>
            <w:pPr>
              <w:widowControl/>
              <w:spacing w:line="400" w:lineRule="exact"/>
              <w:jc w:val="center"/>
              <w:rPr>
                <w:color w:val="000000"/>
                <w:kern w:val="0"/>
                <w:sz w:val="22"/>
                <w:szCs w:val="22"/>
              </w:rPr>
            </w:pPr>
            <w:r>
              <w:rPr>
                <w:color w:val="000000"/>
                <w:kern w:val="0"/>
                <w:sz w:val="22"/>
                <w:szCs w:val="22"/>
              </w:rPr>
              <w:t>滨湖路-东七线-特立路-星沙大道-滨湖路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J009</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jc w:val="center"/>
              <w:textAlignment w:val="center"/>
              <w:rPr>
                <w:color w:val="000000"/>
                <w:kern w:val="0"/>
                <w:sz w:val="22"/>
                <w:szCs w:val="22"/>
              </w:rPr>
            </w:pPr>
            <w:r>
              <w:rPr>
                <w:color w:val="000000"/>
                <w:kern w:val="0"/>
                <w:sz w:val="22"/>
                <w:szCs w:val="22"/>
                <w:lang/>
              </w:rPr>
              <w:t>4</w:t>
            </w:r>
            <w:r>
              <w:rPr>
                <w:rFonts w:hint="eastAsia"/>
                <w:color w:val="000000"/>
                <w:kern w:val="0"/>
                <w:sz w:val="22"/>
                <w:szCs w:val="22"/>
                <w:lang/>
              </w:rPr>
              <w:t>7</w:t>
            </w:r>
            <w:r>
              <w:rPr>
                <w:color w:val="000000"/>
                <w:kern w:val="0"/>
                <w:sz w:val="22"/>
                <w:szCs w:val="22"/>
                <w:lang/>
              </w:rPr>
              <w:t>.</w:t>
            </w:r>
            <w:r>
              <w:rPr>
                <w:rFonts w:hint="eastAsia"/>
                <w:color w:val="000000"/>
                <w:kern w:val="0"/>
                <w:sz w:val="22"/>
                <w:szCs w:val="22"/>
                <w:lang/>
              </w:rPr>
              <w:t>0</w:t>
            </w:r>
            <w:r>
              <w:rPr>
                <w:color w:val="000000"/>
                <w:kern w:val="0"/>
                <w:sz w:val="22"/>
                <w:szCs w:val="22"/>
                <w:lang/>
              </w:rPr>
              <w:t>4</w:t>
            </w:r>
          </w:p>
        </w:tc>
        <w:tc>
          <w:tcPr>
            <w:tcW w:w="5782" w:type="dxa"/>
            <w:vAlign w:val="center"/>
          </w:tcPr>
          <w:p>
            <w:pPr>
              <w:widowControl/>
              <w:spacing w:line="400" w:lineRule="exact"/>
              <w:jc w:val="center"/>
              <w:rPr>
                <w:color w:val="000000"/>
                <w:kern w:val="0"/>
                <w:sz w:val="22"/>
                <w:szCs w:val="22"/>
              </w:rPr>
            </w:pPr>
            <w:r>
              <w:rPr>
                <w:color w:val="000000"/>
                <w:kern w:val="0"/>
                <w:sz w:val="22"/>
                <w:szCs w:val="22"/>
              </w:rPr>
              <w:t>捞刀河-捞刀河路-东七线-滨湖路-京珠高速-捞刀河</w:t>
            </w:r>
          </w:p>
        </w:tc>
        <w:tc>
          <w:tcPr>
            <w:tcW w:w="1031" w:type="dxa"/>
            <w:vAlign w:val="center"/>
          </w:tcPr>
          <w:p>
            <w:pPr>
              <w:widowControl/>
              <w:spacing w:line="400" w:lineRule="exact"/>
              <w:jc w:val="center"/>
              <w:rPr>
                <w:color w:val="000000"/>
                <w:kern w:val="0"/>
                <w:sz w:val="22"/>
                <w:szCs w:val="22"/>
              </w:rPr>
            </w:pPr>
            <w:r>
              <w:rPr>
                <w:color w:val="000000"/>
                <w:kern w:val="0"/>
                <w:sz w:val="22"/>
                <w:szCs w:val="22"/>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J004</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jc w:val="center"/>
              <w:textAlignment w:val="center"/>
              <w:rPr>
                <w:color w:val="000000"/>
                <w:kern w:val="0"/>
                <w:sz w:val="22"/>
                <w:szCs w:val="22"/>
              </w:rPr>
            </w:pPr>
            <w:r>
              <w:rPr>
                <w:color w:val="000000"/>
                <w:kern w:val="0"/>
                <w:sz w:val="22"/>
                <w:szCs w:val="22"/>
                <w:lang/>
              </w:rPr>
              <w:t>46.61</w:t>
            </w:r>
          </w:p>
        </w:tc>
        <w:tc>
          <w:tcPr>
            <w:tcW w:w="5782" w:type="dxa"/>
            <w:vAlign w:val="center"/>
          </w:tcPr>
          <w:p>
            <w:pPr>
              <w:widowControl/>
              <w:spacing w:line="400" w:lineRule="exact"/>
              <w:jc w:val="center"/>
              <w:rPr>
                <w:color w:val="000000"/>
                <w:kern w:val="0"/>
                <w:sz w:val="22"/>
                <w:szCs w:val="22"/>
              </w:rPr>
            </w:pPr>
            <w:r>
              <w:rPr>
                <w:color w:val="000000"/>
                <w:kern w:val="0"/>
                <w:sz w:val="22"/>
                <w:szCs w:val="22"/>
              </w:rPr>
              <w:t>捞刀河-京珠高速-滨湖西路-万家丽路-捞刀河路-捞刀河</w:t>
            </w:r>
          </w:p>
        </w:tc>
        <w:tc>
          <w:tcPr>
            <w:tcW w:w="1031" w:type="dxa"/>
            <w:vAlign w:val="center"/>
          </w:tcPr>
          <w:p>
            <w:pPr>
              <w:widowControl/>
              <w:spacing w:line="400" w:lineRule="exact"/>
              <w:jc w:val="center"/>
              <w:rPr>
                <w:color w:val="000000"/>
                <w:kern w:val="0"/>
                <w:sz w:val="22"/>
                <w:szCs w:val="22"/>
              </w:rPr>
            </w:pPr>
            <w:r>
              <w:rPr>
                <w:color w:val="000000"/>
                <w:kern w:val="0"/>
                <w:sz w:val="22"/>
                <w:szCs w:val="22"/>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J005</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jc w:val="center"/>
              <w:textAlignment w:val="center"/>
              <w:rPr>
                <w:color w:val="000000"/>
                <w:kern w:val="0"/>
                <w:sz w:val="22"/>
                <w:szCs w:val="22"/>
              </w:rPr>
            </w:pPr>
            <w:r>
              <w:rPr>
                <w:color w:val="000000"/>
                <w:kern w:val="0"/>
                <w:sz w:val="22"/>
                <w:szCs w:val="22"/>
                <w:lang/>
              </w:rPr>
              <w:t>4</w:t>
            </w:r>
            <w:r>
              <w:rPr>
                <w:rFonts w:hint="eastAsia"/>
                <w:color w:val="000000"/>
                <w:kern w:val="0"/>
                <w:sz w:val="22"/>
                <w:szCs w:val="22"/>
                <w:lang/>
              </w:rPr>
              <w:t>6</w:t>
            </w:r>
            <w:r>
              <w:rPr>
                <w:color w:val="000000"/>
                <w:kern w:val="0"/>
                <w:sz w:val="22"/>
                <w:szCs w:val="22"/>
                <w:lang/>
              </w:rPr>
              <w:t>.</w:t>
            </w:r>
            <w:r>
              <w:rPr>
                <w:rFonts w:hint="eastAsia"/>
                <w:color w:val="000000"/>
                <w:kern w:val="0"/>
                <w:sz w:val="22"/>
                <w:szCs w:val="22"/>
                <w:lang/>
              </w:rPr>
              <w:t>0</w:t>
            </w:r>
            <w:r>
              <w:rPr>
                <w:color w:val="000000"/>
                <w:kern w:val="0"/>
                <w:sz w:val="22"/>
                <w:szCs w:val="22"/>
                <w:lang/>
              </w:rPr>
              <w:t>4</w:t>
            </w:r>
          </w:p>
        </w:tc>
        <w:tc>
          <w:tcPr>
            <w:tcW w:w="5782" w:type="dxa"/>
            <w:vAlign w:val="center"/>
          </w:tcPr>
          <w:p>
            <w:pPr>
              <w:widowControl/>
              <w:spacing w:line="400" w:lineRule="exact"/>
              <w:jc w:val="center"/>
              <w:rPr>
                <w:color w:val="000000"/>
                <w:kern w:val="0"/>
                <w:sz w:val="22"/>
                <w:szCs w:val="22"/>
              </w:rPr>
            </w:pPr>
            <w:r>
              <w:rPr>
                <w:color w:val="000000"/>
                <w:kern w:val="0"/>
                <w:sz w:val="22"/>
                <w:szCs w:val="22"/>
              </w:rPr>
              <w:t>滨湖西路-京珠高速-开元路-规划边界-万家丽路-滨湖西路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16.47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J006</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44.98</w:t>
            </w:r>
          </w:p>
        </w:tc>
        <w:tc>
          <w:tcPr>
            <w:tcW w:w="5782" w:type="dxa"/>
            <w:vAlign w:val="center"/>
          </w:tcPr>
          <w:p>
            <w:pPr>
              <w:widowControl/>
              <w:spacing w:line="400" w:lineRule="exact"/>
              <w:jc w:val="center"/>
              <w:rPr>
                <w:color w:val="000000"/>
                <w:kern w:val="0"/>
                <w:sz w:val="22"/>
                <w:szCs w:val="22"/>
              </w:rPr>
            </w:pPr>
            <w:r>
              <w:rPr>
                <w:color w:val="000000"/>
                <w:kern w:val="0"/>
                <w:sz w:val="22"/>
                <w:szCs w:val="22"/>
              </w:rPr>
              <w:t>开元西路-京珠高速-规划边界-开元西路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J003</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jc w:val="center"/>
              <w:textAlignment w:val="center"/>
              <w:rPr>
                <w:color w:val="000000"/>
                <w:kern w:val="0"/>
                <w:sz w:val="22"/>
                <w:szCs w:val="22"/>
              </w:rPr>
            </w:pPr>
            <w:r>
              <w:rPr>
                <w:color w:val="000000"/>
                <w:kern w:val="0"/>
                <w:sz w:val="22"/>
                <w:szCs w:val="22"/>
                <w:lang/>
              </w:rPr>
              <w:t>4</w:t>
            </w:r>
            <w:r>
              <w:rPr>
                <w:rFonts w:hint="eastAsia"/>
                <w:color w:val="000000"/>
                <w:kern w:val="0"/>
                <w:sz w:val="22"/>
                <w:szCs w:val="22"/>
                <w:lang/>
              </w:rPr>
              <w:t>5</w:t>
            </w:r>
            <w:r>
              <w:rPr>
                <w:color w:val="000000"/>
                <w:kern w:val="0"/>
                <w:sz w:val="22"/>
                <w:szCs w:val="22"/>
                <w:lang/>
              </w:rPr>
              <w:t>.88</w:t>
            </w:r>
          </w:p>
        </w:tc>
        <w:tc>
          <w:tcPr>
            <w:tcW w:w="5782" w:type="dxa"/>
            <w:vAlign w:val="center"/>
          </w:tcPr>
          <w:p>
            <w:pPr>
              <w:widowControl/>
              <w:spacing w:line="400" w:lineRule="exact"/>
              <w:jc w:val="center"/>
              <w:rPr>
                <w:color w:val="000000"/>
                <w:kern w:val="0"/>
                <w:sz w:val="22"/>
                <w:szCs w:val="22"/>
              </w:rPr>
            </w:pPr>
            <w:r>
              <w:rPr>
                <w:color w:val="000000"/>
                <w:kern w:val="0"/>
                <w:sz w:val="22"/>
                <w:szCs w:val="22"/>
              </w:rPr>
              <w:t>捞刀河路-南王路-龙塘路-规划边界-万家丽路-捞刀河路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J016</w:t>
            </w:r>
          </w:p>
        </w:tc>
        <w:tc>
          <w:tcPr>
            <w:tcW w:w="850"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914"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45.50</w:t>
            </w:r>
          </w:p>
        </w:tc>
        <w:tc>
          <w:tcPr>
            <w:tcW w:w="5782" w:type="dxa"/>
            <w:vAlign w:val="center"/>
          </w:tcPr>
          <w:p>
            <w:pPr>
              <w:widowControl/>
              <w:spacing w:line="400" w:lineRule="exact"/>
              <w:jc w:val="center"/>
              <w:rPr>
                <w:color w:val="000000"/>
                <w:kern w:val="0"/>
                <w:sz w:val="22"/>
                <w:szCs w:val="22"/>
              </w:rPr>
            </w:pPr>
            <w:r>
              <w:rPr>
                <w:color w:val="000000"/>
                <w:kern w:val="0"/>
                <w:sz w:val="22"/>
                <w:szCs w:val="22"/>
              </w:rPr>
              <w:t>漓湘路-星沙大道-规划边界-京珠高速-漓湘路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J027</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三级</w:t>
            </w:r>
          </w:p>
        </w:tc>
        <w:tc>
          <w:tcPr>
            <w:tcW w:w="914" w:type="dxa"/>
            <w:vAlign w:val="center"/>
          </w:tcPr>
          <w:p>
            <w:pPr>
              <w:widowControl/>
              <w:jc w:val="center"/>
              <w:textAlignment w:val="center"/>
              <w:rPr>
                <w:color w:val="000000"/>
                <w:kern w:val="0"/>
                <w:sz w:val="22"/>
                <w:szCs w:val="22"/>
              </w:rPr>
            </w:pPr>
            <w:r>
              <w:rPr>
                <w:color w:val="000000"/>
                <w:kern w:val="0"/>
                <w:sz w:val="22"/>
                <w:szCs w:val="22"/>
                <w:lang/>
              </w:rPr>
              <w:t>4</w:t>
            </w:r>
            <w:r>
              <w:rPr>
                <w:rFonts w:hint="eastAsia"/>
                <w:color w:val="000000"/>
                <w:kern w:val="0"/>
                <w:sz w:val="22"/>
                <w:szCs w:val="22"/>
                <w:lang/>
              </w:rPr>
              <w:t>5</w:t>
            </w:r>
            <w:r>
              <w:rPr>
                <w:color w:val="000000"/>
                <w:kern w:val="0"/>
                <w:sz w:val="22"/>
                <w:szCs w:val="22"/>
                <w:lang/>
              </w:rPr>
              <w:t>.</w:t>
            </w:r>
            <w:r>
              <w:rPr>
                <w:rFonts w:hint="eastAsia"/>
                <w:color w:val="000000"/>
                <w:kern w:val="0"/>
                <w:sz w:val="22"/>
                <w:szCs w:val="22"/>
                <w:lang/>
              </w:rPr>
              <w:t>12</w:t>
            </w:r>
          </w:p>
        </w:tc>
        <w:tc>
          <w:tcPr>
            <w:tcW w:w="5782" w:type="dxa"/>
            <w:vAlign w:val="center"/>
          </w:tcPr>
          <w:p>
            <w:pPr>
              <w:widowControl/>
              <w:spacing w:line="400" w:lineRule="exact"/>
              <w:jc w:val="center"/>
              <w:rPr>
                <w:color w:val="000000"/>
                <w:kern w:val="0"/>
                <w:sz w:val="22"/>
                <w:szCs w:val="22"/>
              </w:rPr>
            </w:pPr>
            <w:r>
              <w:rPr>
                <w:color w:val="000000"/>
                <w:kern w:val="0"/>
                <w:sz w:val="22"/>
                <w:szCs w:val="22"/>
              </w:rPr>
              <w:t>滨湖路-黄兴大道-长浏高速-东七线-滨湖路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J028</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三级</w:t>
            </w:r>
          </w:p>
        </w:tc>
        <w:tc>
          <w:tcPr>
            <w:tcW w:w="914" w:type="dxa"/>
            <w:vAlign w:val="center"/>
          </w:tcPr>
          <w:p>
            <w:pPr>
              <w:widowControl/>
              <w:jc w:val="center"/>
              <w:textAlignment w:val="center"/>
              <w:rPr>
                <w:color w:val="000000"/>
                <w:kern w:val="0"/>
                <w:sz w:val="22"/>
                <w:szCs w:val="22"/>
              </w:rPr>
            </w:pPr>
            <w:r>
              <w:rPr>
                <w:rFonts w:hint="eastAsia"/>
                <w:color w:val="000000"/>
                <w:kern w:val="0"/>
                <w:sz w:val="22"/>
                <w:szCs w:val="22"/>
                <w:lang/>
              </w:rPr>
              <w:t>43.07</w:t>
            </w:r>
          </w:p>
        </w:tc>
        <w:tc>
          <w:tcPr>
            <w:tcW w:w="5782" w:type="dxa"/>
            <w:vAlign w:val="center"/>
          </w:tcPr>
          <w:p>
            <w:pPr>
              <w:widowControl/>
              <w:spacing w:line="400" w:lineRule="exact"/>
              <w:jc w:val="center"/>
              <w:rPr>
                <w:color w:val="000000"/>
                <w:kern w:val="0"/>
                <w:sz w:val="22"/>
                <w:szCs w:val="22"/>
              </w:rPr>
            </w:pPr>
            <w:r>
              <w:rPr>
                <w:color w:val="000000"/>
                <w:kern w:val="0"/>
                <w:sz w:val="22"/>
                <w:szCs w:val="22"/>
              </w:rPr>
              <w:t>长浏高速-黄兴大道-远大二路-东六线-泉源路-小塘路-漓湘路-东七线-长浏高速</w:t>
            </w:r>
          </w:p>
        </w:tc>
        <w:tc>
          <w:tcPr>
            <w:tcW w:w="1031" w:type="dxa"/>
            <w:vAlign w:val="center"/>
          </w:tcPr>
          <w:p>
            <w:pPr>
              <w:widowControl/>
              <w:spacing w:line="400" w:lineRule="exact"/>
              <w:jc w:val="center"/>
              <w:rPr>
                <w:color w:val="000000"/>
                <w:kern w:val="0"/>
                <w:sz w:val="22"/>
                <w:szCs w:val="22"/>
              </w:rPr>
            </w:pPr>
            <w:r>
              <w:rPr>
                <w:color w:val="000000"/>
                <w:kern w:val="0"/>
                <w:sz w:val="22"/>
                <w:szCs w:val="22"/>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J029</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三级</w:t>
            </w:r>
          </w:p>
        </w:tc>
        <w:tc>
          <w:tcPr>
            <w:tcW w:w="914" w:type="dxa"/>
            <w:vAlign w:val="center"/>
          </w:tcPr>
          <w:p>
            <w:pPr>
              <w:widowControl/>
              <w:jc w:val="center"/>
              <w:textAlignment w:val="center"/>
              <w:rPr>
                <w:color w:val="000000"/>
                <w:kern w:val="0"/>
                <w:sz w:val="22"/>
                <w:szCs w:val="22"/>
              </w:rPr>
            </w:pPr>
            <w:r>
              <w:rPr>
                <w:rFonts w:hint="eastAsia"/>
                <w:color w:val="000000"/>
                <w:kern w:val="0"/>
                <w:sz w:val="22"/>
                <w:szCs w:val="22"/>
              </w:rPr>
              <w:t>41.78</w:t>
            </w:r>
          </w:p>
        </w:tc>
        <w:tc>
          <w:tcPr>
            <w:tcW w:w="5782" w:type="dxa"/>
            <w:vAlign w:val="center"/>
          </w:tcPr>
          <w:p>
            <w:pPr>
              <w:widowControl/>
              <w:spacing w:line="400" w:lineRule="exact"/>
              <w:jc w:val="center"/>
              <w:rPr>
                <w:color w:val="000000"/>
                <w:kern w:val="0"/>
                <w:sz w:val="22"/>
                <w:szCs w:val="22"/>
              </w:rPr>
            </w:pPr>
            <w:r>
              <w:rPr>
                <w:color w:val="000000"/>
                <w:kern w:val="0"/>
                <w:sz w:val="22"/>
                <w:szCs w:val="22"/>
              </w:rPr>
              <w:t>远大二路-黄兴大道-映霞路-规划边界-远大二路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J032</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三级</w:t>
            </w:r>
          </w:p>
        </w:tc>
        <w:tc>
          <w:tcPr>
            <w:tcW w:w="914" w:type="dxa"/>
            <w:vAlign w:val="center"/>
          </w:tcPr>
          <w:p>
            <w:pPr>
              <w:widowControl/>
              <w:jc w:val="center"/>
              <w:textAlignment w:val="center"/>
              <w:rPr>
                <w:color w:val="000000"/>
                <w:kern w:val="0"/>
                <w:sz w:val="22"/>
                <w:szCs w:val="22"/>
              </w:rPr>
            </w:pPr>
            <w:r>
              <w:rPr>
                <w:color w:val="000000"/>
                <w:kern w:val="0"/>
                <w:sz w:val="22"/>
                <w:szCs w:val="22"/>
                <w:lang/>
              </w:rPr>
              <w:t>3</w:t>
            </w:r>
            <w:r>
              <w:rPr>
                <w:rFonts w:hint="eastAsia"/>
                <w:color w:val="000000"/>
                <w:kern w:val="0"/>
                <w:sz w:val="22"/>
                <w:szCs w:val="22"/>
                <w:lang/>
              </w:rPr>
              <w:t>8</w:t>
            </w:r>
            <w:r>
              <w:rPr>
                <w:color w:val="000000"/>
                <w:kern w:val="0"/>
                <w:sz w:val="22"/>
                <w:szCs w:val="22"/>
                <w:lang/>
              </w:rPr>
              <w:t>.</w:t>
            </w:r>
            <w:r>
              <w:rPr>
                <w:rFonts w:hint="eastAsia"/>
                <w:color w:val="000000"/>
                <w:kern w:val="0"/>
                <w:sz w:val="22"/>
                <w:szCs w:val="22"/>
                <w:lang/>
              </w:rPr>
              <w:t>4</w:t>
            </w:r>
            <w:r>
              <w:rPr>
                <w:color w:val="000000"/>
                <w:kern w:val="0"/>
                <w:sz w:val="22"/>
                <w:szCs w:val="22"/>
                <w:lang/>
              </w:rPr>
              <w:t>9</w:t>
            </w:r>
          </w:p>
        </w:tc>
        <w:tc>
          <w:tcPr>
            <w:tcW w:w="5782" w:type="dxa"/>
            <w:vAlign w:val="center"/>
          </w:tcPr>
          <w:p>
            <w:pPr>
              <w:widowControl/>
              <w:spacing w:line="400" w:lineRule="exact"/>
              <w:jc w:val="center"/>
              <w:rPr>
                <w:color w:val="000000"/>
                <w:kern w:val="0"/>
                <w:sz w:val="22"/>
                <w:szCs w:val="22"/>
              </w:rPr>
            </w:pPr>
            <w:r>
              <w:rPr>
                <w:color w:val="000000"/>
                <w:kern w:val="0"/>
                <w:sz w:val="22"/>
                <w:szCs w:val="22"/>
              </w:rPr>
              <w:t>滨湖路-东九线-开元路-黄兴大道-滨湖路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J033</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三级</w:t>
            </w:r>
          </w:p>
        </w:tc>
        <w:tc>
          <w:tcPr>
            <w:tcW w:w="914" w:type="dxa"/>
            <w:vAlign w:val="center"/>
          </w:tcPr>
          <w:p>
            <w:pPr>
              <w:widowControl/>
              <w:jc w:val="center"/>
              <w:textAlignment w:val="center"/>
              <w:rPr>
                <w:color w:val="000000"/>
                <w:kern w:val="0"/>
                <w:sz w:val="22"/>
                <w:szCs w:val="22"/>
              </w:rPr>
            </w:pPr>
            <w:r>
              <w:rPr>
                <w:color w:val="000000"/>
                <w:kern w:val="0"/>
                <w:sz w:val="22"/>
                <w:szCs w:val="22"/>
                <w:lang/>
              </w:rPr>
              <w:t>3</w:t>
            </w:r>
            <w:r>
              <w:rPr>
                <w:rFonts w:hint="eastAsia"/>
                <w:color w:val="000000"/>
                <w:kern w:val="0"/>
                <w:sz w:val="22"/>
                <w:szCs w:val="22"/>
                <w:lang/>
              </w:rPr>
              <w:t>6</w:t>
            </w:r>
            <w:r>
              <w:rPr>
                <w:color w:val="000000"/>
                <w:kern w:val="0"/>
                <w:sz w:val="22"/>
                <w:szCs w:val="22"/>
                <w:lang/>
              </w:rPr>
              <w:t>.</w:t>
            </w:r>
            <w:r>
              <w:rPr>
                <w:rFonts w:hint="eastAsia"/>
                <w:color w:val="000000"/>
                <w:kern w:val="0"/>
                <w:sz w:val="22"/>
                <w:szCs w:val="22"/>
                <w:lang/>
              </w:rPr>
              <w:t>7</w:t>
            </w:r>
            <w:r>
              <w:rPr>
                <w:color w:val="000000"/>
                <w:kern w:val="0"/>
                <w:sz w:val="22"/>
                <w:szCs w:val="22"/>
                <w:lang/>
              </w:rPr>
              <w:t>4</w:t>
            </w:r>
          </w:p>
        </w:tc>
        <w:tc>
          <w:tcPr>
            <w:tcW w:w="5782" w:type="dxa"/>
            <w:vAlign w:val="center"/>
          </w:tcPr>
          <w:p>
            <w:pPr>
              <w:widowControl/>
              <w:spacing w:line="400" w:lineRule="exact"/>
              <w:jc w:val="center"/>
              <w:rPr>
                <w:color w:val="000000"/>
                <w:kern w:val="0"/>
                <w:sz w:val="22"/>
                <w:szCs w:val="22"/>
              </w:rPr>
            </w:pPr>
            <w:r>
              <w:rPr>
                <w:color w:val="000000"/>
                <w:kern w:val="0"/>
                <w:sz w:val="22"/>
                <w:szCs w:val="22"/>
              </w:rPr>
              <w:t>开元路-东九线-漓湘路-黄兴大道-开元路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J030</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三级</w:t>
            </w:r>
          </w:p>
        </w:tc>
        <w:tc>
          <w:tcPr>
            <w:tcW w:w="914" w:type="dxa"/>
            <w:vAlign w:val="center"/>
          </w:tcPr>
          <w:p>
            <w:pPr>
              <w:widowControl/>
              <w:jc w:val="center"/>
              <w:textAlignment w:val="center"/>
              <w:rPr>
                <w:color w:val="000000"/>
                <w:kern w:val="0"/>
                <w:sz w:val="22"/>
                <w:szCs w:val="22"/>
              </w:rPr>
            </w:pPr>
            <w:r>
              <w:rPr>
                <w:color w:val="000000"/>
                <w:kern w:val="0"/>
                <w:sz w:val="22"/>
                <w:szCs w:val="22"/>
                <w:lang/>
              </w:rPr>
              <w:t>3</w:t>
            </w:r>
            <w:r>
              <w:rPr>
                <w:rFonts w:hint="eastAsia"/>
                <w:color w:val="000000"/>
                <w:kern w:val="0"/>
                <w:sz w:val="22"/>
                <w:szCs w:val="22"/>
                <w:lang/>
              </w:rPr>
              <w:t>5</w:t>
            </w:r>
            <w:r>
              <w:rPr>
                <w:color w:val="000000"/>
                <w:kern w:val="0"/>
                <w:sz w:val="22"/>
                <w:szCs w:val="22"/>
                <w:lang/>
              </w:rPr>
              <w:t>.56</w:t>
            </w:r>
          </w:p>
        </w:tc>
        <w:tc>
          <w:tcPr>
            <w:tcW w:w="5782" w:type="dxa"/>
            <w:vAlign w:val="center"/>
          </w:tcPr>
          <w:p>
            <w:pPr>
              <w:widowControl/>
              <w:spacing w:line="400" w:lineRule="exact"/>
              <w:jc w:val="center"/>
              <w:rPr>
                <w:color w:val="000000"/>
                <w:kern w:val="0"/>
                <w:sz w:val="22"/>
                <w:szCs w:val="22"/>
              </w:rPr>
            </w:pPr>
            <w:r>
              <w:rPr>
                <w:color w:val="000000"/>
                <w:kern w:val="0"/>
                <w:sz w:val="22"/>
                <w:szCs w:val="22"/>
              </w:rPr>
              <w:t>映霞路-黄兴大道-机场高速-规划边界-映霞路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J008</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三级</w:t>
            </w:r>
          </w:p>
        </w:tc>
        <w:tc>
          <w:tcPr>
            <w:tcW w:w="914" w:type="dxa"/>
            <w:vAlign w:val="center"/>
          </w:tcPr>
          <w:p>
            <w:pPr>
              <w:widowControl/>
              <w:spacing w:line="400" w:lineRule="exact"/>
              <w:jc w:val="center"/>
              <w:textAlignment w:val="center"/>
              <w:rPr>
                <w:color w:val="000000"/>
                <w:kern w:val="0"/>
                <w:sz w:val="22"/>
                <w:szCs w:val="22"/>
                <w:lang w:val="en-US"/>
              </w:rPr>
            </w:pPr>
            <w:r>
              <w:rPr>
                <w:rFonts w:hint="eastAsia"/>
                <w:color w:val="000000"/>
                <w:kern w:val="0"/>
                <w:sz w:val="22"/>
                <w:szCs w:val="22"/>
                <w:lang w:val="en-US" w:eastAsia="zh-CN"/>
              </w:rPr>
              <w:t>35.23</w:t>
            </w:r>
          </w:p>
        </w:tc>
        <w:tc>
          <w:tcPr>
            <w:tcW w:w="5782" w:type="dxa"/>
            <w:vAlign w:val="center"/>
          </w:tcPr>
          <w:p>
            <w:pPr>
              <w:widowControl/>
              <w:spacing w:line="400" w:lineRule="exact"/>
              <w:jc w:val="center"/>
              <w:rPr>
                <w:color w:val="000000"/>
                <w:kern w:val="0"/>
                <w:sz w:val="22"/>
                <w:szCs w:val="22"/>
              </w:rPr>
            </w:pPr>
            <w:r>
              <w:rPr>
                <w:color w:val="000000"/>
                <w:kern w:val="0"/>
                <w:sz w:val="22"/>
                <w:szCs w:val="22"/>
              </w:rPr>
              <w:t>韶塘坡路-北头港路-黄兴大道-滨湖路-东七线-捞刀河路-捞刀河-韶塘坡路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J002</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三级</w:t>
            </w:r>
          </w:p>
        </w:tc>
        <w:tc>
          <w:tcPr>
            <w:tcW w:w="914" w:type="dxa"/>
            <w:vAlign w:val="center"/>
          </w:tcPr>
          <w:p>
            <w:pPr>
              <w:widowControl/>
              <w:spacing w:line="400" w:lineRule="exact"/>
              <w:jc w:val="center"/>
              <w:textAlignment w:val="center"/>
              <w:rPr>
                <w:color w:val="000000"/>
                <w:kern w:val="0"/>
                <w:sz w:val="22"/>
                <w:szCs w:val="22"/>
                <w:lang w:val="en-US"/>
              </w:rPr>
            </w:pPr>
            <w:r>
              <w:rPr>
                <w:rFonts w:hint="eastAsia"/>
                <w:color w:val="000000"/>
                <w:kern w:val="0"/>
                <w:sz w:val="22"/>
                <w:szCs w:val="22"/>
                <w:lang w:val="en-US" w:eastAsia="zh-CN"/>
              </w:rPr>
              <w:t>34.89</w:t>
            </w:r>
          </w:p>
        </w:tc>
        <w:tc>
          <w:tcPr>
            <w:tcW w:w="5782" w:type="dxa"/>
            <w:vAlign w:val="center"/>
          </w:tcPr>
          <w:p>
            <w:pPr>
              <w:widowControl/>
              <w:spacing w:line="400" w:lineRule="exact"/>
              <w:jc w:val="center"/>
              <w:rPr>
                <w:color w:val="000000"/>
                <w:kern w:val="0"/>
                <w:sz w:val="22"/>
                <w:szCs w:val="22"/>
              </w:rPr>
            </w:pPr>
            <w:r>
              <w:rPr>
                <w:color w:val="000000"/>
                <w:kern w:val="0"/>
                <w:sz w:val="22"/>
                <w:szCs w:val="22"/>
              </w:rPr>
              <w:t>捞刀河-捞刀河路-南王路-龙塘路-规划边界-捞刀河</w:t>
            </w:r>
          </w:p>
        </w:tc>
        <w:tc>
          <w:tcPr>
            <w:tcW w:w="1031" w:type="dxa"/>
            <w:vAlign w:val="center"/>
          </w:tcPr>
          <w:p>
            <w:pPr>
              <w:widowControl/>
              <w:spacing w:line="400" w:lineRule="exact"/>
              <w:jc w:val="center"/>
              <w:rPr>
                <w:color w:val="000000"/>
                <w:kern w:val="0"/>
                <w:sz w:val="22"/>
                <w:szCs w:val="22"/>
              </w:rPr>
            </w:pPr>
            <w:r>
              <w:rPr>
                <w:color w:val="000000"/>
                <w:kern w:val="0"/>
                <w:sz w:val="22"/>
                <w:szCs w:val="22"/>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J035</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四级</w:t>
            </w:r>
          </w:p>
        </w:tc>
        <w:tc>
          <w:tcPr>
            <w:tcW w:w="914" w:type="dxa"/>
            <w:vAlign w:val="center"/>
          </w:tcPr>
          <w:p>
            <w:pPr>
              <w:widowControl/>
              <w:spacing w:line="400" w:lineRule="exact"/>
              <w:jc w:val="center"/>
              <w:textAlignment w:val="center"/>
              <w:rPr>
                <w:color w:val="000000"/>
                <w:kern w:val="0"/>
                <w:sz w:val="22"/>
                <w:szCs w:val="22"/>
                <w:lang w:val="en-US"/>
              </w:rPr>
            </w:pPr>
            <w:r>
              <w:rPr>
                <w:rFonts w:hint="eastAsia"/>
                <w:color w:val="000000"/>
                <w:kern w:val="0"/>
                <w:sz w:val="22"/>
                <w:szCs w:val="22"/>
                <w:lang w:val="en-US" w:eastAsia="zh-CN"/>
              </w:rPr>
              <w:t>34.11</w:t>
            </w:r>
          </w:p>
        </w:tc>
        <w:tc>
          <w:tcPr>
            <w:tcW w:w="5782" w:type="dxa"/>
            <w:vAlign w:val="center"/>
          </w:tcPr>
          <w:p>
            <w:pPr>
              <w:widowControl/>
              <w:spacing w:line="400" w:lineRule="exact"/>
              <w:jc w:val="center"/>
              <w:rPr>
                <w:color w:val="000000"/>
                <w:kern w:val="0"/>
                <w:sz w:val="22"/>
                <w:szCs w:val="22"/>
              </w:rPr>
            </w:pPr>
            <w:r>
              <w:rPr>
                <w:color w:val="000000"/>
                <w:kern w:val="0"/>
                <w:sz w:val="22"/>
                <w:szCs w:val="22"/>
              </w:rPr>
              <w:t>开元东路-东十一线-漓湘路-东九线-开元东路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J036</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四级</w:t>
            </w:r>
          </w:p>
        </w:tc>
        <w:tc>
          <w:tcPr>
            <w:tcW w:w="914"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29.19</w:t>
            </w:r>
          </w:p>
        </w:tc>
        <w:tc>
          <w:tcPr>
            <w:tcW w:w="5782" w:type="dxa"/>
            <w:vAlign w:val="center"/>
          </w:tcPr>
          <w:p>
            <w:pPr>
              <w:widowControl/>
              <w:spacing w:line="400" w:lineRule="exact"/>
              <w:jc w:val="center"/>
              <w:rPr>
                <w:color w:val="000000"/>
                <w:kern w:val="0"/>
                <w:sz w:val="22"/>
                <w:szCs w:val="22"/>
              </w:rPr>
            </w:pPr>
            <w:r>
              <w:rPr>
                <w:color w:val="000000"/>
                <w:kern w:val="0"/>
                <w:sz w:val="22"/>
                <w:szCs w:val="22"/>
              </w:rPr>
              <w:t>漓湘路-东十一线-映霞路-黄兴大道-漓湘路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J034</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四级</w:t>
            </w:r>
          </w:p>
        </w:tc>
        <w:tc>
          <w:tcPr>
            <w:tcW w:w="914" w:type="dxa"/>
            <w:vAlign w:val="center"/>
          </w:tcPr>
          <w:p>
            <w:pPr>
              <w:widowControl/>
              <w:jc w:val="center"/>
              <w:textAlignment w:val="center"/>
              <w:rPr>
                <w:color w:val="000000"/>
                <w:kern w:val="0"/>
                <w:sz w:val="22"/>
                <w:szCs w:val="22"/>
              </w:rPr>
            </w:pPr>
            <w:r>
              <w:rPr>
                <w:rFonts w:hint="eastAsia"/>
                <w:color w:val="000000"/>
                <w:kern w:val="0"/>
                <w:sz w:val="22"/>
                <w:szCs w:val="22"/>
                <w:lang w:val="en-US" w:eastAsia="zh-CN"/>
              </w:rPr>
              <w:t>27</w:t>
            </w:r>
            <w:r>
              <w:rPr>
                <w:color w:val="000000"/>
                <w:kern w:val="0"/>
                <w:sz w:val="22"/>
                <w:szCs w:val="22"/>
                <w:lang/>
              </w:rPr>
              <w:t>.</w:t>
            </w:r>
            <w:r>
              <w:rPr>
                <w:rFonts w:hint="eastAsia"/>
                <w:color w:val="000000"/>
                <w:kern w:val="0"/>
                <w:sz w:val="22"/>
                <w:szCs w:val="22"/>
                <w:lang/>
              </w:rPr>
              <w:t>1</w:t>
            </w:r>
            <w:r>
              <w:rPr>
                <w:rFonts w:hint="eastAsia"/>
                <w:color w:val="000000"/>
                <w:kern w:val="0"/>
                <w:sz w:val="22"/>
                <w:szCs w:val="22"/>
                <w:lang w:val="en-US" w:eastAsia="zh-CN"/>
              </w:rPr>
              <w:t>2</w:t>
            </w:r>
          </w:p>
        </w:tc>
        <w:tc>
          <w:tcPr>
            <w:tcW w:w="5782" w:type="dxa"/>
            <w:vAlign w:val="center"/>
          </w:tcPr>
          <w:p>
            <w:pPr>
              <w:widowControl/>
              <w:spacing w:line="400" w:lineRule="exact"/>
              <w:jc w:val="center"/>
              <w:rPr>
                <w:color w:val="000000"/>
                <w:kern w:val="0"/>
                <w:sz w:val="22"/>
                <w:szCs w:val="22"/>
              </w:rPr>
            </w:pPr>
            <w:r>
              <w:rPr>
                <w:color w:val="000000"/>
                <w:kern w:val="0"/>
                <w:sz w:val="22"/>
                <w:szCs w:val="22"/>
              </w:rPr>
              <w:t>滨湖路-东十一线-开元东路-东九线-滨湖路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J037</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四级</w:t>
            </w:r>
          </w:p>
        </w:tc>
        <w:tc>
          <w:tcPr>
            <w:tcW w:w="914"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25.02</w:t>
            </w:r>
          </w:p>
        </w:tc>
        <w:tc>
          <w:tcPr>
            <w:tcW w:w="5782" w:type="dxa"/>
            <w:vAlign w:val="center"/>
          </w:tcPr>
          <w:p>
            <w:pPr>
              <w:widowControl/>
              <w:spacing w:line="400" w:lineRule="exact"/>
              <w:jc w:val="center"/>
              <w:rPr>
                <w:color w:val="000000"/>
                <w:kern w:val="0"/>
                <w:sz w:val="22"/>
                <w:szCs w:val="22"/>
              </w:rPr>
            </w:pPr>
            <w:r>
              <w:rPr>
                <w:color w:val="000000"/>
                <w:kern w:val="0"/>
                <w:sz w:val="22"/>
                <w:szCs w:val="22"/>
              </w:rPr>
              <w:t>映霞路-东十一线-机场高速-黄兴大道-映霞路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J031</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四级</w:t>
            </w:r>
          </w:p>
        </w:tc>
        <w:tc>
          <w:tcPr>
            <w:tcW w:w="914"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22.98</w:t>
            </w:r>
          </w:p>
        </w:tc>
        <w:tc>
          <w:tcPr>
            <w:tcW w:w="5782" w:type="dxa"/>
            <w:vAlign w:val="center"/>
          </w:tcPr>
          <w:p>
            <w:pPr>
              <w:widowControl/>
              <w:spacing w:line="400" w:lineRule="exact"/>
              <w:jc w:val="center"/>
              <w:rPr>
                <w:color w:val="000000"/>
                <w:kern w:val="0"/>
                <w:sz w:val="22"/>
                <w:szCs w:val="22"/>
              </w:rPr>
            </w:pPr>
            <w:r>
              <w:rPr>
                <w:color w:val="000000"/>
                <w:kern w:val="0"/>
                <w:sz w:val="22"/>
                <w:szCs w:val="22"/>
              </w:rPr>
              <w:t>物流大道-东十一线-滨湖路-黄兴大道-北头港路-捞刀河-物流大道</w:t>
            </w:r>
          </w:p>
        </w:tc>
        <w:tc>
          <w:tcPr>
            <w:tcW w:w="1031" w:type="dxa"/>
            <w:vAlign w:val="center"/>
          </w:tcPr>
          <w:p>
            <w:pPr>
              <w:widowControl/>
              <w:spacing w:line="400" w:lineRule="exact"/>
              <w:jc w:val="center"/>
              <w:rPr>
                <w:color w:val="000000"/>
                <w:kern w:val="0"/>
                <w:sz w:val="22"/>
                <w:szCs w:val="22"/>
              </w:rPr>
            </w:pPr>
            <w:r>
              <w:rPr>
                <w:color w:val="000000"/>
                <w:kern w:val="0"/>
                <w:sz w:val="22"/>
                <w:szCs w:val="22"/>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J007</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四级</w:t>
            </w:r>
          </w:p>
        </w:tc>
        <w:tc>
          <w:tcPr>
            <w:tcW w:w="914"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19.32</w:t>
            </w:r>
          </w:p>
        </w:tc>
        <w:tc>
          <w:tcPr>
            <w:tcW w:w="5782" w:type="dxa"/>
            <w:vAlign w:val="center"/>
          </w:tcPr>
          <w:p>
            <w:pPr>
              <w:widowControl/>
              <w:spacing w:line="400" w:lineRule="exact"/>
              <w:jc w:val="center"/>
              <w:rPr>
                <w:color w:val="000000"/>
                <w:kern w:val="0"/>
                <w:sz w:val="22"/>
                <w:szCs w:val="22"/>
              </w:rPr>
            </w:pPr>
            <w:r>
              <w:rPr>
                <w:color w:val="000000"/>
                <w:kern w:val="0"/>
                <w:sz w:val="22"/>
                <w:szCs w:val="22"/>
              </w:rPr>
              <w:t>物流大道-捞刀河-北头港路-韶塘坡路-京珠高速-物流大道</w:t>
            </w:r>
          </w:p>
        </w:tc>
        <w:tc>
          <w:tcPr>
            <w:tcW w:w="1031" w:type="dxa"/>
            <w:vAlign w:val="center"/>
          </w:tcPr>
          <w:p>
            <w:pPr>
              <w:widowControl/>
              <w:spacing w:line="400" w:lineRule="exact"/>
              <w:jc w:val="center"/>
              <w:rPr>
                <w:color w:val="000000"/>
                <w:kern w:val="0"/>
                <w:sz w:val="22"/>
                <w:szCs w:val="22"/>
              </w:rPr>
            </w:pPr>
            <w:r>
              <w:rPr>
                <w:color w:val="000000"/>
                <w:kern w:val="0"/>
                <w:sz w:val="22"/>
                <w:szCs w:val="22"/>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J001</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四级</w:t>
            </w:r>
          </w:p>
        </w:tc>
        <w:tc>
          <w:tcPr>
            <w:tcW w:w="914"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1</w:t>
            </w:r>
            <w:r>
              <w:rPr>
                <w:rFonts w:hint="eastAsia"/>
                <w:color w:val="000000"/>
                <w:kern w:val="0"/>
                <w:sz w:val="22"/>
                <w:szCs w:val="22"/>
                <w:lang w:val="en-US" w:eastAsia="zh-CN"/>
              </w:rPr>
              <w:t>6</w:t>
            </w:r>
            <w:r>
              <w:rPr>
                <w:rFonts w:eastAsia="Tahoma"/>
                <w:color w:val="000000"/>
                <w:kern w:val="0"/>
                <w:sz w:val="22"/>
                <w:szCs w:val="22"/>
                <w:lang/>
              </w:rPr>
              <w:t>.</w:t>
            </w:r>
            <w:r>
              <w:rPr>
                <w:rFonts w:hint="eastAsia"/>
                <w:color w:val="000000"/>
                <w:kern w:val="0"/>
                <w:sz w:val="22"/>
                <w:szCs w:val="22"/>
                <w:lang w:val="en-US" w:eastAsia="zh-CN"/>
              </w:rPr>
              <w:t>9</w:t>
            </w:r>
            <w:r>
              <w:rPr>
                <w:rFonts w:eastAsia="Tahoma"/>
                <w:color w:val="000000"/>
                <w:kern w:val="0"/>
                <w:sz w:val="22"/>
                <w:szCs w:val="22"/>
                <w:lang/>
              </w:rPr>
              <w:t>8</w:t>
            </w:r>
          </w:p>
        </w:tc>
        <w:tc>
          <w:tcPr>
            <w:tcW w:w="5782" w:type="dxa"/>
            <w:vAlign w:val="center"/>
          </w:tcPr>
          <w:p>
            <w:pPr>
              <w:widowControl/>
              <w:spacing w:line="400" w:lineRule="exact"/>
              <w:jc w:val="center"/>
              <w:rPr>
                <w:color w:val="000000"/>
                <w:kern w:val="0"/>
                <w:sz w:val="22"/>
                <w:szCs w:val="22"/>
              </w:rPr>
            </w:pPr>
            <w:r>
              <w:rPr>
                <w:color w:val="000000"/>
                <w:kern w:val="0"/>
                <w:sz w:val="22"/>
                <w:szCs w:val="22"/>
              </w:rPr>
              <w:t>物流大道-京珠高速-韶塘坡路-捞刀河-规划边界-物流大道</w:t>
            </w:r>
          </w:p>
        </w:tc>
        <w:tc>
          <w:tcPr>
            <w:tcW w:w="1031" w:type="dxa"/>
            <w:vAlign w:val="center"/>
          </w:tcPr>
          <w:p>
            <w:pPr>
              <w:widowControl/>
              <w:spacing w:line="400" w:lineRule="exact"/>
              <w:jc w:val="center"/>
              <w:rPr>
                <w:color w:val="000000"/>
                <w:kern w:val="0"/>
                <w:sz w:val="22"/>
                <w:szCs w:val="22"/>
              </w:rPr>
            </w:pPr>
            <w:r>
              <w:rPr>
                <w:color w:val="000000"/>
                <w:kern w:val="0"/>
                <w:sz w:val="22"/>
                <w:szCs w:val="22"/>
              </w:rP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J039</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五级</w:t>
            </w:r>
          </w:p>
        </w:tc>
        <w:tc>
          <w:tcPr>
            <w:tcW w:w="914"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14.37</w:t>
            </w:r>
          </w:p>
        </w:tc>
        <w:tc>
          <w:tcPr>
            <w:tcW w:w="5782" w:type="dxa"/>
            <w:vAlign w:val="center"/>
          </w:tcPr>
          <w:p>
            <w:pPr>
              <w:widowControl/>
              <w:spacing w:line="400" w:lineRule="exact"/>
              <w:jc w:val="center"/>
              <w:rPr>
                <w:color w:val="000000"/>
                <w:kern w:val="0"/>
                <w:sz w:val="22"/>
                <w:szCs w:val="22"/>
              </w:rPr>
            </w:pPr>
            <w:r>
              <w:rPr>
                <w:color w:val="000000"/>
                <w:kern w:val="0"/>
                <w:sz w:val="22"/>
                <w:szCs w:val="22"/>
              </w:rPr>
              <w:t>滨湖路-外环快速路-漓湘路-东十一线-滨湖路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J040</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五级</w:t>
            </w:r>
          </w:p>
        </w:tc>
        <w:tc>
          <w:tcPr>
            <w:tcW w:w="914"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val="en-US" w:eastAsia="zh-CN"/>
              </w:rPr>
              <w:t>11</w:t>
            </w:r>
            <w:r>
              <w:rPr>
                <w:rFonts w:eastAsia="Tahoma"/>
                <w:color w:val="000000"/>
                <w:kern w:val="0"/>
                <w:sz w:val="22"/>
                <w:szCs w:val="22"/>
                <w:lang/>
              </w:rPr>
              <w:t>.98</w:t>
            </w:r>
          </w:p>
        </w:tc>
        <w:tc>
          <w:tcPr>
            <w:tcW w:w="5782" w:type="dxa"/>
            <w:vAlign w:val="center"/>
          </w:tcPr>
          <w:p>
            <w:pPr>
              <w:widowControl/>
              <w:spacing w:line="400" w:lineRule="exact"/>
              <w:jc w:val="center"/>
              <w:rPr>
                <w:color w:val="000000"/>
                <w:kern w:val="0"/>
                <w:sz w:val="22"/>
                <w:szCs w:val="22"/>
              </w:rPr>
            </w:pPr>
            <w:r>
              <w:rPr>
                <w:color w:val="000000"/>
                <w:kern w:val="0"/>
                <w:sz w:val="22"/>
                <w:szCs w:val="22"/>
              </w:rPr>
              <w:t>漓湘路-外环快速路-机场高速-东十一线-漓湘路</w:t>
            </w:r>
          </w:p>
        </w:tc>
        <w:tc>
          <w:tcPr>
            <w:tcW w:w="1031" w:type="dxa"/>
            <w:vAlign w:val="center"/>
          </w:tcPr>
          <w:p>
            <w:pPr>
              <w:widowControl/>
              <w:spacing w:line="400" w:lineRule="exact"/>
              <w:jc w:val="center"/>
              <w:rPr>
                <w:color w:val="000000"/>
                <w:kern w:val="0"/>
                <w:sz w:val="22"/>
                <w:szCs w:val="22"/>
              </w:rPr>
            </w:pPr>
            <w:r>
              <w:rPr>
                <w:color w:val="000000"/>
                <w:kern w:val="0"/>
                <w:sz w:val="22"/>
                <w:szCs w:val="22"/>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08" w:type="dxa"/>
            <w:vAlign w:val="center"/>
          </w:tcPr>
          <w:p>
            <w:pPr>
              <w:widowControl/>
              <w:spacing w:line="400" w:lineRule="exact"/>
              <w:jc w:val="center"/>
              <w:textAlignment w:val="center"/>
              <w:rPr>
                <w:color w:val="000000"/>
                <w:kern w:val="0"/>
                <w:sz w:val="22"/>
                <w:szCs w:val="22"/>
              </w:rPr>
            </w:pPr>
            <w:r>
              <w:rPr>
                <w:color w:val="000000"/>
                <w:kern w:val="0"/>
                <w:sz w:val="22"/>
                <w:szCs w:val="22"/>
                <w:lang/>
              </w:rPr>
              <w:t>J038</w:t>
            </w:r>
          </w:p>
        </w:tc>
        <w:tc>
          <w:tcPr>
            <w:tcW w:w="850" w:type="dxa"/>
            <w:vAlign w:val="center"/>
          </w:tcPr>
          <w:p>
            <w:pPr>
              <w:widowControl/>
              <w:spacing w:line="400" w:lineRule="exact"/>
              <w:jc w:val="center"/>
              <w:textAlignment w:val="center"/>
              <w:rPr>
                <w:color w:val="000000"/>
                <w:kern w:val="0"/>
                <w:sz w:val="22"/>
                <w:szCs w:val="22"/>
              </w:rPr>
            </w:pPr>
            <w:r>
              <w:rPr>
                <w:color w:val="000000"/>
                <w:kern w:val="0"/>
                <w:sz w:val="22"/>
                <w:szCs w:val="22"/>
                <w:lang/>
              </w:rPr>
              <w:t>五级</w:t>
            </w:r>
          </w:p>
        </w:tc>
        <w:tc>
          <w:tcPr>
            <w:tcW w:w="914"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8.34</w:t>
            </w:r>
          </w:p>
        </w:tc>
        <w:tc>
          <w:tcPr>
            <w:tcW w:w="5782" w:type="dxa"/>
            <w:vAlign w:val="center"/>
          </w:tcPr>
          <w:p>
            <w:pPr>
              <w:widowControl/>
              <w:spacing w:line="400" w:lineRule="exact"/>
              <w:jc w:val="center"/>
              <w:rPr>
                <w:color w:val="000000"/>
                <w:kern w:val="0"/>
                <w:sz w:val="22"/>
                <w:szCs w:val="22"/>
              </w:rPr>
            </w:pPr>
            <w:r>
              <w:rPr>
                <w:color w:val="000000"/>
                <w:kern w:val="0"/>
                <w:sz w:val="22"/>
                <w:szCs w:val="22"/>
              </w:rPr>
              <w:t>规划边界--东十一线-物流大道-规划边界</w:t>
            </w:r>
          </w:p>
        </w:tc>
        <w:tc>
          <w:tcPr>
            <w:tcW w:w="1031" w:type="dxa"/>
            <w:vAlign w:val="center"/>
          </w:tcPr>
          <w:p>
            <w:pPr>
              <w:widowControl/>
              <w:spacing w:line="400" w:lineRule="exact"/>
              <w:jc w:val="center"/>
              <w:rPr>
                <w:color w:val="000000"/>
                <w:kern w:val="0"/>
                <w:sz w:val="22"/>
                <w:szCs w:val="22"/>
              </w:rPr>
            </w:pPr>
            <w:r>
              <w:rPr>
                <w:color w:val="000000"/>
                <w:kern w:val="0"/>
                <w:sz w:val="22"/>
                <w:szCs w:val="22"/>
              </w:rPr>
              <w:t>8.71</w:t>
            </w:r>
          </w:p>
        </w:tc>
      </w:tr>
    </w:tbl>
    <w:p>
      <w:pPr>
        <w:spacing w:line="360" w:lineRule="auto"/>
        <w:jc w:val="center"/>
        <w:rPr>
          <w:b/>
          <w:sz w:val="24"/>
          <w:szCs w:val="24"/>
        </w:rPr>
      </w:pPr>
    </w:p>
    <w:p>
      <w:pPr>
        <w:spacing w:line="360" w:lineRule="auto"/>
        <w:jc w:val="center"/>
        <w:rPr>
          <w:b/>
          <w:sz w:val="24"/>
          <w:szCs w:val="24"/>
        </w:rPr>
      </w:pPr>
      <w:r>
        <w:rPr>
          <w:rFonts w:ascii="Times New Roman" w:hAnsi="Times New Roman" w:eastAsia="黑体" w:cs="Times New Roman"/>
          <w:kern w:val="2"/>
          <w:sz w:val="36"/>
          <w:lang w:val="en-US" w:eastAsia="zh-CN" w:bidi="ar-SA"/>
        </w:rPr>
        <w:pict>
          <v:shape id="图片 115" o:spid="_x0000_s1155" type="#_x0000_t75" style="height:624.6pt;width:441.15pt;rotation:0f;" o:ole="f" fillcolor="#FFFFFF" filled="f" o:preferrelative="t" stroked="f" coordorigin="0,0" coordsize="21600,21600">
            <v:fill on="f" color2="#FFFFFF" focus="0%"/>
            <v:imagedata gain="65536f" blacklevel="0f" gamma="0" o:title="" r:id="rId60"/>
            <o:lock v:ext="edit" position="f" selection="f" grouping="f" rotation="f" cropping="f" text="f" aspectratio="t"/>
            <w10:wrap type="none"/>
            <w10:anchorlock/>
          </v:shape>
        </w:pict>
      </w:r>
      <w:r>
        <w:rPr>
          <w:b/>
          <w:sz w:val="24"/>
          <w:szCs w:val="24"/>
        </w:rPr>
        <w:t>图2-5-</w:t>
      </w:r>
      <w:r>
        <w:rPr>
          <w:rFonts w:hint="eastAsia"/>
          <w:b/>
          <w:sz w:val="24"/>
          <w:szCs w:val="24"/>
          <w:lang w:val="en-US" w:eastAsia="zh-CN"/>
        </w:rPr>
        <w:t>2</w:t>
      </w:r>
      <w:r>
        <w:rPr>
          <w:b/>
          <w:sz w:val="24"/>
          <w:szCs w:val="24"/>
        </w:rPr>
        <w:t xml:space="preserve">  </w:t>
      </w:r>
      <w:r>
        <w:rPr>
          <w:rFonts w:hint="eastAsia"/>
          <w:b/>
          <w:sz w:val="24"/>
          <w:szCs w:val="24"/>
        </w:rPr>
        <w:t>商服用地、住宅用地和公共管理与公共服务用地</w:t>
      </w:r>
      <w:r>
        <w:rPr>
          <w:b/>
          <w:sz w:val="24"/>
          <w:szCs w:val="24"/>
        </w:rPr>
        <w:t>基准地价更新均质区域图</w:t>
      </w:r>
    </w:p>
    <w:p>
      <w:pPr>
        <w:spacing w:line="360" w:lineRule="auto"/>
        <w:ind w:firstLine="560" w:firstLineChars="200"/>
        <w:outlineLvl w:val="2"/>
        <w:rPr>
          <w:rFonts w:eastAsia="黑体"/>
          <w:sz w:val="28"/>
          <w:szCs w:val="28"/>
        </w:rPr>
      </w:pPr>
      <w:bookmarkStart w:id="448" w:name="_Toc18798"/>
      <w:r>
        <w:rPr>
          <w:rFonts w:hint="eastAsia" w:eastAsia="黑体"/>
          <w:sz w:val="28"/>
          <w:szCs w:val="28"/>
        </w:rPr>
        <w:t>四</w:t>
      </w:r>
      <w:r>
        <w:rPr>
          <w:rFonts w:eastAsia="黑体"/>
          <w:sz w:val="28"/>
          <w:szCs w:val="28"/>
        </w:rPr>
        <w:t>、</w:t>
      </w:r>
      <w:r>
        <w:rPr>
          <w:rFonts w:hint="eastAsia" w:eastAsia="黑体"/>
          <w:sz w:val="28"/>
          <w:szCs w:val="28"/>
        </w:rPr>
        <w:t>工矿仓储用地</w:t>
      </w:r>
      <w:r>
        <w:rPr>
          <w:rFonts w:eastAsia="黑体"/>
          <w:sz w:val="28"/>
          <w:szCs w:val="28"/>
        </w:rPr>
        <w:t>均质区域作用分值测算过程和结果</w:t>
      </w:r>
      <w:bookmarkEnd w:id="448"/>
    </w:p>
    <w:p>
      <w:pPr>
        <w:spacing w:line="480" w:lineRule="exact"/>
        <w:ind w:firstLine="480" w:firstLineChars="200"/>
        <w:rPr>
          <w:sz w:val="24"/>
          <w:szCs w:val="24"/>
        </w:rPr>
      </w:pPr>
      <w:r>
        <w:rPr>
          <w:sz w:val="24"/>
          <w:szCs w:val="24"/>
        </w:rPr>
        <w:t>1、选择影响均质区域作用分值的因素因子</w:t>
      </w:r>
    </w:p>
    <w:p>
      <w:pPr>
        <w:spacing w:line="480" w:lineRule="exact"/>
        <w:ind w:firstLine="480" w:firstLineChars="200"/>
        <w:rPr>
          <w:rFonts w:hint="eastAsia"/>
          <w:sz w:val="24"/>
          <w:szCs w:val="24"/>
        </w:rPr>
      </w:pPr>
      <w:r>
        <w:rPr>
          <w:rFonts w:hint="eastAsia"/>
          <w:sz w:val="24"/>
          <w:szCs w:val="24"/>
        </w:rPr>
        <w:t>参照城区定级过程，选择影响均质区域作用分值的因素因子与工矿仓储用地定级因素因子体系一致，详见表2-2-2.</w:t>
      </w:r>
    </w:p>
    <w:p>
      <w:pPr>
        <w:spacing w:line="480" w:lineRule="exact"/>
        <w:ind w:firstLine="480" w:firstLineChars="200"/>
        <w:rPr>
          <w:sz w:val="24"/>
          <w:szCs w:val="24"/>
        </w:rPr>
      </w:pPr>
      <w:r>
        <w:rPr>
          <w:sz w:val="24"/>
          <w:szCs w:val="24"/>
        </w:rPr>
        <w:t>2、确定因素因子权重</w:t>
      </w:r>
    </w:p>
    <w:p>
      <w:pPr>
        <w:spacing w:line="480" w:lineRule="exact"/>
        <w:ind w:firstLine="480" w:firstLineChars="200"/>
        <w:rPr>
          <w:sz w:val="24"/>
          <w:szCs w:val="24"/>
        </w:rPr>
      </w:pPr>
      <w:r>
        <w:rPr>
          <w:rFonts w:hint="eastAsia"/>
          <w:sz w:val="24"/>
          <w:szCs w:val="24"/>
        </w:rPr>
        <w:t>参照城区定级过程，</w:t>
      </w:r>
      <w:r>
        <w:rPr>
          <w:sz w:val="24"/>
          <w:szCs w:val="24"/>
        </w:rPr>
        <w:t>各均质区域内</w:t>
      </w:r>
      <w:r>
        <w:rPr>
          <w:rFonts w:hint="eastAsia"/>
          <w:sz w:val="24"/>
          <w:szCs w:val="24"/>
        </w:rPr>
        <w:t>工矿仓储用地</w:t>
      </w:r>
      <w:r>
        <w:rPr>
          <w:sz w:val="24"/>
          <w:szCs w:val="24"/>
        </w:rPr>
        <w:t>作用分值计算的相应评价因素及权重见表2-5-</w:t>
      </w:r>
      <w:r>
        <w:rPr>
          <w:rFonts w:hint="eastAsia"/>
          <w:sz w:val="24"/>
          <w:szCs w:val="24"/>
        </w:rPr>
        <w:t>3</w:t>
      </w:r>
      <w:r>
        <w:rPr>
          <w:sz w:val="24"/>
          <w:szCs w:val="24"/>
        </w:rPr>
        <w:t>。</w:t>
      </w:r>
    </w:p>
    <w:p>
      <w:pPr>
        <w:tabs>
          <w:tab w:val="left" w:pos="720"/>
        </w:tabs>
        <w:spacing w:line="480" w:lineRule="exact"/>
        <w:jc w:val="center"/>
        <w:rPr>
          <w:b/>
          <w:sz w:val="24"/>
          <w:szCs w:val="22"/>
        </w:rPr>
      </w:pPr>
      <w:r>
        <w:rPr>
          <w:b/>
          <w:sz w:val="24"/>
          <w:szCs w:val="22"/>
        </w:rPr>
        <w:t>表</w:t>
      </w:r>
      <w:r>
        <w:rPr>
          <w:rFonts w:hint="eastAsia"/>
          <w:b/>
          <w:sz w:val="24"/>
          <w:szCs w:val="22"/>
        </w:rPr>
        <w:t>2</w:t>
      </w:r>
      <w:r>
        <w:rPr>
          <w:b/>
          <w:sz w:val="24"/>
          <w:szCs w:val="22"/>
        </w:rPr>
        <w:t>-</w:t>
      </w:r>
      <w:r>
        <w:rPr>
          <w:rFonts w:hint="eastAsia"/>
          <w:b/>
          <w:sz w:val="24"/>
          <w:szCs w:val="22"/>
        </w:rPr>
        <w:t>5</w:t>
      </w:r>
      <w:r>
        <w:rPr>
          <w:b/>
          <w:sz w:val="24"/>
          <w:szCs w:val="22"/>
        </w:rPr>
        <w:t>-</w:t>
      </w:r>
      <w:r>
        <w:rPr>
          <w:rFonts w:hint="eastAsia"/>
          <w:b/>
          <w:sz w:val="24"/>
          <w:szCs w:val="22"/>
        </w:rPr>
        <w:t>3长沙县</w:t>
      </w:r>
      <w:r>
        <w:rPr>
          <w:b/>
          <w:sz w:val="24"/>
          <w:szCs w:val="22"/>
        </w:rPr>
        <w:t>城区工矿仓储用地</w:t>
      </w:r>
      <w:r>
        <w:rPr>
          <w:rFonts w:hint="eastAsia"/>
          <w:b/>
          <w:spacing w:val="-17"/>
          <w:sz w:val="24"/>
          <w:szCs w:val="22"/>
        </w:rPr>
        <w:t>均质区域</w:t>
      </w:r>
      <w:r>
        <w:rPr>
          <w:b/>
          <w:sz w:val="24"/>
          <w:szCs w:val="22"/>
        </w:rPr>
        <w:t>定级因素</w:t>
      </w:r>
      <w:r>
        <w:rPr>
          <w:rFonts w:hint="eastAsia"/>
          <w:b/>
          <w:sz w:val="24"/>
          <w:szCs w:val="22"/>
        </w:rPr>
        <w:t>、</w:t>
      </w:r>
      <w:r>
        <w:rPr>
          <w:b/>
          <w:sz w:val="24"/>
          <w:szCs w:val="22"/>
        </w:rPr>
        <w:t>因子指标权重表</w:t>
      </w:r>
    </w:p>
    <w:tbl>
      <w:tblPr>
        <w:tblW w:w="85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809"/>
        <w:gridCol w:w="1762"/>
        <w:gridCol w:w="863"/>
        <w:gridCol w:w="3094"/>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blHeader/>
        </w:trPr>
        <w:tc>
          <w:tcPr>
            <w:tcW w:w="1147" w:type="dxa"/>
            <w:vAlign w:val="center"/>
          </w:tcPr>
          <w:p>
            <w:pPr>
              <w:widowControl/>
              <w:jc w:val="center"/>
              <w:rPr>
                <w:bCs/>
                <w:color w:val="000000"/>
                <w:kern w:val="0"/>
                <w:szCs w:val="21"/>
              </w:rPr>
            </w:pPr>
            <w:r>
              <w:rPr>
                <w:bCs/>
                <w:color w:val="000000"/>
                <w:kern w:val="0"/>
                <w:szCs w:val="21"/>
              </w:rPr>
              <w:t>因素层</w:t>
            </w:r>
          </w:p>
        </w:tc>
        <w:tc>
          <w:tcPr>
            <w:tcW w:w="809" w:type="dxa"/>
            <w:vAlign w:val="center"/>
          </w:tcPr>
          <w:p>
            <w:pPr>
              <w:widowControl/>
              <w:jc w:val="center"/>
              <w:rPr>
                <w:bCs/>
                <w:color w:val="000000"/>
                <w:kern w:val="0"/>
                <w:szCs w:val="21"/>
              </w:rPr>
            </w:pPr>
            <w:r>
              <w:rPr>
                <w:bCs/>
                <w:color w:val="000000"/>
                <w:kern w:val="0"/>
                <w:szCs w:val="21"/>
              </w:rPr>
              <w:t>权重</w:t>
            </w:r>
          </w:p>
        </w:tc>
        <w:tc>
          <w:tcPr>
            <w:tcW w:w="1762" w:type="dxa"/>
            <w:vAlign w:val="center"/>
          </w:tcPr>
          <w:p>
            <w:pPr>
              <w:widowControl/>
              <w:jc w:val="center"/>
              <w:rPr>
                <w:bCs/>
                <w:color w:val="000000"/>
                <w:kern w:val="0"/>
                <w:szCs w:val="21"/>
              </w:rPr>
            </w:pPr>
            <w:r>
              <w:rPr>
                <w:bCs/>
                <w:color w:val="000000"/>
                <w:kern w:val="0"/>
                <w:szCs w:val="21"/>
              </w:rPr>
              <w:t>因子层</w:t>
            </w:r>
          </w:p>
        </w:tc>
        <w:tc>
          <w:tcPr>
            <w:tcW w:w="863" w:type="dxa"/>
            <w:vAlign w:val="center"/>
          </w:tcPr>
          <w:p>
            <w:pPr>
              <w:widowControl/>
              <w:jc w:val="center"/>
              <w:rPr>
                <w:bCs/>
                <w:color w:val="000000"/>
                <w:kern w:val="0"/>
                <w:szCs w:val="21"/>
              </w:rPr>
            </w:pPr>
            <w:r>
              <w:rPr>
                <w:bCs/>
                <w:color w:val="000000"/>
                <w:kern w:val="0"/>
                <w:szCs w:val="21"/>
              </w:rPr>
              <w:t>权重</w:t>
            </w:r>
          </w:p>
        </w:tc>
        <w:tc>
          <w:tcPr>
            <w:tcW w:w="3094" w:type="dxa"/>
            <w:vAlign w:val="center"/>
          </w:tcPr>
          <w:p>
            <w:pPr>
              <w:widowControl/>
              <w:jc w:val="center"/>
              <w:rPr>
                <w:bCs/>
                <w:color w:val="000000"/>
                <w:kern w:val="0"/>
                <w:szCs w:val="21"/>
              </w:rPr>
            </w:pPr>
            <w:r>
              <w:rPr>
                <w:bCs/>
                <w:color w:val="000000"/>
                <w:kern w:val="0"/>
                <w:szCs w:val="21"/>
              </w:rPr>
              <w:t>指标层</w:t>
            </w:r>
          </w:p>
        </w:tc>
        <w:tc>
          <w:tcPr>
            <w:tcW w:w="853" w:type="dxa"/>
            <w:vAlign w:val="center"/>
          </w:tcPr>
          <w:p>
            <w:pPr>
              <w:widowControl/>
              <w:jc w:val="center"/>
              <w:rPr>
                <w:bCs/>
                <w:color w:val="000000"/>
                <w:kern w:val="0"/>
                <w:szCs w:val="21"/>
              </w:rPr>
            </w:pPr>
            <w:r>
              <w:rPr>
                <w:bCs/>
                <w:color w:val="000000"/>
                <w:kern w:val="0"/>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1147" w:type="dxa"/>
            <w:vMerge w:val="restart"/>
            <w:vAlign w:val="center"/>
          </w:tcPr>
          <w:p>
            <w:pPr>
              <w:widowControl/>
              <w:jc w:val="center"/>
              <w:rPr>
                <w:color w:val="000000"/>
                <w:kern w:val="0"/>
                <w:szCs w:val="21"/>
              </w:rPr>
            </w:pPr>
            <w:r>
              <w:rPr>
                <w:color w:val="000000"/>
                <w:kern w:val="0"/>
                <w:szCs w:val="21"/>
              </w:rPr>
              <w:t>交通条件</w:t>
            </w:r>
          </w:p>
        </w:tc>
        <w:tc>
          <w:tcPr>
            <w:tcW w:w="809" w:type="dxa"/>
            <w:vMerge w:val="restart"/>
            <w:vAlign w:val="center"/>
          </w:tcPr>
          <w:p>
            <w:pPr>
              <w:widowControl/>
              <w:jc w:val="center"/>
              <w:rPr>
                <w:color w:val="000000"/>
                <w:kern w:val="0"/>
                <w:szCs w:val="21"/>
              </w:rPr>
            </w:pPr>
            <w:r>
              <w:rPr>
                <w:color w:val="000000"/>
                <w:kern w:val="0"/>
                <w:szCs w:val="21"/>
              </w:rPr>
              <w:t>0.340</w:t>
            </w:r>
            <w:r>
              <w:rPr>
                <w:rFonts w:hint="eastAsia"/>
                <w:color w:val="000000"/>
                <w:kern w:val="0"/>
                <w:szCs w:val="21"/>
              </w:rPr>
              <w:t>1</w:t>
            </w:r>
          </w:p>
        </w:tc>
        <w:tc>
          <w:tcPr>
            <w:tcW w:w="1762" w:type="dxa"/>
            <w:vAlign w:val="center"/>
          </w:tcPr>
          <w:p>
            <w:pPr>
              <w:widowControl/>
              <w:jc w:val="center"/>
              <w:rPr>
                <w:color w:val="000000"/>
                <w:kern w:val="0"/>
                <w:szCs w:val="21"/>
              </w:rPr>
            </w:pPr>
            <w:r>
              <w:rPr>
                <w:color w:val="000000"/>
                <w:kern w:val="0"/>
                <w:szCs w:val="21"/>
              </w:rPr>
              <w:t>道路通达度</w:t>
            </w:r>
          </w:p>
        </w:tc>
        <w:tc>
          <w:tcPr>
            <w:tcW w:w="863" w:type="dxa"/>
            <w:vAlign w:val="center"/>
          </w:tcPr>
          <w:p>
            <w:pPr>
              <w:widowControl/>
              <w:jc w:val="center"/>
              <w:textAlignment w:val="center"/>
              <w:rPr>
                <w:color w:val="000000"/>
                <w:kern w:val="0"/>
                <w:szCs w:val="21"/>
              </w:rPr>
            </w:pPr>
            <w:r>
              <w:rPr>
                <w:color w:val="000000"/>
                <w:kern w:val="0"/>
                <w:szCs w:val="21"/>
                <w:lang/>
              </w:rPr>
              <w:t>0.1414</w:t>
            </w:r>
          </w:p>
        </w:tc>
        <w:tc>
          <w:tcPr>
            <w:tcW w:w="3094" w:type="dxa"/>
            <w:vAlign w:val="center"/>
          </w:tcPr>
          <w:p>
            <w:pPr>
              <w:widowControl/>
              <w:jc w:val="center"/>
              <w:rPr>
                <w:color w:val="000000"/>
                <w:kern w:val="0"/>
                <w:szCs w:val="21"/>
              </w:rPr>
            </w:pPr>
            <w:r>
              <w:rPr>
                <w:color w:val="000000"/>
                <w:kern w:val="0"/>
                <w:szCs w:val="21"/>
              </w:rPr>
              <w:t>临近道路状况</w:t>
            </w:r>
          </w:p>
        </w:tc>
        <w:tc>
          <w:tcPr>
            <w:tcW w:w="853" w:type="dxa"/>
            <w:vAlign w:val="center"/>
          </w:tcPr>
          <w:p>
            <w:pPr>
              <w:widowControl/>
              <w:jc w:val="center"/>
              <w:textAlignment w:val="center"/>
              <w:rPr>
                <w:color w:val="000000"/>
                <w:kern w:val="0"/>
                <w:szCs w:val="21"/>
              </w:rPr>
            </w:pPr>
            <w:r>
              <w:rPr>
                <w:color w:val="000000"/>
                <w:kern w:val="0"/>
                <w:szCs w:val="21"/>
                <w:lang/>
              </w:rPr>
              <w:t>0.1414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1147" w:type="dxa"/>
            <w:vMerge w:val="continue"/>
            <w:vAlign w:val="center"/>
          </w:tcPr>
          <w:p>
            <w:pPr>
              <w:widowControl/>
              <w:jc w:val="center"/>
              <w:rPr>
                <w:color w:val="000000"/>
                <w:kern w:val="0"/>
                <w:szCs w:val="21"/>
              </w:rPr>
            </w:pPr>
          </w:p>
        </w:tc>
        <w:tc>
          <w:tcPr>
            <w:tcW w:w="809" w:type="dxa"/>
            <w:vMerge w:val="continue"/>
            <w:vAlign w:val="center"/>
          </w:tcPr>
          <w:p>
            <w:pPr>
              <w:widowControl/>
              <w:jc w:val="center"/>
              <w:rPr>
                <w:color w:val="000000"/>
                <w:kern w:val="0"/>
                <w:szCs w:val="21"/>
              </w:rPr>
            </w:pPr>
          </w:p>
        </w:tc>
        <w:tc>
          <w:tcPr>
            <w:tcW w:w="1762" w:type="dxa"/>
            <w:vMerge w:val="restart"/>
            <w:vAlign w:val="center"/>
          </w:tcPr>
          <w:p>
            <w:pPr>
              <w:widowControl/>
              <w:jc w:val="center"/>
              <w:rPr>
                <w:color w:val="000000"/>
                <w:kern w:val="0"/>
                <w:szCs w:val="21"/>
              </w:rPr>
            </w:pPr>
            <w:r>
              <w:rPr>
                <w:color w:val="000000"/>
                <w:kern w:val="0"/>
                <w:szCs w:val="21"/>
              </w:rPr>
              <w:t>对外交通便利度</w:t>
            </w:r>
          </w:p>
        </w:tc>
        <w:tc>
          <w:tcPr>
            <w:tcW w:w="863" w:type="dxa"/>
            <w:vMerge w:val="restart"/>
            <w:vAlign w:val="center"/>
          </w:tcPr>
          <w:p>
            <w:pPr>
              <w:widowControl/>
              <w:jc w:val="center"/>
              <w:textAlignment w:val="center"/>
              <w:rPr>
                <w:color w:val="000000"/>
                <w:kern w:val="0"/>
                <w:szCs w:val="21"/>
              </w:rPr>
            </w:pPr>
            <w:r>
              <w:rPr>
                <w:color w:val="000000"/>
                <w:kern w:val="0"/>
                <w:szCs w:val="21"/>
                <w:lang/>
              </w:rPr>
              <w:t>0.1987</w:t>
            </w:r>
          </w:p>
        </w:tc>
        <w:tc>
          <w:tcPr>
            <w:tcW w:w="3094" w:type="dxa"/>
            <w:vAlign w:val="center"/>
          </w:tcPr>
          <w:p>
            <w:pPr>
              <w:widowControl/>
              <w:jc w:val="center"/>
              <w:rPr>
                <w:color w:val="000000"/>
                <w:kern w:val="0"/>
                <w:szCs w:val="21"/>
              </w:rPr>
            </w:pPr>
            <w:r>
              <w:rPr>
                <w:color w:val="000000"/>
                <w:kern w:val="0"/>
                <w:szCs w:val="21"/>
              </w:rPr>
              <w:t>距最近长途汽车站距离</w:t>
            </w:r>
          </w:p>
        </w:tc>
        <w:tc>
          <w:tcPr>
            <w:tcW w:w="853" w:type="dxa"/>
            <w:vAlign w:val="center"/>
          </w:tcPr>
          <w:p>
            <w:pPr>
              <w:widowControl/>
              <w:jc w:val="center"/>
              <w:textAlignment w:val="center"/>
              <w:rPr>
                <w:color w:val="000000"/>
                <w:kern w:val="0"/>
                <w:szCs w:val="21"/>
                <w:lang/>
              </w:rPr>
            </w:pPr>
            <w:r>
              <w:rPr>
                <w:rFonts w:hint="eastAsia"/>
                <w:color w:val="000000"/>
                <w:kern w:val="0"/>
                <w:szCs w:val="21"/>
                <w:lang/>
              </w:rPr>
              <w:t>0.0998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1147" w:type="dxa"/>
            <w:vMerge w:val="continue"/>
            <w:vAlign w:val="center"/>
          </w:tcPr>
          <w:p>
            <w:pPr>
              <w:widowControl/>
              <w:jc w:val="center"/>
              <w:rPr>
                <w:color w:val="000000"/>
                <w:kern w:val="0"/>
                <w:szCs w:val="21"/>
              </w:rPr>
            </w:pPr>
          </w:p>
        </w:tc>
        <w:tc>
          <w:tcPr>
            <w:tcW w:w="809" w:type="dxa"/>
            <w:vMerge w:val="continue"/>
            <w:vAlign w:val="center"/>
          </w:tcPr>
          <w:p>
            <w:pPr>
              <w:widowControl/>
              <w:jc w:val="center"/>
              <w:rPr>
                <w:color w:val="000000"/>
                <w:kern w:val="0"/>
                <w:szCs w:val="21"/>
              </w:rPr>
            </w:pPr>
          </w:p>
        </w:tc>
        <w:tc>
          <w:tcPr>
            <w:tcW w:w="1762" w:type="dxa"/>
            <w:vMerge w:val="continue"/>
            <w:vAlign w:val="center"/>
          </w:tcPr>
          <w:p>
            <w:pPr>
              <w:widowControl/>
              <w:jc w:val="center"/>
              <w:rPr>
                <w:color w:val="000000"/>
                <w:kern w:val="0"/>
                <w:szCs w:val="21"/>
              </w:rPr>
            </w:pPr>
          </w:p>
        </w:tc>
        <w:tc>
          <w:tcPr>
            <w:tcW w:w="863" w:type="dxa"/>
            <w:vMerge w:val="continue"/>
            <w:vAlign w:val="center"/>
          </w:tcPr>
          <w:p>
            <w:pPr>
              <w:widowControl/>
              <w:jc w:val="center"/>
              <w:rPr>
                <w:color w:val="000000"/>
                <w:kern w:val="0"/>
                <w:szCs w:val="21"/>
              </w:rPr>
            </w:pPr>
          </w:p>
        </w:tc>
        <w:tc>
          <w:tcPr>
            <w:tcW w:w="3094" w:type="dxa"/>
            <w:vAlign w:val="center"/>
          </w:tcPr>
          <w:p>
            <w:pPr>
              <w:widowControl/>
              <w:jc w:val="center"/>
              <w:rPr>
                <w:color w:val="000000"/>
                <w:kern w:val="0"/>
                <w:szCs w:val="21"/>
              </w:rPr>
            </w:pPr>
            <w:r>
              <w:rPr>
                <w:rFonts w:hint="eastAsia"/>
                <w:color w:val="000000"/>
                <w:kern w:val="0"/>
                <w:szCs w:val="21"/>
              </w:rPr>
              <w:t>距离火车站距离</w:t>
            </w:r>
          </w:p>
        </w:tc>
        <w:tc>
          <w:tcPr>
            <w:tcW w:w="853" w:type="dxa"/>
            <w:vAlign w:val="center"/>
          </w:tcPr>
          <w:p>
            <w:pPr>
              <w:widowControl/>
              <w:jc w:val="center"/>
              <w:textAlignment w:val="center"/>
              <w:rPr>
                <w:color w:val="000000"/>
                <w:kern w:val="0"/>
                <w:szCs w:val="21"/>
                <w:lang/>
              </w:rPr>
            </w:pPr>
            <w:r>
              <w:rPr>
                <w:rFonts w:hint="eastAsia"/>
                <w:color w:val="000000"/>
                <w:kern w:val="0"/>
                <w:szCs w:val="21"/>
                <w:lang/>
              </w:rPr>
              <w:t>0.0989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7" w:type="dxa"/>
            <w:vMerge w:val="restart"/>
            <w:vAlign w:val="center"/>
          </w:tcPr>
          <w:p>
            <w:pPr>
              <w:widowControl/>
              <w:jc w:val="center"/>
              <w:rPr>
                <w:color w:val="000000"/>
                <w:kern w:val="0"/>
                <w:szCs w:val="21"/>
              </w:rPr>
            </w:pPr>
            <w:r>
              <w:rPr>
                <w:color w:val="000000"/>
                <w:kern w:val="0"/>
                <w:szCs w:val="21"/>
              </w:rPr>
              <w:t>基本设施状况</w:t>
            </w:r>
          </w:p>
        </w:tc>
        <w:tc>
          <w:tcPr>
            <w:tcW w:w="809" w:type="dxa"/>
            <w:vMerge w:val="restart"/>
            <w:vAlign w:val="center"/>
          </w:tcPr>
          <w:p>
            <w:pPr>
              <w:widowControl/>
              <w:jc w:val="center"/>
              <w:rPr>
                <w:color w:val="000000"/>
                <w:kern w:val="0"/>
                <w:szCs w:val="21"/>
              </w:rPr>
            </w:pPr>
            <w:r>
              <w:rPr>
                <w:color w:val="000000"/>
                <w:kern w:val="0"/>
                <w:szCs w:val="21"/>
              </w:rPr>
              <w:t>0.266</w:t>
            </w:r>
            <w:r>
              <w:rPr>
                <w:rFonts w:hint="eastAsia"/>
                <w:color w:val="000000"/>
                <w:kern w:val="0"/>
                <w:szCs w:val="21"/>
              </w:rPr>
              <w:t>2</w:t>
            </w:r>
          </w:p>
        </w:tc>
        <w:tc>
          <w:tcPr>
            <w:tcW w:w="1762" w:type="dxa"/>
            <w:vMerge w:val="restart"/>
            <w:vAlign w:val="center"/>
          </w:tcPr>
          <w:p>
            <w:pPr>
              <w:widowControl/>
              <w:jc w:val="center"/>
              <w:rPr>
                <w:color w:val="000000"/>
                <w:kern w:val="0"/>
                <w:szCs w:val="21"/>
              </w:rPr>
            </w:pPr>
            <w:r>
              <w:rPr>
                <w:color w:val="000000"/>
                <w:kern w:val="0"/>
                <w:szCs w:val="21"/>
              </w:rPr>
              <w:t>基础设施完善度</w:t>
            </w:r>
          </w:p>
        </w:tc>
        <w:tc>
          <w:tcPr>
            <w:tcW w:w="863" w:type="dxa"/>
            <w:vMerge w:val="restart"/>
            <w:vAlign w:val="center"/>
          </w:tcPr>
          <w:p>
            <w:pPr>
              <w:widowControl/>
              <w:jc w:val="center"/>
              <w:textAlignment w:val="center"/>
              <w:rPr>
                <w:color w:val="000000"/>
                <w:kern w:val="0"/>
                <w:szCs w:val="21"/>
              </w:rPr>
            </w:pPr>
            <w:r>
              <w:rPr>
                <w:color w:val="000000"/>
                <w:kern w:val="0"/>
                <w:szCs w:val="21"/>
                <w:lang/>
              </w:rPr>
              <w:t>0.2662</w:t>
            </w:r>
          </w:p>
        </w:tc>
        <w:tc>
          <w:tcPr>
            <w:tcW w:w="3094" w:type="dxa"/>
            <w:vAlign w:val="center"/>
          </w:tcPr>
          <w:p>
            <w:pPr>
              <w:widowControl/>
              <w:jc w:val="center"/>
              <w:rPr>
                <w:color w:val="000000"/>
                <w:kern w:val="0"/>
                <w:szCs w:val="21"/>
              </w:rPr>
            </w:pPr>
            <w:r>
              <w:rPr>
                <w:color w:val="000000"/>
                <w:kern w:val="0"/>
                <w:szCs w:val="21"/>
              </w:rPr>
              <w:t>供水</w:t>
            </w:r>
          </w:p>
        </w:tc>
        <w:tc>
          <w:tcPr>
            <w:tcW w:w="853" w:type="dxa"/>
            <w:vAlign w:val="center"/>
          </w:tcPr>
          <w:p>
            <w:pPr>
              <w:widowControl/>
              <w:jc w:val="center"/>
              <w:textAlignment w:val="center"/>
              <w:rPr>
                <w:color w:val="000000"/>
                <w:kern w:val="0"/>
                <w:szCs w:val="21"/>
              </w:rPr>
            </w:pPr>
            <w:r>
              <w:rPr>
                <w:color w:val="000000"/>
                <w:kern w:val="0"/>
                <w:szCs w:val="21"/>
                <w:lang/>
              </w:rPr>
              <w:t>0.0666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7" w:type="dxa"/>
            <w:vMerge w:val="continue"/>
            <w:vAlign w:val="center"/>
          </w:tcPr>
          <w:p>
            <w:pPr>
              <w:widowControl/>
              <w:jc w:val="center"/>
              <w:rPr>
                <w:color w:val="000000"/>
                <w:kern w:val="0"/>
                <w:szCs w:val="21"/>
              </w:rPr>
            </w:pPr>
          </w:p>
        </w:tc>
        <w:tc>
          <w:tcPr>
            <w:tcW w:w="809" w:type="dxa"/>
            <w:vMerge w:val="continue"/>
            <w:vAlign w:val="center"/>
          </w:tcPr>
          <w:p>
            <w:pPr>
              <w:widowControl/>
              <w:jc w:val="center"/>
              <w:rPr>
                <w:color w:val="000000"/>
                <w:kern w:val="0"/>
                <w:szCs w:val="21"/>
              </w:rPr>
            </w:pPr>
          </w:p>
        </w:tc>
        <w:tc>
          <w:tcPr>
            <w:tcW w:w="1762" w:type="dxa"/>
            <w:vMerge w:val="continue"/>
            <w:vAlign w:val="center"/>
          </w:tcPr>
          <w:p>
            <w:pPr>
              <w:widowControl/>
              <w:jc w:val="center"/>
              <w:rPr>
                <w:color w:val="000000"/>
                <w:kern w:val="0"/>
                <w:szCs w:val="21"/>
              </w:rPr>
            </w:pPr>
          </w:p>
        </w:tc>
        <w:tc>
          <w:tcPr>
            <w:tcW w:w="863" w:type="dxa"/>
            <w:vMerge w:val="continue"/>
            <w:vAlign w:val="center"/>
          </w:tcPr>
          <w:p>
            <w:pPr>
              <w:widowControl/>
              <w:jc w:val="center"/>
              <w:rPr>
                <w:color w:val="000000"/>
                <w:kern w:val="0"/>
                <w:szCs w:val="21"/>
              </w:rPr>
            </w:pPr>
          </w:p>
        </w:tc>
        <w:tc>
          <w:tcPr>
            <w:tcW w:w="3094" w:type="dxa"/>
            <w:vAlign w:val="center"/>
          </w:tcPr>
          <w:p>
            <w:pPr>
              <w:widowControl/>
              <w:jc w:val="center"/>
              <w:rPr>
                <w:color w:val="000000"/>
                <w:kern w:val="0"/>
                <w:szCs w:val="21"/>
              </w:rPr>
            </w:pPr>
            <w:r>
              <w:rPr>
                <w:color w:val="000000"/>
                <w:kern w:val="0"/>
                <w:szCs w:val="21"/>
              </w:rPr>
              <w:t>供电</w:t>
            </w:r>
          </w:p>
        </w:tc>
        <w:tc>
          <w:tcPr>
            <w:tcW w:w="853" w:type="dxa"/>
            <w:vAlign w:val="center"/>
          </w:tcPr>
          <w:p>
            <w:pPr>
              <w:widowControl/>
              <w:jc w:val="center"/>
              <w:textAlignment w:val="center"/>
              <w:rPr>
                <w:color w:val="000000"/>
                <w:kern w:val="0"/>
                <w:szCs w:val="21"/>
              </w:rPr>
            </w:pPr>
            <w:r>
              <w:rPr>
                <w:color w:val="000000"/>
                <w:kern w:val="0"/>
                <w:szCs w:val="21"/>
                <w:lang/>
              </w:rPr>
              <w:t>0.0666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7" w:type="dxa"/>
            <w:vMerge w:val="continue"/>
            <w:vAlign w:val="center"/>
          </w:tcPr>
          <w:p>
            <w:pPr>
              <w:widowControl/>
              <w:jc w:val="center"/>
              <w:rPr>
                <w:color w:val="000000"/>
                <w:kern w:val="0"/>
                <w:szCs w:val="21"/>
              </w:rPr>
            </w:pPr>
          </w:p>
        </w:tc>
        <w:tc>
          <w:tcPr>
            <w:tcW w:w="809" w:type="dxa"/>
            <w:vMerge w:val="continue"/>
            <w:vAlign w:val="center"/>
          </w:tcPr>
          <w:p>
            <w:pPr>
              <w:widowControl/>
              <w:jc w:val="center"/>
              <w:rPr>
                <w:color w:val="000000"/>
                <w:kern w:val="0"/>
                <w:szCs w:val="21"/>
              </w:rPr>
            </w:pPr>
          </w:p>
        </w:tc>
        <w:tc>
          <w:tcPr>
            <w:tcW w:w="1762" w:type="dxa"/>
            <w:vMerge w:val="continue"/>
            <w:vAlign w:val="center"/>
          </w:tcPr>
          <w:p>
            <w:pPr>
              <w:widowControl/>
              <w:jc w:val="center"/>
              <w:rPr>
                <w:color w:val="000000"/>
                <w:kern w:val="0"/>
                <w:szCs w:val="21"/>
              </w:rPr>
            </w:pPr>
          </w:p>
        </w:tc>
        <w:tc>
          <w:tcPr>
            <w:tcW w:w="863" w:type="dxa"/>
            <w:vMerge w:val="continue"/>
            <w:vAlign w:val="center"/>
          </w:tcPr>
          <w:p>
            <w:pPr>
              <w:widowControl/>
              <w:jc w:val="center"/>
              <w:rPr>
                <w:color w:val="000000"/>
                <w:kern w:val="0"/>
                <w:szCs w:val="21"/>
              </w:rPr>
            </w:pPr>
          </w:p>
        </w:tc>
        <w:tc>
          <w:tcPr>
            <w:tcW w:w="3094" w:type="dxa"/>
            <w:vAlign w:val="center"/>
          </w:tcPr>
          <w:p>
            <w:pPr>
              <w:widowControl/>
              <w:jc w:val="center"/>
              <w:rPr>
                <w:color w:val="000000"/>
                <w:kern w:val="0"/>
                <w:szCs w:val="21"/>
              </w:rPr>
            </w:pPr>
            <w:r>
              <w:rPr>
                <w:color w:val="000000"/>
                <w:kern w:val="0"/>
                <w:szCs w:val="21"/>
              </w:rPr>
              <w:t>通讯</w:t>
            </w:r>
          </w:p>
        </w:tc>
        <w:tc>
          <w:tcPr>
            <w:tcW w:w="853" w:type="dxa"/>
            <w:vAlign w:val="center"/>
          </w:tcPr>
          <w:p>
            <w:pPr>
              <w:widowControl/>
              <w:jc w:val="center"/>
              <w:textAlignment w:val="center"/>
              <w:rPr>
                <w:color w:val="000000"/>
                <w:kern w:val="0"/>
                <w:szCs w:val="21"/>
              </w:rPr>
            </w:pPr>
            <w:r>
              <w:rPr>
                <w:color w:val="000000"/>
                <w:kern w:val="0"/>
                <w:szCs w:val="21"/>
                <w:lang/>
              </w:rPr>
              <w:t>0.0665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7" w:type="dxa"/>
            <w:vMerge w:val="continue"/>
            <w:vAlign w:val="center"/>
          </w:tcPr>
          <w:p>
            <w:pPr>
              <w:widowControl/>
              <w:jc w:val="center"/>
              <w:rPr>
                <w:color w:val="000000"/>
                <w:kern w:val="0"/>
                <w:szCs w:val="21"/>
              </w:rPr>
            </w:pPr>
          </w:p>
        </w:tc>
        <w:tc>
          <w:tcPr>
            <w:tcW w:w="809" w:type="dxa"/>
            <w:vMerge w:val="continue"/>
            <w:vAlign w:val="center"/>
          </w:tcPr>
          <w:p>
            <w:pPr>
              <w:widowControl/>
              <w:jc w:val="center"/>
              <w:rPr>
                <w:color w:val="000000"/>
                <w:kern w:val="0"/>
                <w:szCs w:val="21"/>
              </w:rPr>
            </w:pPr>
          </w:p>
        </w:tc>
        <w:tc>
          <w:tcPr>
            <w:tcW w:w="1762" w:type="dxa"/>
            <w:vMerge w:val="continue"/>
            <w:vAlign w:val="center"/>
          </w:tcPr>
          <w:p>
            <w:pPr>
              <w:widowControl/>
              <w:jc w:val="center"/>
              <w:rPr>
                <w:color w:val="000000"/>
                <w:kern w:val="0"/>
                <w:szCs w:val="21"/>
              </w:rPr>
            </w:pPr>
          </w:p>
        </w:tc>
        <w:tc>
          <w:tcPr>
            <w:tcW w:w="863" w:type="dxa"/>
            <w:vMerge w:val="continue"/>
            <w:vAlign w:val="center"/>
          </w:tcPr>
          <w:p>
            <w:pPr>
              <w:widowControl/>
              <w:jc w:val="center"/>
              <w:rPr>
                <w:color w:val="000000"/>
                <w:kern w:val="0"/>
                <w:szCs w:val="21"/>
              </w:rPr>
            </w:pPr>
          </w:p>
        </w:tc>
        <w:tc>
          <w:tcPr>
            <w:tcW w:w="3094" w:type="dxa"/>
            <w:vAlign w:val="center"/>
          </w:tcPr>
          <w:p>
            <w:pPr>
              <w:widowControl/>
              <w:jc w:val="center"/>
              <w:rPr>
                <w:color w:val="000000"/>
                <w:kern w:val="0"/>
                <w:szCs w:val="21"/>
              </w:rPr>
            </w:pPr>
            <w:r>
              <w:rPr>
                <w:color w:val="000000"/>
                <w:kern w:val="0"/>
                <w:szCs w:val="21"/>
              </w:rPr>
              <w:t>排水</w:t>
            </w:r>
          </w:p>
        </w:tc>
        <w:tc>
          <w:tcPr>
            <w:tcW w:w="853" w:type="dxa"/>
            <w:vAlign w:val="center"/>
          </w:tcPr>
          <w:p>
            <w:pPr>
              <w:widowControl/>
              <w:jc w:val="center"/>
              <w:textAlignment w:val="center"/>
              <w:rPr>
                <w:color w:val="000000"/>
                <w:kern w:val="0"/>
                <w:szCs w:val="21"/>
              </w:rPr>
            </w:pPr>
            <w:r>
              <w:rPr>
                <w:color w:val="000000"/>
                <w:kern w:val="0"/>
                <w:szCs w:val="21"/>
                <w:lang/>
              </w:rPr>
              <w:t>0.0665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7" w:type="dxa"/>
            <w:vMerge w:val="restart"/>
            <w:vAlign w:val="center"/>
          </w:tcPr>
          <w:p>
            <w:pPr>
              <w:widowControl/>
              <w:jc w:val="center"/>
              <w:rPr>
                <w:color w:val="000000"/>
                <w:kern w:val="0"/>
                <w:szCs w:val="21"/>
              </w:rPr>
            </w:pPr>
            <w:r>
              <w:rPr>
                <w:color w:val="000000"/>
                <w:kern w:val="0"/>
                <w:szCs w:val="21"/>
              </w:rPr>
              <w:t>环境条件</w:t>
            </w:r>
          </w:p>
        </w:tc>
        <w:tc>
          <w:tcPr>
            <w:tcW w:w="809" w:type="dxa"/>
            <w:vMerge w:val="restart"/>
            <w:vAlign w:val="center"/>
          </w:tcPr>
          <w:p>
            <w:pPr>
              <w:widowControl/>
              <w:jc w:val="center"/>
              <w:rPr>
                <w:color w:val="000000"/>
                <w:kern w:val="0"/>
                <w:szCs w:val="21"/>
              </w:rPr>
            </w:pPr>
            <w:r>
              <w:rPr>
                <w:color w:val="000000"/>
                <w:kern w:val="0"/>
                <w:szCs w:val="21"/>
              </w:rPr>
              <w:t>0.1426</w:t>
            </w:r>
          </w:p>
        </w:tc>
        <w:tc>
          <w:tcPr>
            <w:tcW w:w="1762" w:type="dxa"/>
            <w:vMerge w:val="restart"/>
            <w:vAlign w:val="center"/>
          </w:tcPr>
          <w:p>
            <w:pPr>
              <w:widowControl/>
              <w:jc w:val="center"/>
              <w:rPr>
                <w:color w:val="000000"/>
                <w:kern w:val="0"/>
                <w:szCs w:val="21"/>
              </w:rPr>
            </w:pPr>
            <w:r>
              <w:rPr>
                <w:color w:val="000000"/>
                <w:kern w:val="0"/>
                <w:szCs w:val="21"/>
              </w:rPr>
              <w:t>自然条件优劣度</w:t>
            </w:r>
          </w:p>
        </w:tc>
        <w:tc>
          <w:tcPr>
            <w:tcW w:w="863" w:type="dxa"/>
            <w:vMerge w:val="restart"/>
            <w:vAlign w:val="center"/>
          </w:tcPr>
          <w:p>
            <w:pPr>
              <w:widowControl/>
              <w:jc w:val="center"/>
              <w:textAlignment w:val="center"/>
              <w:rPr>
                <w:color w:val="000000"/>
                <w:kern w:val="0"/>
                <w:szCs w:val="21"/>
              </w:rPr>
            </w:pPr>
            <w:r>
              <w:rPr>
                <w:color w:val="000000"/>
                <w:kern w:val="0"/>
                <w:szCs w:val="21"/>
                <w:lang/>
              </w:rPr>
              <w:t>0.1426</w:t>
            </w:r>
          </w:p>
        </w:tc>
        <w:tc>
          <w:tcPr>
            <w:tcW w:w="3094" w:type="dxa"/>
            <w:vAlign w:val="center"/>
          </w:tcPr>
          <w:p>
            <w:pPr>
              <w:jc w:val="center"/>
              <w:rPr>
                <w:color w:val="000000"/>
                <w:kern w:val="0"/>
                <w:szCs w:val="21"/>
              </w:rPr>
            </w:pPr>
            <w:r>
              <w:rPr>
                <w:kern w:val="0"/>
                <w:szCs w:val="21"/>
              </w:rPr>
              <w:t>地形、地质优劣情况</w:t>
            </w:r>
          </w:p>
        </w:tc>
        <w:tc>
          <w:tcPr>
            <w:tcW w:w="853" w:type="dxa"/>
            <w:vAlign w:val="center"/>
          </w:tcPr>
          <w:p>
            <w:pPr>
              <w:widowControl/>
              <w:jc w:val="center"/>
              <w:textAlignment w:val="center"/>
              <w:rPr>
                <w:color w:val="000000"/>
                <w:kern w:val="0"/>
                <w:szCs w:val="21"/>
              </w:rPr>
            </w:pPr>
            <w:r>
              <w:rPr>
                <w:color w:val="000000"/>
                <w:kern w:val="0"/>
                <w:szCs w:val="21"/>
                <w:lang/>
              </w:rPr>
              <w:t>0.0688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7" w:type="dxa"/>
            <w:vMerge w:val="continue"/>
            <w:vAlign w:val="center"/>
          </w:tcPr>
          <w:p>
            <w:pPr>
              <w:widowControl/>
              <w:jc w:val="center"/>
              <w:rPr>
                <w:color w:val="000000"/>
                <w:kern w:val="0"/>
                <w:szCs w:val="21"/>
              </w:rPr>
            </w:pPr>
          </w:p>
        </w:tc>
        <w:tc>
          <w:tcPr>
            <w:tcW w:w="809" w:type="dxa"/>
            <w:vMerge w:val="continue"/>
            <w:vAlign w:val="center"/>
          </w:tcPr>
          <w:p>
            <w:pPr>
              <w:widowControl/>
              <w:jc w:val="center"/>
              <w:rPr>
                <w:color w:val="000000"/>
                <w:kern w:val="0"/>
                <w:szCs w:val="21"/>
              </w:rPr>
            </w:pPr>
          </w:p>
        </w:tc>
        <w:tc>
          <w:tcPr>
            <w:tcW w:w="1762" w:type="dxa"/>
            <w:vMerge w:val="continue"/>
            <w:vAlign w:val="center"/>
          </w:tcPr>
          <w:p>
            <w:pPr>
              <w:widowControl/>
              <w:jc w:val="center"/>
              <w:rPr>
                <w:color w:val="000000"/>
                <w:kern w:val="0"/>
                <w:szCs w:val="21"/>
              </w:rPr>
            </w:pPr>
          </w:p>
        </w:tc>
        <w:tc>
          <w:tcPr>
            <w:tcW w:w="863" w:type="dxa"/>
            <w:vMerge w:val="continue"/>
            <w:vAlign w:val="center"/>
          </w:tcPr>
          <w:p>
            <w:pPr>
              <w:widowControl/>
              <w:jc w:val="center"/>
              <w:rPr>
                <w:color w:val="000000"/>
                <w:kern w:val="0"/>
                <w:szCs w:val="21"/>
              </w:rPr>
            </w:pPr>
          </w:p>
        </w:tc>
        <w:tc>
          <w:tcPr>
            <w:tcW w:w="3094" w:type="dxa"/>
            <w:vAlign w:val="center"/>
          </w:tcPr>
          <w:p>
            <w:pPr>
              <w:jc w:val="center"/>
              <w:rPr>
                <w:color w:val="000000"/>
                <w:kern w:val="0"/>
                <w:szCs w:val="21"/>
              </w:rPr>
            </w:pPr>
            <w:r>
              <w:rPr>
                <w:kern w:val="0"/>
                <w:szCs w:val="21"/>
              </w:rPr>
              <w:t>洪涝灾害频率</w:t>
            </w:r>
          </w:p>
        </w:tc>
        <w:tc>
          <w:tcPr>
            <w:tcW w:w="853" w:type="dxa"/>
            <w:vAlign w:val="center"/>
          </w:tcPr>
          <w:p>
            <w:pPr>
              <w:widowControl/>
              <w:jc w:val="center"/>
              <w:textAlignment w:val="center"/>
              <w:rPr>
                <w:color w:val="000000"/>
                <w:kern w:val="0"/>
                <w:szCs w:val="21"/>
              </w:rPr>
            </w:pPr>
            <w:r>
              <w:rPr>
                <w:color w:val="000000"/>
                <w:kern w:val="0"/>
                <w:szCs w:val="21"/>
                <w:lang/>
              </w:rPr>
              <w:t>0.0738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47" w:type="dxa"/>
            <w:vAlign w:val="center"/>
          </w:tcPr>
          <w:p>
            <w:pPr>
              <w:widowControl/>
              <w:jc w:val="center"/>
              <w:rPr>
                <w:color w:val="000000"/>
                <w:kern w:val="0"/>
                <w:szCs w:val="21"/>
              </w:rPr>
            </w:pPr>
            <w:r>
              <w:rPr>
                <w:color w:val="000000"/>
                <w:kern w:val="0"/>
                <w:szCs w:val="21"/>
              </w:rPr>
              <w:t>产业集聚效益</w:t>
            </w:r>
          </w:p>
        </w:tc>
        <w:tc>
          <w:tcPr>
            <w:tcW w:w="809" w:type="dxa"/>
            <w:vAlign w:val="center"/>
          </w:tcPr>
          <w:p>
            <w:pPr>
              <w:widowControl/>
              <w:jc w:val="center"/>
              <w:rPr>
                <w:color w:val="000000"/>
                <w:kern w:val="0"/>
                <w:szCs w:val="21"/>
              </w:rPr>
            </w:pPr>
            <w:r>
              <w:rPr>
                <w:color w:val="000000"/>
                <w:kern w:val="0"/>
                <w:szCs w:val="21"/>
              </w:rPr>
              <w:t>0.12</w:t>
            </w:r>
            <w:r>
              <w:rPr>
                <w:rFonts w:hint="eastAsia"/>
                <w:color w:val="000000"/>
                <w:kern w:val="0"/>
                <w:szCs w:val="21"/>
              </w:rPr>
              <w:t>27</w:t>
            </w:r>
          </w:p>
        </w:tc>
        <w:tc>
          <w:tcPr>
            <w:tcW w:w="1762" w:type="dxa"/>
            <w:vAlign w:val="center"/>
          </w:tcPr>
          <w:p>
            <w:pPr>
              <w:widowControl/>
              <w:jc w:val="center"/>
              <w:rPr>
                <w:color w:val="000000"/>
                <w:kern w:val="0"/>
                <w:szCs w:val="21"/>
              </w:rPr>
            </w:pPr>
            <w:r>
              <w:rPr>
                <w:color w:val="000000"/>
                <w:kern w:val="0"/>
                <w:szCs w:val="21"/>
              </w:rPr>
              <w:t>产业集聚影响度</w:t>
            </w:r>
          </w:p>
        </w:tc>
        <w:tc>
          <w:tcPr>
            <w:tcW w:w="863" w:type="dxa"/>
            <w:vAlign w:val="center"/>
          </w:tcPr>
          <w:p>
            <w:pPr>
              <w:widowControl/>
              <w:jc w:val="center"/>
              <w:textAlignment w:val="center"/>
              <w:rPr>
                <w:color w:val="000000"/>
                <w:kern w:val="0"/>
                <w:szCs w:val="21"/>
              </w:rPr>
            </w:pPr>
            <w:r>
              <w:rPr>
                <w:color w:val="000000"/>
                <w:kern w:val="0"/>
                <w:szCs w:val="21"/>
                <w:lang/>
              </w:rPr>
              <w:t>0.1227</w:t>
            </w:r>
          </w:p>
        </w:tc>
        <w:tc>
          <w:tcPr>
            <w:tcW w:w="3094" w:type="dxa"/>
            <w:vAlign w:val="center"/>
          </w:tcPr>
          <w:p>
            <w:pPr>
              <w:widowControl/>
              <w:jc w:val="center"/>
              <w:rPr>
                <w:color w:val="000000"/>
                <w:kern w:val="0"/>
                <w:szCs w:val="21"/>
              </w:rPr>
            </w:pPr>
            <w:r>
              <w:rPr>
                <w:color w:val="000000"/>
                <w:kern w:val="0"/>
                <w:szCs w:val="21"/>
              </w:rPr>
              <w:t>产业集聚影响度</w:t>
            </w:r>
          </w:p>
        </w:tc>
        <w:tc>
          <w:tcPr>
            <w:tcW w:w="853" w:type="dxa"/>
            <w:vAlign w:val="center"/>
          </w:tcPr>
          <w:p>
            <w:pPr>
              <w:widowControl/>
              <w:jc w:val="center"/>
              <w:textAlignment w:val="center"/>
              <w:rPr>
                <w:color w:val="000000"/>
                <w:kern w:val="0"/>
                <w:szCs w:val="21"/>
              </w:rPr>
            </w:pPr>
            <w:r>
              <w:rPr>
                <w:color w:val="000000"/>
                <w:kern w:val="0"/>
                <w:szCs w:val="21"/>
                <w:lang/>
              </w:rPr>
              <w:t>0.1227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7" w:type="dxa"/>
            <w:vMerge w:val="restart"/>
            <w:vAlign w:val="center"/>
          </w:tcPr>
          <w:p>
            <w:pPr>
              <w:widowControl/>
              <w:jc w:val="center"/>
              <w:rPr>
                <w:color w:val="000000"/>
                <w:kern w:val="0"/>
                <w:szCs w:val="21"/>
              </w:rPr>
            </w:pPr>
            <w:r>
              <w:rPr>
                <w:color w:val="000000"/>
                <w:kern w:val="0"/>
                <w:szCs w:val="21"/>
              </w:rPr>
              <w:t>城市规划</w:t>
            </w:r>
          </w:p>
        </w:tc>
        <w:tc>
          <w:tcPr>
            <w:tcW w:w="809" w:type="dxa"/>
            <w:vMerge w:val="restart"/>
            <w:vAlign w:val="center"/>
          </w:tcPr>
          <w:p>
            <w:pPr>
              <w:widowControl/>
              <w:jc w:val="center"/>
              <w:rPr>
                <w:color w:val="000000"/>
                <w:kern w:val="0"/>
                <w:szCs w:val="21"/>
              </w:rPr>
            </w:pPr>
            <w:r>
              <w:rPr>
                <w:color w:val="000000"/>
                <w:kern w:val="0"/>
                <w:szCs w:val="21"/>
              </w:rPr>
              <w:t>0.1284</w:t>
            </w:r>
          </w:p>
        </w:tc>
        <w:tc>
          <w:tcPr>
            <w:tcW w:w="1762" w:type="dxa"/>
            <w:vMerge w:val="restart"/>
            <w:vAlign w:val="center"/>
          </w:tcPr>
          <w:p>
            <w:pPr>
              <w:widowControl/>
              <w:jc w:val="center"/>
              <w:rPr>
                <w:color w:val="000000"/>
                <w:kern w:val="0"/>
                <w:szCs w:val="21"/>
              </w:rPr>
            </w:pPr>
            <w:r>
              <w:rPr>
                <w:color w:val="000000"/>
                <w:kern w:val="0"/>
                <w:szCs w:val="21"/>
              </w:rPr>
              <w:t>城市规划</w:t>
            </w:r>
          </w:p>
        </w:tc>
        <w:tc>
          <w:tcPr>
            <w:tcW w:w="863" w:type="dxa"/>
            <w:vMerge w:val="restart"/>
            <w:vAlign w:val="center"/>
          </w:tcPr>
          <w:p>
            <w:pPr>
              <w:widowControl/>
              <w:jc w:val="center"/>
              <w:textAlignment w:val="center"/>
              <w:rPr>
                <w:color w:val="000000"/>
                <w:kern w:val="0"/>
                <w:szCs w:val="21"/>
              </w:rPr>
            </w:pPr>
            <w:r>
              <w:rPr>
                <w:color w:val="000000"/>
                <w:kern w:val="0"/>
                <w:szCs w:val="21"/>
                <w:lang/>
              </w:rPr>
              <w:t>0.1284</w:t>
            </w:r>
          </w:p>
        </w:tc>
        <w:tc>
          <w:tcPr>
            <w:tcW w:w="3094" w:type="dxa"/>
            <w:vAlign w:val="center"/>
          </w:tcPr>
          <w:p>
            <w:pPr>
              <w:widowControl/>
              <w:jc w:val="center"/>
              <w:rPr>
                <w:color w:val="000000"/>
                <w:kern w:val="0"/>
                <w:szCs w:val="21"/>
              </w:rPr>
            </w:pPr>
            <w:r>
              <w:rPr>
                <w:color w:val="000000"/>
                <w:kern w:val="0"/>
                <w:szCs w:val="21"/>
              </w:rPr>
              <w:t>用地规划</w:t>
            </w:r>
          </w:p>
        </w:tc>
        <w:tc>
          <w:tcPr>
            <w:tcW w:w="853" w:type="dxa"/>
            <w:vAlign w:val="center"/>
          </w:tcPr>
          <w:p>
            <w:pPr>
              <w:widowControl/>
              <w:jc w:val="center"/>
              <w:textAlignment w:val="center"/>
              <w:rPr>
                <w:color w:val="000000"/>
                <w:kern w:val="0"/>
                <w:szCs w:val="21"/>
              </w:rPr>
            </w:pPr>
            <w:r>
              <w:rPr>
                <w:color w:val="000000"/>
                <w:kern w:val="0"/>
                <w:szCs w:val="21"/>
                <w:lang/>
              </w:rPr>
              <w:t>0.0642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7" w:type="dxa"/>
            <w:vMerge w:val="continue"/>
            <w:vAlign w:val="center"/>
          </w:tcPr>
          <w:p>
            <w:pPr>
              <w:widowControl/>
              <w:jc w:val="center"/>
              <w:rPr>
                <w:color w:val="000000"/>
                <w:kern w:val="0"/>
                <w:szCs w:val="21"/>
              </w:rPr>
            </w:pPr>
          </w:p>
        </w:tc>
        <w:tc>
          <w:tcPr>
            <w:tcW w:w="809" w:type="dxa"/>
            <w:vMerge w:val="continue"/>
            <w:vAlign w:val="center"/>
          </w:tcPr>
          <w:p>
            <w:pPr>
              <w:widowControl/>
              <w:jc w:val="center"/>
              <w:rPr>
                <w:color w:val="000000"/>
                <w:kern w:val="0"/>
                <w:szCs w:val="21"/>
              </w:rPr>
            </w:pPr>
          </w:p>
        </w:tc>
        <w:tc>
          <w:tcPr>
            <w:tcW w:w="1762" w:type="dxa"/>
            <w:vMerge w:val="continue"/>
            <w:vAlign w:val="center"/>
          </w:tcPr>
          <w:p>
            <w:pPr>
              <w:widowControl/>
              <w:jc w:val="center"/>
              <w:rPr>
                <w:color w:val="000000"/>
                <w:kern w:val="0"/>
                <w:szCs w:val="21"/>
              </w:rPr>
            </w:pPr>
          </w:p>
        </w:tc>
        <w:tc>
          <w:tcPr>
            <w:tcW w:w="863" w:type="dxa"/>
            <w:vMerge w:val="continue"/>
            <w:vAlign w:val="center"/>
          </w:tcPr>
          <w:p>
            <w:pPr>
              <w:widowControl/>
              <w:jc w:val="center"/>
              <w:rPr>
                <w:color w:val="000000"/>
                <w:kern w:val="0"/>
                <w:szCs w:val="21"/>
              </w:rPr>
            </w:pPr>
          </w:p>
        </w:tc>
        <w:tc>
          <w:tcPr>
            <w:tcW w:w="3094" w:type="dxa"/>
            <w:vAlign w:val="center"/>
          </w:tcPr>
          <w:p>
            <w:pPr>
              <w:widowControl/>
              <w:jc w:val="center"/>
              <w:rPr>
                <w:color w:val="000000"/>
                <w:kern w:val="0"/>
                <w:szCs w:val="21"/>
              </w:rPr>
            </w:pPr>
            <w:r>
              <w:rPr>
                <w:color w:val="000000"/>
                <w:kern w:val="0"/>
                <w:szCs w:val="21"/>
              </w:rPr>
              <w:t>道路规划</w:t>
            </w:r>
          </w:p>
        </w:tc>
        <w:tc>
          <w:tcPr>
            <w:tcW w:w="853" w:type="dxa"/>
            <w:vAlign w:val="center"/>
          </w:tcPr>
          <w:p>
            <w:pPr>
              <w:widowControl/>
              <w:jc w:val="center"/>
              <w:textAlignment w:val="center"/>
              <w:rPr>
                <w:color w:val="000000"/>
                <w:kern w:val="0"/>
                <w:szCs w:val="21"/>
              </w:rPr>
            </w:pPr>
            <w:r>
              <w:rPr>
                <w:color w:val="000000"/>
                <w:kern w:val="0"/>
                <w:szCs w:val="21"/>
                <w:lang/>
              </w:rPr>
              <w:t>0.0642</w:t>
            </w:r>
          </w:p>
        </w:tc>
      </w:tr>
    </w:tbl>
    <w:p>
      <w:pPr>
        <w:spacing w:line="360" w:lineRule="auto"/>
        <w:jc w:val="center"/>
        <w:rPr>
          <w:rFonts w:hint="eastAsia"/>
          <w:sz w:val="24"/>
          <w:szCs w:val="24"/>
        </w:rPr>
      </w:pPr>
      <w:r>
        <w:rPr>
          <w:sz w:val="24"/>
          <w:szCs w:val="24"/>
        </w:rPr>
        <w:t xml:space="preserve"> </w:t>
      </w:r>
    </w:p>
    <w:p>
      <w:pPr>
        <w:spacing w:line="360" w:lineRule="auto"/>
        <w:ind w:firstLine="480" w:firstLineChars="200"/>
        <w:jc w:val="left"/>
        <w:rPr>
          <w:sz w:val="24"/>
          <w:szCs w:val="24"/>
        </w:rPr>
      </w:pPr>
      <w:r>
        <w:rPr>
          <w:sz w:val="24"/>
          <w:szCs w:val="24"/>
        </w:rPr>
        <w:t>3、作用分值测算流程</w:t>
      </w:r>
    </w:p>
    <w:p>
      <w:pPr>
        <w:spacing w:line="480" w:lineRule="exact"/>
        <w:ind w:firstLine="480" w:firstLineChars="200"/>
        <w:rPr>
          <w:sz w:val="24"/>
          <w:szCs w:val="24"/>
        </w:rPr>
      </w:pPr>
      <w:r>
        <w:rPr>
          <w:sz w:val="24"/>
          <w:szCs w:val="24"/>
        </w:rPr>
        <w:t>参照土地综合定级因素量化及作用分值计算中同样的方法，如测算商服繁华影响度量化、交通条件的量化等过程，采用多因素赋权加和法由计算机自动计算确定</w:t>
      </w:r>
      <w:r>
        <w:rPr>
          <w:rFonts w:hint="eastAsia"/>
          <w:sz w:val="24"/>
          <w:szCs w:val="24"/>
        </w:rPr>
        <w:t>工矿仓储</w:t>
      </w:r>
      <w:r>
        <w:rPr>
          <w:sz w:val="24"/>
          <w:szCs w:val="24"/>
        </w:rPr>
        <w:t>用地各均质区域作用分值。</w:t>
      </w:r>
    </w:p>
    <w:p>
      <w:pPr>
        <w:spacing w:line="480" w:lineRule="exact"/>
        <w:ind w:firstLine="480" w:firstLineChars="200"/>
        <w:rPr>
          <w:sz w:val="24"/>
          <w:szCs w:val="24"/>
        </w:rPr>
      </w:pPr>
      <w:r>
        <w:rPr>
          <w:sz w:val="24"/>
          <w:szCs w:val="24"/>
        </w:rPr>
        <w:t>4、长沙县城区</w:t>
      </w:r>
      <w:r>
        <w:rPr>
          <w:rFonts w:hint="eastAsia"/>
          <w:sz w:val="24"/>
          <w:szCs w:val="24"/>
        </w:rPr>
        <w:t>工矿仓储用地</w:t>
      </w:r>
      <w:r>
        <w:rPr>
          <w:sz w:val="24"/>
          <w:szCs w:val="24"/>
        </w:rPr>
        <w:t>均质区域划分结果</w:t>
      </w:r>
    </w:p>
    <w:p>
      <w:pPr>
        <w:spacing w:line="360" w:lineRule="auto"/>
        <w:jc w:val="center"/>
        <w:rPr>
          <w:b/>
          <w:sz w:val="24"/>
          <w:szCs w:val="24"/>
        </w:rPr>
      </w:pPr>
      <w:r>
        <w:rPr>
          <w:b/>
          <w:sz w:val="24"/>
          <w:szCs w:val="24"/>
        </w:rPr>
        <w:t>表2-5-</w:t>
      </w:r>
      <w:r>
        <w:rPr>
          <w:rFonts w:hint="eastAsia"/>
          <w:b/>
          <w:sz w:val="24"/>
          <w:szCs w:val="24"/>
          <w:lang w:val="en-US" w:eastAsia="zh-CN"/>
        </w:rPr>
        <w:t>4</w:t>
      </w:r>
      <w:r>
        <w:rPr>
          <w:b/>
          <w:sz w:val="24"/>
          <w:szCs w:val="24"/>
        </w:rPr>
        <w:t xml:space="preserve"> 长沙县城区</w:t>
      </w:r>
      <w:r>
        <w:rPr>
          <w:rFonts w:hint="eastAsia"/>
          <w:b/>
          <w:sz w:val="24"/>
          <w:szCs w:val="24"/>
        </w:rPr>
        <w:t>工矿仓储</w:t>
      </w:r>
      <w:r>
        <w:rPr>
          <w:b/>
          <w:sz w:val="24"/>
          <w:szCs w:val="24"/>
        </w:rPr>
        <w:t>均质区域划分结果表</w:t>
      </w:r>
    </w:p>
    <w:tbl>
      <w:tblPr>
        <w:tblW w:w="9732" w:type="dxa"/>
        <w:jc w:val="center"/>
        <w:tblInd w:w="-1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731"/>
        <w:gridCol w:w="844"/>
        <w:gridCol w:w="6450"/>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jc w:val="center"/>
        </w:trPr>
        <w:tc>
          <w:tcPr>
            <w:tcW w:w="938" w:type="dxa"/>
            <w:vAlign w:val="center"/>
          </w:tcPr>
          <w:p>
            <w:pPr>
              <w:widowControl/>
              <w:spacing w:line="400" w:lineRule="exact"/>
              <w:jc w:val="center"/>
              <w:rPr>
                <w:b/>
                <w:bCs/>
                <w:color w:val="000000"/>
                <w:kern w:val="0"/>
                <w:sz w:val="20"/>
              </w:rPr>
            </w:pPr>
            <w:r>
              <w:rPr>
                <w:b/>
                <w:bCs/>
                <w:color w:val="000000"/>
                <w:kern w:val="0"/>
                <w:sz w:val="20"/>
              </w:rPr>
              <w:t>均值区域号</w:t>
            </w:r>
          </w:p>
        </w:tc>
        <w:tc>
          <w:tcPr>
            <w:tcW w:w="731" w:type="dxa"/>
            <w:vAlign w:val="center"/>
          </w:tcPr>
          <w:p>
            <w:pPr>
              <w:widowControl/>
              <w:spacing w:line="400" w:lineRule="exact"/>
              <w:jc w:val="center"/>
              <w:rPr>
                <w:b/>
                <w:bCs/>
                <w:color w:val="000000"/>
                <w:kern w:val="0"/>
                <w:sz w:val="20"/>
              </w:rPr>
            </w:pPr>
            <w:r>
              <w:rPr>
                <w:b/>
                <w:bCs/>
                <w:color w:val="000000"/>
                <w:kern w:val="0"/>
                <w:sz w:val="20"/>
              </w:rPr>
              <w:t>所属级别</w:t>
            </w:r>
          </w:p>
        </w:tc>
        <w:tc>
          <w:tcPr>
            <w:tcW w:w="844" w:type="dxa"/>
            <w:vAlign w:val="center"/>
          </w:tcPr>
          <w:p>
            <w:pPr>
              <w:widowControl/>
              <w:spacing w:line="400" w:lineRule="exact"/>
              <w:jc w:val="center"/>
              <w:rPr>
                <w:b/>
                <w:bCs/>
                <w:color w:val="000000"/>
                <w:kern w:val="0"/>
                <w:sz w:val="20"/>
              </w:rPr>
            </w:pPr>
            <w:r>
              <w:rPr>
                <w:b/>
                <w:bCs/>
                <w:color w:val="000000"/>
                <w:kern w:val="0"/>
                <w:sz w:val="20"/>
              </w:rPr>
              <w:t>作用分值</w:t>
            </w:r>
          </w:p>
        </w:tc>
        <w:tc>
          <w:tcPr>
            <w:tcW w:w="6450" w:type="dxa"/>
            <w:vAlign w:val="center"/>
          </w:tcPr>
          <w:p>
            <w:pPr>
              <w:widowControl/>
              <w:spacing w:line="400" w:lineRule="exact"/>
              <w:jc w:val="center"/>
              <w:rPr>
                <w:b/>
                <w:bCs/>
                <w:color w:val="000000"/>
                <w:kern w:val="0"/>
                <w:sz w:val="20"/>
              </w:rPr>
            </w:pPr>
            <w:r>
              <w:rPr>
                <w:b/>
                <w:bCs/>
                <w:color w:val="000000"/>
                <w:kern w:val="0"/>
                <w:sz w:val="20"/>
              </w:rPr>
              <w:t>边界范围</w:t>
            </w:r>
          </w:p>
        </w:tc>
        <w:tc>
          <w:tcPr>
            <w:tcW w:w="769" w:type="dxa"/>
            <w:vAlign w:val="center"/>
          </w:tcPr>
          <w:p>
            <w:pPr>
              <w:widowControl/>
              <w:spacing w:line="400" w:lineRule="exact"/>
              <w:jc w:val="center"/>
              <w:rPr>
                <w:b/>
                <w:bCs/>
                <w:color w:val="000000"/>
                <w:kern w:val="0"/>
                <w:sz w:val="20"/>
              </w:rPr>
            </w:pPr>
            <w:r>
              <w:rPr>
                <w:b/>
                <w:bCs/>
                <w:color w:val="000000"/>
                <w:kern w:val="0"/>
                <w:sz w:val="20"/>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color w:val="000000"/>
                <w:kern w:val="0"/>
                <w:sz w:val="22"/>
                <w:szCs w:val="22"/>
              </w:rPr>
            </w:pPr>
            <w:r>
              <w:rPr>
                <w:color w:val="000000"/>
                <w:kern w:val="0"/>
                <w:sz w:val="22"/>
                <w:szCs w:val="22"/>
                <w:lang/>
              </w:rPr>
              <w:t>J01</w:t>
            </w:r>
            <w:r>
              <w:rPr>
                <w:rFonts w:hint="eastAsia"/>
                <w:color w:val="000000"/>
                <w:kern w:val="0"/>
                <w:sz w:val="22"/>
                <w:szCs w:val="22"/>
                <w:lang w:val="en-US" w:eastAsia="zh-CN"/>
              </w:rPr>
              <w:t>3</w:t>
            </w:r>
          </w:p>
        </w:tc>
        <w:tc>
          <w:tcPr>
            <w:tcW w:w="731"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一级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69.93</w:t>
            </w:r>
          </w:p>
        </w:tc>
        <w:tc>
          <w:tcPr>
            <w:tcW w:w="6450" w:type="dxa"/>
            <w:vAlign w:val="center"/>
          </w:tcPr>
          <w:p>
            <w:pPr>
              <w:widowControl/>
              <w:spacing w:line="400" w:lineRule="exact"/>
              <w:jc w:val="center"/>
              <w:rPr>
                <w:rFonts w:hint="eastAsia" w:eastAsia="宋体"/>
                <w:color w:val="000000"/>
                <w:kern w:val="0"/>
                <w:sz w:val="22"/>
                <w:szCs w:val="22"/>
                <w:lang w:val="en-US" w:eastAsia="zh-CN"/>
              </w:rPr>
            </w:pPr>
            <w:r>
              <w:rPr>
                <w:color w:val="000000"/>
                <w:kern w:val="0"/>
                <w:sz w:val="22"/>
                <w:szCs w:val="22"/>
              </w:rPr>
              <w:t>开元路-</w:t>
            </w:r>
            <w:r>
              <w:rPr>
                <w:rFonts w:hint="eastAsia"/>
                <w:color w:val="000000"/>
                <w:kern w:val="0"/>
                <w:sz w:val="22"/>
                <w:szCs w:val="22"/>
                <w:lang w:eastAsia="zh-CN"/>
              </w:rPr>
              <w:t>天华路</w:t>
            </w:r>
            <w:r>
              <w:rPr>
                <w:rFonts w:hint="eastAsia"/>
                <w:color w:val="000000"/>
                <w:kern w:val="0"/>
                <w:sz w:val="22"/>
                <w:szCs w:val="22"/>
                <w:lang w:val="en-US" w:eastAsia="zh-CN"/>
              </w:rPr>
              <w:t>-棠坡路-东一线-三一路-</w:t>
            </w:r>
            <w:r>
              <w:rPr>
                <w:rFonts w:hint="eastAsia"/>
                <w:color w:val="000000"/>
                <w:kern w:val="0"/>
                <w:sz w:val="22"/>
                <w:szCs w:val="22"/>
                <w:lang w:eastAsia="zh-CN"/>
              </w:rPr>
              <w:t>板仓中路</w:t>
            </w:r>
            <w:r>
              <w:rPr>
                <w:rFonts w:hint="eastAsia"/>
                <w:color w:val="000000"/>
                <w:kern w:val="0"/>
                <w:sz w:val="22"/>
                <w:szCs w:val="22"/>
                <w:lang w:val="en-US" w:eastAsia="zh-CN"/>
              </w:rPr>
              <w:t>-</w:t>
            </w:r>
            <w:r>
              <w:rPr>
                <w:color w:val="000000"/>
                <w:kern w:val="0"/>
                <w:sz w:val="22"/>
                <w:szCs w:val="22"/>
              </w:rPr>
              <w:t>开元路</w:t>
            </w:r>
          </w:p>
        </w:tc>
        <w:tc>
          <w:tcPr>
            <w:tcW w:w="769" w:type="dxa"/>
            <w:vAlign w:val="center"/>
          </w:tcPr>
          <w:p>
            <w:pPr>
              <w:widowControl/>
              <w:spacing w:line="400" w:lineRule="exact"/>
              <w:jc w:val="center"/>
              <w:rPr>
                <w:color w:val="000000"/>
                <w:kern w:val="0"/>
                <w:sz w:val="22"/>
                <w:szCs w:val="22"/>
              </w:rPr>
            </w:pPr>
            <w:r>
              <w:rPr>
                <w:rFonts w:hint="eastAsia"/>
                <w:color w:val="000000"/>
                <w:kern w:val="0"/>
                <w:sz w:val="22"/>
                <w:szCs w:val="22"/>
                <w:lang w:val="en-US" w:eastAsia="zh-CN"/>
              </w:rPr>
              <w:t>1.23</w:t>
            </w:r>
            <w:r>
              <w:rPr>
                <w:color w:val="000000"/>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color w:val="000000"/>
                <w:kern w:val="0"/>
                <w:sz w:val="22"/>
                <w:szCs w:val="22"/>
                <w:lang/>
              </w:rPr>
              <w:t>J01</w:t>
            </w:r>
            <w:r>
              <w:rPr>
                <w:rFonts w:hint="eastAsia"/>
                <w:color w:val="000000"/>
                <w:kern w:val="0"/>
                <w:sz w:val="22"/>
                <w:szCs w:val="22"/>
                <w:lang w:val="en-US" w:eastAsia="zh-CN"/>
              </w:rPr>
              <w:t>4</w:t>
            </w:r>
          </w:p>
        </w:tc>
        <w:tc>
          <w:tcPr>
            <w:tcW w:w="731"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一级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68.66</w:t>
            </w:r>
          </w:p>
        </w:tc>
        <w:tc>
          <w:tcPr>
            <w:tcW w:w="6450" w:type="dxa"/>
            <w:vAlign w:val="center"/>
          </w:tcPr>
          <w:p>
            <w:pPr>
              <w:widowControl/>
              <w:spacing w:line="400" w:lineRule="exact"/>
              <w:jc w:val="center"/>
              <w:rPr>
                <w:color w:val="000000"/>
                <w:kern w:val="0"/>
                <w:sz w:val="22"/>
                <w:szCs w:val="22"/>
                <w:lang w:val="en-US"/>
              </w:rPr>
            </w:pPr>
            <w:r>
              <w:rPr>
                <w:rFonts w:hint="eastAsia"/>
                <w:color w:val="000000"/>
                <w:kern w:val="0"/>
                <w:sz w:val="22"/>
                <w:szCs w:val="22"/>
                <w:lang w:val="en-US" w:eastAsia="zh-CN"/>
              </w:rPr>
              <w:t>三一路-东一线-长浏高速-板仓中路-三一路</w:t>
            </w:r>
          </w:p>
        </w:tc>
        <w:tc>
          <w:tcPr>
            <w:tcW w:w="769" w:type="dxa"/>
            <w:vAlign w:val="center"/>
          </w:tcPr>
          <w:p>
            <w:pPr>
              <w:widowControl/>
              <w:spacing w:line="400" w:lineRule="exact"/>
              <w:jc w:val="center"/>
              <w:rPr>
                <w:color w:val="000000"/>
                <w:kern w:val="0"/>
                <w:sz w:val="22"/>
                <w:szCs w:val="22"/>
              </w:rPr>
            </w:pPr>
            <w:r>
              <w:rPr>
                <w:rFonts w:hint="eastAsia"/>
                <w:color w:val="000000"/>
                <w:kern w:val="0"/>
                <w:sz w:val="22"/>
                <w:szCs w:val="22"/>
                <w:lang w:val="en-US" w:eastAsia="zh-CN"/>
              </w:rPr>
              <w:t>2</w:t>
            </w:r>
            <w:r>
              <w:rPr>
                <w:color w:val="000000"/>
                <w:kern w:val="0"/>
                <w:sz w:val="22"/>
                <w:szCs w:val="22"/>
              </w:rPr>
              <w:t>.</w:t>
            </w:r>
            <w:r>
              <w:rPr>
                <w:rFonts w:hint="eastAsia"/>
                <w:color w:val="000000"/>
                <w:kern w:val="0"/>
                <w:sz w:val="22"/>
                <w:szCs w:val="22"/>
                <w:lang w:val="en-US" w:eastAsia="zh-CN"/>
              </w:rPr>
              <w:t>05</w:t>
            </w:r>
            <w:r>
              <w:rPr>
                <w:color w:val="000000"/>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color w:val="000000"/>
                <w:kern w:val="0"/>
                <w:sz w:val="22"/>
                <w:szCs w:val="22"/>
                <w:lang/>
              </w:rPr>
              <w:t>J0</w:t>
            </w:r>
            <w:r>
              <w:rPr>
                <w:rFonts w:hint="eastAsia"/>
                <w:color w:val="000000"/>
                <w:kern w:val="0"/>
                <w:sz w:val="22"/>
                <w:szCs w:val="22"/>
                <w:lang w:val="en-US" w:eastAsia="zh-CN"/>
              </w:rPr>
              <w:t>17</w:t>
            </w:r>
          </w:p>
        </w:tc>
        <w:tc>
          <w:tcPr>
            <w:tcW w:w="731"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66.19</w:t>
            </w:r>
          </w:p>
        </w:tc>
        <w:tc>
          <w:tcPr>
            <w:tcW w:w="6450" w:type="dxa"/>
            <w:vAlign w:val="center"/>
          </w:tcPr>
          <w:p>
            <w:pPr>
              <w:widowControl/>
              <w:spacing w:line="400" w:lineRule="exact"/>
              <w:jc w:val="center"/>
              <w:rPr>
                <w:color w:val="000000"/>
                <w:kern w:val="0"/>
                <w:sz w:val="22"/>
                <w:szCs w:val="22"/>
                <w:lang w:val="en-US"/>
              </w:rPr>
            </w:pPr>
            <w:r>
              <w:rPr>
                <w:color w:val="000000"/>
                <w:kern w:val="0"/>
                <w:sz w:val="22"/>
                <w:szCs w:val="22"/>
              </w:rPr>
              <w:t>开元路-</w:t>
            </w:r>
            <w:r>
              <w:rPr>
                <w:rFonts w:hint="eastAsia"/>
                <w:color w:val="000000"/>
                <w:kern w:val="0"/>
                <w:sz w:val="22"/>
                <w:szCs w:val="22"/>
                <w:lang w:eastAsia="zh-CN"/>
              </w:rPr>
              <w:t>东四线</w:t>
            </w:r>
            <w:r>
              <w:rPr>
                <w:rFonts w:hint="eastAsia"/>
                <w:color w:val="000000"/>
                <w:kern w:val="0"/>
                <w:sz w:val="22"/>
                <w:szCs w:val="22"/>
                <w:lang w:val="en-US" w:eastAsia="zh-CN"/>
              </w:rPr>
              <w:t>-长浏高速-东一线-</w:t>
            </w:r>
            <w:r>
              <w:rPr>
                <w:color w:val="000000"/>
                <w:kern w:val="0"/>
                <w:sz w:val="22"/>
                <w:szCs w:val="22"/>
              </w:rPr>
              <w:t>开元路</w:t>
            </w:r>
          </w:p>
        </w:tc>
        <w:tc>
          <w:tcPr>
            <w:tcW w:w="769" w:type="dxa"/>
            <w:vAlign w:val="center"/>
          </w:tcPr>
          <w:p>
            <w:pPr>
              <w:widowControl/>
              <w:spacing w:line="400" w:lineRule="exact"/>
              <w:jc w:val="center"/>
              <w:rPr>
                <w:color w:val="000000"/>
                <w:kern w:val="0"/>
                <w:sz w:val="22"/>
                <w:szCs w:val="22"/>
              </w:rPr>
            </w:pPr>
            <w:r>
              <w:rPr>
                <w:rFonts w:hint="eastAsia"/>
                <w:color w:val="000000"/>
                <w:kern w:val="0"/>
                <w:sz w:val="22"/>
                <w:szCs w:val="22"/>
                <w:lang w:val="en-US" w:eastAsia="zh-CN"/>
              </w:rPr>
              <w:t>3</w:t>
            </w:r>
            <w:r>
              <w:rPr>
                <w:color w:val="000000"/>
                <w:kern w:val="0"/>
                <w:sz w:val="22"/>
                <w:szCs w:val="22"/>
              </w:rPr>
              <w:t xml:space="preserve">.74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eastAsia="zh-CN"/>
              </w:rPr>
            </w:pPr>
            <w:r>
              <w:rPr>
                <w:color w:val="000000"/>
                <w:kern w:val="0"/>
                <w:sz w:val="22"/>
                <w:szCs w:val="22"/>
                <w:lang/>
              </w:rPr>
              <w:t>J01</w:t>
            </w:r>
            <w:r>
              <w:rPr>
                <w:rFonts w:hint="eastAsia"/>
                <w:color w:val="000000"/>
                <w:kern w:val="0"/>
                <w:sz w:val="22"/>
                <w:szCs w:val="22"/>
                <w:lang w:val="en-US" w:eastAsia="zh-CN"/>
              </w:rPr>
              <w:t>8</w:t>
            </w:r>
          </w:p>
        </w:tc>
        <w:tc>
          <w:tcPr>
            <w:tcW w:w="731"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64.82</w:t>
            </w:r>
          </w:p>
        </w:tc>
        <w:tc>
          <w:tcPr>
            <w:tcW w:w="6450" w:type="dxa"/>
            <w:vAlign w:val="center"/>
          </w:tcPr>
          <w:p>
            <w:pPr>
              <w:widowControl/>
              <w:spacing w:line="400" w:lineRule="exact"/>
              <w:jc w:val="center"/>
              <w:rPr>
                <w:rFonts w:hint="eastAsia" w:eastAsia="宋体"/>
                <w:color w:val="000000"/>
                <w:kern w:val="0"/>
                <w:sz w:val="22"/>
                <w:szCs w:val="22"/>
                <w:lang w:val="en-US" w:eastAsia="zh-CN"/>
              </w:rPr>
            </w:pPr>
            <w:r>
              <w:rPr>
                <w:rFonts w:hint="eastAsia"/>
                <w:color w:val="000000"/>
                <w:kern w:val="0"/>
                <w:sz w:val="22"/>
                <w:szCs w:val="22"/>
                <w:lang w:eastAsia="zh-CN"/>
              </w:rPr>
              <w:t>长浏高速</w:t>
            </w:r>
            <w:r>
              <w:rPr>
                <w:rFonts w:hint="eastAsia"/>
                <w:color w:val="000000"/>
                <w:kern w:val="0"/>
                <w:sz w:val="22"/>
                <w:szCs w:val="22"/>
                <w:lang w:val="en-US" w:eastAsia="zh-CN"/>
              </w:rPr>
              <w:t>-东四线-盼盼路-星沙大道-</w:t>
            </w:r>
            <w:r>
              <w:rPr>
                <w:rFonts w:hint="eastAsia"/>
                <w:color w:val="000000"/>
                <w:kern w:val="0"/>
                <w:sz w:val="22"/>
                <w:szCs w:val="22"/>
                <w:lang w:eastAsia="zh-CN"/>
              </w:rPr>
              <w:t>长浏高速</w:t>
            </w:r>
          </w:p>
        </w:tc>
        <w:tc>
          <w:tcPr>
            <w:tcW w:w="769" w:type="dxa"/>
            <w:vAlign w:val="center"/>
          </w:tcPr>
          <w:p>
            <w:pPr>
              <w:widowControl/>
              <w:spacing w:line="400" w:lineRule="exact"/>
              <w:jc w:val="center"/>
              <w:rPr>
                <w:color w:val="000000"/>
                <w:kern w:val="0"/>
                <w:sz w:val="22"/>
                <w:szCs w:val="22"/>
              </w:rPr>
            </w:pPr>
            <w:r>
              <w:rPr>
                <w:color w:val="000000"/>
                <w:kern w:val="0"/>
                <w:sz w:val="22"/>
                <w:szCs w:val="22"/>
              </w:rPr>
              <w:t xml:space="preserve">3.39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J015</w:t>
            </w:r>
          </w:p>
        </w:tc>
        <w:tc>
          <w:tcPr>
            <w:tcW w:w="731"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60.53</w:t>
            </w:r>
          </w:p>
        </w:tc>
        <w:tc>
          <w:tcPr>
            <w:tcW w:w="6450" w:type="dxa"/>
            <w:vAlign w:val="center"/>
          </w:tcPr>
          <w:p>
            <w:pPr>
              <w:widowControl/>
              <w:spacing w:line="400" w:lineRule="exact"/>
              <w:jc w:val="center"/>
              <w:rPr>
                <w:color w:val="000000"/>
                <w:kern w:val="0"/>
                <w:sz w:val="22"/>
                <w:szCs w:val="22"/>
              </w:rPr>
            </w:pPr>
            <w:r>
              <w:rPr>
                <w:color w:val="000000"/>
                <w:kern w:val="0"/>
                <w:sz w:val="22"/>
                <w:szCs w:val="22"/>
              </w:rPr>
              <w:t>开元路-</w:t>
            </w:r>
            <w:r>
              <w:rPr>
                <w:rFonts w:hint="eastAsia"/>
                <w:color w:val="000000"/>
                <w:kern w:val="0"/>
                <w:sz w:val="22"/>
                <w:szCs w:val="22"/>
                <w:lang w:eastAsia="zh-CN"/>
              </w:rPr>
              <w:t>板仓中路</w:t>
            </w:r>
            <w:r>
              <w:rPr>
                <w:rFonts w:hint="eastAsia"/>
                <w:color w:val="000000"/>
                <w:kern w:val="0"/>
                <w:sz w:val="22"/>
                <w:szCs w:val="22"/>
                <w:lang w:val="en-US" w:eastAsia="zh-CN"/>
              </w:rPr>
              <w:t>-长浏高速-京珠高速-</w:t>
            </w:r>
            <w:r>
              <w:rPr>
                <w:color w:val="000000"/>
                <w:kern w:val="0"/>
                <w:sz w:val="22"/>
                <w:szCs w:val="22"/>
              </w:rPr>
              <w:t>开元路</w:t>
            </w:r>
          </w:p>
        </w:tc>
        <w:tc>
          <w:tcPr>
            <w:tcW w:w="769" w:type="dxa"/>
            <w:vAlign w:val="center"/>
          </w:tcPr>
          <w:p>
            <w:pPr>
              <w:widowControl/>
              <w:spacing w:line="400" w:lineRule="exact"/>
              <w:jc w:val="center"/>
              <w:rPr>
                <w:color w:val="000000"/>
                <w:kern w:val="0"/>
                <w:sz w:val="22"/>
                <w:szCs w:val="22"/>
              </w:rPr>
            </w:pPr>
            <w:r>
              <w:rPr>
                <w:rFonts w:hint="eastAsia"/>
                <w:color w:val="000000"/>
                <w:kern w:val="0"/>
                <w:sz w:val="22"/>
                <w:szCs w:val="22"/>
                <w:lang w:val="en-US" w:eastAsia="zh-CN"/>
              </w:rPr>
              <w:t>2</w:t>
            </w:r>
            <w:r>
              <w:rPr>
                <w:color w:val="000000"/>
                <w:kern w:val="0"/>
                <w:sz w:val="22"/>
                <w:szCs w:val="22"/>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color w:val="000000"/>
                <w:kern w:val="0"/>
                <w:sz w:val="22"/>
                <w:szCs w:val="22"/>
                <w:lang/>
              </w:rPr>
              <w:t>J0</w:t>
            </w:r>
            <w:r>
              <w:rPr>
                <w:rFonts w:hint="eastAsia"/>
                <w:color w:val="000000"/>
                <w:kern w:val="0"/>
                <w:sz w:val="22"/>
                <w:szCs w:val="22"/>
                <w:lang w:val="en-US" w:eastAsia="zh-CN"/>
              </w:rPr>
              <w:t>22</w:t>
            </w:r>
          </w:p>
        </w:tc>
        <w:tc>
          <w:tcPr>
            <w:tcW w:w="731"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57.05</w:t>
            </w:r>
          </w:p>
        </w:tc>
        <w:tc>
          <w:tcPr>
            <w:tcW w:w="6450" w:type="dxa"/>
            <w:vAlign w:val="center"/>
          </w:tcPr>
          <w:p>
            <w:pPr>
              <w:widowControl/>
              <w:spacing w:line="400" w:lineRule="exact"/>
              <w:jc w:val="center"/>
              <w:rPr>
                <w:color w:val="000000"/>
                <w:kern w:val="0"/>
                <w:sz w:val="22"/>
                <w:szCs w:val="22"/>
              </w:rPr>
            </w:pPr>
            <w:r>
              <w:rPr>
                <w:rFonts w:hint="eastAsia"/>
                <w:color w:val="000000"/>
                <w:kern w:val="0"/>
                <w:sz w:val="22"/>
                <w:szCs w:val="22"/>
                <w:lang w:eastAsia="zh-CN"/>
              </w:rPr>
              <w:t>长浏高速</w:t>
            </w:r>
            <w:r>
              <w:rPr>
                <w:color w:val="000000"/>
                <w:kern w:val="0"/>
                <w:sz w:val="22"/>
                <w:szCs w:val="22"/>
              </w:rPr>
              <w:t>-</w:t>
            </w:r>
            <w:r>
              <w:rPr>
                <w:rFonts w:hint="eastAsia"/>
                <w:color w:val="000000"/>
                <w:kern w:val="0"/>
                <w:sz w:val="22"/>
                <w:szCs w:val="22"/>
                <w:lang w:eastAsia="zh-CN"/>
              </w:rPr>
              <w:t>小塘路</w:t>
            </w:r>
            <w:r>
              <w:rPr>
                <w:color w:val="000000"/>
                <w:kern w:val="0"/>
                <w:sz w:val="22"/>
                <w:szCs w:val="22"/>
              </w:rPr>
              <w:t>-</w:t>
            </w:r>
            <w:r>
              <w:rPr>
                <w:rFonts w:hint="eastAsia"/>
                <w:color w:val="000000"/>
                <w:kern w:val="0"/>
                <w:sz w:val="22"/>
                <w:szCs w:val="22"/>
                <w:lang w:eastAsia="zh-CN"/>
              </w:rPr>
              <w:t>泉源路</w:t>
            </w:r>
            <w:r>
              <w:rPr>
                <w:color w:val="000000"/>
                <w:kern w:val="0"/>
                <w:sz w:val="22"/>
                <w:szCs w:val="22"/>
              </w:rPr>
              <w:t>-</w:t>
            </w:r>
            <w:r>
              <w:rPr>
                <w:rFonts w:hint="eastAsia"/>
                <w:color w:val="000000"/>
                <w:kern w:val="0"/>
                <w:sz w:val="22"/>
                <w:szCs w:val="22"/>
                <w:lang w:eastAsia="zh-CN"/>
              </w:rPr>
              <w:t>东四线</w:t>
            </w:r>
            <w:r>
              <w:rPr>
                <w:color w:val="000000"/>
                <w:kern w:val="0"/>
                <w:sz w:val="22"/>
                <w:szCs w:val="22"/>
              </w:rPr>
              <w:t>-</w:t>
            </w:r>
            <w:r>
              <w:rPr>
                <w:rFonts w:hint="eastAsia"/>
                <w:color w:val="000000"/>
                <w:kern w:val="0"/>
                <w:sz w:val="22"/>
                <w:szCs w:val="22"/>
                <w:lang w:eastAsia="zh-CN"/>
              </w:rPr>
              <w:t>长浏高</w:t>
            </w:r>
            <w:r>
              <w:rPr>
                <w:color w:val="000000"/>
                <w:kern w:val="0"/>
                <w:sz w:val="22"/>
                <w:szCs w:val="22"/>
              </w:rPr>
              <w:t>速</w:t>
            </w:r>
          </w:p>
        </w:tc>
        <w:tc>
          <w:tcPr>
            <w:tcW w:w="769" w:type="dxa"/>
            <w:vAlign w:val="center"/>
          </w:tcPr>
          <w:p>
            <w:pPr>
              <w:widowControl/>
              <w:spacing w:line="400" w:lineRule="exact"/>
              <w:jc w:val="center"/>
              <w:rPr>
                <w:color w:val="000000"/>
                <w:kern w:val="0"/>
                <w:sz w:val="22"/>
                <w:szCs w:val="22"/>
              </w:rPr>
            </w:pPr>
            <w:r>
              <w:rPr>
                <w:rFonts w:hint="eastAsia"/>
                <w:color w:val="000000"/>
                <w:kern w:val="0"/>
                <w:sz w:val="22"/>
                <w:szCs w:val="22"/>
                <w:lang w:val="en-US" w:eastAsia="zh-CN"/>
              </w:rPr>
              <w:t>2</w:t>
            </w:r>
            <w:r>
              <w:rPr>
                <w:color w:val="000000"/>
                <w:kern w:val="0"/>
                <w:sz w:val="22"/>
                <w:szCs w:val="22"/>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J016</w:t>
            </w:r>
          </w:p>
        </w:tc>
        <w:tc>
          <w:tcPr>
            <w:tcW w:w="731"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54.02</w:t>
            </w:r>
          </w:p>
        </w:tc>
        <w:tc>
          <w:tcPr>
            <w:tcW w:w="6450" w:type="dxa"/>
            <w:vAlign w:val="center"/>
          </w:tcPr>
          <w:p>
            <w:pPr>
              <w:widowControl/>
              <w:spacing w:line="400" w:lineRule="exact"/>
              <w:jc w:val="center"/>
              <w:rPr>
                <w:color w:val="000000"/>
                <w:kern w:val="0"/>
                <w:sz w:val="22"/>
                <w:szCs w:val="22"/>
              </w:rPr>
            </w:pPr>
            <w:r>
              <w:rPr>
                <w:rFonts w:hint="eastAsia"/>
                <w:color w:val="000000"/>
                <w:kern w:val="0"/>
                <w:sz w:val="22"/>
                <w:szCs w:val="22"/>
                <w:lang w:eastAsia="zh-CN"/>
              </w:rPr>
              <w:t>长浏高速</w:t>
            </w:r>
            <w:r>
              <w:rPr>
                <w:color w:val="000000"/>
                <w:kern w:val="0"/>
                <w:sz w:val="22"/>
                <w:szCs w:val="22"/>
              </w:rPr>
              <w:t>-</w:t>
            </w:r>
            <w:r>
              <w:rPr>
                <w:rFonts w:hint="eastAsia"/>
                <w:color w:val="000000"/>
                <w:kern w:val="0"/>
                <w:sz w:val="22"/>
                <w:szCs w:val="22"/>
                <w:lang w:eastAsia="zh-CN"/>
              </w:rPr>
              <w:t>星沙大道</w:t>
            </w:r>
            <w:r>
              <w:rPr>
                <w:rFonts w:hint="eastAsia"/>
                <w:color w:val="000000"/>
                <w:kern w:val="0"/>
                <w:sz w:val="22"/>
                <w:szCs w:val="22"/>
                <w:lang w:val="en-US" w:eastAsia="zh-CN"/>
              </w:rPr>
              <w:t>-规划边界-京珠高速-</w:t>
            </w:r>
            <w:r>
              <w:rPr>
                <w:rFonts w:hint="eastAsia"/>
                <w:color w:val="000000"/>
                <w:kern w:val="0"/>
                <w:sz w:val="22"/>
                <w:szCs w:val="22"/>
                <w:lang w:eastAsia="zh-CN"/>
              </w:rPr>
              <w:t>长浏高</w:t>
            </w:r>
            <w:r>
              <w:rPr>
                <w:color w:val="000000"/>
                <w:kern w:val="0"/>
                <w:sz w:val="22"/>
                <w:szCs w:val="22"/>
              </w:rPr>
              <w:t>速</w:t>
            </w:r>
          </w:p>
        </w:tc>
        <w:tc>
          <w:tcPr>
            <w:tcW w:w="769" w:type="dxa"/>
            <w:vAlign w:val="center"/>
          </w:tcPr>
          <w:p>
            <w:pPr>
              <w:widowControl/>
              <w:spacing w:line="400" w:lineRule="exact"/>
              <w:jc w:val="center"/>
              <w:rPr>
                <w:color w:val="000000"/>
                <w:kern w:val="0"/>
                <w:sz w:val="22"/>
                <w:szCs w:val="22"/>
              </w:rPr>
            </w:pPr>
            <w:r>
              <w:rPr>
                <w:rFonts w:hint="eastAsia"/>
                <w:color w:val="000000"/>
                <w:kern w:val="0"/>
                <w:sz w:val="22"/>
                <w:szCs w:val="22"/>
                <w:lang w:val="en-US" w:eastAsia="zh-CN"/>
              </w:rPr>
              <w:t>3</w:t>
            </w:r>
            <w:r>
              <w:rPr>
                <w:color w:val="000000"/>
                <w:kern w:val="0"/>
                <w:sz w:val="22"/>
                <w:szCs w:val="22"/>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J007</w:t>
            </w:r>
          </w:p>
        </w:tc>
        <w:tc>
          <w:tcPr>
            <w:tcW w:w="731" w:type="dxa"/>
            <w:vAlign w:val="center"/>
          </w:tcPr>
          <w:p>
            <w:pPr>
              <w:widowControl/>
              <w:spacing w:line="400" w:lineRule="exact"/>
              <w:jc w:val="center"/>
              <w:textAlignment w:val="center"/>
              <w:rPr>
                <w:color w:val="000000"/>
                <w:kern w:val="0"/>
                <w:sz w:val="22"/>
                <w:szCs w:val="22"/>
              </w:rPr>
            </w:pPr>
            <w:r>
              <w:rPr>
                <w:rFonts w:eastAsia="Tahoma"/>
                <w:color w:val="000000"/>
                <w:kern w:val="0"/>
                <w:sz w:val="22"/>
                <w:szCs w:val="22"/>
                <w:lang/>
              </w:rPr>
              <w:t>二级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52.59</w:t>
            </w:r>
          </w:p>
        </w:tc>
        <w:tc>
          <w:tcPr>
            <w:tcW w:w="6450" w:type="dxa"/>
            <w:vAlign w:val="center"/>
          </w:tcPr>
          <w:p>
            <w:pPr>
              <w:widowControl/>
              <w:spacing w:line="400" w:lineRule="exact"/>
              <w:jc w:val="center"/>
              <w:rPr>
                <w:color w:val="000000"/>
                <w:kern w:val="0"/>
                <w:sz w:val="22"/>
                <w:szCs w:val="22"/>
              </w:rPr>
            </w:pPr>
            <w:r>
              <w:rPr>
                <w:color w:val="000000"/>
                <w:kern w:val="0"/>
                <w:sz w:val="22"/>
                <w:szCs w:val="22"/>
              </w:rPr>
              <w:t>滨湖路-</w:t>
            </w:r>
            <w:r>
              <w:rPr>
                <w:rFonts w:hint="eastAsia"/>
                <w:color w:val="000000"/>
                <w:kern w:val="0"/>
                <w:sz w:val="22"/>
                <w:szCs w:val="22"/>
                <w:lang w:eastAsia="zh-CN"/>
              </w:rPr>
              <w:t>星沙大道</w:t>
            </w:r>
            <w:r>
              <w:rPr>
                <w:rFonts w:hint="eastAsia"/>
                <w:color w:val="000000"/>
                <w:kern w:val="0"/>
                <w:sz w:val="22"/>
                <w:szCs w:val="22"/>
                <w:lang w:val="en-US" w:eastAsia="zh-CN"/>
              </w:rPr>
              <w:t>-棠坡路-开元路-东升路</w:t>
            </w:r>
            <w:r>
              <w:rPr>
                <w:color w:val="000000"/>
                <w:kern w:val="0"/>
                <w:sz w:val="22"/>
                <w:szCs w:val="22"/>
              </w:rPr>
              <w:t>-滨湖路</w:t>
            </w:r>
          </w:p>
        </w:tc>
        <w:tc>
          <w:tcPr>
            <w:tcW w:w="769" w:type="dxa"/>
            <w:vAlign w:val="center"/>
          </w:tcPr>
          <w:p>
            <w:pPr>
              <w:widowControl/>
              <w:spacing w:line="400" w:lineRule="exact"/>
              <w:jc w:val="center"/>
              <w:rPr>
                <w:color w:val="000000"/>
                <w:kern w:val="0"/>
                <w:sz w:val="22"/>
                <w:szCs w:val="22"/>
              </w:rPr>
            </w:pPr>
            <w:r>
              <w:rPr>
                <w:color w:val="000000"/>
                <w:kern w:val="0"/>
                <w:sz w:val="22"/>
                <w:szCs w:val="22"/>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color w:val="000000"/>
                <w:kern w:val="0"/>
                <w:sz w:val="22"/>
                <w:szCs w:val="22"/>
                <w:lang w:val="en-US" w:eastAsia="zh-CN"/>
              </w:rPr>
            </w:pPr>
            <w:r>
              <w:rPr>
                <w:rFonts w:hint="eastAsia"/>
                <w:color w:val="000000"/>
                <w:kern w:val="0"/>
                <w:sz w:val="22"/>
                <w:szCs w:val="22"/>
                <w:lang w:val="en-US" w:eastAsia="zh-CN"/>
              </w:rPr>
              <w:t>J012</w:t>
            </w:r>
          </w:p>
        </w:tc>
        <w:tc>
          <w:tcPr>
            <w:tcW w:w="731" w:type="dxa"/>
            <w:vAlign w:val="center"/>
          </w:tcPr>
          <w:p>
            <w:pPr>
              <w:widowControl/>
              <w:spacing w:line="400" w:lineRule="exact"/>
              <w:jc w:val="center"/>
              <w:textAlignment w:val="center"/>
              <w:rPr>
                <w:rFonts w:eastAsia="Tahoma"/>
                <w:color w:val="000000"/>
                <w:kern w:val="0"/>
                <w:sz w:val="22"/>
                <w:szCs w:val="22"/>
                <w:lang/>
              </w:rPr>
            </w:pPr>
            <w:r>
              <w:rPr>
                <w:rFonts w:eastAsia="Tahoma"/>
                <w:color w:val="000000"/>
                <w:kern w:val="0"/>
                <w:sz w:val="22"/>
                <w:szCs w:val="22"/>
                <w:lang/>
              </w:rPr>
              <w:t>二级</w:t>
            </w:r>
          </w:p>
        </w:tc>
        <w:tc>
          <w:tcPr>
            <w:tcW w:w="844" w:type="dxa"/>
            <w:vAlign w:val="center"/>
          </w:tcPr>
          <w:p>
            <w:pPr>
              <w:widowControl/>
              <w:jc w:val="left"/>
              <w:textAlignment w:val="center"/>
              <w:rPr>
                <w:rFonts w:eastAsia="Tahoma"/>
                <w:color w:val="000000"/>
                <w:kern w:val="0"/>
                <w:sz w:val="22"/>
                <w:szCs w:val="22"/>
                <w:lang/>
              </w:rPr>
            </w:pPr>
            <w:r>
              <w:rPr>
                <w:rFonts w:hint="eastAsia" w:ascii="宋体" w:hAnsi="宋体" w:eastAsia="宋体" w:cs="宋体"/>
                <w:i w:val="0"/>
                <w:color w:val="000000"/>
                <w:kern w:val="0"/>
                <w:sz w:val="22"/>
                <w:szCs w:val="22"/>
                <w:u w:val="none"/>
                <w:lang w:val="en-US" w:eastAsia="zh-CN"/>
              </w:rPr>
              <w:t>50.49</w:t>
            </w:r>
          </w:p>
        </w:tc>
        <w:tc>
          <w:tcPr>
            <w:tcW w:w="6450" w:type="dxa"/>
            <w:vAlign w:val="center"/>
          </w:tcPr>
          <w:p>
            <w:pPr>
              <w:widowControl/>
              <w:spacing w:line="400" w:lineRule="exact"/>
              <w:jc w:val="center"/>
              <w:rPr>
                <w:color w:val="000000"/>
                <w:kern w:val="0"/>
                <w:sz w:val="22"/>
                <w:szCs w:val="22"/>
              </w:rPr>
            </w:pPr>
            <w:r>
              <w:rPr>
                <w:color w:val="000000"/>
                <w:kern w:val="0"/>
                <w:sz w:val="22"/>
                <w:szCs w:val="22"/>
              </w:rPr>
              <w:t>滨湖路-</w:t>
            </w:r>
            <w:r>
              <w:rPr>
                <w:rFonts w:hint="eastAsia"/>
                <w:color w:val="000000"/>
                <w:kern w:val="0"/>
                <w:sz w:val="22"/>
                <w:szCs w:val="22"/>
                <w:lang w:eastAsia="zh-CN"/>
              </w:rPr>
              <w:t>特立路</w:t>
            </w:r>
            <w:r>
              <w:rPr>
                <w:rFonts w:hint="eastAsia"/>
                <w:color w:val="000000"/>
                <w:kern w:val="0"/>
                <w:sz w:val="22"/>
                <w:szCs w:val="22"/>
                <w:lang w:val="en-US" w:eastAsia="zh-CN"/>
              </w:rPr>
              <w:t>-开元路-东一线-棠坡路-星沙大道-</w:t>
            </w:r>
            <w:r>
              <w:rPr>
                <w:color w:val="000000"/>
                <w:kern w:val="0"/>
                <w:sz w:val="22"/>
                <w:szCs w:val="22"/>
              </w:rPr>
              <w:t>-滨湖路</w:t>
            </w:r>
          </w:p>
        </w:tc>
        <w:tc>
          <w:tcPr>
            <w:tcW w:w="769" w:type="dxa"/>
            <w:vAlign w:val="center"/>
          </w:tcPr>
          <w:p>
            <w:pPr>
              <w:widowControl/>
              <w:spacing w:line="400" w:lineRule="exact"/>
              <w:jc w:val="center"/>
              <w:rPr>
                <w:color w:val="000000"/>
                <w:kern w:val="0"/>
                <w:sz w:val="22"/>
                <w:szCs w:val="22"/>
              </w:rPr>
            </w:pPr>
            <w:r>
              <w:rPr>
                <w:color w:val="000000"/>
                <w:kern w:val="0"/>
                <w:sz w:val="22"/>
                <w:szCs w:val="22"/>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color w:val="000000"/>
                <w:kern w:val="0"/>
                <w:sz w:val="22"/>
                <w:szCs w:val="22"/>
                <w:lang w:val="en-US" w:eastAsia="zh-CN"/>
              </w:rPr>
            </w:pPr>
            <w:r>
              <w:rPr>
                <w:rFonts w:hint="eastAsia"/>
                <w:color w:val="000000"/>
                <w:kern w:val="0"/>
                <w:sz w:val="22"/>
                <w:szCs w:val="22"/>
                <w:lang w:val="en-US" w:eastAsia="zh-CN"/>
              </w:rPr>
              <w:t>J008</w:t>
            </w:r>
          </w:p>
        </w:tc>
        <w:tc>
          <w:tcPr>
            <w:tcW w:w="731" w:type="dxa"/>
            <w:vAlign w:val="center"/>
          </w:tcPr>
          <w:p>
            <w:pPr>
              <w:widowControl/>
              <w:spacing w:line="400" w:lineRule="exact"/>
              <w:jc w:val="center"/>
              <w:textAlignment w:val="center"/>
              <w:rPr>
                <w:rFonts w:eastAsia="Tahoma"/>
                <w:color w:val="000000"/>
                <w:kern w:val="0"/>
                <w:sz w:val="22"/>
                <w:szCs w:val="22"/>
                <w:lang/>
              </w:rPr>
            </w:pPr>
            <w:r>
              <w:rPr>
                <w:rFonts w:eastAsia="Tahoma"/>
                <w:color w:val="000000"/>
                <w:kern w:val="0"/>
                <w:sz w:val="22"/>
                <w:szCs w:val="22"/>
                <w:lang/>
              </w:rPr>
              <w:t>二级</w:t>
            </w:r>
          </w:p>
        </w:tc>
        <w:tc>
          <w:tcPr>
            <w:tcW w:w="844" w:type="dxa"/>
            <w:vAlign w:val="center"/>
          </w:tcPr>
          <w:p>
            <w:pPr>
              <w:widowControl/>
              <w:jc w:val="left"/>
              <w:textAlignment w:val="center"/>
              <w:rPr>
                <w:rFonts w:eastAsia="Tahoma"/>
                <w:color w:val="000000"/>
                <w:kern w:val="0"/>
                <w:sz w:val="22"/>
                <w:szCs w:val="22"/>
                <w:lang/>
              </w:rPr>
            </w:pPr>
            <w:r>
              <w:rPr>
                <w:rFonts w:hint="eastAsia" w:ascii="宋体" w:hAnsi="宋体" w:eastAsia="宋体" w:cs="宋体"/>
                <w:i w:val="0"/>
                <w:color w:val="000000"/>
                <w:kern w:val="0"/>
                <w:sz w:val="22"/>
                <w:szCs w:val="22"/>
                <w:u w:val="none"/>
                <w:lang w:val="en-US" w:eastAsia="zh-CN"/>
              </w:rPr>
              <w:t>49.52</w:t>
            </w:r>
          </w:p>
        </w:tc>
        <w:tc>
          <w:tcPr>
            <w:tcW w:w="6450" w:type="dxa"/>
            <w:vAlign w:val="center"/>
          </w:tcPr>
          <w:p>
            <w:pPr>
              <w:widowControl/>
              <w:spacing w:line="400" w:lineRule="exact"/>
              <w:jc w:val="center"/>
              <w:rPr>
                <w:color w:val="000000"/>
                <w:kern w:val="0"/>
                <w:sz w:val="22"/>
                <w:szCs w:val="22"/>
              </w:rPr>
            </w:pPr>
            <w:r>
              <w:rPr>
                <w:color w:val="000000"/>
                <w:kern w:val="0"/>
                <w:sz w:val="22"/>
                <w:szCs w:val="22"/>
              </w:rPr>
              <w:t>开元路-</w:t>
            </w:r>
            <w:r>
              <w:rPr>
                <w:rFonts w:hint="eastAsia"/>
                <w:color w:val="000000"/>
                <w:kern w:val="0"/>
                <w:sz w:val="22"/>
                <w:szCs w:val="22"/>
                <w:lang w:eastAsia="zh-CN"/>
              </w:rPr>
              <w:t>京珠高速</w:t>
            </w:r>
            <w:r>
              <w:rPr>
                <w:rFonts w:hint="eastAsia"/>
                <w:color w:val="000000"/>
                <w:kern w:val="0"/>
                <w:sz w:val="22"/>
                <w:szCs w:val="22"/>
                <w:lang w:val="en-US" w:eastAsia="zh-CN"/>
              </w:rPr>
              <w:t>-规划边界</w:t>
            </w:r>
            <w:r>
              <w:rPr>
                <w:color w:val="000000"/>
                <w:kern w:val="0"/>
                <w:sz w:val="22"/>
                <w:szCs w:val="22"/>
              </w:rPr>
              <w:t>-开元路</w:t>
            </w:r>
          </w:p>
        </w:tc>
        <w:tc>
          <w:tcPr>
            <w:tcW w:w="769" w:type="dxa"/>
            <w:vAlign w:val="center"/>
          </w:tcPr>
          <w:p>
            <w:pPr>
              <w:widowControl/>
              <w:spacing w:line="400" w:lineRule="exact"/>
              <w:jc w:val="center"/>
              <w:rPr>
                <w:color w:val="000000"/>
                <w:kern w:val="0"/>
                <w:sz w:val="22"/>
                <w:szCs w:val="22"/>
              </w:rPr>
            </w:pPr>
            <w:r>
              <w:rPr>
                <w:color w:val="000000"/>
                <w:kern w:val="0"/>
                <w:sz w:val="22"/>
                <w:szCs w:val="22"/>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color w:val="000000"/>
                <w:kern w:val="0"/>
                <w:sz w:val="22"/>
                <w:szCs w:val="22"/>
                <w:lang w:val="en-US" w:eastAsia="zh-CN"/>
              </w:rPr>
            </w:pPr>
            <w:r>
              <w:rPr>
                <w:rFonts w:hint="eastAsia"/>
                <w:color w:val="000000"/>
                <w:kern w:val="0"/>
                <w:sz w:val="22"/>
                <w:szCs w:val="22"/>
                <w:lang w:val="en-US" w:eastAsia="zh-CN"/>
              </w:rPr>
              <w:t>J006</w:t>
            </w:r>
          </w:p>
        </w:tc>
        <w:tc>
          <w:tcPr>
            <w:tcW w:w="731" w:type="dxa"/>
            <w:vAlign w:val="center"/>
          </w:tcPr>
          <w:p>
            <w:pPr>
              <w:widowControl/>
              <w:spacing w:line="400" w:lineRule="exact"/>
              <w:jc w:val="center"/>
              <w:textAlignment w:val="center"/>
              <w:rPr>
                <w:rFonts w:eastAsia="Tahoma"/>
                <w:color w:val="000000"/>
                <w:kern w:val="0"/>
                <w:sz w:val="22"/>
                <w:szCs w:val="22"/>
                <w:lang/>
              </w:rPr>
            </w:pPr>
            <w:r>
              <w:rPr>
                <w:rFonts w:eastAsia="Tahoma"/>
                <w:color w:val="000000"/>
                <w:kern w:val="0"/>
                <w:sz w:val="22"/>
                <w:szCs w:val="22"/>
                <w:lang/>
              </w:rPr>
              <w:t>二级</w:t>
            </w:r>
          </w:p>
        </w:tc>
        <w:tc>
          <w:tcPr>
            <w:tcW w:w="844" w:type="dxa"/>
            <w:vAlign w:val="center"/>
          </w:tcPr>
          <w:p>
            <w:pPr>
              <w:widowControl/>
              <w:jc w:val="left"/>
              <w:textAlignment w:val="center"/>
              <w:rPr>
                <w:rFonts w:eastAsia="Tahoma"/>
                <w:color w:val="000000"/>
                <w:kern w:val="0"/>
                <w:sz w:val="22"/>
                <w:szCs w:val="22"/>
                <w:lang/>
              </w:rPr>
            </w:pPr>
            <w:r>
              <w:rPr>
                <w:rFonts w:hint="eastAsia" w:ascii="宋体" w:hAnsi="宋体" w:eastAsia="宋体" w:cs="宋体"/>
                <w:i w:val="0"/>
                <w:color w:val="000000"/>
                <w:kern w:val="0"/>
                <w:sz w:val="22"/>
                <w:szCs w:val="22"/>
                <w:u w:val="none"/>
                <w:lang w:val="en-US" w:eastAsia="zh-CN"/>
              </w:rPr>
              <w:t>48.77</w:t>
            </w:r>
          </w:p>
        </w:tc>
        <w:tc>
          <w:tcPr>
            <w:tcW w:w="6450" w:type="dxa"/>
            <w:vAlign w:val="center"/>
          </w:tcPr>
          <w:p>
            <w:pPr>
              <w:widowControl/>
              <w:spacing w:line="400" w:lineRule="exact"/>
              <w:jc w:val="center"/>
              <w:rPr>
                <w:color w:val="000000"/>
                <w:kern w:val="0"/>
                <w:sz w:val="22"/>
                <w:szCs w:val="22"/>
              </w:rPr>
            </w:pPr>
            <w:r>
              <w:rPr>
                <w:color w:val="000000"/>
                <w:kern w:val="0"/>
                <w:sz w:val="22"/>
                <w:szCs w:val="22"/>
              </w:rPr>
              <w:t>滨湖西路-</w:t>
            </w:r>
            <w:r>
              <w:rPr>
                <w:rFonts w:hint="eastAsia"/>
                <w:color w:val="000000"/>
                <w:kern w:val="0"/>
                <w:sz w:val="22"/>
                <w:szCs w:val="22"/>
                <w:lang w:eastAsia="zh-CN"/>
              </w:rPr>
              <w:t>东升路</w:t>
            </w:r>
            <w:r>
              <w:rPr>
                <w:color w:val="000000"/>
                <w:kern w:val="0"/>
                <w:sz w:val="22"/>
                <w:szCs w:val="22"/>
              </w:rPr>
              <w:t>-开元路-</w:t>
            </w:r>
            <w:r>
              <w:rPr>
                <w:rFonts w:hint="eastAsia"/>
                <w:color w:val="000000"/>
                <w:kern w:val="0"/>
                <w:sz w:val="22"/>
                <w:szCs w:val="22"/>
                <w:lang w:eastAsia="zh-CN"/>
              </w:rPr>
              <w:t>漓湘西路</w:t>
            </w:r>
            <w:r>
              <w:rPr>
                <w:color w:val="000000"/>
                <w:kern w:val="0"/>
                <w:sz w:val="22"/>
                <w:szCs w:val="22"/>
              </w:rPr>
              <w:t>-万家丽路-滨湖西路</w:t>
            </w:r>
          </w:p>
        </w:tc>
        <w:tc>
          <w:tcPr>
            <w:tcW w:w="769" w:type="dxa"/>
            <w:vAlign w:val="center"/>
          </w:tcPr>
          <w:p>
            <w:pPr>
              <w:widowControl/>
              <w:spacing w:line="400" w:lineRule="exact"/>
              <w:jc w:val="center"/>
              <w:rPr>
                <w:color w:val="000000"/>
                <w:kern w:val="0"/>
                <w:sz w:val="22"/>
                <w:szCs w:val="22"/>
              </w:rPr>
            </w:pPr>
            <w:r>
              <w:rPr>
                <w:rFonts w:hint="eastAsia"/>
                <w:color w:val="000000"/>
                <w:kern w:val="0"/>
                <w:sz w:val="22"/>
                <w:szCs w:val="22"/>
                <w:lang w:val="en-US" w:eastAsia="zh-CN"/>
              </w:rPr>
              <w:t>2.3</w:t>
            </w:r>
            <w:r>
              <w:rPr>
                <w:color w:val="000000"/>
                <w:kern w:val="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color w:val="000000"/>
                <w:kern w:val="0"/>
                <w:sz w:val="22"/>
                <w:szCs w:val="22"/>
                <w:lang w:val="en-US" w:eastAsia="zh-CN"/>
              </w:rPr>
            </w:pPr>
            <w:r>
              <w:rPr>
                <w:rFonts w:hint="eastAsia"/>
                <w:color w:val="000000"/>
                <w:kern w:val="0"/>
                <w:sz w:val="22"/>
                <w:szCs w:val="22"/>
                <w:lang w:val="en-US" w:eastAsia="zh-CN"/>
              </w:rPr>
              <w:t>J005</w:t>
            </w:r>
          </w:p>
        </w:tc>
        <w:tc>
          <w:tcPr>
            <w:tcW w:w="731" w:type="dxa"/>
            <w:vAlign w:val="center"/>
          </w:tcPr>
          <w:p>
            <w:pPr>
              <w:widowControl/>
              <w:spacing w:line="400" w:lineRule="exact"/>
              <w:jc w:val="center"/>
              <w:textAlignment w:val="center"/>
              <w:rPr>
                <w:rFonts w:eastAsia="Tahoma"/>
                <w:color w:val="000000"/>
                <w:kern w:val="0"/>
                <w:sz w:val="22"/>
                <w:szCs w:val="22"/>
                <w:lang/>
              </w:rPr>
            </w:pPr>
            <w:r>
              <w:rPr>
                <w:rFonts w:eastAsia="Tahoma"/>
                <w:color w:val="000000"/>
                <w:kern w:val="0"/>
                <w:sz w:val="22"/>
                <w:szCs w:val="22"/>
                <w:lang/>
              </w:rPr>
              <w:t>二级</w:t>
            </w:r>
          </w:p>
        </w:tc>
        <w:tc>
          <w:tcPr>
            <w:tcW w:w="844" w:type="dxa"/>
            <w:vAlign w:val="center"/>
          </w:tcPr>
          <w:p>
            <w:pPr>
              <w:widowControl/>
              <w:jc w:val="left"/>
              <w:textAlignment w:val="center"/>
              <w:rPr>
                <w:rFonts w:eastAsia="Tahoma"/>
                <w:color w:val="000000"/>
                <w:kern w:val="0"/>
                <w:sz w:val="22"/>
                <w:szCs w:val="22"/>
                <w:lang/>
              </w:rPr>
            </w:pPr>
            <w:r>
              <w:rPr>
                <w:rFonts w:hint="eastAsia" w:ascii="宋体" w:hAnsi="宋体" w:eastAsia="宋体" w:cs="宋体"/>
                <w:i w:val="0"/>
                <w:color w:val="000000"/>
                <w:kern w:val="0"/>
                <w:sz w:val="22"/>
                <w:szCs w:val="22"/>
                <w:u w:val="none"/>
                <w:lang w:val="en-US" w:eastAsia="zh-CN"/>
              </w:rPr>
              <w:t>44.88</w:t>
            </w:r>
          </w:p>
        </w:tc>
        <w:tc>
          <w:tcPr>
            <w:tcW w:w="6450" w:type="dxa"/>
            <w:vAlign w:val="center"/>
          </w:tcPr>
          <w:p>
            <w:pPr>
              <w:widowControl/>
              <w:spacing w:line="400" w:lineRule="exact"/>
              <w:jc w:val="center"/>
              <w:rPr>
                <w:color w:val="000000"/>
                <w:kern w:val="0"/>
                <w:sz w:val="22"/>
                <w:szCs w:val="22"/>
              </w:rPr>
            </w:pPr>
            <w:r>
              <w:rPr>
                <w:color w:val="000000"/>
                <w:kern w:val="0"/>
                <w:sz w:val="22"/>
                <w:szCs w:val="22"/>
              </w:rPr>
              <w:t>捞刀河路-</w:t>
            </w:r>
            <w:r>
              <w:rPr>
                <w:rFonts w:hint="eastAsia"/>
                <w:color w:val="000000"/>
                <w:kern w:val="0"/>
                <w:sz w:val="22"/>
                <w:szCs w:val="22"/>
                <w:lang w:eastAsia="zh-CN"/>
              </w:rPr>
              <w:t>捞刀河</w:t>
            </w:r>
            <w:r>
              <w:rPr>
                <w:rFonts w:hint="eastAsia"/>
                <w:color w:val="000000"/>
                <w:kern w:val="0"/>
                <w:sz w:val="22"/>
                <w:szCs w:val="22"/>
                <w:lang w:val="en-US" w:eastAsia="zh-CN"/>
              </w:rPr>
              <w:t>-滨湖路-万家丽路</w:t>
            </w:r>
            <w:r>
              <w:rPr>
                <w:color w:val="000000"/>
                <w:kern w:val="0"/>
                <w:sz w:val="22"/>
                <w:szCs w:val="22"/>
              </w:rPr>
              <w:t>-捞刀河路</w:t>
            </w:r>
          </w:p>
        </w:tc>
        <w:tc>
          <w:tcPr>
            <w:tcW w:w="769" w:type="dxa"/>
            <w:vAlign w:val="center"/>
          </w:tcPr>
          <w:p>
            <w:pPr>
              <w:widowControl/>
              <w:spacing w:line="400" w:lineRule="exact"/>
              <w:jc w:val="center"/>
              <w:rPr>
                <w:color w:val="000000"/>
                <w:kern w:val="0"/>
                <w:sz w:val="22"/>
                <w:szCs w:val="22"/>
              </w:rPr>
            </w:pPr>
            <w:r>
              <w:rPr>
                <w:rFonts w:hint="eastAsia"/>
                <w:color w:val="000000"/>
                <w:kern w:val="0"/>
                <w:sz w:val="22"/>
                <w:szCs w:val="22"/>
                <w:lang w:val="en-US" w:eastAsia="zh-CN"/>
              </w:rPr>
              <w:t>1</w:t>
            </w:r>
            <w:r>
              <w:rPr>
                <w:color w:val="000000"/>
                <w:kern w:val="0"/>
                <w:sz w:val="22"/>
                <w:szCs w:val="22"/>
              </w:rPr>
              <w:t>.</w:t>
            </w:r>
            <w:r>
              <w:rPr>
                <w:rFonts w:hint="eastAsia"/>
                <w:color w:val="000000"/>
                <w:kern w:val="0"/>
                <w:sz w:val="22"/>
                <w:szCs w:val="22"/>
                <w:lang w:val="en-US" w:eastAsia="zh-CN"/>
              </w:rPr>
              <w:t>9</w:t>
            </w:r>
            <w:r>
              <w:rPr>
                <w:color w:val="000000"/>
                <w:kern w:val="0"/>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color w:val="000000"/>
                <w:kern w:val="0"/>
                <w:sz w:val="22"/>
                <w:szCs w:val="22"/>
                <w:lang w:val="en-US" w:eastAsia="zh-CN"/>
              </w:rPr>
            </w:pPr>
            <w:r>
              <w:rPr>
                <w:rFonts w:hint="eastAsia"/>
                <w:color w:val="000000"/>
                <w:kern w:val="0"/>
                <w:sz w:val="22"/>
                <w:szCs w:val="22"/>
                <w:lang w:val="en-US" w:eastAsia="zh-CN"/>
              </w:rPr>
              <w:t>J010</w:t>
            </w:r>
          </w:p>
        </w:tc>
        <w:tc>
          <w:tcPr>
            <w:tcW w:w="731" w:type="dxa"/>
            <w:vAlign w:val="center"/>
          </w:tcPr>
          <w:p>
            <w:pPr>
              <w:widowControl/>
              <w:spacing w:line="400" w:lineRule="exact"/>
              <w:jc w:val="center"/>
              <w:textAlignment w:val="center"/>
              <w:rPr>
                <w:rFonts w:eastAsia="Tahoma"/>
                <w:color w:val="000000"/>
                <w:kern w:val="0"/>
                <w:sz w:val="22"/>
                <w:szCs w:val="22"/>
                <w:lang/>
              </w:rPr>
            </w:pPr>
            <w:r>
              <w:rPr>
                <w:rFonts w:eastAsia="Tahoma"/>
                <w:color w:val="000000"/>
                <w:kern w:val="0"/>
                <w:sz w:val="22"/>
                <w:szCs w:val="22"/>
                <w:lang/>
              </w:rPr>
              <w:t>二级</w:t>
            </w:r>
          </w:p>
        </w:tc>
        <w:tc>
          <w:tcPr>
            <w:tcW w:w="844" w:type="dxa"/>
            <w:vAlign w:val="center"/>
          </w:tcPr>
          <w:p>
            <w:pPr>
              <w:widowControl/>
              <w:jc w:val="left"/>
              <w:textAlignment w:val="center"/>
              <w:rPr>
                <w:rFonts w:eastAsia="Tahoma"/>
                <w:color w:val="000000"/>
                <w:kern w:val="0"/>
                <w:sz w:val="22"/>
                <w:szCs w:val="22"/>
                <w:lang/>
              </w:rPr>
            </w:pPr>
            <w:r>
              <w:rPr>
                <w:rFonts w:hint="eastAsia" w:ascii="宋体" w:hAnsi="宋体" w:eastAsia="宋体" w:cs="宋体"/>
                <w:i w:val="0"/>
                <w:color w:val="000000"/>
                <w:kern w:val="0"/>
                <w:sz w:val="22"/>
                <w:szCs w:val="22"/>
                <w:u w:val="none"/>
                <w:lang w:val="en-US" w:eastAsia="zh-CN"/>
              </w:rPr>
              <w:t>42.61</w:t>
            </w:r>
          </w:p>
        </w:tc>
        <w:tc>
          <w:tcPr>
            <w:tcW w:w="6450" w:type="dxa"/>
            <w:vAlign w:val="center"/>
          </w:tcPr>
          <w:p>
            <w:pPr>
              <w:widowControl/>
              <w:spacing w:line="400" w:lineRule="exact"/>
              <w:jc w:val="center"/>
              <w:rPr>
                <w:color w:val="000000"/>
                <w:kern w:val="0"/>
                <w:sz w:val="22"/>
                <w:szCs w:val="22"/>
              </w:rPr>
            </w:pPr>
            <w:r>
              <w:rPr>
                <w:color w:val="000000"/>
                <w:kern w:val="0"/>
                <w:sz w:val="22"/>
                <w:szCs w:val="22"/>
              </w:rPr>
              <w:t>韶塘坡路-北头港路--捞刀河路-捞刀河-京珠高速</w:t>
            </w:r>
            <w:r>
              <w:rPr>
                <w:rFonts w:hint="eastAsia"/>
                <w:color w:val="000000"/>
                <w:kern w:val="0"/>
                <w:sz w:val="22"/>
                <w:szCs w:val="22"/>
                <w:lang w:val="en-US" w:eastAsia="zh-CN"/>
              </w:rPr>
              <w:t>-</w:t>
            </w:r>
            <w:r>
              <w:rPr>
                <w:color w:val="000000"/>
                <w:kern w:val="0"/>
                <w:sz w:val="22"/>
                <w:szCs w:val="22"/>
              </w:rPr>
              <w:t>韶塘坡路</w:t>
            </w:r>
          </w:p>
        </w:tc>
        <w:tc>
          <w:tcPr>
            <w:tcW w:w="769" w:type="dxa"/>
            <w:vAlign w:val="center"/>
          </w:tcPr>
          <w:p>
            <w:pPr>
              <w:widowControl/>
              <w:spacing w:line="400" w:lineRule="exact"/>
              <w:jc w:val="center"/>
              <w:rPr>
                <w:color w:val="000000"/>
                <w:kern w:val="0"/>
                <w:sz w:val="22"/>
                <w:szCs w:val="22"/>
              </w:rPr>
            </w:pPr>
            <w:r>
              <w:rPr>
                <w:color w:val="000000"/>
                <w:kern w:val="0"/>
                <w:sz w:val="22"/>
                <w:szCs w:val="22"/>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color w:val="000000"/>
                <w:kern w:val="0"/>
                <w:sz w:val="22"/>
                <w:szCs w:val="22"/>
                <w:lang/>
              </w:rPr>
              <w:t>J0</w:t>
            </w:r>
            <w:r>
              <w:rPr>
                <w:rFonts w:hint="eastAsia"/>
                <w:color w:val="000000"/>
                <w:kern w:val="0"/>
                <w:sz w:val="22"/>
                <w:szCs w:val="22"/>
                <w:lang w:val="en-US" w:eastAsia="zh-CN"/>
              </w:rPr>
              <w:t>21</w:t>
            </w:r>
          </w:p>
        </w:tc>
        <w:tc>
          <w:tcPr>
            <w:tcW w:w="731"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eastAsia="zh-CN"/>
              </w:rPr>
              <w:t>三</w:t>
            </w:r>
            <w:r>
              <w:rPr>
                <w:rFonts w:eastAsia="Tahoma"/>
                <w:color w:val="000000"/>
                <w:kern w:val="0"/>
                <w:sz w:val="22"/>
                <w:szCs w:val="22"/>
                <w:lang/>
              </w:rPr>
              <w:t>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42.16</w:t>
            </w:r>
          </w:p>
        </w:tc>
        <w:tc>
          <w:tcPr>
            <w:tcW w:w="6450" w:type="dxa"/>
            <w:vAlign w:val="center"/>
          </w:tcPr>
          <w:p>
            <w:pPr>
              <w:widowControl/>
              <w:spacing w:line="400" w:lineRule="exact"/>
              <w:jc w:val="center"/>
              <w:rPr>
                <w:color w:val="000000"/>
                <w:kern w:val="0"/>
                <w:sz w:val="22"/>
                <w:szCs w:val="22"/>
              </w:rPr>
            </w:pPr>
            <w:r>
              <w:rPr>
                <w:color w:val="000000"/>
                <w:kern w:val="0"/>
                <w:sz w:val="22"/>
                <w:szCs w:val="22"/>
              </w:rPr>
              <w:t>长浏高速-东四线-漓湘路-星沙大道-长浏高速</w:t>
            </w:r>
          </w:p>
        </w:tc>
        <w:tc>
          <w:tcPr>
            <w:tcW w:w="769" w:type="dxa"/>
            <w:vAlign w:val="center"/>
          </w:tcPr>
          <w:p>
            <w:pPr>
              <w:widowControl/>
              <w:spacing w:line="400" w:lineRule="exact"/>
              <w:jc w:val="center"/>
              <w:rPr>
                <w:rFonts w:hint="eastAsia" w:eastAsia="宋体"/>
                <w:color w:val="000000"/>
                <w:kern w:val="0"/>
                <w:sz w:val="22"/>
                <w:szCs w:val="22"/>
                <w:lang w:eastAsia="zh-CN"/>
              </w:rPr>
            </w:pPr>
            <w:r>
              <w:rPr>
                <w:color w:val="000000"/>
                <w:kern w:val="0"/>
                <w:sz w:val="22"/>
                <w:szCs w:val="22"/>
              </w:rPr>
              <w:t>3.8</w:t>
            </w:r>
            <w:r>
              <w:rPr>
                <w:rFonts w:hint="eastAsia"/>
                <w:color w:val="000000"/>
                <w:kern w:val="0"/>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eastAsia="zh-CN"/>
              </w:rPr>
            </w:pPr>
            <w:r>
              <w:rPr>
                <w:color w:val="000000"/>
                <w:kern w:val="0"/>
                <w:sz w:val="22"/>
                <w:szCs w:val="22"/>
                <w:lang/>
              </w:rPr>
              <w:t>J02</w:t>
            </w:r>
            <w:r>
              <w:rPr>
                <w:rFonts w:hint="eastAsia"/>
                <w:color w:val="000000"/>
                <w:kern w:val="0"/>
                <w:sz w:val="22"/>
                <w:szCs w:val="22"/>
                <w:lang w:val="en-US" w:eastAsia="zh-CN"/>
              </w:rPr>
              <w:t>0</w:t>
            </w:r>
          </w:p>
        </w:tc>
        <w:tc>
          <w:tcPr>
            <w:tcW w:w="731"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eastAsia="zh-CN"/>
              </w:rPr>
              <w:t>三</w:t>
            </w:r>
            <w:r>
              <w:rPr>
                <w:rFonts w:eastAsia="Tahoma"/>
                <w:color w:val="000000"/>
                <w:kern w:val="0"/>
                <w:sz w:val="22"/>
                <w:szCs w:val="22"/>
                <w:lang/>
              </w:rPr>
              <w:t>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37.69</w:t>
            </w:r>
          </w:p>
        </w:tc>
        <w:tc>
          <w:tcPr>
            <w:tcW w:w="6450" w:type="dxa"/>
            <w:vAlign w:val="center"/>
          </w:tcPr>
          <w:p>
            <w:pPr>
              <w:widowControl/>
              <w:spacing w:line="400" w:lineRule="exact"/>
              <w:jc w:val="center"/>
              <w:rPr>
                <w:color w:val="000000"/>
                <w:kern w:val="0"/>
                <w:sz w:val="22"/>
                <w:szCs w:val="22"/>
              </w:rPr>
            </w:pPr>
            <w:r>
              <w:rPr>
                <w:color w:val="000000"/>
                <w:kern w:val="0"/>
                <w:sz w:val="22"/>
                <w:szCs w:val="22"/>
              </w:rPr>
              <w:t>滨湖路-</w:t>
            </w:r>
            <w:r>
              <w:rPr>
                <w:rFonts w:hint="eastAsia"/>
                <w:color w:val="000000"/>
                <w:kern w:val="0"/>
                <w:sz w:val="22"/>
                <w:szCs w:val="22"/>
                <w:lang w:eastAsia="zh-CN"/>
              </w:rPr>
              <w:t>黄兴大道</w:t>
            </w:r>
            <w:r>
              <w:rPr>
                <w:rFonts w:hint="eastAsia"/>
                <w:color w:val="000000"/>
                <w:kern w:val="0"/>
                <w:sz w:val="22"/>
                <w:szCs w:val="22"/>
                <w:lang w:val="en-US" w:eastAsia="zh-CN"/>
              </w:rPr>
              <w:t>-开元路-东四线</w:t>
            </w:r>
            <w:r>
              <w:rPr>
                <w:color w:val="000000"/>
                <w:kern w:val="0"/>
                <w:sz w:val="22"/>
                <w:szCs w:val="22"/>
              </w:rPr>
              <w:t>-滨湖路</w:t>
            </w:r>
          </w:p>
        </w:tc>
        <w:tc>
          <w:tcPr>
            <w:tcW w:w="769" w:type="dxa"/>
            <w:vAlign w:val="center"/>
          </w:tcPr>
          <w:p>
            <w:pPr>
              <w:widowControl/>
              <w:spacing w:line="400" w:lineRule="exact"/>
              <w:jc w:val="center"/>
              <w:rPr>
                <w:color w:val="000000"/>
                <w:kern w:val="0"/>
                <w:sz w:val="22"/>
                <w:szCs w:val="22"/>
              </w:rPr>
            </w:pPr>
            <w:r>
              <w:rPr>
                <w:rFonts w:hint="eastAsia"/>
                <w:color w:val="000000"/>
                <w:kern w:val="0"/>
                <w:sz w:val="22"/>
                <w:szCs w:val="22"/>
                <w:lang w:val="en-US" w:eastAsia="zh-CN"/>
              </w:rPr>
              <w:t>4</w:t>
            </w:r>
            <w:r>
              <w:rPr>
                <w:color w:val="000000"/>
                <w:kern w:val="0"/>
                <w:sz w:val="22"/>
                <w:szCs w:val="22"/>
              </w:rPr>
              <w:t>.</w:t>
            </w:r>
            <w:r>
              <w:rPr>
                <w:rFonts w:hint="eastAsia"/>
                <w:color w:val="000000"/>
                <w:kern w:val="0"/>
                <w:sz w:val="22"/>
                <w:szCs w:val="22"/>
                <w:lang w:val="en-US" w:eastAsia="zh-CN"/>
              </w:rPr>
              <w:t>1</w:t>
            </w:r>
            <w:r>
              <w:rPr>
                <w:color w:val="000000"/>
                <w:kern w:val="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eastAsia="zh-CN"/>
              </w:rPr>
            </w:pPr>
            <w:r>
              <w:rPr>
                <w:color w:val="000000"/>
                <w:kern w:val="0"/>
                <w:sz w:val="22"/>
                <w:szCs w:val="22"/>
                <w:lang/>
              </w:rPr>
              <w:t>J02</w:t>
            </w:r>
            <w:r>
              <w:rPr>
                <w:rFonts w:hint="eastAsia"/>
                <w:color w:val="000000"/>
                <w:kern w:val="0"/>
                <w:sz w:val="22"/>
                <w:szCs w:val="22"/>
                <w:lang w:val="en-US" w:eastAsia="zh-CN"/>
              </w:rPr>
              <w:t>3</w:t>
            </w:r>
          </w:p>
        </w:tc>
        <w:tc>
          <w:tcPr>
            <w:tcW w:w="731"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eastAsia="zh-CN"/>
              </w:rPr>
              <w:t>三</w:t>
            </w:r>
            <w:r>
              <w:rPr>
                <w:rFonts w:eastAsia="Tahoma"/>
                <w:color w:val="000000"/>
                <w:kern w:val="0"/>
                <w:sz w:val="22"/>
                <w:szCs w:val="22"/>
                <w:lang/>
              </w:rPr>
              <w:t>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37.21</w:t>
            </w:r>
          </w:p>
        </w:tc>
        <w:tc>
          <w:tcPr>
            <w:tcW w:w="6450" w:type="dxa"/>
            <w:vAlign w:val="center"/>
          </w:tcPr>
          <w:p>
            <w:pPr>
              <w:widowControl/>
              <w:spacing w:line="400" w:lineRule="exact"/>
              <w:jc w:val="center"/>
              <w:rPr>
                <w:color w:val="000000"/>
                <w:kern w:val="0"/>
                <w:sz w:val="22"/>
                <w:szCs w:val="22"/>
              </w:rPr>
            </w:pPr>
            <w:r>
              <w:rPr>
                <w:color w:val="000000"/>
                <w:kern w:val="0"/>
                <w:sz w:val="22"/>
                <w:szCs w:val="22"/>
              </w:rPr>
              <w:t>长浏高速-</w:t>
            </w:r>
            <w:r>
              <w:rPr>
                <w:rFonts w:hint="eastAsia"/>
                <w:color w:val="000000"/>
                <w:kern w:val="0"/>
                <w:sz w:val="22"/>
                <w:szCs w:val="22"/>
                <w:lang w:eastAsia="zh-CN"/>
              </w:rPr>
              <w:t>黄兴大道</w:t>
            </w:r>
            <w:r>
              <w:rPr>
                <w:rFonts w:hint="eastAsia"/>
                <w:color w:val="000000"/>
                <w:kern w:val="0"/>
                <w:sz w:val="22"/>
                <w:szCs w:val="22"/>
                <w:lang w:val="en-US" w:eastAsia="zh-CN"/>
              </w:rPr>
              <w:t>-远大二路-东四线-泉源路-小塘路</w:t>
            </w:r>
            <w:r>
              <w:rPr>
                <w:color w:val="000000"/>
                <w:kern w:val="0"/>
                <w:sz w:val="22"/>
                <w:szCs w:val="22"/>
              </w:rPr>
              <w:t>-长浏高速</w:t>
            </w:r>
          </w:p>
        </w:tc>
        <w:tc>
          <w:tcPr>
            <w:tcW w:w="769" w:type="dxa"/>
            <w:vAlign w:val="center"/>
          </w:tcPr>
          <w:p>
            <w:pPr>
              <w:widowControl/>
              <w:spacing w:line="400" w:lineRule="exact"/>
              <w:jc w:val="center"/>
              <w:rPr>
                <w:color w:val="000000"/>
                <w:kern w:val="0"/>
                <w:sz w:val="22"/>
                <w:szCs w:val="22"/>
              </w:rPr>
            </w:pPr>
            <w:r>
              <w:rPr>
                <w:rFonts w:hint="eastAsia"/>
                <w:color w:val="000000"/>
                <w:kern w:val="0"/>
                <w:sz w:val="22"/>
                <w:szCs w:val="22"/>
                <w:lang w:val="en-US" w:eastAsia="zh-CN"/>
              </w:rPr>
              <w:t>4</w:t>
            </w:r>
            <w:r>
              <w:rPr>
                <w:color w:val="000000"/>
                <w:kern w:val="0"/>
                <w:sz w:val="22"/>
                <w:szCs w:val="22"/>
              </w:rPr>
              <w:t>.</w:t>
            </w:r>
            <w:r>
              <w:rPr>
                <w:rFonts w:hint="eastAsia"/>
                <w:color w:val="000000"/>
                <w:kern w:val="0"/>
                <w:sz w:val="22"/>
                <w:szCs w:val="22"/>
                <w:lang w:val="en-US" w:eastAsia="zh-CN"/>
              </w:rPr>
              <w:t>0</w:t>
            </w:r>
            <w:r>
              <w:rPr>
                <w:color w:val="000000"/>
                <w:kern w:val="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J019</w:t>
            </w:r>
          </w:p>
        </w:tc>
        <w:tc>
          <w:tcPr>
            <w:tcW w:w="731"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eastAsia="zh-CN"/>
              </w:rPr>
              <w:t>三</w:t>
            </w:r>
            <w:r>
              <w:rPr>
                <w:rFonts w:eastAsia="Tahoma"/>
                <w:color w:val="000000"/>
                <w:kern w:val="0"/>
                <w:sz w:val="22"/>
                <w:szCs w:val="22"/>
                <w:lang/>
              </w:rPr>
              <w:t>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37.16</w:t>
            </w:r>
          </w:p>
        </w:tc>
        <w:tc>
          <w:tcPr>
            <w:tcW w:w="6450" w:type="dxa"/>
            <w:vAlign w:val="center"/>
          </w:tcPr>
          <w:p>
            <w:pPr>
              <w:widowControl/>
              <w:spacing w:line="400" w:lineRule="exact"/>
              <w:jc w:val="center"/>
              <w:rPr>
                <w:rFonts w:hint="eastAsia" w:eastAsia="宋体"/>
                <w:color w:val="000000"/>
                <w:kern w:val="0"/>
                <w:sz w:val="22"/>
                <w:szCs w:val="22"/>
                <w:lang w:val="en-US" w:eastAsia="zh-CN"/>
              </w:rPr>
            </w:pPr>
            <w:r>
              <w:rPr>
                <w:rFonts w:hint="eastAsia"/>
                <w:color w:val="000000"/>
                <w:kern w:val="0"/>
                <w:sz w:val="22"/>
                <w:szCs w:val="22"/>
                <w:lang w:eastAsia="zh-CN"/>
              </w:rPr>
              <w:t>盼盼路</w:t>
            </w:r>
            <w:r>
              <w:rPr>
                <w:rFonts w:hint="eastAsia"/>
                <w:color w:val="000000"/>
                <w:kern w:val="0"/>
                <w:sz w:val="22"/>
                <w:szCs w:val="22"/>
                <w:lang w:val="en-US" w:eastAsia="zh-CN"/>
              </w:rPr>
              <w:t>-东四线-规划边界-星沙大道-盼盼路</w:t>
            </w:r>
          </w:p>
        </w:tc>
        <w:tc>
          <w:tcPr>
            <w:tcW w:w="769" w:type="dxa"/>
            <w:vAlign w:val="center"/>
          </w:tcPr>
          <w:p>
            <w:pPr>
              <w:widowControl/>
              <w:spacing w:line="400" w:lineRule="exact"/>
              <w:jc w:val="center"/>
              <w:rPr>
                <w:rFonts w:hint="eastAsia" w:eastAsia="宋体"/>
                <w:color w:val="000000"/>
                <w:kern w:val="0"/>
                <w:sz w:val="22"/>
                <w:szCs w:val="22"/>
                <w:lang w:val="en-US" w:eastAsia="zh-CN"/>
              </w:rPr>
            </w:pPr>
            <w:r>
              <w:rPr>
                <w:rFonts w:hint="eastAsia"/>
                <w:color w:val="000000"/>
                <w:kern w:val="0"/>
                <w:sz w:val="22"/>
                <w:szCs w:val="22"/>
                <w:lang w:val="en-US" w:eastAsia="zh-CN"/>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J011</w:t>
            </w:r>
          </w:p>
        </w:tc>
        <w:tc>
          <w:tcPr>
            <w:tcW w:w="731"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eastAsia="zh-CN"/>
              </w:rPr>
              <w:t>三</w:t>
            </w:r>
            <w:r>
              <w:rPr>
                <w:rFonts w:eastAsia="Tahoma"/>
                <w:color w:val="000000"/>
                <w:kern w:val="0"/>
                <w:sz w:val="22"/>
                <w:szCs w:val="22"/>
                <w:lang/>
              </w:rPr>
              <w:t>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37.04</w:t>
            </w:r>
          </w:p>
        </w:tc>
        <w:tc>
          <w:tcPr>
            <w:tcW w:w="6450" w:type="dxa"/>
            <w:vAlign w:val="center"/>
          </w:tcPr>
          <w:p>
            <w:pPr>
              <w:widowControl/>
              <w:spacing w:line="400" w:lineRule="exact"/>
              <w:jc w:val="center"/>
              <w:rPr>
                <w:color w:val="000000"/>
                <w:kern w:val="0"/>
                <w:sz w:val="22"/>
                <w:szCs w:val="22"/>
              </w:rPr>
            </w:pPr>
            <w:r>
              <w:rPr>
                <w:color w:val="000000"/>
                <w:kern w:val="0"/>
                <w:sz w:val="22"/>
                <w:szCs w:val="22"/>
              </w:rPr>
              <w:t>捞刀河路-</w:t>
            </w:r>
            <w:r>
              <w:rPr>
                <w:rFonts w:hint="eastAsia"/>
                <w:color w:val="000000"/>
                <w:kern w:val="0"/>
                <w:sz w:val="22"/>
                <w:szCs w:val="22"/>
                <w:lang w:eastAsia="zh-CN"/>
              </w:rPr>
              <w:t>白头洲路</w:t>
            </w:r>
            <w:r>
              <w:rPr>
                <w:rFonts w:hint="eastAsia"/>
                <w:color w:val="000000"/>
                <w:kern w:val="0"/>
                <w:sz w:val="22"/>
                <w:szCs w:val="22"/>
                <w:lang w:val="en-US" w:eastAsia="zh-CN"/>
              </w:rPr>
              <w:t>-回龙路-黄兴大道-滨湖中路-捞刀河</w:t>
            </w:r>
            <w:r>
              <w:rPr>
                <w:color w:val="000000"/>
                <w:kern w:val="0"/>
                <w:sz w:val="22"/>
                <w:szCs w:val="22"/>
              </w:rPr>
              <w:t>-捞刀河路</w:t>
            </w:r>
          </w:p>
        </w:tc>
        <w:tc>
          <w:tcPr>
            <w:tcW w:w="769" w:type="dxa"/>
            <w:vAlign w:val="center"/>
          </w:tcPr>
          <w:p>
            <w:pPr>
              <w:widowControl/>
              <w:spacing w:line="400" w:lineRule="exact"/>
              <w:jc w:val="center"/>
              <w:rPr>
                <w:rFonts w:hint="eastAsia" w:eastAsia="宋体"/>
                <w:color w:val="000000"/>
                <w:kern w:val="0"/>
                <w:sz w:val="22"/>
                <w:szCs w:val="22"/>
                <w:lang w:val="en-US" w:eastAsia="zh-CN"/>
              </w:rPr>
            </w:pPr>
            <w:r>
              <w:rPr>
                <w:color w:val="000000"/>
                <w:kern w:val="0"/>
                <w:sz w:val="22"/>
                <w:szCs w:val="22"/>
              </w:rPr>
              <w:t>7.0</w:t>
            </w:r>
            <w:r>
              <w:rPr>
                <w:rFonts w:hint="eastAsia"/>
                <w:color w:val="000000"/>
                <w:kern w:val="0"/>
                <w:sz w:val="22"/>
                <w:szCs w:val="22"/>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J003</w:t>
            </w:r>
          </w:p>
        </w:tc>
        <w:tc>
          <w:tcPr>
            <w:tcW w:w="731"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eastAsia="zh-CN"/>
              </w:rPr>
              <w:t>三</w:t>
            </w:r>
            <w:r>
              <w:rPr>
                <w:rFonts w:eastAsia="Tahoma"/>
                <w:color w:val="000000"/>
                <w:kern w:val="0"/>
                <w:sz w:val="22"/>
                <w:szCs w:val="22"/>
                <w:lang/>
              </w:rPr>
              <w:t>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35.33</w:t>
            </w:r>
          </w:p>
        </w:tc>
        <w:tc>
          <w:tcPr>
            <w:tcW w:w="6450" w:type="dxa"/>
            <w:vAlign w:val="center"/>
          </w:tcPr>
          <w:p>
            <w:pPr>
              <w:widowControl/>
              <w:spacing w:line="400" w:lineRule="exact"/>
              <w:jc w:val="center"/>
              <w:rPr>
                <w:color w:val="000000"/>
                <w:kern w:val="0"/>
                <w:sz w:val="22"/>
                <w:szCs w:val="22"/>
              </w:rPr>
            </w:pPr>
            <w:r>
              <w:rPr>
                <w:color w:val="000000"/>
                <w:kern w:val="0"/>
                <w:sz w:val="22"/>
                <w:szCs w:val="22"/>
              </w:rPr>
              <w:t>捞刀河-捞刀河路-万家丽路-</w:t>
            </w:r>
            <w:r>
              <w:rPr>
                <w:rFonts w:hint="eastAsia"/>
                <w:color w:val="000000"/>
                <w:kern w:val="0"/>
                <w:sz w:val="22"/>
                <w:szCs w:val="22"/>
                <w:lang w:eastAsia="zh-CN"/>
              </w:rPr>
              <w:t>滨湖西路</w:t>
            </w:r>
            <w:r>
              <w:rPr>
                <w:rFonts w:hint="eastAsia"/>
                <w:color w:val="000000"/>
                <w:kern w:val="0"/>
                <w:sz w:val="22"/>
                <w:szCs w:val="22"/>
                <w:lang w:val="en-US" w:eastAsia="zh-CN"/>
              </w:rPr>
              <w:t>-规划边界</w:t>
            </w:r>
            <w:r>
              <w:rPr>
                <w:color w:val="000000"/>
                <w:kern w:val="0"/>
                <w:sz w:val="22"/>
                <w:szCs w:val="22"/>
              </w:rPr>
              <w:t>-捞刀河</w:t>
            </w:r>
          </w:p>
        </w:tc>
        <w:tc>
          <w:tcPr>
            <w:tcW w:w="769" w:type="dxa"/>
            <w:vAlign w:val="center"/>
          </w:tcPr>
          <w:p>
            <w:pPr>
              <w:widowControl/>
              <w:spacing w:line="400" w:lineRule="exact"/>
              <w:jc w:val="center"/>
              <w:rPr>
                <w:color w:val="000000"/>
                <w:kern w:val="0"/>
                <w:sz w:val="22"/>
                <w:szCs w:val="22"/>
              </w:rPr>
            </w:pPr>
            <w:r>
              <w:rPr>
                <w:color w:val="000000"/>
                <w:kern w:val="0"/>
                <w:sz w:val="22"/>
                <w:szCs w:val="22"/>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J004</w:t>
            </w:r>
          </w:p>
        </w:tc>
        <w:tc>
          <w:tcPr>
            <w:tcW w:w="731"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eastAsia="zh-CN"/>
              </w:rPr>
              <w:t>三</w:t>
            </w:r>
            <w:r>
              <w:rPr>
                <w:rFonts w:eastAsia="Tahoma"/>
                <w:color w:val="000000"/>
                <w:kern w:val="0"/>
                <w:sz w:val="22"/>
                <w:szCs w:val="22"/>
                <w:lang/>
              </w:rPr>
              <w:t>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33.14</w:t>
            </w:r>
          </w:p>
        </w:tc>
        <w:tc>
          <w:tcPr>
            <w:tcW w:w="6450" w:type="dxa"/>
            <w:vAlign w:val="center"/>
          </w:tcPr>
          <w:p>
            <w:pPr>
              <w:widowControl/>
              <w:spacing w:line="400" w:lineRule="exact"/>
              <w:jc w:val="center"/>
              <w:rPr>
                <w:color w:val="000000"/>
                <w:kern w:val="0"/>
                <w:sz w:val="22"/>
                <w:szCs w:val="22"/>
              </w:rPr>
            </w:pPr>
            <w:r>
              <w:rPr>
                <w:color w:val="000000"/>
                <w:kern w:val="0"/>
                <w:sz w:val="22"/>
                <w:szCs w:val="22"/>
              </w:rPr>
              <w:t>滨湖西路-万家丽路</w:t>
            </w:r>
            <w:r>
              <w:rPr>
                <w:rFonts w:hint="eastAsia"/>
                <w:color w:val="000000"/>
                <w:kern w:val="0"/>
                <w:sz w:val="22"/>
                <w:szCs w:val="22"/>
                <w:lang w:val="en-US" w:eastAsia="zh-CN"/>
              </w:rPr>
              <w:t>-规划边界</w:t>
            </w:r>
            <w:r>
              <w:rPr>
                <w:color w:val="000000"/>
                <w:kern w:val="0"/>
                <w:sz w:val="22"/>
                <w:szCs w:val="22"/>
              </w:rPr>
              <w:t>-滨湖西路</w:t>
            </w:r>
          </w:p>
        </w:tc>
        <w:tc>
          <w:tcPr>
            <w:tcW w:w="769" w:type="dxa"/>
            <w:vAlign w:val="center"/>
          </w:tcPr>
          <w:p>
            <w:pPr>
              <w:widowControl/>
              <w:spacing w:line="400" w:lineRule="exact"/>
              <w:jc w:val="center"/>
              <w:rPr>
                <w:color w:val="000000"/>
                <w:kern w:val="0"/>
                <w:sz w:val="22"/>
                <w:szCs w:val="22"/>
              </w:rPr>
            </w:pPr>
            <w:r>
              <w:rPr>
                <w:color w:val="000000"/>
                <w:kern w:val="0"/>
                <w:sz w:val="22"/>
                <w:szCs w:val="22"/>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J026</w:t>
            </w:r>
          </w:p>
        </w:tc>
        <w:tc>
          <w:tcPr>
            <w:tcW w:w="731" w:type="dxa"/>
            <w:vAlign w:val="center"/>
          </w:tcPr>
          <w:p>
            <w:pPr>
              <w:widowControl/>
              <w:spacing w:line="400" w:lineRule="exact"/>
              <w:jc w:val="center"/>
              <w:textAlignment w:val="center"/>
              <w:rPr>
                <w:rFonts w:hint="eastAsia" w:eastAsia="宋体"/>
                <w:color w:val="000000"/>
                <w:kern w:val="0"/>
                <w:sz w:val="22"/>
                <w:szCs w:val="22"/>
                <w:lang w:eastAsia="zh-CN"/>
              </w:rPr>
            </w:pPr>
            <w:r>
              <w:rPr>
                <w:rFonts w:hint="eastAsia"/>
                <w:color w:val="000000"/>
                <w:kern w:val="0"/>
                <w:sz w:val="22"/>
                <w:szCs w:val="22"/>
                <w:lang w:eastAsia="zh-CN"/>
              </w:rPr>
              <w:t>四级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32.33</w:t>
            </w:r>
          </w:p>
        </w:tc>
        <w:tc>
          <w:tcPr>
            <w:tcW w:w="6450" w:type="dxa"/>
            <w:vAlign w:val="center"/>
          </w:tcPr>
          <w:p>
            <w:pPr>
              <w:widowControl/>
              <w:spacing w:line="400" w:lineRule="exact"/>
              <w:jc w:val="center"/>
              <w:rPr>
                <w:color w:val="000000"/>
                <w:kern w:val="0"/>
                <w:sz w:val="22"/>
                <w:szCs w:val="22"/>
              </w:rPr>
            </w:pPr>
            <w:r>
              <w:rPr>
                <w:color w:val="000000"/>
                <w:kern w:val="0"/>
                <w:sz w:val="22"/>
                <w:szCs w:val="22"/>
              </w:rPr>
              <w:t>远大二路-黄兴大道-</w:t>
            </w:r>
            <w:r>
              <w:rPr>
                <w:rFonts w:hint="eastAsia"/>
                <w:color w:val="000000"/>
                <w:kern w:val="0"/>
                <w:sz w:val="22"/>
                <w:szCs w:val="22"/>
                <w:lang w:eastAsia="zh-CN"/>
              </w:rPr>
              <w:t>漓湘路</w:t>
            </w:r>
            <w:r>
              <w:rPr>
                <w:rFonts w:hint="eastAsia"/>
                <w:color w:val="000000"/>
                <w:kern w:val="0"/>
                <w:sz w:val="22"/>
                <w:szCs w:val="22"/>
                <w:lang w:val="en-US" w:eastAsia="zh-CN"/>
              </w:rPr>
              <w:t>-东十一线-映霞路</w:t>
            </w:r>
            <w:r>
              <w:rPr>
                <w:color w:val="000000"/>
                <w:kern w:val="0"/>
                <w:sz w:val="22"/>
                <w:szCs w:val="22"/>
              </w:rPr>
              <w:t>-远大二路</w:t>
            </w:r>
          </w:p>
        </w:tc>
        <w:tc>
          <w:tcPr>
            <w:tcW w:w="769" w:type="dxa"/>
            <w:vAlign w:val="center"/>
          </w:tcPr>
          <w:p>
            <w:pPr>
              <w:widowControl/>
              <w:spacing w:line="400" w:lineRule="exact"/>
              <w:jc w:val="center"/>
              <w:rPr>
                <w:color w:val="000000"/>
                <w:kern w:val="0"/>
                <w:sz w:val="22"/>
                <w:szCs w:val="22"/>
              </w:rPr>
            </w:pPr>
            <w:r>
              <w:rPr>
                <w:color w:val="000000"/>
                <w:kern w:val="0"/>
                <w:sz w:val="22"/>
                <w:szCs w:val="22"/>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J025</w:t>
            </w:r>
          </w:p>
        </w:tc>
        <w:tc>
          <w:tcPr>
            <w:tcW w:w="731"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eastAsia="zh-CN"/>
              </w:rPr>
              <w:t>四级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30.82</w:t>
            </w:r>
          </w:p>
        </w:tc>
        <w:tc>
          <w:tcPr>
            <w:tcW w:w="6450" w:type="dxa"/>
            <w:vAlign w:val="center"/>
          </w:tcPr>
          <w:p>
            <w:pPr>
              <w:widowControl/>
              <w:spacing w:line="400" w:lineRule="exact"/>
              <w:jc w:val="center"/>
              <w:rPr>
                <w:rFonts w:hint="eastAsia" w:eastAsia="宋体"/>
                <w:color w:val="000000"/>
                <w:kern w:val="0"/>
                <w:sz w:val="22"/>
                <w:szCs w:val="22"/>
                <w:lang w:val="en-US" w:eastAsia="zh-CN"/>
              </w:rPr>
            </w:pPr>
            <w:r>
              <w:rPr>
                <w:rFonts w:hint="eastAsia"/>
                <w:color w:val="000000"/>
                <w:kern w:val="0"/>
                <w:sz w:val="22"/>
                <w:szCs w:val="22"/>
                <w:lang w:eastAsia="zh-CN"/>
              </w:rPr>
              <w:t>滨湖东路</w:t>
            </w:r>
            <w:r>
              <w:rPr>
                <w:rFonts w:hint="eastAsia"/>
                <w:color w:val="000000"/>
                <w:kern w:val="0"/>
                <w:sz w:val="22"/>
                <w:szCs w:val="22"/>
                <w:lang w:val="en-US" w:eastAsia="zh-CN"/>
              </w:rPr>
              <w:t>-东十一线-漓湘路-黄兴大道-滨湖东路</w:t>
            </w:r>
          </w:p>
        </w:tc>
        <w:tc>
          <w:tcPr>
            <w:tcW w:w="769" w:type="dxa"/>
            <w:vAlign w:val="center"/>
          </w:tcPr>
          <w:p>
            <w:pPr>
              <w:widowControl/>
              <w:spacing w:line="400" w:lineRule="exact"/>
              <w:jc w:val="center"/>
              <w:rPr>
                <w:color w:val="000000"/>
                <w:kern w:val="0"/>
                <w:sz w:val="22"/>
                <w:szCs w:val="22"/>
              </w:rPr>
            </w:pPr>
            <w:r>
              <w:rPr>
                <w:color w:val="000000"/>
                <w:kern w:val="0"/>
                <w:sz w:val="22"/>
                <w:szCs w:val="22"/>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J024</w:t>
            </w:r>
          </w:p>
        </w:tc>
        <w:tc>
          <w:tcPr>
            <w:tcW w:w="731"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eastAsia="zh-CN"/>
              </w:rPr>
              <w:t>四级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30.65</w:t>
            </w:r>
          </w:p>
        </w:tc>
        <w:tc>
          <w:tcPr>
            <w:tcW w:w="6450" w:type="dxa"/>
            <w:vAlign w:val="center"/>
          </w:tcPr>
          <w:p>
            <w:pPr>
              <w:widowControl/>
              <w:spacing w:line="400" w:lineRule="exact"/>
              <w:jc w:val="center"/>
              <w:rPr>
                <w:rFonts w:hint="eastAsia" w:eastAsia="宋体"/>
                <w:color w:val="000000"/>
                <w:kern w:val="0"/>
                <w:sz w:val="22"/>
                <w:szCs w:val="22"/>
                <w:lang w:val="en-US" w:eastAsia="zh-CN"/>
              </w:rPr>
            </w:pPr>
            <w:r>
              <w:rPr>
                <w:color w:val="000000"/>
                <w:kern w:val="0"/>
                <w:sz w:val="22"/>
                <w:szCs w:val="22"/>
              </w:rPr>
              <w:t>北头港路-</w:t>
            </w:r>
            <w:r>
              <w:rPr>
                <w:rFonts w:hint="eastAsia"/>
                <w:color w:val="000000"/>
                <w:kern w:val="0"/>
                <w:sz w:val="22"/>
                <w:szCs w:val="22"/>
                <w:lang w:eastAsia="zh-CN"/>
              </w:rPr>
              <w:t>东十一线</w:t>
            </w:r>
            <w:r>
              <w:rPr>
                <w:rFonts w:hint="eastAsia"/>
                <w:color w:val="000000"/>
                <w:kern w:val="0"/>
                <w:sz w:val="22"/>
                <w:szCs w:val="22"/>
                <w:lang w:val="en-US" w:eastAsia="zh-CN"/>
              </w:rPr>
              <w:t>-滨湖东路-黄兴大道-白头洲路-捞刀河路-北头港路</w:t>
            </w:r>
          </w:p>
        </w:tc>
        <w:tc>
          <w:tcPr>
            <w:tcW w:w="769" w:type="dxa"/>
            <w:vAlign w:val="center"/>
          </w:tcPr>
          <w:p>
            <w:pPr>
              <w:widowControl/>
              <w:spacing w:line="400" w:lineRule="exact"/>
              <w:jc w:val="center"/>
              <w:rPr>
                <w:color w:val="000000"/>
                <w:kern w:val="0"/>
                <w:sz w:val="22"/>
                <w:szCs w:val="22"/>
              </w:rPr>
            </w:pPr>
            <w:r>
              <w:rPr>
                <w:color w:val="000000"/>
                <w:kern w:val="0"/>
                <w:sz w:val="22"/>
                <w:szCs w:val="22"/>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J009</w:t>
            </w:r>
          </w:p>
        </w:tc>
        <w:tc>
          <w:tcPr>
            <w:tcW w:w="731"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eastAsia="zh-CN"/>
              </w:rPr>
              <w:t>四级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30.49</w:t>
            </w:r>
          </w:p>
        </w:tc>
        <w:tc>
          <w:tcPr>
            <w:tcW w:w="6450" w:type="dxa"/>
            <w:vAlign w:val="center"/>
          </w:tcPr>
          <w:p>
            <w:pPr>
              <w:widowControl/>
              <w:spacing w:line="400" w:lineRule="exact"/>
              <w:jc w:val="center"/>
              <w:rPr>
                <w:color w:val="000000"/>
                <w:kern w:val="0"/>
                <w:sz w:val="22"/>
                <w:szCs w:val="22"/>
              </w:rPr>
            </w:pPr>
            <w:r>
              <w:rPr>
                <w:color w:val="000000"/>
                <w:kern w:val="0"/>
                <w:sz w:val="22"/>
                <w:szCs w:val="22"/>
              </w:rPr>
              <w:t>物流大道-捞刀河-北头港路-韶塘坡路-京珠高速-物流大道</w:t>
            </w:r>
          </w:p>
        </w:tc>
        <w:tc>
          <w:tcPr>
            <w:tcW w:w="769" w:type="dxa"/>
            <w:vAlign w:val="center"/>
          </w:tcPr>
          <w:p>
            <w:pPr>
              <w:widowControl/>
              <w:spacing w:line="400" w:lineRule="exact"/>
              <w:jc w:val="center"/>
              <w:rPr>
                <w:color w:val="000000"/>
                <w:kern w:val="0"/>
                <w:sz w:val="22"/>
                <w:szCs w:val="22"/>
              </w:rPr>
            </w:pPr>
            <w:r>
              <w:rPr>
                <w:rFonts w:hint="eastAsia"/>
                <w:color w:val="000000"/>
                <w:kern w:val="0"/>
                <w:sz w:val="22"/>
                <w:szCs w:val="22"/>
                <w:lang w:val="en-US" w:eastAsia="zh-CN"/>
              </w:rPr>
              <w:t>5</w:t>
            </w:r>
            <w:r>
              <w:rPr>
                <w:color w:val="000000"/>
                <w:kern w:val="0"/>
                <w:sz w:val="22"/>
                <w:szCs w:val="22"/>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J002</w:t>
            </w:r>
          </w:p>
        </w:tc>
        <w:tc>
          <w:tcPr>
            <w:tcW w:w="731"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eastAsia="zh-CN"/>
              </w:rPr>
              <w:t>四级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29.97</w:t>
            </w:r>
          </w:p>
        </w:tc>
        <w:tc>
          <w:tcPr>
            <w:tcW w:w="6450" w:type="dxa"/>
            <w:vAlign w:val="center"/>
          </w:tcPr>
          <w:p>
            <w:pPr>
              <w:widowControl/>
              <w:spacing w:line="400" w:lineRule="exact"/>
              <w:jc w:val="center"/>
              <w:rPr>
                <w:rFonts w:hint="eastAsia" w:eastAsia="宋体"/>
                <w:color w:val="000000"/>
                <w:kern w:val="0"/>
                <w:sz w:val="22"/>
                <w:szCs w:val="22"/>
                <w:lang w:val="en-US" w:eastAsia="zh-CN"/>
              </w:rPr>
            </w:pPr>
            <w:r>
              <w:rPr>
                <w:rFonts w:hint="eastAsia"/>
                <w:color w:val="000000"/>
                <w:kern w:val="0"/>
                <w:sz w:val="22"/>
                <w:szCs w:val="22"/>
                <w:lang w:eastAsia="zh-CN"/>
              </w:rPr>
              <w:t>沙安路</w:t>
            </w:r>
            <w:r>
              <w:rPr>
                <w:rFonts w:hint="eastAsia"/>
                <w:color w:val="000000"/>
                <w:kern w:val="0"/>
                <w:sz w:val="22"/>
                <w:szCs w:val="22"/>
                <w:lang w:val="en-US" w:eastAsia="zh-CN"/>
              </w:rPr>
              <w:t>-京珠高速-捞刀河-规划边界-沙安路</w:t>
            </w:r>
          </w:p>
        </w:tc>
        <w:tc>
          <w:tcPr>
            <w:tcW w:w="769" w:type="dxa"/>
            <w:vAlign w:val="center"/>
          </w:tcPr>
          <w:p>
            <w:pPr>
              <w:widowControl/>
              <w:spacing w:line="400" w:lineRule="exact"/>
              <w:jc w:val="center"/>
              <w:rPr>
                <w:color w:val="000000"/>
                <w:kern w:val="0"/>
                <w:sz w:val="22"/>
                <w:szCs w:val="22"/>
              </w:rPr>
            </w:pPr>
            <w:r>
              <w:rPr>
                <w:color w:val="000000"/>
                <w:kern w:val="0"/>
                <w:sz w:val="22"/>
                <w:szCs w:val="22"/>
              </w:rP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J029</w:t>
            </w:r>
          </w:p>
        </w:tc>
        <w:tc>
          <w:tcPr>
            <w:tcW w:w="731" w:type="dxa"/>
            <w:vAlign w:val="center"/>
          </w:tcPr>
          <w:p>
            <w:pPr>
              <w:widowControl/>
              <w:spacing w:line="400" w:lineRule="exact"/>
              <w:jc w:val="center"/>
              <w:textAlignment w:val="center"/>
              <w:rPr>
                <w:rFonts w:hint="eastAsia" w:eastAsia="宋体"/>
                <w:color w:val="000000"/>
                <w:kern w:val="0"/>
                <w:sz w:val="22"/>
                <w:szCs w:val="22"/>
                <w:lang w:eastAsia="zh-CN"/>
              </w:rPr>
            </w:pPr>
            <w:r>
              <w:rPr>
                <w:rFonts w:hint="eastAsia"/>
                <w:color w:val="000000"/>
                <w:kern w:val="0"/>
                <w:sz w:val="22"/>
                <w:szCs w:val="22"/>
                <w:lang w:eastAsia="zh-CN"/>
              </w:rPr>
              <w:t>五级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28.74</w:t>
            </w:r>
          </w:p>
        </w:tc>
        <w:tc>
          <w:tcPr>
            <w:tcW w:w="6450" w:type="dxa"/>
            <w:vAlign w:val="center"/>
          </w:tcPr>
          <w:p>
            <w:pPr>
              <w:widowControl/>
              <w:spacing w:line="400" w:lineRule="exact"/>
              <w:jc w:val="center"/>
              <w:rPr>
                <w:color w:val="000000"/>
                <w:kern w:val="0"/>
                <w:sz w:val="22"/>
                <w:szCs w:val="22"/>
              </w:rPr>
            </w:pPr>
            <w:r>
              <w:rPr>
                <w:color w:val="000000"/>
                <w:kern w:val="0"/>
                <w:sz w:val="22"/>
                <w:szCs w:val="22"/>
              </w:rPr>
              <w:t>映霞路-东十一线-机场高速-黄兴大道-映霞路</w:t>
            </w:r>
          </w:p>
        </w:tc>
        <w:tc>
          <w:tcPr>
            <w:tcW w:w="769" w:type="dxa"/>
            <w:vAlign w:val="center"/>
          </w:tcPr>
          <w:p>
            <w:pPr>
              <w:widowControl/>
              <w:spacing w:line="400" w:lineRule="exact"/>
              <w:jc w:val="center"/>
              <w:rPr>
                <w:color w:val="000000"/>
                <w:kern w:val="0"/>
                <w:sz w:val="22"/>
                <w:szCs w:val="22"/>
              </w:rPr>
            </w:pPr>
            <w:r>
              <w:rPr>
                <w:rFonts w:hint="eastAsia"/>
                <w:color w:val="000000"/>
                <w:kern w:val="0"/>
                <w:sz w:val="22"/>
                <w:szCs w:val="22"/>
                <w:lang w:val="en-US" w:eastAsia="zh-CN"/>
              </w:rPr>
              <w:t>5</w:t>
            </w:r>
            <w:r>
              <w:rPr>
                <w:color w:val="000000"/>
                <w:kern w:val="0"/>
                <w:sz w:val="22"/>
                <w:szCs w:val="22"/>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J027</w:t>
            </w:r>
          </w:p>
        </w:tc>
        <w:tc>
          <w:tcPr>
            <w:tcW w:w="731"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eastAsia="zh-CN"/>
              </w:rPr>
              <w:t>五级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27.04</w:t>
            </w:r>
          </w:p>
        </w:tc>
        <w:tc>
          <w:tcPr>
            <w:tcW w:w="6450" w:type="dxa"/>
            <w:vAlign w:val="center"/>
          </w:tcPr>
          <w:p>
            <w:pPr>
              <w:widowControl/>
              <w:spacing w:line="400" w:lineRule="exact"/>
              <w:jc w:val="center"/>
              <w:rPr>
                <w:color w:val="000000"/>
                <w:kern w:val="0"/>
                <w:sz w:val="22"/>
                <w:szCs w:val="22"/>
              </w:rPr>
            </w:pPr>
            <w:r>
              <w:rPr>
                <w:color w:val="000000"/>
                <w:kern w:val="0"/>
                <w:sz w:val="22"/>
                <w:szCs w:val="22"/>
              </w:rPr>
              <w:t>映霞路-黄兴大道-机场高速-规划边界-映霞路</w:t>
            </w:r>
          </w:p>
        </w:tc>
        <w:tc>
          <w:tcPr>
            <w:tcW w:w="769" w:type="dxa"/>
            <w:vAlign w:val="center"/>
          </w:tcPr>
          <w:p>
            <w:pPr>
              <w:widowControl/>
              <w:spacing w:line="400" w:lineRule="exact"/>
              <w:jc w:val="center"/>
              <w:rPr>
                <w:color w:val="000000"/>
                <w:kern w:val="0"/>
                <w:sz w:val="22"/>
                <w:szCs w:val="22"/>
              </w:rPr>
            </w:pPr>
            <w:r>
              <w:rPr>
                <w:rFonts w:hint="eastAsia"/>
                <w:color w:val="000000"/>
                <w:kern w:val="0"/>
                <w:sz w:val="22"/>
                <w:szCs w:val="22"/>
                <w:lang w:val="en-US" w:eastAsia="zh-CN"/>
              </w:rPr>
              <w:t>6</w:t>
            </w:r>
            <w:r>
              <w:rPr>
                <w:color w:val="000000"/>
                <w:kern w:val="0"/>
                <w:sz w:val="22"/>
                <w:szCs w:val="22"/>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color w:val="000000"/>
                <w:kern w:val="0"/>
                <w:sz w:val="22"/>
                <w:szCs w:val="22"/>
              </w:rPr>
            </w:pPr>
            <w:r>
              <w:rPr>
                <w:color w:val="000000"/>
                <w:kern w:val="0"/>
                <w:sz w:val="22"/>
                <w:szCs w:val="22"/>
                <w:lang/>
              </w:rPr>
              <w:t>J028</w:t>
            </w:r>
          </w:p>
        </w:tc>
        <w:tc>
          <w:tcPr>
            <w:tcW w:w="731"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eastAsia="zh-CN"/>
              </w:rPr>
              <w:t>五级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25.02</w:t>
            </w:r>
          </w:p>
        </w:tc>
        <w:tc>
          <w:tcPr>
            <w:tcW w:w="6450" w:type="dxa"/>
            <w:vAlign w:val="center"/>
          </w:tcPr>
          <w:p>
            <w:pPr>
              <w:widowControl/>
              <w:spacing w:line="400" w:lineRule="exact"/>
              <w:jc w:val="center"/>
              <w:rPr>
                <w:color w:val="000000"/>
                <w:kern w:val="0"/>
                <w:sz w:val="22"/>
                <w:szCs w:val="22"/>
              </w:rPr>
            </w:pPr>
            <w:r>
              <w:rPr>
                <w:color w:val="000000"/>
                <w:kern w:val="0"/>
                <w:sz w:val="22"/>
                <w:szCs w:val="22"/>
              </w:rPr>
              <w:t>开元路-</w:t>
            </w:r>
            <w:r>
              <w:rPr>
                <w:rFonts w:hint="eastAsia"/>
                <w:color w:val="000000"/>
                <w:kern w:val="0"/>
                <w:sz w:val="22"/>
                <w:szCs w:val="22"/>
                <w:lang w:eastAsia="zh-CN"/>
              </w:rPr>
              <w:t>规划边界</w:t>
            </w:r>
            <w:r>
              <w:rPr>
                <w:rFonts w:hint="eastAsia"/>
                <w:color w:val="000000"/>
                <w:kern w:val="0"/>
                <w:sz w:val="22"/>
                <w:szCs w:val="22"/>
                <w:lang w:val="en-US" w:eastAsia="zh-CN"/>
              </w:rPr>
              <w:t>-东十一线</w:t>
            </w:r>
            <w:r>
              <w:rPr>
                <w:color w:val="000000"/>
                <w:kern w:val="0"/>
                <w:sz w:val="22"/>
                <w:szCs w:val="22"/>
              </w:rPr>
              <w:t>-开元路</w:t>
            </w:r>
          </w:p>
        </w:tc>
        <w:tc>
          <w:tcPr>
            <w:tcW w:w="769" w:type="dxa"/>
            <w:vAlign w:val="center"/>
          </w:tcPr>
          <w:p>
            <w:pPr>
              <w:widowControl/>
              <w:spacing w:line="400" w:lineRule="exact"/>
              <w:jc w:val="center"/>
              <w:rPr>
                <w:color w:val="000000"/>
                <w:kern w:val="0"/>
                <w:sz w:val="22"/>
                <w:szCs w:val="22"/>
              </w:rPr>
            </w:pPr>
            <w:r>
              <w:rPr>
                <w:color w:val="000000"/>
                <w:kern w:val="0"/>
                <w:sz w:val="22"/>
                <w:szCs w:val="22"/>
              </w:rPr>
              <w:t>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J030</w:t>
            </w:r>
          </w:p>
        </w:tc>
        <w:tc>
          <w:tcPr>
            <w:tcW w:w="731"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eastAsia="zh-CN"/>
              </w:rPr>
              <w:t>五级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24.91</w:t>
            </w:r>
          </w:p>
        </w:tc>
        <w:tc>
          <w:tcPr>
            <w:tcW w:w="6450" w:type="dxa"/>
            <w:vAlign w:val="center"/>
          </w:tcPr>
          <w:p>
            <w:pPr>
              <w:widowControl/>
              <w:spacing w:line="400" w:lineRule="exact"/>
              <w:jc w:val="center"/>
              <w:rPr>
                <w:rFonts w:hint="eastAsia" w:eastAsia="宋体"/>
                <w:color w:val="000000"/>
                <w:kern w:val="0"/>
                <w:sz w:val="22"/>
                <w:szCs w:val="22"/>
                <w:lang w:val="en-US" w:eastAsia="zh-CN"/>
              </w:rPr>
            </w:pPr>
            <w:r>
              <w:rPr>
                <w:rFonts w:hint="eastAsia"/>
                <w:color w:val="000000"/>
                <w:kern w:val="0"/>
                <w:sz w:val="22"/>
                <w:szCs w:val="22"/>
                <w:lang w:eastAsia="zh-CN"/>
              </w:rPr>
              <w:t>北头港路</w:t>
            </w:r>
            <w:r>
              <w:rPr>
                <w:rFonts w:hint="eastAsia"/>
                <w:color w:val="000000"/>
                <w:kern w:val="0"/>
                <w:sz w:val="22"/>
                <w:szCs w:val="22"/>
                <w:lang w:val="en-US" w:eastAsia="zh-CN"/>
              </w:rPr>
              <w:t>-规划边界-开元东路-东十一线-北头港路</w:t>
            </w:r>
          </w:p>
        </w:tc>
        <w:tc>
          <w:tcPr>
            <w:tcW w:w="769" w:type="dxa"/>
            <w:vAlign w:val="center"/>
          </w:tcPr>
          <w:p>
            <w:pPr>
              <w:widowControl/>
              <w:spacing w:line="400" w:lineRule="exact"/>
              <w:jc w:val="center"/>
              <w:rPr>
                <w:rFonts w:hint="eastAsia" w:eastAsia="宋体"/>
                <w:color w:val="000000"/>
                <w:kern w:val="0"/>
                <w:sz w:val="22"/>
                <w:szCs w:val="22"/>
                <w:lang w:val="en-US" w:eastAsia="zh-CN"/>
              </w:rPr>
            </w:pPr>
            <w:r>
              <w:rPr>
                <w:rFonts w:hint="eastAsia"/>
                <w:color w:val="000000"/>
                <w:kern w:val="0"/>
                <w:sz w:val="22"/>
                <w:szCs w:val="22"/>
                <w:lang w:val="en-US" w:eastAsia="zh-CN"/>
              </w:rPr>
              <w:t>15.78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38" w:type="dxa"/>
            <w:vAlign w:val="center"/>
          </w:tcPr>
          <w:p>
            <w:pPr>
              <w:widowControl/>
              <w:spacing w:line="400" w:lineRule="exact"/>
              <w:jc w:val="center"/>
              <w:textAlignment w:val="center"/>
              <w:rPr>
                <w:rFonts w:hint="eastAsia" w:eastAsia="宋体"/>
                <w:color w:val="000000"/>
                <w:kern w:val="0"/>
                <w:sz w:val="22"/>
                <w:szCs w:val="22"/>
                <w:lang w:val="en-US" w:eastAsia="zh-CN"/>
              </w:rPr>
            </w:pPr>
            <w:r>
              <w:rPr>
                <w:color w:val="000000"/>
                <w:kern w:val="0"/>
                <w:sz w:val="22"/>
                <w:szCs w:val="22"/>
                <w:lang/>
              </w:rPr>
              <w:t>J0</w:t>
            </w:r>
            <w:r>
              <w:rPr>
                <w:rFonts w:hint="eastAsia"/>
                <w:color w:val="000000"/>
                <w:kern w:val="0"/>
                <w:sz w:val="22"/>
                <w:szCs w:val="22"/>
                <w:lang w:val="en-US" w:eastAsia="zh-CN"/>
              </w:rPr>
              <w:t>01</w:t>
            </w:r>
          </w:p>
        </w:tc>
        <w:tc>
          <w:tcPr>
            <w:tcW w:w="731" w:type="dxa"/>
            <w:vAlign w:val="center"/>
          </w:tcPr>
          <w:p>
            <w:pPr>
              <w:widowControl/>
              <w:spacing w:line="400" w:lineRule="exact"/>
              <w:jc w:val="center"/>
              <w:textAlignment w:val="center"/>
              <w:rPr>
                <w:color w:val="000000"/>
                <w:kern w:val="0"/>
                <w:sz w:val="22"/>
                <w:szCs w:val="22"/>
              </w:rPr>
            </w:pPr>
            <w:r>
              <w:rPr>
                <w:rFonts w:hint="eastAsia"/>
                <w:color w:val="000000"/>
                <w:kern w:val="0"/>
                <w:sz w:val="22"/>
                <w:szCs w:val="22"/>
                <w:lang w:eastAsia="zh-CN"/>
              </w:rPr>
              <w:t>五级</w:t>
            </w:r>
          </w:p>
        </w:tc>
        <w:tc>
          <w:tcPr>
            <w:tcW w:w="844" w:type="dxa"/>
            <w:vAlign w:val="center"/>
          </w:tcPr>
          <w:p>
            <w:pPr>
              <w:widowControl/>
              <w:jc w:val="left"/>
              <w:textAlignment w:val="center"/>
              <w:rPr>
                <w:color w:val="000000"/>
                <w:kern w:val="0"/>
                <w:sz w:val="22"/>
                <w:szCs w:val="22"/>
              </w:rPr>
            </w:pPr>
            <w:r>
              <w:rPr>
                <w:rFonts w:hint="eastAsia" w:ascii="宋体" w:hAnsi="宋体" w:eastAsia="宋体" w:cs="宋体"/>
                <w:i w:val="0"/>
                <w:color w:val="000000"/>
                <w:kern w:val="0"/>
                <w:sz w:val="22"/>
                <w:szCs w:val="22"/>
                <w:u w:val="none"/>
                <w:lang w:val="en-US" w:eastAsia="zh-CN"/>
              </w:rPr>
              <w:t>22.96</w:t>
            </w:r>
          </w:p>
        </w:tc>
        <w:tc>
          <w:tcPr>
            <w:tcW w:w="6450" w:type="dxa"/>
            <w:vAlign w:val="center"/>
          </w:tcPr>
          <w:p>
            <w:pPr>
              <w:widowControl/>
              <w:spacing w:line="400" w:lineRule="exact"/>
              <w:jc w:val="center"/>
              <w:rPr>
                <w:color w:val="000000"/>
                <w:kern w:val="0"/>
                <w:sz w:val="22"/>
                <w:szCs w:val="22"/>
              </w:rPr>
            </w:pPr>
            <w:r>
              <w:rPr>
                <w:color w:val="000000"/>
                <w:kern w:val="0"/>
                <w:sz w:val="22"/>
                <w:szCs w:val="22"/>
              </w:rPr>
              <w:t>规划边界--东十一线-</w:t>
            </w:r>
            <w:r>
              <w:rPr>
                <w:rFonts w:hint="eastAsia"/>
                <w:color w:val="000000"/>
                <w:kern w:val="0"/>
                <w:sz w:val="22"/>
                <w:szCs w:val="22"/>
                <w:lang w:eastAsia="zh-CN"/>
              </w:rPr>
              <w:t>北头港路</w:t>
            </w:r>
            <w:r>
              <w:rPr>
                <w:rFonts w:hint="eastAsia"/>
                <w:color w:val="000000"/>
                <w:kern w:val="0"/>
                <w:sz w:val="22"/>
                <w:szCs w:val="22"/>
                <w:lang w:val="en-US" w:eastAsia="zh-CN"/>
              </w:rPr>
              <w:t>-</w:t>
            </w:r>
            <w:r>
              <w:rPr>
                <w:color w:val="000000"/>
                <w:kern w:val="0"/>
                <w:sz w:val="22"/>
                <w:szCs w:val="22"/>
              </w:rPr>
              <w:t>物流大道-</w:t>
            </w:r>
            <w:r>
              <w:rPr>
                <w:rFonts w:hint="eastAsia"/>
                <w:color w:val="000000"/>
                <w:kern w:val="0"/>
                <w:sz w:val="22"/>
                <w:szCs w:val="22"/>
                <w:lang w:eastAsia="zh-CN"/>
              </w:rPr>
              <w:t>安沙路</w:t>
            </w:r>
            <w:r>
              <w:rPr>
                <w:rFonts w:hint="eastAsia"/>
                <w:color w:val="000000"/>
                <w:kern w:val="0"/>
                <w:sz w:val="22"/>
                <w:szCs w:val="22"/>
                <w:lang w:val="en-US" w:eastAsia="zh-CN"/>
              </w:rPr>
              <w:t>-</w:t>
            </w:r>
            <w:r>
              <w:rPr>
                <w:color w:val="000000"/>
                <w:kern w:val="0"/>
                <w:sz w:val="22"/>
                <w:szCs w:val="22"/>
              </w:rPr>
              <w:t>规划边界</w:t>
            </w:r>
          </w:p>
        </w:tc>
        <w:tc>
          <w:tcPr>
            <w:tcW w:w="769" w:type="dxa"/>
            <w:vAlign w:val="center"/>
          </w:tcPr>
          <w:p>
            <w:pPr>
              <w:widowControl/>
              <w:spacing w:line="400" w:lineRule="exact"/>
              <w:jc w:val="center"/>
              <w:rPr>
                <w:rFonts w:hint="eastAsia" w:eastAsia="宋体"/>
                <w:color w:val="000000"/>
                <w:kern w:val="0"/>
                <w:sz w:val="22"/>
                <w:szCs w:val="22"/>
                <w:lang w:val="en-US" w:eastAsia="zh-CN"/>
              </w:rPr>
            </w:pPr>
            <w:r>
              <w:rPr>
                <w:rFonts w:hint="eastAsia"/>
                <w:color w:val="000000"/>
                <w:kern w:val="0"/>
                <w:sz w:val="22"/>
                <w:szCs w:val="22"/>
                <w:lang w:val="en-US" w:eastAsia="zh-CN"/>
              </w:rPr>
              <w:t>18.92</w:t>
            </w:r>
          </w:p>
        </w:tc>
      </w:tr>
    </w:tbl>
    <w:p>
      <w:pPr>
        <w:spacing w:line="360" w:lineRule="auto"/>
        <w:jc w:val="center"/>
        <w:rPr>
          <w:b/>
          <w:sz w:val="24"/>
          <w:szCs w:val="24"/>
        </w:rPr>
      </w:pPr>
    </w:p>
    <w:p>
      <w:pPr>
        <w:spacing w:line="360" w:lineRule="auto"/>
        <w:jc w:val="center"/>
        <w:rPr>
          <w:b/>
          <w:sz w:val="24"/>
          <w:szCs w:val="24"/>
        </w:rPr>
      </w:pPr>
      <w:r>
        <w:rPr>
          <w:rFonts w:ascii="Times New Roman" w:hAnsi="Times New Roman" w:eastAsia="黑体" w:cs="Times New Roman"/>
          <w:kern w:val="2"/>
          <w:sz w:val="36"/>
          <w:lang w:val="en-US" w:eastAsia="zh-CN" w:bidi="ar-SA"/>
        </w:rPr>
        <w:pict>
          <v:shape id="图片 115" o:spid="_x0000_s1156" type="#_x0000_t75" style="height:624.45pt;width:441.1pt;rotation:0f;" o:ole="f" fillcolor="#FFFFFF" filled="f" o:preferrelative="t" stroked="f" coordorigin="0,0" coordsize="21600,21600">
            <v:fill on="f" color2="#FFFFFF" focus="0%"/>
            <v:imagedata gain="65536f" blacklevel="0f" gamma="0" o:title="" r:id="rId61"/>
            <o:lock v:ext="edit" position="f" selection="f" grouping="f" rotation="f" cropping="f" text="f" aspectratio="t"/>
            <w10:wrap type="none"/>
            <w10:anchorlock/>
          </v:shape>
        </w:pict>
      </w:r>
      <w:r>
        <w:rPr>
          <w:b/>
          <w:sz w:val="24"/>
          <w:szCs w:val="24"/>
        </w:rPr>
        <w:t>图2-5-</w:t>
      </w:r>
      <w:r>
        <w:rPr>
          <w:rFonts w:hint="eastAsia"/>
          <w:b/>
          <w:sz w:val="24"/>
          <w:szCs w:val="24"/>
          <w:lang w:val="en-US" w:eastAsia="zh-CN"/>
        </w:rPr>
        <w:t>3</w:t>
      </w:r>
      <w:r>
        <w:rPr>
          <w:b/>
          <w:sz w:val="24"/>
          <w:szCs w:val="24"/>
        </w:rPr>
        <w:t xml:space="preserve">  长沙县城区</w:t>
      </w:r>
      <w:r>
        <w:rPr>
          <w:rFonts w:hint="eastAsia"/>
          <w:b/>
          <w:sz w:val="24"/>
          <w:szCs w:val="24"/>
        </w:rPr>
        <w:t>工矿仓储用地</w:t>
      </w:r>
      <w:r>
        <w:rPr>
          <w:b/>
          <w:sz w:val="24"/>
          <w:szCs w:val="24"/>
        </w:rPr>
        <w:t>基准地价更新均质区域图</w:t>
      </w:r>
    </w:p>
    <w:p>
      <w:pPr>
        <w:pStyle w:val="35"/>
        <w:tabs>
          <w:tab w:val="right" w:leader="dot" w:pos="8845"/>
        </w:tabs>
        <w:spacing w:line="360" w:lineRule="auto"/>
        <w:ind w:left="0"/>
        <w:jc w:val="center"/>
        <w:outlineLvl w:val="0"/>
        <w:rPr>
          <w:rFonts w:eastAsia="黑体"/>
          <w:sz w:val="44"/>
          <w:szCs w:val="44"/>
        </w:rPr>
      </w:pPr>
      <w:r>
        <w:rPr>
          <w:b/>
          <w:sz w:val="24"/>
          <w:szCs w:val="24"/>
        </w:rPr>
        <w:br w:type="page"/>
      </w:r>
      <w:bookmarkEnd w:id="421"/>
      <w:bookmarkStart w:id="449" w:name="_Toc248305598"/>
      <w:bookmarkStart w:id="450" w:name="_Toc213589796"/>
      <w:bookmarkStart w:id="451" w:name="_Toc248306035"/>
      <w:bookmarkStart w:id="452" w:name="_Toc467846846"/>
      <w:bookmarkStart w:id="453" w:name="_Toc469296454"/>
      <w:bookmarkStart w:id="454" w:name="_Toc9144"/>
      <w:bookmarkStart w:id="455" w:name="_Toc470721305"/>
      <w:bookmarkStart w:id="456" w:name="_Toc20711"/>
      <w:bookmarkStart w:id="457" w:name="_Toc21255"/>
      <w:bookmarkStart w:id="458" w:name="_Toc24197"/>
      <w:r>
        <w:rPr>
          <w:rFonts w:eastAsia="黑体"/>
          <w:sz w:val="44"/>
          <w:szCs w:val="44"/>
        </w:rPr>
        <w:t>第三篇   城区基准地价</w:t>
      </w:r>
      <w:bookmarkStart w:id="459" w:name="_Toc169216358"/>
      <w:bookmarkStart w:id="460" w:name="_Toc169216939"/>
      <w:bookmarkEnd w:id="449"/>
      <w:bookmarkEnd w:id="450"/>
      <w:bookmarkEnd w:id="451"/>
      <w:bookmarkEnd w:id="452"/>
      <w:r>
        <w:rPr>
          <w:rFonts w:eastAsia="黑体"/>
          <w:sz w:val="44"/>
          <w:szCs w:val="44"/>
        </w:rPr>
        <w:t>评估</w:t>
      </w:r>
      <w:bookmarkEnd w:id="453"/>
      <w:bookmarkEnd w:id="454"/>
      <w:bookmarkEnd w:id="455"/>
      <w:bookmarkEnd w:id="456"/>
      <w:bookmarkEnd w:id="457"/>
      <w:bookmarkEnd w:id="458"/>
    </w:p>
    <w:p>
      <w:pPr>
        <w:spacing w:line="360" w:lineRule="auto"/>
        <w:jc w:val="center"/>
        <w:textAlignment w:val="baseline"/>
        <w:outlineLvl w:val="1"/>
        <w:rPr>
          <w:rFonts w:eastAsia="黑体"/>
          <w:sz w:val="32"/>
          <w:szCs w:val="32"/>
        </w:rPr>
      </w:pPr>
      <w:bookmarkStart w:id="461" w:name="_Toc248306036"/>
      <w:bookmarkStart w:id="462" w:name="_Toc213589797"/>
      <w:bookmarkStart w:id="463" w:name="_Toc248305599"/>
      <w:bookmarkStart w:id="464" w:name="_Toc20796"/>
      <w:bookmarkStart w:id="465" w:name="_Toc19362"/>
      <w:bookmarkStart w:id="466" w:name="_Toc469296455"/>
      <w:bookmarkStart w:id="467" w:name="_Toc9137"/>
      <w:bookmarkStart w:id="468" w:name="_Toc467846847"/>
      <w:bookmarkStart w:id="469" w:name="_Toc32078"/>
      <w:bookmarkStart w:id="470" w:name="_Toc470721306"/>
      <w:r>
        <w:rPr>
          <w:rFonts w:eastAsia="黑体"/>
          <w:sz w:val="32"/>
          <w:szCs w:val="32"/>
        </w:rPr>
        <w:t>第一章  基准地价</w:t>
      </w:r>
      <w:bookmarkEnd w:id="459"/>
      <w:bookmarkEnd w:id="460"/>
      <w:bookmarkEnd w:id="461"/>
      <w:bookmarkEnd w:id="462"/>
      <w:bookmarkEnd w:id="463"/>
      <w:r>
        <w:rPr>
          <w:rFonts w:eastAsia="黑体"/>
          <w:sz w:val="32"/>
          <w:szCs w:val="32"/>
        </w:rPr>
        <w:t>评估概述</w:t>
      </w:r>
      <w:bookmarkEnd w:id="464"/>
      <w:bookmarkEnd w:id="465"/>
      <w:bookmarkEnd w:id="466"/>
      <w:bookmarkEnd w:id="467"/>
      <w:bookmarkEnd w:id="468"/>
      <w:bookmarkEnd w:id="469"/>
      <w:bookmarkEnd w:id="470"/>
    </w:p>
    <w:p>
      <w:pPr>
        <w:spacing w:line="360" w:lineRule="auto"/>
        <w:ind w:firstLine="560" w:firstLineChars="200"/>
        <w:outlineLvl w:val="2"/>
        <w:rPr>
          <w:rFonts w:eastAsia="黑体"/>
          <w:sz w:val="28"/>
          <w:szCs w:val="28"/>
        </w:rPr>
      </w:pPr>
      <w:bookmarkStart w:id="471" w:name="_Toc271529445"/>
      <w:bookmarkStart w:id="472" w:name="_Toc469296456"/>
      <w:bookmarkStart w:id="473" w:name="_Toc432083339"/>
      <w:bookmarkStart w:id="474" w:name="_Toc470721307"/>
      <w:bookmarkStart w:id="475" w:name="_Toc467482163"/>
      <w:bookmarkStart w:id="476" w:name="_Toc5264"/>
      <w:bookmarkStart w:id="477" w:name="_Toc10859"/>
      <w:bookmarkStart w:id="478" w:name="_Toc248305601"/>
      <w:bookmarkStart w:id="479" w:name="_Toc213589800"/>
      <w:bookmarkStart w:id="480" w:name="_Toc467846848"/>
      <w:bookmarkStart w:id="481" w:name="_Toc248306038"/>
      <w:r>
        <w:rPr>
          <w:rFonts w:eastAsia="黑体"/>
          <w:sz w:val="28"/>
          <w:szCs w:val="28"/>
        </w:rPr>
        <w:t>一、基准地价</w:t>
      </w:r>
      <w:bookmarkEnd w:id="471"/>
      <w:r>
        <w:rPr>
          <w:rFonts w:eastAsia="黑体"/>
          <w:sz w:val="28"/>
          <w:szCs w:val="28"/>
        </w:rPr>
        <w:t>的概念</w:t>
      </w:r>
      <w:bookmarkEnd w:id="472"/>
      <w:bookmarkEnd w:id="473"/>
      <w:bookmarkEnd w:id="474"/>
      <w:bookmarkEnd w:id="475"/>
      <w:bookmarkEnd w:id="476"/>
      <w:bookmarkEnd w:id="477"/>
    </w:p>
    <w:p>
      <w:pPr>
        <w:spacing w:line="480" w:lineRule="exact"/>
        <w:ind w:firstLine="480" w:firstLineChars="200"/>
        <w:textAlignment w:val="baseline"/>
        <w:rPr>
          <w:sz w:val="24"/>
          <w:szCs w:val="24"/>
        </w:rPr>
      </w:pPr>
      <w:r>
        <w:rPr>
          <w:sz w:val="24"/>
          <w:szCs w:val="24"/>
        </w:rPr>
        <w:t>根据《城镇土地估价规程》（GB/T18508-2014），基准地价是指：“在土地利用总体规划确定的城镇可建设用地范围内，对平均开发利用条件下，对土地现状利用和规划利用条件下不同级别的土地或者土地条件相当的地域，按照</w:t>
      </w:r>
      <w:r>
        <w:rPr>
          <w:sz w:val="24"/>
        </w:rPr>
        <w:t>商服</w:t>
      </w:r>
      <w:r>
        <w:rPr>
          <w:sz w:val="24"/>
          <w:szCs w:val="24"/>
        </w:rPr>
        <w:t>、住宅、工矿仓储等用途分别评估，并由政府确定的，在设定估价基准日、设定土地开发程度和法定最高使用年期下完整土地使用权的区域平均价格”。由基准地价概念可知，基准地价具有全域性、分用途、平均性、有限期和时效性等特点。</w:t>
      </w:r>
    </w:p>
    <w:p>
      <w:pPr>
        <w:spacing w:line="360" w:lineRule="auto"/>
        <w:ind w:firstLine="560" w:firstLineChars="200"/>
        <w:outlineLvl w:val="2"/>
        <w:rPr>
          <w:rFonts w:eastAsia="黑体"/>
          <w:sz w:val="28"/>
          <w:szCs w:val="28"/>
        </w:rPr>
      </w:pPr>
      <w:bookmarkStart w:id="482" w:name="_Toc9181"/>
      <w:bookmarkStart w:id="483" w:name="_Toc26892"/>
      <w:bookmarkStart w:id="484" w:name="_Toc469296457"/>
      <w:bookmarkStart w:id="485" w:name="_Toc470721308"/>
      <w:r>
        <w:rPr>
          <w:rFonts w:eastAsia="黑体"/>
          <w:sz w:val="28"/>
          <w:szCs w:val="28"/>
        </w:rPr>
        <w:t>二、基准地价评估理论基础</w:t>
      </w:r>
      <w:bookmarkEnd w:id="478"/>
      <w:bookmarkEnd w:id="479"/>
      <w:bookmarkEnd w:id="480"/>
      <w:bookmarkEnd w:id="481"/>
      <w:bookmarkEnd w:id="482"/>
      <w:bookmarkEnd w:id="483"/>
      <w:bookmarkEnd w:id="484"/>
      <w:bookmarkEnd w:id="485"/>
    </w:p>
    <w:p>
      <w:pPr>
        <w:spacing w:line="480" w:lineRule="exact"/>
        <w:ind w:firstLine="480" w:firstLineChars="200"/>
        <w:textAlignment w:val="baseline"/>
        <w:rPr>
          <w:sz w:val="24"/>
          <w:szCs w:val="24"/>
        </w:rPr>
      </w:pPr>
      <w:r>
        <w:rPr>
          <w:sz w:val="24"/>
          <w:szCs w:val="24"/>
        </w:rPr>
        <w:t>基准地价成果更新是对城镇不同类别土地在特定经济水平条件下土地市场价值的重新评定，它必须考虑三个方面的因素：一是土地本身的区位条件，二是土地上的投入与产出，三是当地土地市场的供需状况，三者缺一不可。因此，基准地价成果更新势必涉及自然、社会、经济等各个方面，是综合性、区域性、技术性都很强的工作，它必须以科学的理论为依据。</w:t>
      </w:r>
    </w:p>
    <w:p>
      <w:pPr>
        <w:spacing w:line="360" w:lineRule="auto"/>
        <w:ind w:firstLine="482" w:firstLineChars="200"/>
        <w:rPr>
          <w:b/>
          <w:sz w:val="24"/>
          <w:szCs w:val="24"/>
        </w:rPr>
      </w:pPr>
      <w:r>
        <w:rPr>
          <w:b/>
          <w:sz w:val="24"/>
          <w:szCs w:val="24"/>
        </w:rPr>
        <w:t>1、马克思的地租、地价理论</w:t>
      </w:r>
    </w:p>
    <w:p>
      <w:pPr>
        <w:spacing w:line="480" w:lineRule="exact"/>
        <w:ind w:firstLine="480" w:firstLineChars="200"/>
        <w:textAlignment w:val="baseline"/>
        <w:rPr>
          <w:sz w:val="24"/>
          <w:szCs w:val="24"/>
        </w:rPr>
      </w:pPr>
      <w:r>
        <w:rPr>
          <w:sz w:val="24"/>
          <w:szCs w:val="24"/>
        </w:rPr>
        <w:t>马克思认为地租所反映的是一种社会关系，地租是土地所有权在经济上的实现形式。土地所有权的存在和垄断是产生地租的根本原因。同时马克思还从质和量两方面对地租进行分析，认为地租有绝对地租和级差地租Ⅰ、级差地租Ⅱ三种形式，其中绝对地租是土地所有权的集中体现，只要所有权存在，不论土地的本身在状况如何，一旦利用该土地就肯定有地租的产生。级差地租是由于所利用的土地本身状况以及利用者的投资等方面的不同而造成的地租量的差异，是土地价格差异存在的客观基础。马克思还认为，土地价格不是土地的购买价格，而是土地所提供地租的购买价格，它是按普通利息率计算的。即：土地价格=地租/利息率。这一公式表达了土地价格是资本化的地租，是能够带来同地租等量利息的货币额。按照马克思地价公式所表述的原理，我们可从分析土地收益入手，用一定的公式求算地价。</w:t>
      </w:r>
    </w:p>
    <w:p>
      <w:pPr>
        <w:spacing w:line="360" w:lineRule="auto"/>
        <w:ind w:firstLine="482" w:firstLineChars="200"/>
        <w:rPr>
          <w:b/>
          <w:sz w:val="24"/>
          <w:szCs w:val="24"/>
        </w:rPr>
      </w:pPr>
      <w:r>
        <w:rPr>
          <w:b/>
          <w:sz w:val="24"/>
          <w:szCs w:val="24"/>
        </w:rPr>
        <w:t>2、区位理论</w:t>
      </w:r>
    </w:p>
    <w:p>
      <w:pPr>
        <w:spacing w:line="480" w:lineRule="exact"/>
        <w:ind w:firstLine="480" w:firstLineChars="200"/>
        <w:textAlignment w:val="baseline"/>
        <w:rPr>
          <w:sz w:val="24"/>
          <w:szCs w:val="24"/>
        </w:rPr>
      </w:pPr>
      <w:r>
        <w:rPr>
          <w:sz w:val="24"/>
          <w:szCs w:val="24"/>
        </w:rPr>
        <w:t>城镇土地因其相对位置不同，在空间上表现了不同的使用价值、不同的经济效益和不同的地租地价。土地区位的差异使得同类行业在不同的区位上获得的经济效益和土地收益以及市场交易形成的地价会相差很大，不同行业在同一位置上的经济收益也会相差很大。因此，城镇土地地租地价水平很大程度上取决于土地的宏观、中观和微观区位条件和区位联系。所以，在长沙县土地定级估价中，我们依据土地区位质量差异评定土地级别，在此基础上从宏观区位条件上更新级别基准地价，从中观区位条件上测算区片基准地价，进一步根据微观区位条件，更新宗地地价，形成三个空间层次相互衔接的基准地价和标定地价体系。</w:t>
      </w:r>
    </w:p>
    <w:p>
      <w:pPr>
        <w:spacing w:line="360" w:lineRule="auto"/>
        <w:ind w:firstLine="482" w:firstLineChars="200"/>
        <w:rPr>
          <w:b/>
          <w:sz w:val="24"/>
          <w:szCs w:val="24"/>
        </w:rPr>
      </w:pPr>
      <w:r>
        <w:rPr>
          <w:b/>
          <w:sz w:val="24"/>
          <w:szCs w:val="24"/>
        </w:rPr>
        <w:t>3、城镇土地利用分类理论</w:t>
      </w:r>
    </w:p>
    <w:p>
      <w:pPr>
        <w:spacing w:line="480" w:lineRule="exact"/>
        <w:ind w:firstLine="480" w:firstLineChars="200"/>
        <w:textAlignment w:val="baseline"/>
        <w:rPr>
          <w:sz w:val="24"/>
          <w:szCs w:val="24"/>
        </w:rPr>
      </w:pPr>
      <w:r>
        <w:rPr>
          <w:sz w:val="24"/>
          <w:szCs w:val="24"/>
        </w:rPr>
        <w:t>城市土地按其实际的经济利用方式可分为不同的用地类型，不同用地类型有其相应的用地要求和选择条件，从而表现出不同的土地利用特点，进而形成城市内不同的土地收益和不同的地价分布。</w:t>
      </w:r>
    </w:p>
    <w:p>
      <w:pPr>
        <w:spacing w:line="480" w:lineRule="exact"/>
        <w:ind w:firstLine="480" w:firstLineChars="200"/>
        <w:textAlignment w:val="baseline"/>
        <w:rPr>
          <w:sz w:val="24"/>
          <w:szCs w:val="24"/>
        </w:rPr>
      </w:pPr>
      <w:r>
        <w:rPr>
          <w:sz w:val="24"/>
          <w:szCs w:val="24"/>
        </w:rPr>
        <w:t>在各种用地类型中，能够在使用过程中直接获得经济收益，即直接产生土地级差收益的主要是商服用地、居住用地和工矿仓储用地（交通用地所产生的使用效益扩散到附近的经济活动中），这三种用地占城镇用地的大部分，是反映城镇土地经济价值的主体部分。因此，本次基准地价成果更新按商服用地、住宅用地、工矿仓储用地三大类进行。</w:t>
      </w:r>
    </w:p>
    <w:p>
      <w:pPr>
        <w:spacing w:line="360" w:lineRule="auto"/>
        <w:ind w:firstLine="482" w:firstLineChars="200"/>
        <w:rPr>
          <w:b/>
          <w:sz w:val="24"/>
          <w:szCs w:val="24"/>
        </w:rPr>
      </w:pPr>
      <w:r>
        <w:rPr>
          <w:b/>
          <w:sz w:val="24"/>
          <w:szCs w:val="24"/>
        </w:rPr>
        <w:t>4、规划理论</w:t>
      </w:r>
    </w:p>
    <w:p>
      <w:pPr>
        <w:spacing w:line="480" w:lineRule="exact"/>
        <w:ind w:firstLine="480" w:firstLineChars="200"/>
        <w:textAlignment w:val="baseline"/>
        <w:rPr>
          <w:sz w:val="24"/>
          <w:szCs w:val="24"/>
        </w:rPr>
      </w:pPr>
      <w:r>
        <w:rPr>
          <w:sz w:val="24"/>
          <w:szCs w:val="24"/>
        </w:rPr>
        <w:t>城镇规划就是为了使城镇有计划、有秩序地发展，根据其周围一定范围内的自然条件和经济条件确定城市的性质、规模、空间布局及经济发展方向。</w:t>
      </w:r>
    </w:p>
    <w:p>
      <w:pPr>
        <w:spacing w:line="480" w:lineRule="exact"/>
        <w:ind w:firstLine="480" w:firstLineChars="200"/>
        <w:textAlignment w:val="baseline"/>
        <w:rPr>
          <w:sz w:val="24"/>
          <w:szCs w:val="24"/>
        </w:rPr>
      </w:pPr>
      <w:r>
        <w:rPr>
          <w:sz w:val="24"/>
          <w:szCs w:val="24"/>
        </w:rPr>
        <w:t>在影响土地质量的众多因素中，城市规划对土地质量有很大的影响。城市规划的一个主要内容就是城市用地结构的研究和土地利用的研究，通过城市规划确定城市用地类型、合理配置基础设施、调整产业结构，指导城市的发展方向，从而影响城市土地的利用。因此，城市规划直接影响土地质量的好坏和地价高低且极为明显。</w:t>
      </w:r>
    </w:p>
    <w:p>
      <w:pPr>
        <w:spacing w:line="480" w:lineRule="exact"/>
        <w:ind w:firstLine="480" w:firstLineChars="200"/>
        <w:textAlignment w:val="baseline"/>
        <w:rPr>
          <w:sz w:val="24"/>
          <w:szCs w:val="24"/>
        </w:rPr>
      </w:pPr>
      <w:r>
        <w:rPr>
          <w:sz w:val="24"/>
          <w:szCs w:val="24"/>
        </w:rPr>
        <w:t>城市土地基准地价更新必须依据城市用地规划内容，尽量使城市规划意图体现在定级和估价的过程与结果中，确保成果的科学、准确与合理，同时也使政府能更好地利用地价这个极为敏感的经济杠杆，促使城市规划得到进一步完善和实施，最终使城市土地得到合理的配置利用。</w:t>
      </w:r>
    </w:p>
    <w:p>
      <w:pPr>
        <w:spacing w:line="360" w:lineRule="auto"/>
        <w:ind w:firstLine="560" w:firstLineChars="200"/>
        <w:outlineLvl w:val="2"/>
        <w:rPr>
          <w:rFonts w:eastAsia="黑体"/>
          <w:sz w:val="28"/>
          <w:szCs w:val="28"/>
        </w:rPr>
      </w:pPr>
      <w:bookmarkStart w:id="486" w:name="_Toc467846849"/>
      <w:bookmarkStart w:id="487" w:name="_Toc213589801"/>
      <w:bookmarkStart w:id="488" w:name="_Toc470721309"/>
      <w:bookmarkStart w:id="489" w:name="_Toc248306039"/>
      <w:bookmarkStart w:id="490" w:name="_Toc469296458"/>
      <w:bookmarkStart w:id="491" w:name="_Toc9991"/>
      <w:bookmarkStart w:id="492" w:name="_Toc248305602"/>
      <w:bookmarkStart w:id="493" w:name="_Toc1135"/>
      <w:r>
        <w:rPr>
          <w:rFonts w:eastAsia="黑体"/>
          <w:sz w:val="28"/>
          <w:szCs w:val="28"/>
        </w:rPr>
        <w:t>三、基准地价评估原则</w:t>
      </w:r>
      <w:bookmarkEnd w:id="486"/>
      <w:bookmarkEnd w:id="487"/>
      <w:bookmarkEnd w:id="488"/>
      <w:bookmarkEnd w:id="489"/>
      <w:bookmarkEnd w:id="490"/>
      <w:bookmarkEnd w:id="491"/>
      <w:bookmarkEnd w:id="492"/>
      <w:bookmarkEnd w:id="493"/>
    </w:p>
    <w:p>
      <w:pPr>
        <w:spacing w:line="480" w:lineRule="exact"/>
        <w:ind w:firstLine="480" w:firstLineChars="200"/>
        <w:textAlignment w:val="baseline"/>
        <w:rPr>
          <w:sz w:val="24"/>
          <w:szCs w:val="24"/>
        </w:rPr>
      </w:pPr>
      <w:r>
        <w:rPr>
          <w:sz w:val="24"/>
          <w:szCs w:val="24"/>
        </w:rPr>
        <w:t>按照国家标准《城镇土地估价规程》（GB/T18508-2014）要求和城区实际情况，本次基准地价评估主要遵循以下基本原则：</w:t>
      </w:r>
    </w:p>
    <w:p>
      <w:pPr>
        <w:spacing w:line="360" w:lineRule="auto"/>
        <w:ind w:firstLine="482" w:firstLineChars="200"/>
        <w:rPr>
          <w:b/>
          <w:sz w:val="24"/>
          <w:szCs w:val="24"/>
        </w:rPr>
      </w:pPr>
      <w:r>
        <w:rPr>
          <w:b/>
          <w:sz w:val="24"/>
          <w:szCs w:val="24"/>
        </w:rPr>
        <w:t>1、预期收益原则</w:t>
      </w:r>
    </w:p>
    <w:p>
      <w:pPr>
        <w:spacing w:line="480" w:lineRule="exact"/>
        <w:ind w:firstLine="480" w:firstLineChars="200"/>
        <w:textAlignment w:val="baseline"/>
        <w:rPr>
          <w:sz w:val="24"/>
          <w:szCs w:val="24"/>
        </w:rPr>
      </w:pPr>
      <w:r>
        <w:rPr>
          <w:sz w:val="24"/>
          <w:szCs w:val="24"/>
        </w:rPr>
        <w:t>预期收益原则是指以估价对象在正常利用条件下的未来可观有效的预期收益为依据。价值是未来可获得利益的预期产生的。在土地市场，财产的当前价值主要不是依据其历史价格或生产成本而定，相反，价值决定于市场参与者对未来利益的预期。不同类型的土地价值的产生依据各异，如自用型土地的价值通常取决于未来预期利益、舒适性及拥有和占有的乐趣；收益性土地价值取决于其未来能产生的收益等。依据预期收益原则，对商品房开发和二手房交易的成交售价和租金状况进行调查，便可进行调查样点测算，为基准地价更新提供科学依据。</w:t>
      </w:r>
    </w:p>
    <w:p>
      <w:pPr>
        <w:spacing w:line="360" w:lineRule="auto"/>
        <w:ind w:firstLine="482" w:firstLineChars="200"/>
        <w:rPr>
          <w:b/>
          <w:sz w:val="24"/>
          <w:szCs w:val="24"/>
        </w:rPr>
      </w:pPr>
      <w:r>
        <w:rPr>
          <w:b/>
          <w:sz w:val="24"/>
          <w:szCs w:val="24"/>
        </w:rPr>
        <w:t>2、替代原则</w:t>
      </w:r>
    </w:p>
    <w:p>
      <w:pPr>
        <w:spacing w:line="480" w:lineRule="exact"/>
        <w:ind w:firstLine="480" w:firstLineChars="200"/>
        <w:textAlignment w:val="baseline"/>
        <w:rPr>
          <w:sz w:val="24"/>
          <w:szCs w:val="24"/>
        </w:rPr>
      </w:pPr>
      <w:r>
        <w:rPr>
          <w:sz w:val="24"/>
          <w:szCs w:val="24"/>
        </w:rPr>
        <w:t>替代原则是指以相邻地区或类似地区功能相同、条件相似的土地市场交易价格为依据，估价结果不能明显偏离具有替代性质的土地正常价格。替代原则说明，当若干相似或等量的商品、物品或服务是可替代时，最低价格者将吸引最大的需求和最广的分配。此原则假定市场行为是理性且谨慎的，不存在因迟延而产生的不当成本。土地价值，通常由可替代土地的价格所决定。替代原则认为土地受让者和出让者有选择权，即有其他具有相似用途的土地可供替代使用。某宗土地是否可作为另一宗土地的替代物，应依其用途、使用条件、获利能力等加以考虑。替代原则是三种基本估价方法——市场比较法、成本逼近法和收益还原法的基础。具体来说，在假定没有因迟延而产生的不当成本的条件下，如取得成本可能是取得相同效用土地的成本，此为成本逼近法的基础；如取得成本是可能为取得相同效用的现有土地所支付的价格，此为市场比较法的基础；如取得成本是可能产生相等投资报酬和相同风险的现有投资土地决定的，此为收益还原法的基础。替代原则是进行样点地价同一性检验，样点地价容积率、期日等系列修正和地价区段划分的理论依据。</w:t>
      </w:r>
    </w:p>
    <w:p>
      <w:pPr>
        <w:spacing w:line="360" w:lineRule="auto"/>
        <w:ind w:firstLine="482" w:firstLineChars="200"/>
        <w:rPr>
          <w:b/>
          <w:sz w:val="24"/>
          <w:szCs w:val="24"/>
        </w:rPr>
      </w:pPr>
      <w:r>
        <w:rPr>
          <w:b/>
          <w:sz w:val="24"/>
          <w:szCs w:val="24"/>
        </w:rPr>
        <w:t>3、最有效利用原则</w:t>
      </w:r>
    </w:p>
    <w:p>
      <w:pPr>
        <w:spacing w:line="480" w:lineRule="exact"/>
        <w:ind w:firstLine="480" w:firstLineChars="200"/>
        <w:textAlignment w:val="baseline"/>
        <w:rPr>
          <w:sz w:val="24"/>
          <w:szCs w:val="24"/>
        </w:rPr>
      </w:pPr>
      <w:r>
        <w:rPr>
          <w:sz w:val="24"/>
          <w:szCs w:val="24"/>
        </w:rPr>
        <w:t>最有效利用原则是指以估价对象的最有效利用为前提估价。判断土地的最有效利用以土地利用符合其自身利用条件、法律法规政策及规划限制、市场要求和最佳利用程度等。在市场经济中，土地用途、利用方式的多样性，能为权利人带来不同的收益，且权利人都试图充分发挥其拥有的土地潜力，以获得最大的经济利益。因此土地估价以估价对象的最有效利用为前提估价，但必须符合法律上（包括法律、行政法规、城市规划、土地使用权出让合同等）许可、技术上许可、经济上许可、价值最大化等四个标准。最有效利用原则与合法原则的依据是城市总体规划。容积率对商服、住宅用地样点地价影响很大，在遵循城市规划的前提下，合理确定容积率，使土地利用达到最有效方式。因此，对不同容积率的样点地价进行容积率修正，就是基于这一原则。</w:t>
      </w:r>
    </w:p>
    <w:p>
      <w:pPr>
        <w:spacing w:line="360" w:lineRule="auto"/>
        <w:ind w:firstLine="482" w:firstLineChars="200"/>
        <w:rPr>
          <w:b/>
          <w:sz w:val="24"/>
          <w:szCs w:val="24"/>
        </w:rPr>
      </w:pPr>
      <w:r>
        <w:rPr>
          <w:b/>
          <w:sz w:val="24"/>
          <w:szCs w:val="24"/>
        </w:rPr>
        <w:t>4、供需原则</w:t>
      </w:r>
    </w:p>
    <w:p>
      <w:pPr>
        <w:spacing w:line="360" w:lineRule="auto"/>
        <w:ind w:firstLine="480" w:firstLineChars="200"/>
        <w:rPr>
          <w:sz w:val="24"/>
          <w:szCs w:val="24"/>
        </w:rPr>
      </w:pPr>
      <w:r>
        <w:rPr>
          <w:sz w:val="24"/>
          <w:szCs w:val="24"/>
        </w:rPr>
        <w:t>在完全的自由市场中，一般商品的价格取决于需求与供给的均衡点，需求超过供给，价格随之提高；反之，供给超过需求，价格随之下降，这就是供求均衡法则。由于土地具有地理位置的固定性、面积的有限性等自然特性，使价格独占性较强，需求与供给都限于局部地区，供给量有限，竞争主要是在需求方面进行，即土地不能实行完全竞争。因此，土地不能仅根据均衡法则来决定价格，尤其在我国城市土地属国家所有，市场中能够流动的仅是有限年期的土地使用权，土地供方主要由国家控制，这一因素对地价具有至关重要的影响。因此，在进行基准地价更新时，必须考虑商服、住宅、工矿仓储用地在供需矛盾方面的差别。商服、住宅用地供给采用招标、拍卖、挂牌方式，使需求方进行充分的市场竞争，因此，其基准地价可根据土地市场交易价格作出判断。而工矿仓储用地供给目前大多采用协议出让方式，特别是近年来招商引资和企业改制中，工矿仓储用地需求难于实行市场竞争。因此，工矿仓储用地基准地价更新方法就有别于商服和住宅用地的基准地价更新，通常采用成本逼近法测算。</w:t>
      </w:r>
    </w:p>
    <w:p>
      <w:pPr>
        <w:spacing w:line="360" w:lineRule="auto"/>
        <w:ind w:firstLine="482" w:firstLineChars="200"/>
        <w:rPr>
          <w:b/>
          <w:sz w:val="24"/>
          <w:szCs w:val="24"/>
        </w:rPr>
      </w:pPr>
      <w:r>
        <w:rPr>
          <w:b/>
          <w:sz w:val="24"/>
          <w:szCs w:val="24"/>
        </w:rPr>
        <w:t>5、报酬递增递减原则</w:t>
      </w:r>
    </w:p>
    <w:p>
      <w:pPr>
        <w:spacing w:line="480" w:lineRule="exact"/>
        <w:ind w:firstLine="480" w:firstLineChars="200"/>
        <w:textAlignment w:val="baseline"/>
        <w:rPr>
          <w:sz w:val="24"/>
          <w:szCs w:val="24"/>
        </w:rPr>
      </w:pPr>
      <w:r>
        <w:rPr>
          <w:sz w:val="24"/>
          <w:szCs w:val="24"/>
        </w:rPr>
        <w:t>报酬递增递减原则是指考虑在技术等条件一定的前提下，土地纯收益会随着土地投资的增加而出现由递增到递减的特点。其实质是指一种投入产出关系，意即在一种投入量固定情况下的投入产出关系，即假定仅有一种投入量是可变的，其他的投入量保持不变，则随着该种可变投入量的增加，在开始时，产出量的增加有可能是递增的；但当这种可变投入量的继续增加达到某一点以后，产出量的增加会越来越小，即会出现递减现象。在土地估价中表现为如果一宗土地的使用强度（如建筑层数、建筑高度、建筑容积率、建筑规模）超过一定限度后，收益就会开始下降。报酬递增递减原则有利于确定待估宗地的最佳集约度和最佳规模。基于这一原则，在进行样点地价容积率修正时，必须确定各级别各类用地的合理容积率区段。</w:t>
      </w:r>
    </w:p>
    <w:p>
      <w:pPr>
        <w:spacing w:line="360" w:lineRule="auto"/>
        <w:ind w:firstLine="482" w:firstLineChars="200"/>
        <w:rPr>
          <w:b/>
          <w:sz w:val="24"/>
          <w:szCs w:val="24"/>
        </w:rPr>
      </w:pPr>
      <w:r>
        <w:rPr>
          <w:b/>
          <w:sz w:val="24"/>
          <w:szCs w:val="24"/>
        </w:rPr>
        <w:t>6、贡献原则</w:t>
      </w:r>
    </w:p>
    <w:p>
      <w:pPr>
        <w:spacing w:line="480" w:lineRule="exact"/>
        <w:ind w:firstLine="480" w:firstLineChars="200"/>
        <w:textAlignment w:val="baseline"/>
        <w:rPr>
          <w:sz w:val="24"/>
          <w:szCs w:val="24"/>
        </w:rPr>
      </w:pPr>
      <w:r>
        <w:rPr>
          <w:sz w:val="24"/>
          <w:szCs w:val="24"/>
        </w:rPr>
        <w:t>贡献原则是指土地总收益是由土地及其他生产要素共同作用的结果，土地的价格可以土地收益的贡献大小来决定。贡献原则说明，在整体土地价值中，特定因素的价值可由其对整体土地价值的贡献方式，或者假设无此因素时从整体土地价值中扣减的数额来衡量。剩余法和收益还原法在样点地价测算时，必须剥离出其它生产要素和房屋。设备、经营等带来的收益或价值。</w:t>
      </w:r>
    </w:p>
    <w:p>
      <w:pPr>
        <w:spacing w:line="360" w:lineRule="auto"/>
        <w:ind w:firstLine="482" w:firstLineChars="200"/>
        <w:rPr>
          <w:b/>
          <w:sz w:val="24"/>
          <w:szCs w:val="24"/>
        </w:rPr>
      </w:pPr>
      <w:r>
        <w:rPr>
          <w:b/>
          <w:sz w:val="24"/>
          <w:szCs w:val="24"/>
        </w:rPr>
        <w:t>7、变动原则</w:t>
      </w:r>
    </w:p>
    <w:p>
      <w:pPr>
        <w:spacing w:line="360" w:lineRule="auto"/>
        <w:ind w:firstLine="480" w:firstLineChars="200"/>
        <w:rPr>
          <w:sz w:val="24"/>
          <w:szCs w:val="24"/>
        </w:rPr>
      </w:pPr>
      <w:r>
        <w:rPr>
          <w:sz w:val="24"/>
          <w:szCs w:val="24"/>
        </w:rPr>
        <w:t>一般商品的价格，是伴随着构成价格的因素的变化而发生变动的。土地价格也有同样情形，它是各种地价形成因素相互作用的结果，而这些价格形成因素经常处于变动之中，所以土地价格是在这些因素相互作用及其组合的变动过程中形成的。因此，在土地估价时，必须分析该土地的效用、稀缺性、个别性及有效需求以及使这些因素发生变动的一般因素、区域因素及个别因素。由于这些因素都在变动之中，因此应把握各因素之间的因果关系及其变动规律，以便根据目前的地价水平预测未来的土地价格。根据变动原则，首先设定了本次基准地价更新的地价内涵和评估基准日，为了进行样点地价的期日修正，进行了地价指数的测算和编制工作。</w:t>
      </w:r>
    </w:p>
    <w:p>
      <w:pPr>
        <w:spacing w:line="360" w:lineRule="auto"/>
        <w:ind w:firstLine="560" w:firstLineChars="200"/>
        <w:outlineLvl w:val="2"/>
        <w:rPr>
          <w:rFonts w:eastAsia="黑体"/>
          <w:sz w:val="28"/>
          <w:szCs w:val="28"/>
        </w:rPr>
      </w:pPr>
      <w:bookmarkStart w:id="494" w:name="_Toc169216942"/>
      <w:bookmarkStart w:id="495" w:name="_Toc248306040"/>
      <w:bookmarkStart w:id="496" w:name="_Toc213589802"/>
      <w:bookmarkStart w:id="497" w:name="_Toc169216361"/>
      <w:bookmarkStart w:id="498" w:name="_Toc248305603"/>
      <w:bookmarkStart w:id="499" w:name="_Toc467846850"/>
      <w:bookmarkStart w:id="500" w:name="_Toc5001"/>
      <w:bookmarkStart w:id="501" w:name="_Toc469296459"/>
      <w:bookmarkStart w:id="502" w:name="_Toc470721310"/>
      <w:bookmarkStart w:id="503" w:name="_Toc28898"/>
      <w:r>
        <w:rPr>
          <w:rFonts w:eastAsia="黑体"/>
          <w:sz w:val="28"/>
          <w:szCs w:val="28"/>
        </w:rPr>
        <w:t>四、</w:t>
      </w:r>
      <w:bookmarkStart w:id="504" w:name="_Toc213589803"/>
      <w:bookmarkStart w:id="505" w:name="_Toc248305604"/>
      <w:bookmarkStart w:id="506" w:name="_Toc248306041"/>
      <w:bookmarkEnd w:id="494"/>
      <w:bookmarkEnd w:id="495"/>
      <w:bookmarkEnd w:id="496"/>
      <w:bookmarkEnd w:id="497"/>
      <w:bookmarkEnd w:id="498"/>
      <w:r>
        <w:rPr>
          <w:rFonts w:eastAsia="黑体"/>
          <w:sz w:val="28"/>
          <w:szCs w:val="28"/>
        </w:rPr>
        <w:t>基准地价评估技术</w:t>
      </w:r>
      <w:bookmarkEnd w:id="499"/>
      <w:bookmarkEnd w:id="504"/>
      <w:bookmarkEnd w:id="505"/>
      <w:bookmarkEnd w:id="506"/>
      <w:r>
        <w:rPr>
          <w:rFonts w:eastAsia="黑体"/>
          <w:sz w:val="28"/>
          <w:szCs w:val="28"/>
        </w:rPr>
        <w:t>路线</w:t>
      </w:r>
      <w:bookmarkEnd w:id="500"/>
      <w:bookmarkEnd w:id="501"/>
      <w:bookmarkEnd w:id="502"/>
      <w:bookmarkEnd w:id="503"/>
    </w:p>
    <w:p>
      <w:pPr>
        <w:spacing w:line="360" w:lineRule="auto"/>
        <w:ind w:firstLine="482" w:firstLineChars="200"/>
        <w:rPr>
          <w:b/>
          <w:sz w:val="24"/>
          <w:szCs w:val="24"/>
        </w:rPr>
      </w:pPr>
      <w:r>
        <w:rPr>
          <w:b/>
          <w:sz w:val="24"/>
          <w:szCs w:val="24"/>
        </w:rPr>
        <w:t>1、基准地价评估技术路线</w:t>
      </w:r>
    </w:p>
    <w:p>
      <w:pPr>
        <w:spacing w:line="360" w:lineRule="auto"/>
        <w:ind w:firstLine="480" w:firstLineChars="200"/>
        <w:rPr>
          <w:sz w:val="24"/>
          <w:szCs w:val="24"/>
        </w:rPr>
      </w:pPr>
      <w:r>
        <w:rPr>
          <w:sz w:val="24"/>
          <w:szCs w:val="24"/>
        </w:rPr>
        <w:t>按照《城镇土地估价规程》（GB/T18508-2014），基准地价评估路线有以下两条：以土地定级（或影响地价的土地条件和因素划分均质地域）为基础，用市场交易价格等资料评估基准地价；以土地定级为基础，土地收益为依据，市场交易资料为参考评估基准地价。</w:t>
      </w:r>
    </w:p>
    <w:p>
      <w:pPr>
        <w:spacing w:line="360" w:lineRule="auto"/>
        <w:ind w:firstLine="480" w:firstLineChars="200"/>
        <w:rPr>
          <w:sz w:val="24"/>
          <w:szCs w:val="24"/>
        </w:rPr>
      </w:pPr>
      <w:r>
        <w:rPr>
          <w:sz w:val="24"/>
          <w:szCs w:val="24"/>
        </w:rPr>
        <w:t>根据长沙县具体情况，本次基准地价评估技术途径采用第一条。</w:t>
      </w:r>
    </w:p>
    <w:p>
      <w:pPr>
        <w:spacing w:line="360" w:lineRule="auto"/>
        <w:ind w:firstLine="482" w:firstLineChars="200"/>
        <w:rPr>
          <w:b/>
          <w:sz w:val="24"/>
          <w:szCs w:val="24"/>
        </w:rPr>
      </w:pPr>
      <w:bookmarkStart w:id="507" w:name="_Toc213589804"/>
      <w:bookmarkStart w:id="508" w:name="_Toc248306042"/>
      <w:bookmarkStart w:id="509" w:name="_Toc248305605"/>
      <w:r>
        <w:rPr>
          <w:b/>
          <w:sz w:val="24"/>
          <w:szCs w:val="24"/>
        </w:rPr>
        <w:t>2、利用样点地价评估基准地价</w:t>
      </w:r>
    </w:p>
    <w:p>
      <w:pPr>
        <w:spacing w:line="360" w:lineRule="auto"/>
        <w:ind w:firstLine="480" w:firstLineChars="200"/>
        <w:rPr>
          <w:sz w:val="24"/>
          <w:szCs w:val="24"/>
        </w:rPr>
      </w:pPr>
      <w:r>
        <w:rPr>
          <w:sz w:val="24"/>
          <w:szCs w:val="24"/>
        </w:rPr>
        <w:t>按照《城镇土地估价规程》（GB/T18508-2014），利用样点地价评估级别基准地价，主要技术路线：</w:t>
      </w:r>
    </w:p>
    <w:p>
      <w:pPr>
        <w:spacing w:line="360" w:lineRule="auto"/>
        <w:ind w:firstLine="480" w:firstLineChars="200"/>
        <w:rPr>
          <w:sz w:val="24"/>
          <w:szCs w:val="24"/>
        </w:rPr>
      </w:pPr>
      <w:r>
        <w:rPr>
          <w:sz w:val="24"/>
          <w:szCs w:val="24"/>
        </w:rPr>
        <w:t>（1）用样点地价评估级别基准地价：</w:t>
      </w:r>
    </w:p>
    <w:p>
      <w:pPr>
        <w:spacing w:line="360" w:lineRule="auto"/>
        <w:ind w:firstLine="480" w:firstLineChars="200"/>
        <w:rPr>
          <w:sz w:val="24"/>
          <w:szCs w:val="24"/>
        </w:rPr>
      </w:pPr>
      <w:r>
        <w:rPr>
          <w:sz w:val="24"/>
          <w:szCs w:val="24"/>
        </w:rPr>
        <w:t>a）样本数量的确定。合格样本数量应符合数理统计要求。</w:t>
      </w:r>
    </w:p>
    <w:p>
      <w:pPr>
        <w:spacing w:line="360" w:lineRule="auto"/>
        <w:ind w:firstLine="480" w:firstLineChars="200"/>
        <w:rPr>
          <w:sz w:val="24"/>
          <w:szCs w:val="24"/>
        </w:rPr>
      </w:pPr>
      <w:r>
        <w:rPr>
          <w:sz w:val="24"/>
          <w:szCs w:val="24"/>
        </w:rPr>
        <w:t>b）模型选择及基准地价计算。在有样点的级别内，根据样点地价的分布规律，选用简单算术平均值、加权算术平均值、中位数、众数等作为该级别的基准地价。</w:t>
      </w:r>
    </w:p>
    <w:p>
      <w:pPr>
        <w:spacing w:line="360" w:lineRule="auto"/>
        <w:ind w:firstLine="480" w:firstLineChars="200"/>
        <w:rPr>
          <w:sz w:val="24"/>
          <w:szCs w:val="24"/>
        </w:rPr>
      </w:pPr>
      <w:r>
        <w:rPr>
          <w:sz w:val="24"/>
          <w:szCs w:val="24"/>
        </w:rPr>
        <w:t>（2）没有交易价格资料或交易价格资料较少的级别基准地价的评估。</w:t>
      </w:r>
    </w:p>
    <w:p>
      <w:pPr>
        <w:spacing w:line="360" w:lineRule="auto"/>
        <w:ind w:firstLine="480" w:firstLineChars="200"/>
        <w:rPr>
          <w:sz w:val="24"/>
          <w:szCs w:val="24"/>
        </w:rPr>
      </w:pPr>
      <w:r>
        <w:rPr>
          <w:sz w:val="24"/>
          <w:szCs w:val="24"/>
        </w:rPr>
        <w:t>没有交易资料的级别，基准地价评估采用采用比较法、比例系数法或系数修正法进行，评估程序为：</w:t>
      </w:r>
    </w:p>
    <w:p>
      <w:pPr>
        <w:spacing w:line="360" w:lineRule="auto"/>
        <w:ind w:firstLine="480" w:firstLineChars="200"/>
        <w:rPr>
          <w:sz w:val="24"/>
          <w:szCs w:val="24"/>
        </w:rPr>
      </w:pPr>
      <w:r>
        <w:rPr>
          <w:sz w:val="24"/>
          <w:szCs w:val="24"/>
        </w:rPr>
        <w:t>a）对已评估出基准地价的级别，建立地价与影响价格的土地条件对照表；</w:t>
      </w:r>
    </w:p>
    <w:p>
      <w:pPr>
        <w:spacing w:line="360" w:lineRule="auto"/>
        <w:ind w:firstLine="480" w:firstLineChars="200"/>
        <w:rPr>
          <w:sz w:val="24"/>
          <w:szCs w:val="24"/>
        </w:rPr>
      </w:pPr>
      <w:r>
        <w:rPr>
          <w:sz w:val="24"/>
          <w:szCs w:val="24"/>
        </w:rPr>
        <w:t>b）将没有交易资料或数量不足的级别，进行土地条件调查和量化；</w:t>
      </w:r>
    </w:p>
    <w:p>
      <w:pPr>
        <w:spacing w:line="360" w:lineRule="auto"/>
        <w:ind w:firstLine="480" w:firstLineChars="200"/>
        <w:rPr>
          <w:sz w:val="24"/>
          <w:szCs w:val="24"/>
        </w:rPr>
      </w:pPr>
      <w:r>
        <w:rPr>
          <w:sz w:val="24"/>
          <w:szCs w:val="24"/>
        </w:rPr>
        <w:t>c）比较待估价级别同有地价级别的接近程度，评估其基准地价；</w:t>
      </w:r>
    </w:p>
    <w:p>
      <w:pPr>
        <w:spacing w:line="360" w:lineRule="auto"/>
        <w:ind w:firstLine="480" w:firstLineChars="200"/>
        <w:rPr>
          <w:sz w:val="24"/>
          <w:szCs w:val="24"/>
        </w:rPr>
      </w:pPr>
      <w:r>
        <w:rPr>
          <w:sz w:val="24"/>
          <w:szCs w:val="24"/>
        </w:rPr>
        <w:t>d）因素差异大的区域，在比较基础上，采用系数修正法评估区域基准地价；</w:t>
      </w:r>
    </w:p>
    <w:p>
      <w:pPr>
        <w:spacing w:line="360" w:lineRule="auto"/>
        <w:ind w:firstLine="480" w:firstLineChars="200"/>
        <w:rPr>
          <w:sz w:val="24"/>
          <w:szCs w:val="24"/>
        </w:rPr>
      </w:pPr>
      <w:r>
        <w:rPr>
          <w:sz w:val="24"/>
          <w:szCs w:val="24"/>
        </w:rPr>
        <w:t>e）通过确定各种用途基准地价在不同级别内的比例关，评估其用途的基准地价。</w:t>
      </w:r>
    </w:p>
    <w:p>
      <w:pPr>
        <w:spacing w:line="360" w:lineRule="auto"/>
        <w:ind w:firstLine="480" w:firstLineChars="200"/>
        <w:rPr>
          <w:sz w:val="24"/>
          <w:szCs w:val="24"/>
        </w:rPr>
      </w:pPr>
      <w:r>
        <w:rPr>
          <w:sz w:val="24"/>
          <w:szCs w:val="24"/>
        </w:rPr>
        <w:t>（3）建立样点地价和土地级别数学模型，评估级别基准地价</w:t>
      </w:r>
    </w:p>
    <w:p>
      <w:pPr>
        <w:spacing w:line="360" w:lineRule="auto"/>
        <w:ind w:firstLine="480" w:firstLineChars="200"/>
        <w:rPr>
          <w:sz w:val="24"/>
          <w:szCs w:val="24"/>
        </w:rPr>
      </w:pPr>
      <w:r>
        <w:rPr>
          <w:sz w:val="24"/>
          <w:szCs w:val="24"/>
        </w:rPr>
        <w:t>a）基本原理：在土地定级的基础上，通过建立样点地价与土地级别之间的数学模型，求出各用途各级别的地价级差系数，再用地价级差系数等参数来计算级别基准地价。</w:t>
      </w:r>
    </w:p>
    <w:p>
      <w:pPr>
        <w:spacing w:line="360" w:lineRule="auto"/>
        <w:ind w:firstLine="480" w:firstLineChars="200"/>
        <w:rPr>
          <w:sz w:val="24"/>
          <w:szCs w:val="24"/>
        </w:rPr>
      </w:pPr>
      <w:r>
        <w:rPr>
          <w:sz w:val="24"/>
          <w:szCs w:val="24"/>
        </w:rPr>
        <w:t>b）模型选择：样点地价与土地级别的数学关系模型根据二者之间的二维关系图选择适宜的模型。</w:t>
      </w:r>
    </w:p>
    <w:p>
      <w:pPr>
        <w:spacing w:line="360" w:lineRule="auto"/>
        <w:ind w:firstLine="480" w:firstLineChars="200"/>
        <w:rPr>
          <w:sz w:val="24"/>
          <w:szCs w:val="24"/>
        </w:rPr>
      </w:pPr>
      <w:r>
        <w:rPr>
          <w:sz w:val="24"/>
          <w:szCs w:val="24"/>
        </w:rPr>
        <w:t>c）系数估算：将收集到的不同用途的地价资料，按用途将通过检验的地价资料代入模型中，估计参数值，并进行系数可靠性检验。</w:t>
      </w:r>
    </w:p>
    <w:p>
      <w:pPr>
        <w:spacing w:line="360" w:lineRule="auto"/>
        <w:ind w:firstLine="480" w:firstLineChars="200"/>
        <w:rPr>
          <w:sz w:val="24"/>
          <w:szCs w:val="24"/>
        </w:rPr>
      </w:pPr>
      <w:r>
        <w:rPr>
          <w:sz w:val="24"/>
          <w:szCs w:val="24"/>
        </w:rPr>
        <w:t>d）基准地价计算：将估计参数值和有关参数代入，得到各级土地的基准地价。</w:t>
      </w:r>
    </w:p>
    <w:p>
      <w:pPr>
        <w:spacing w:line="360" w:lineRule="auto"/>
        <w:ind w:firstLine="480" w:firstLineChars="200"/>
        <w:rPr>
          <w:sz w:val="24"/>
          <w:szCs w:val="24"/>
        </w:rPr>
      </w:pPr>
      <w:r>
        <w:rPr>
          <w:sz w:val="24"/>
          <w:szCs w:val="24"/>
        </w:rPr>
        <w:t>在本次级别基准地价更新工作中，利用样点地价评估基准地价。</w:t>
      </w:r>
    </w:p>
    <w:p>
      <w:pPr>
        <w:spacing w:line="360" w:lineRule="auto"/>
        <w:ind w:firstLine="480" w:firstLineChars="200"/>
        <w:rPr>
          <w:sz w:val="24"/>
          <w:szCs w:val="24"/>
        </w:rPr>
      </w:pPr>
      <w:r>
        <w:rPr>
          <w:sz w:val="24"/>
          <w:szCs w:val="24"/>
        </w:rPr>
        <w:t>结合技术途径的选择和利用样点地价评估基准地价的技术路线，可以画出基准地价全面更新流程图，见图3-1-1。</w:t>
      </w:r>
    </w:p>
    <w:p>
      <w:pPr>
        <w:spacing w:line="360" w:lineRule="auto"/>
        <w:jc w:val="center"/>
        <w:rPr>
          <w:b/>
          <w:sz w:val="28"/>
          <w:szCs w:val="28"/>
        </w:rPr>
      </w:pPr>
      <w:r>
        <w:rPr>
          <w:rFonts w:ascii="Times New Roman" w:hAnsi="Times New Roman" w:eastAsia="宋体" w:cs="Times New Roman"/>
          <w:b/>
          <w:kern w:val="2"/>
          <w:sz w:val="28"/>
          <w:szCs w:val="28"/>
          <w:lang w:val="en-US" w:eastAsia="zh-CN" w:bidi="ar-SA"/>
        </w:rPr>
        <w:pict>
          <v:group id="组合 1148" o:spid="_x0000_s1157" style="height:368.95pt;width:432.3pt;rotation:0f;" coordorigin="0,0" coordsize="8646,7379">
            <o:lock v:ext="edit" position="f" selection="f" grouping="f" rotation="f" cropping="f" text="f" aspectratio="f"/>
            <v:rect id="图片 1149" o:spid="_x0000_s1158" style="position:absolute;left:0;top:0;height:7379;width:8646;rotation:0f;" o:ole="f" fillcolor="#FFFFFF" filled="f" o:preferrelative="t" stroked="f" coordsize="21600,21600">
              <v:fill on="f" color2="#FFFFFF" focus="0%"/>
              <v:imagedata gain="65536f" blacklevel="0f" gamma="0"/>
              <o:lock v:ext="edit" position="f" selection="f" grouping="f" rotation="f" cropping="f" text="f" aspectratio="f"/>
            </v:rect>
            <v:rect id="文本框 1150" o:spid="_x0000_s1159" style="position:absolute;left:6307;top:1638;height:684;width:2339;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r>
                      <w:rPr>
                        <w:rFonts w:hint="eastAsia"/>
                      </w:rPr>
                      <w:t>土地定级成果中土地均质地域及土地级别</w:t>
                    </w:r>
                  </w:p>
                </w:txbxContent>
              </v:textbox>
            </v:rect>
            <v:group id="组合 1151" o:spid="_x0000_s1160" style="position:absolute;left:8;top:0;height:2456;width:5400;rotation:0f;" coordorigin="0,0" coordsize="5400,2456">
              <o:lock v:ext="edit" position="f" selection="f" grouping="f" rotation="f" cropping="f" text="f" aspectratio="f"/>
              <v:rect id="文本框 1152" o:spid="_x0000_s1161" style="position:absolute;left:3239;top:0;height:409;width:216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r>
                        <w:rPr>
                          <w:rFonts w:hint="eastAsia"/>
                        </w:rPr>
                        <w:t>市场交易样点调查</w:t>
                      </w:r>
                    </w:p>
                  </w:txbxContent>
                </v:textbox>
              </v:rect>
              <v:rect id="文本框 1153" o:spid="_x0000_s1162" style="position:absolute;left:3239;top:683;height:410;width:216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r>
                        <w:rPr>
                          <w:rFonts w:hint="eastAsia"/>
                        </w:rPr>
                        <w:t>交易样点分类整理</w:t>
                      </w:r>
                    </w:p>
                  </w:txbxContent>
                </v:textbox>
              </v:rect>
              <v:rect id="文本框 1154" o:spid="_x0000_s1163" style="position:absolute;left:3239;top:1365;height:409;width:2161;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r>
                        <w:rPr>
                          <w:rFonts w:hint="eastAsia"/>
                        </w:rPr>
                        <w:t>交易样点地价计算</w:t>
                      </w:r>
                    </w:p>
                  </w:txbxContent>
                </v:textbox>
              </v:rect>
              <v:rect id="文本框 1155" o:spid="_x0000_s1164" style="position:absolute;left:3239;top:2049;height:407;width:2161;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r>
                        <w:rPr>
                          <w:rFonts w:hint="eastAsia"/>
                        </w:rPr>
                        <w:t>交易样点地价修正</w:t>
                      </w:r>
                    </w:p>
                  </w:txbxContent>
                </v:textbox>
              </v:rect>
              <v:line id="直线 1156" o:spid="_x0000_s1165" style="position:absolute;left:4319;top:409;height:274;width:1;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1157" o:spid="_x0000_s1166" style="position:absolute;left:4319;top:1093;height:272;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1158" o:spid="_x0000_s1167" style="position:absolute;left:4319;top:1775;height:274;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rect id="文本框 1159" o:spid="_x0000_s1168" style="position:absolute;left:0;top:1638;height:684;width:1978;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r>
                        <w:rPr>
                          <w:rFonts w:hint="eastAsia"/>
                        </w:rPr>
                        <w:t>各种税费和参数及指标资料调查</w:t>
                      </w:r>
                    </w:p>
                  </w:txbxContent>
                </v:textbox>
              </v:rect>
              <v:line id="直线 1160" o:spid="_x0000_s1169" style="position:absolute;left:1979;top:1912;height:1;width:36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161" o:spid="_x0000_s1170" style="position:absolute;left:2339;top:1638;height:683;width:1;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162" o:spid="_x0000_s1171" style="position:absolute;left:2339;top:1638;height:0;width:90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1163" o:spid="_x0000_s1172" style="position:absolute;left:2339;top:2321;height:0;width:90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group>
            <v:rect id="文本框 1164" o:spid="_x0000_s1173" style="position:absolute;left:8;top:3414;height:956;width:2878;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r>
                      <w:rPr>
                        <w:rFonts w:hint="eastAsia"/>
                      </w:rPr>
                      <w:t>调查已评估均质地域影响地价因素并建立地价与因素条件修正系数表</w:t>
                    </w:r>
                  </w:p>
                </w:txbxContent>
              </v:textbox>
            </v:rect>
            <v:rect id="文本框 1165" o:spid="_x0000_s1174" style="position:absolute;left:8;top:4506;height:683;width:2877;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r>
                      <w:rPr>
                        <w:rFonts w:hint="eastAsia"/>
                      </w:rPr>
                      <w:t>调查无样点均质地域影响地价因素</w:t>
                    </w:r>
                  </w:p>
                </w:txbxContent>
              </v:textbox>
            </v:rect>
            <v:line id="直线 1166" o:spid="_x0000_s1175" style="position:absolute;left:4327;top:2458;height:273;width: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167" o:spid="_x0000_s1176" style="position:absolute;left:4327;top:2731;height:0;width:342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168" o:spid="_x0000_s1177" style="position:absolute;left:7747;top:2321;flip:y;height:410;width: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rect id="文本框 1169" o:spid="_x0000_s1178" style="position:absolute;left:4867;top:3004;height:409;width:1981;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ind w:firstLine="105" w:firstLineChars="50"/>
                    </w:pPr>
                    <w:r>
                      <w:rPr>
                        <w:rFonts w:hint="eastAsia"/>
                      </w:rPr>
                      <w:t>样点地价检查</w:t>
                    </w:r>
                  </w:p>
                </w:txbxContent>
              </v:textbox>
            </v:rect>
            <v:rect id="文本框 1170" o:spid="_x0000_s1179" style="position:absolute;left:4327;top:3687;height:408;width:3238;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r>
                      <w:rPr>
                        <w:rFonts w:hint="eastAsia"/>
                      </w:rPr>
                      <w:t>有样点均质地域基准地价计算</w:t>
                    </w:r>
                  </w:p>
                </w:txbxContent>
              </v:textbox>
            </v:rect>
            <v:rect id="文本框 1171" o:spid="_x0000_s1180" style="position:absolute;left:4327;top:4506;height:409;width:3239;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r>
                      <w:rPr>
                        <w:rFonts w:hint="eastAsia"/>
                      </w:rPr>
                      <w:t>无样点均质地域基准地价计算</w:t>
                    </w:r>
                  </w:p>
                </w:txbxContent>
              </v:textbox>
            </v:rect>
            <v:rect id="文本框 1172" o:spid="_x0000_s1181" style="position:absolute;left:4327;top:5189;height:411;width:3239;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pPr>
                    <w:r>
                      <w:rPr>
                        <w:rFonts w:hint="eastAsia"/>
                      </w:rPr>
                      <w:t>级别基准地价计算</w:t>
                    </w:r>
                  </w:p>
                </w:txbxContent>
              </v:textbox>
            </v:rect>
            <v:rect id="文本框 1173" o:spid="_x0000_s1182" style="position:absolute;left:4327;top:5871;height:409;width:3239;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pPr>
                    <w:r>
                      <w:rPr>
                        <w:rFonts w:hint="eastAsia"/>
                      </w:rPr>
                      <w:t>宗地地价修正体系编制</w:t>
                    </w:r>
                  </w:p>
                </w:txbxContent>
              </v:textbox>
            </v:rect>
            <v:line id="直线 1174" o:spid="_x0000_s1183" style="position:absolute;left:5767;top:2731;height:273;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1175" o:spid="_x0000_s1184" style="position:absolute;left:5767;top:3414;height:273;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1176" o:spid="_x0000_s1185" style="position:absolute;left:5767;top:4096;height:410;width:1;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1177" o:spid="_x0000_s1186" style="position:absolute;left:5767;top:4915;height:274;width:1;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1178" o:spid="_x0000_s1187" style="position:absolute;left:5767;top:5599;height:273;width:1;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1179" o:spid="_x0000_s1188" style="position:absolute;left:2887;top:3824;height:0;width:54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180" o:spid="_x0000_s1189" style="position:absolute;left:3427;top:3824;height:956;width: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181" o:spid="_x0000_s1190" style="position:absolute;left:3427;top:4233;height:0;width:234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1182" o:spid="_x0000_s1191" style="position:absolute;left:2887;top:4780;height:0;width:54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183" o:spid="_x0000_s1192" style="position:absolute;left:7566;top:3824;height:0;width:108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184" o:spid="_x0000_s1193" style="position:absolute;left:8646;top:3824;height:1501;width: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185" o:spid="_x0000_s1194" style="position:absolute;left:7566;top:5325;flip:x;height:0;width:108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rect id="文本框 1186" o:spid="_x0000_s1195" style="position:absolute;left:2168;top:6827;height:409;width:1978;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r>
                      <w:rPr>
                        <w:rFonts w:hint="eastAsia"/>
                      </w:rPr>
                      <w:t>评估报告编写</w:t>
                    </w:r>
                  </w:p>
                </w:txbxContent>
              </v:textbox>
            </v:rect>
            <v:rect id="文本框 1187" o:spid="_x0000_s1196" style="position:absolute;left:6487;top:6827;height:409;width:2159;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r>
                      <w:rPr>
                        <w:rFonts w:hint="eastAsia"/>
                      </w:rPr>
                      <w:t>基准地价图件编制</w:t>
                    </w:r>
                  </w:p>
                </w:txbxContent>
              </v:textbox>
            </v:rect>
            <v:line id="直线 1188" o:spid="_x0000_s1197" style="position:absolute;left:5767;top:6281;height:274;width: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189" o:spid="_x0000_s1198" style="position:absolute;left:3607;top:6555;height:0;width:3959;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1190" o:spid="_x0000_s1199" style="position:absolute;left:3607;top:6555;height:272;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1191" o:spid="_x0000_s1200" style="position:absolute;left:7566;top:6555;height:272;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w10:wrap type="none"/>
            <w10:anchorlock/>
          </v:group>
        </w:pict>
      </w:r>
    </w:p>
    <w:p>
      <w:pPr>
        <w:spacing w:line="400" w:lineRule="exact"/>
        <w:jc w:val="center"/>
        <w:rPr>
          <w:b/>
          <w:bCs/>
          <w:sz w:val="24"/>
          <w:szCs w:val="22"/>
        </w:rPr>
      </w:pPr>
      <w:r>
        <w:rPr>
          <w:b/>
          <w:bCs/>
          <w:sz w:val="24"/>
          <w:szCs w:val="22"/>
        </w:rPr>
        <w:t>图3-1-1  长沙县基准地价评估流程图</w:t>
      </w:r>
    </w:p>
    <w:p>
      <w:pPr>
        <w:spacing w:line="360" w:lineRule="auto"/>
        <w:ind w:firstLine="560" w:firstLineChars="200"/>
        <w:outlineLvl w:val="2"/>
        <w:rPr>
          <w:rFonts w:eastAsia="黑体"/>
          <w:sz w:val="28"/>
          <w:szCs w:val="28"/>
        </w:rPr>
      </w:pPr>
      <w:bookmarkStart w:id="510" w:name="_Toc25186"/>
      <w:bookmarkStart w:id="511" w:name="_Toc4215"/>
      <w:bookmarkStart w:id="512" w:name="_Toc467846851"/>
      <w:bookmarkStart w:id="513" w:name="_Toc470721311"/>
      <w:bookmarkStart w:id="514" w:name="_Toc469296460"/>
      <w:r>
        <w:rPr>
          <w:rFonts w:eastAsia="黑体"/>
          <w:sz w:val="28"/>
          <w:szCs w:val="28"/>
        </w:rPr>
        <w:t>五、基准地价更新步骤</w:t>
      </w:r>
      <w:bookmarkEnd w:id="507"/>
      <w:bookmarkEnd w:id="508"/>
      <w:bookmarkEnd w:id="509"/>
      <w:bookmarkEnd w:id="510"/>
      <w:bookmarkEnd w:id="511"/>
      <w:bookmarkEnd w:id="512"/>
      <w:bookmarkEnd w:id="513"/>
      <w:bookmarkEnd w:id="514"/>
    </w:p>
    <w:p>
      <w:pPr>
        <w:spacing w:line="360" w:lineRule="auto"/>
        <w:ind w:firstLine="480" w:firstLineChars="200"/>
        <w:rPr>
          <w:sz w:val="24"/>
          <w:szCs w:val="24"/>
        </w:rPr>
      </w:pPr>
      <w:r>
        <w:rPr>
          <w:sz w:val="24"/>
          <w:szCs w:val="24"/>
        </w:rPr>
        <w:t>更新基准地价采用在土地定级基础上以市场交易地价资料为依据进行，具体步骤如下：</w:t>
      </w:r>
    </w:p>
    <w:p>
      <w:pPr>
        <w:spacing w:line="360" w:lineRule="auto"/>
        <w:ind w:firstLine="480" w:firstLineChars="200"/>
        <w:rPr>
          <w:sz w:val="24"/>
          <w:szCs w:val="24"/>
        </w:rPr>
      </w:pPr>
      <w:r>
        <w:rPr>
          <w:sz w:val="24"/>
          <w:szCs w:val="24"/>
        </w:rPr>
        <w:sym w:font="Wingdings" w:char="F081"/>
      </w:r>
      <w:r>
        <w:rPr>
          <w:sz w:val="24"/>
          <w:szCs w:val="24"/>
        </w:rPr>
        <w:t xml:space="preserve"> 调查市场交易资料，其要求与基准地价评估的要求基本相同，但样本数量可少于基准地价评估的数量； </w:t>
      </w:r>
    </w:p>
    <w:p>
      <w:pPr>
        <w:spacing w:line="360" w:lineRule="auto"/>
        <w:ind w:firstLine="480" w:firstLineChars="200"/>
        <w:rPr>
          <w:sz w:val="24"/>
          <w:szCs w:val="24"/>
        </w:rPr>
      </w:pPr>
      <w:r>
        <w:rPr>
          <w:sz w:val="24"/>
          <w:szCs w:val="24"/>
        </w:rPr>
        <w:sym w:font="Wingdings" w:char="F082"/>
      </w:r>
      <w:r>
        <w:rPr>
          <w:sz w:val="24"/>
          <w:szCs w:val="24"/>
        </w:rPr>
        <w:t xml:space="preserve"> 根据交易地价资料对原土地级别进行调整；</w:t>
      </w:r>
    </w:p>
    <w:p>
      <w:pPr>
        <w:pStyle w:val="66"/>
        <w:spacing w:line="360" w:lineRule="auto"/>
        <w:ind w:firstLine="480"/>
        <w:rPr>
          <w:sz w:val="24"/>
          <w:szCs w:val="24"/>
        </w:rPr>
      </w:pPr>
      <w:r>
        <w:rPr>
          <w:sz w:val="24"/>
          <w:szCs w:val="24"/>
        </w:rPr>
        <w:sym w:font="Wingdings" w:char="F083"/>
      </w:r>
      <w:r>
        <w:rPr>
          <w:sz w:val="24"/>
          <w:szCs w:val="24"/>
        </w:rPr>
        <w:t xml:space="preserve"> 确定更新的基准地价，可用区域内样点地价平均法确定；</w:t>
      </w:r>
    </w:p>
    <w:p>
      <w:pPr>
        <w:spacing w:line="360" w:lineRule="auto"/>
        <w:ind w:firstLine="480" w:firstLineChars="200"/>
        <w:rPr>
          <w:sz w:val="24"/>
          <w:szCs w:val="24"/>
        </w:rPr>
      </w:pPr>
      <w:r>
        <w:rPr>
          <w:sz w:val="24"/>
          <w:szCs w:val="24"/>
        </w:rPr>
        <w:sym w:font="Wingdings" w:char="0084"/>
      </w:r>
      <w:r>
        <w:rPr>
          <w:sz w:val="24"/>
          <w:szCs w:val="24"/>
        </w:rPr>
        <w:t xml:space="preserve"> 更新宗地地价修正体系，主要是宗地地价影响因素的更新和修正幅度的更新。</w:t>
      </w:r>
      <w:bookmarkStart w:id="515" w:name="_Toc427343278"/>
      <w:bookmarkStart w:id="516" w:name="_Toc248306046"/>
      <w:bookmarkStart w:id="517" w:name="_Toc213589808"/>
      <w:bookmarkStart w:id="518" w:name="_Toc248305609"/>
    </w:p>
    <w:p>
      <w:pPr>
        <w:spacing w:line="360" w:lineRule="auto"/>
        <w:ind w:firstLine="560" w:firstLineChars="200"/>
        <w:outlineLvl w:val="2"/>
        <w:rPr>
          <w:rFonts w:eastAsia="黑体"/>
          <w:sz w:val="28"/>
          <w:szCs w:val="28"/>
        </w:rPr>
      </w:pPr>
      <w:bookmarkStart w:id="519" w:name="_Toc9471"/>
      <w:bookmarkStart w:id="520" w:name="_Toc467846852"/>
      <w:bookmarkStart w:id="521" w:name="_Toc20806"/>
      <w:bookmarkStart w:id="522" w:name="_Toc469296461"/>
      <w:bookmarkStart w:id="523" w:name="_Toc470721312"/>
      <w:r>
        <w:rPr>
          <w:rFonts w:eastAsia="黑体"/>
          <w:sz w:val="28"/>
          <w:szCs w:val="28"/>
        </w:rPr>
        <w:t>六、基准地价内涵</w:t>
      </w:r>
      <w:bookmarkEnd w:id="515"/>
      <w:bookmarkEnd w:id="519"/>
      <w:bookmarkEnd w:id="520"/>
      <w:bookmarkEnd w:id="521"/>
      <w:bookmarkEnd w:id="522"/>
      <w:bookmarkEnd w:id="523"/>
    </w:p>
    <w:bookmarkEnd w:id="516"/>
    <w:bookmarkEnd w:id="517"/>
    <w:bookmarkEnd w:id="518"/>
    <w:p>
      <w:pPr>
        <w:spacing w:line="360" w:lineRule="auto"/>
        <w:ind w:firstLine="480" w:firstLineChars="200"/>
        <w:rPr>
          <w:sz w:val="24"/>
          <w:szCs w:val="24"/>
        </w:rPr>
      </w:pPr>
      <w:r>
        <w:rPr>
          <w:sz w:val="24"/>
          <w:szCs w:val="24"/>
        </w:rPr>
        <w:t>本次评估更新的基准地价是在</w:t>
      </w:r>
      <w:r>
        <w:rPr>
          <w:rFonts w:hint="eastAsia"/>
          <w:sz w:val="24"/>
          <w:szCs w:val="24"/>
          <w:lang w:eastAsia="zh-CN"/>
        </w:rPr>
        <w:t>2018年3月1日</w:t>
      </w:r>
      <w:r>
        <w:rPr>
          <w:sz w:val="24"/>
          <w:szCs w:val="24"/>
        </w:rPr>
        <w:t>各土地级别或均质区域内，在现状平均土地开发程度和平均容积率下，同一用途的完整土地使用权的平均价格。地类按商服、住宅、工矿仓储用地区分，各类用地的使用年期均为法定最高使用年限。</w:t>
      </w:r>
    </w:p>
    <w:p>
      <w:pPr>
        <w:spacing w:line="360" w:lineRule="auto"/>
        <w:ind w:firstLine="482" w:firstLineChars="200"/>
        <w:rPr>
          <w:b/>
          <w:sz w:val="24"/>
          <w:szCs w:val="24"/>
        </w:rPr>
      </w:pPr>
      <w:r>
        <w:rPr>
          <w:b/>
          <w:sz w:val="24"/>
          <w:szCs w:val="24"/>
        </w:rPr>
        <w:t>1、基准日</w:t>
      </w:r>
    </w:p>
    <w:p>
      <w:pPr>
        <w:spacing w:line="360" w:lineRule="auto"/>
        <w:ind w:firstLine="464" w:firstLineChars="200"/>
        <w:rPr>
          <w:spacing w:val="-4"/>
          <w:sz w:val="24"/>
          <w:szCs w:val="24"/>
        </w:rPr>
      </w:pPr>
      <w:r>
        <w:rPr>
          <w:spacing w:val="-4"/>
          <w:sz w:val="24"/>
          <w:szCs w:val="24"/>
        </w:rPr>
        <w:t>考虑到此次基准地价更新外业调查及资料收集时间为2016年10月-2016年12月，技术小组经讨论并征求领导小组意见后确定此次基准地价更新的基准日为</w:t>
      </w:r>
      <w:r>
        <w:rPr>
          <w:rFonts w:hint="eastAsia"/>
          <w:spacing w:val="-4"/>
          <w:sz w:val="24"/>
          <w:szCs w:val="24"/>
          <w:lang w:eastAsia="zh-CN"/>
        </w:rPr>
        <w:t>2018年3月1日</w:t>
      </w:r>
      <w:r>
        <w:rPr>
          <w:spacing w:val="-4"/>
          <w:sz w:val="24"/>
          <w:szCs w:val="24"/>
        </w:rPr>
        <w:t>。</w:t>
      </w:r>
    </w:p>
    <w:p>
      <w:pPr>
        <w:spacing w:line="360" w:lineRule="auto"/>
        <w:ind w:firstLine="482" w:firstLineChars="200"/>
        <w:rPr>
          <w:b/>
          <w:sz w:val="24"/>
          <w:szCs w:val="24"/>
        </w:rPr>
      </w:pPr>
      <w:r>
        <w:rPr>
          <w:b/>
          <w:sz w:val="24"/>
          <w:szCs w:val="24"/>
        </w:rPr>
        <w:t xml:space="preserve">2、土地用途 </w:t>
      </w:r>
    </w:p>
    <w:p>
      <w:pPr>
        <w:spacing w:line="360" w:lineRule="auto"/>
        <w:ind w:firstLine="480" w:firstLineChars="200"/>
        <w:rPr>
          <w:b/>
          <w:sz w:val="24"/>
          <w:szCs w:val="24"/>
        </w:rPr>
      </w:pPr>
      <w:r>
        <w:rPr>
          <w:sz w:val="24"/>
          <w:szCs w:val="24"/>
        </w:rPr>
        <w:t>根据《土地利用现状分类》（</w:t>
      </w:r>
      <w:r>
        <w:rPr>
          <w:spacing w:val="-4"/>
          <w:sz w:val="24"/>
          <w:szCs w:val="24"/>
        </w:rPr>
        <w:t>中华人民共和国国家标准GB/T21010-2017</w:t>
      </w:r>
      <w:r>
        <w:rPr>
          <w:sz w:val="24"/>
          <w:szCs w:val="24"/>
        </w:rPr>
        <w:t>）分类。</w:t>
      </w:r>
    </w:p>
    <w:p>
      <w:pPr>
        <w:spacing w:line="360" w:lineRule="auto"/>
        <w:ind w:firstLine="482" w:firstLineChars="200"/>
        <w:rPr>
          <w:b/>
          <w:sz w:val="24"/>
          <w:szCs w:val="24"/>
        </w:rPr>
      </w:pPr>
      <w:r>
        <w:rPr>
          <w:b/>
          <w:sz w:val="24"/>
          <w:szCs w:val="24"/>
        </w:rPr>
        <w:t>3、开发程度</w:t>
      </w:r>
    </w:p>
    <w:p>
      <w:pPr>
        <w:spacing w:line="360" w:lineRule="auto"/>
        <w:ind w:firstLine="480" w:firstLineChars="200"/>
        <w:rPr>
          <w:sz w:val="24"/>
          <w:szCs w:val="24"/>
        </w:rPr>
      </w:pPr>
      <w:r>
        <w:rPr>
          <w:sz w:val="24"/>
          <w:szCs w:val="24"/>
        </w:rPr>
        <w:t>经过对长沙县调查，长沙县建成区开发程度普遍达到宗地红线外“五通”（通通路、通电、通讯、供水和排水）及红线内场地平整。建成区以外土地利用现状主要是农用地，考虑到建成区以外土地即将进行开发建设，并且土地出让时一般也要进行开发，其开发程度将与建成区保持一致，考虑到基准地价成果的适用性，此次将规划区土地开发程度统一界定为宗地红线外“五通”（</w:t>
      </w:r>
      <w:r>
        <w:t xml:space="preserve"> </w:t>
      </w:r>
      <w:r>
        <w:rPr>
          <w:sz w:val="24"/>
          <w:szCs w:val="24"/>
        </w:rPr>
        <w:t>通路、通电、通讯、供水和排水）及红线内场地平整。</w:t>
      </w:r>
    </w:p>
    <w:p>
      <w:pPr>
        <w:spacing w:line="360" w:lineRule="auto"/>
        <w:ind w:firstLine="482" w:firstLineChars="200"/>
        <w:rPr>
          <w:b/>
          <w:sz w:val="24"/>
          <w:szCs w:val="24"/>
        </w:rPr>
      </w:pPr>
      <w:r>
        <w:rPr>
          <w:b/>
          <w:sz w:val="24"/>
          <w:szCs w:val="24"/>
        </w:rPr>
        <w:t>4、容积率</w:t>
      </w:r>
    </w:p>
    <w:p>
      <w:pPr>
        <w:spacing w:line="360" w:lineRule="auto"/>
        <w:ind w:firstLine="480" w:firstLineChars="200"/>
        <w:rPr>
          <w:sz w:val="24"/>
          <w:szCs w:val="24"/>
        </w:rPr>
      </w:pPr>
      <w:r>
        <w:rPr>
          <w:sz w:val="24"/>
        </w:rPr>
        <w:t>根据长沙县规划部门提供的各区控制性详规资料，确定了各级别的规划容积率，并由此确定了各用途土地级别的正常容积率，具体见表3-1-2、表3-1-3。</w:t>
      </w:r>
    </w:p>
    <w:p>
      <w:pPr>
        <w:spacing w:line="360" w:lineRule="auto"/>
        <w:ind w:firstLine="482" w:firstLineChars="200"/>
        <w:rPr>
          <w:b/>
          <w:bCs/>
          <w:sz w:val="24"/>
          <w:szCs w:val="24"/>
        </w:rPr>
      </w:pPr>
      <w:r>
        <w:rPr>
          <w:b/>
          <w:bCs/>
          <w:sz w:val="24"/>
          <w:szCs w:val="24"/>
        </w:rPr>
        <w:t>5、土地使用年期及土地权利状况</w:t>
      </w:r>
    </w:p>
    <w:p>
      <w:pPr>
        <w:spacing w:line="360" w:lineRule="auto"/>
        <w:ind w:firstLine="480" w:firstLineChars="200"/>
        <w:rPr>
          <w:sz w:val="24"/>
          <w:szCs w:val="24"/>
        </w:rPr>
      </w:pPr>
      <w:r>
        <w:rPr>
          <w:sz w:val="24"/>
          <w:szCs w:val="24"/>
        </w:rPr>
        <w:t>根据《城镇土地估价规程》规定，基准地价应为各类用地法定最高使用年期的出让土地使用权价格。</w:t>
      </w:r>
    </w:p>
    <w:p>
      <w:pPr>
        <w:spacing w:line="400" w:lineRule="exact"/>
        <w:jc w:val="center"/>
        <w:rPr>
          <w:rFonts w:eastAsia="黑体"/>
          <w:b/>
          <w:bCs/>
          <w:sz w:val="24"/>
        </w:rPr>
      </w:pPr>
      <w:r>
        <w:rPr>
          <w:b/>
          <w:bCs/>
          <w:sz w:val="24"/>
        </w:rPr>
        <w:t>表 3-1-2 　长沙县城区基准地价内涵表</w:t>
      </w:r>
    </w:p>
    <w:tbl>
      <w:tblPr>
        <w:tblW w:w="94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5"/>
        <w:gridCol w:w="1300"/>
        <w:gridCol w:w="1048"/>
        <w:gridCol w:w="941"/>
        <w:gridCol w:w="929"/>
        <w:gridCol w:w="909"/>
        <w:gridCol w:w="1040"/>
        <w:gridCol w:w="1226"/>
        <w:gridCol w:w="11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5" w:type="dxa"/>
            <w:vMerge w:val="restart"/>
            <w:tcBorders>
              <w:top w:val="single" w:color="auto" w:sz="4" w:space="0"/>
              <w:left w:val="single" w:color="auto" w:sz="4" w:space="0"/>
              <w:bottom w:val="single" w:color="000000" w:sz="4" w:space="0"/>
              <w:right w:val="single" w:color="auto" w:sz="4" w:space="0"/>
            </w:tcBorders>
            <w:vAlign w:val="center"/>
          </w:tcPr>
          <w:p>
            <w:pPr>
              <w:ind w:left="-105" w:leftChars="-50" w:right="-105" w:rightChars="-50"/>
              <w:jc w:val="center"/>
              <w:rPr>
                <w:kern w:val="0"/>
                <w:szCs w:val="21"/>
              </w:rPr>
            </w:pPr>
            <w:r>
              <w:rPr>
                <w:kern w:val="0"/>
                <w:szCs w:val="21"/>
              </w:rPr>
              <w:t>级 别</w:t>
            </w:r>
          </w:p>
        </w:tc>
        <w:tc>
          <w:tcPr>
            <w:tcW w:w="1300" w:type="dxa"/>
            <w:vMerge w:val="restart"/>
            <w:tcBorders>
              <w:top w:val="single" w:color="auto" w:sz="4" w:space="0"/>
              <w:left w:val="single" w:color="auto" w:sz="4" w:space="0"/>
              <w:bottom w:val="single" w:color="000000" w:sz="4" w:space="0"/>
              <w:right w:val="single" w:color="auto" w:sz="4" w:space="0"/>
            </w:tcBorders>
            <w:vAlign w:val="center"/>
          </w:tcPr>
          <w:p>
            <w:pPr>
              <w:ind w:left="-105" w:leftChars="-50" w:right="-105" w:rightChars="-50"/>
              <w:jc w:val="center"/>
              <w:rPr>
                <w:kern w:val="0"/>
                <w:szCs w:val="21"/>
              </w:rPr>
            </w:pPr>
            <w:r>
              <w:rPr>
                <w:kern w:val="0"/>
                <w:szCs w:val="21"/>
              </w:rPr>
              <w:t>土地权利</w:t>
            </w:r>
          </w:p>
        </w:tc>
        <w:tc>
          <w:tcPr>
            <w:tcW w:w="1989" w:type="dxa"/>
            <w:gridSpan w:val="2"/>
            <w:tcBorders>
              <w:top w:val="single" w:color="auto" w:sz="4" w:space="0"/>
              <w:left w:val="nil"/>
              <w:bottom w:val="single" w:color="auto" w:sz="4" w:space="0"/>
              <w:right w:val="single" w:color="000000" w:sz="4" w:space="0"/>
            </w:tcBorders>
            <w:vAlign w:val="center"/>
          </w:tcPr>
          <w:p>
            <w:pPr>
              <w:ind w:left="-105" w:leftChars="-50" w:right="-105" w:rightChars="-50"/>
              <w:jc w:val="center"/>
              <w:rPr>
                <w:kern w:val="0"/>
                <w:szCs w:val="21"/>
              </w:rPr>
            </w:pPr>
            <w:r>
              <w:rPr>
                <w:kern w:val="0"/>
                <w:szCs w:val="21"/>
              </w:rPr>
              <w:t>商服</w:t>
            </w:r>
          </w:p>
        </w:tc>
        <w:tc>
          <w:tcPr>
            <w:tcW w:w="1838" w:type="dxa"/>
            <w:gridSpan w:val="2"/>
            <w:tcBorders>
              <w:top w:val="single" w:color="auto" w:sz="4" w:space="0"/>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住宅</w:t>
            </w:r>
          </w:p>
        </w:tc>
        <w:tc>
          <w:tcPr>
            <w:tcW w:w="1040" w:type="dxa"/>
            <w:tcBorders>
              <w:top w:val="single" w:color="auto" w:sz="4" w:space="0"/>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工矿仓储</w:t>
            </w:r>
          </w:p>
        </w:tc>
        <w:tc>
          <w:tcPr>
            <w:tcW w:w="1226" w:type="dxa"/>
            <w:vMerge w:val="restart"/>
            <w:tcBorders>
              <w:top w:val="single" w:color="auto" w:sz="4" w:space="0"/>
              <w:left w:val="single" w:color="auto" w:sz="4" w:space="0"/>
              <w:bottom w:val="single" w:color="000000" w:sz="4" w:space="0"/>
              <w:right w:val="single" w:color="auto" w:sz="4" w:space="0"/>
            </w:tcBorders>
            <w:vAlign w:val="center"/>
          </w:tcPr>
          <w:p>
            <w:pPr>
              <w:ind w:left="-105" w:leftChars="-50" w:right="-105" w:rightChars="-50"/>
              <w:jc w:val="center"/>
              <w:rPr>
                <w:kern w:val="0"/>
                <w:szCs w:val="21"/>
              </w:rPr>
            </w:pPr>
            <w:r>
              <w:rPr>
                <w:kern w:val="0"/>
                <w:szCs w:val="21"/>
              </w:rPr>
              <w:t>开发程度</w:t>
            </w:r>
          </w:p>
        </w:tc>
        <w:tc>
          <w:tcPr>
            <w:tcW w:w="1162" w:type="dxa"/>
            <w:vMerge w:val="restart"/>
            <w:tcBorders>
              <w:top w:val="single" w:color="auto" w:sz="4" w:space="0"/>
              <w:left w:val="single" w:color="auto" w:sz="4" w:space="0"/>
              <w:bottom w:val="single" w:color="000000" w:sz="4" w:space="0"/>
              <w:right w:val="single" w:color="auto" w:sz="4" w:space="0"/>
            </w:tcBorders>
            <w:vAlign w:val="center"/>
          </w:tcPr>
          <w:p>
            <w:pPr>
              <w:ind w:left="-105" w:leftChars="-50" w:right="-105" w:rightChars="-50"/>
              <w:jc w:val="center"/>
              <w:rPr>
                <w:rFonts w:hint="eastAsia" w:eastAsia="宋体"/>
                <w:kern w:val="0"/>
                <w:szCs w:val="21"/>
                <w:lang w:eastAsia="zh-CN"/>
              </w:rPr>
            </w:pPr>
            <w:r>
              <w:rPr>
                <w:rFonts w:hint="eastAsia"/>
                <w:kern w:val="0"/>
                <w:szCs w:val="21"/>
                <w:lang w:eastAsia="zh-CN"/>
              </w:rPr>
              <w:t>基准日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5" w:type="dxa"/>
            <w:vMerge w:val="continue"/>
            <w:tcBorders>
              <w:top w:val="single" w:color="auto" w:sz="4" w:space="0"/>
              <w:left w:val="single" w:color="auto" w:sz="4" w:space="0"/>
              <w:bottom w:val="single" w:color="000000" w:sz="4" w:space="0"/>
              <w:right w:val="single" w:color="auto" w:sz="4" w:space="0"/>
            </w:tcBorders>
            <w:vAlign w:val="center"/>
          </w:tcPr>
          <w:p>
            <w:pPr>
              <w:ind w:left="-105" w:leftChars="-50" w:right="-105" w:rightChars="-50"/>
              <w:jc w:val="center"/>
              <w:rPr>
                <w:kern w:val="0"/>
                <w:szCs w:val="21"/>
              </w:rPr>
            </w:pPr>
          </w:p>
        </w:tc>
        <w:tc>
          <w:tcPr>
            <w:tcW w:w="1300" w:type="dxa"/>
            <w:vMerge w:val="continue"/>
            <w:tcBorders>
              <w:top w:val="single" w:color="auto" w:sz="4" w:space="0"/>
              <w:left w:val="single" w:color="auto" w:sz="4" w:space="0"/>
              <w:bottom w:val="single" w:color="000000" w:sz="4" w:space="0"/>
              <w:right w:val="single" w:color="auto" w:sz="4" w:space="0"/>
            </w:tcBorders>
            <w:vAlign w:val="center"/>
          </w:tcPr>
          <w:p>
            <w:pPr>
              <w:ind w:left="-105" w:leftChars="-50" w:right="-105" w:rightChars="-50"/>
              <w:jc w:val="center"/>
              <w:rPr>
                <w:kern w:val="0"/>
                <w:szCs w:val="21"/>
              </w:rPr>
            </w:pPr>
          </w:p>
        </w:tc>
        <w:tc>
          <w:tcPr>
            <w:tcW w:w="1048" w:type="dxa"/>
            <w:tcBorders>
              <w:top w:val="nil"/>
              <w:left w:val="nil"/>
              <w:bottom w:val="nil"/>
              <w:right w:val="single" w:color="auto" w:sz="4" w:space="0"/>
            </w:tcBorders>
            <w:vAlign w:val="center"/>
          </w:tcPr>
          <w:p>
            <w:pPr>
              <w:ind w:left="-105" w:leftChars="-50" w:right="-105" w:rightChars="-50"/>
              <w:jc w:val="center"/>
              <w:rPr>
                <w:kern w:val="0"/>
                <w:szCs w:val="21"/>
              </w:rPr>
            </w:pPr>
            <w:r>
              <w:rPr>
                <w:kern w:val="0"/>
                <w:szCs w:val="21"/>
              </w:rPr>
              <w:t>使用年期</w:t>
            </w:r>
          </w:p>
        </w:tc>
        <w:tc>
          <w:tcPr>
            <w:tcW w:w="941" w:type="dxa"/>
            <w:tcBorders>
              <w:top w:val="nil"/>
              <w:left w:val="nil"/>
              <w:bottom w:val="nil"/>
              <w:right w:val="single" w:color="auto" w:sz="4" w:space="0"/>
            </w:tcBorders>
            <w:vAlign w:val="center"/>
          </w:tcPr>
          <w:p>
            <w:pPr>
              <w:ind w:left="-105" w:leftChars="-50" w:right="-105" w:rightChars="-50"/>
              <w:jc w:val="center"/>
              <w:rPr>
                <w:kern w:val="0"/>
                <w:szCs w:val="21"/>
              </w:rPr>
            </w:pPr>
            <w:r>
              <w:rPr>
                <w:kern w:val="0"/>
                <w:szCs w:val="21"/>
              </w:rPr>
              <w:t>容积率</w:t>
            </w:r>
          </w:p>
        </w:tc>
        <w:tc>
          <w:tcPr>
            <w:tcW w:w="929"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使用年期</w:t>
            </w:r>
          </w:p>
        </w:tc>
        <w:tc>
          <w:tcPr>
            <w:tcW w:w="909"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容积率</w:t>
            </w:r>
          </w:p>
        </w:tc>
        <w:tc>
          <w:tcPr>
            <w:tcW w:w="1040"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使用年期</w:t>
            </w:r>
          </w:p>
        </w:tc>
        <w:tc>
          <w:tcPr>
            <w:tcW w:w="1226" w:type="dxa"/>
            <w:vMerge w:val="continue"/>
            <w:tcBorders>
              <w:top w:val="single" w:color="auto" w:sz="4" w:space="0"/>
              <w:left w:val="single" w:color="auto" w:sz="4" w:space="0"/>
              <w:bottom w:val="single" w:color="000000" w:sz="4" w:space="0"/>
              <w:right w:val="single" w:color="auto" w:sz="4" w:space="0"/>
            </w:tcBorders>
            <w:vAlign w:val="center"/>
          </w:tcPr>
          <w:p>
            <w:pPr>
              <w:ind w:left="-105" w:leftChars="-50" w:right="-105" w:rightChars="-50"/>
              <w:jc w:val="center"/>
              <w:rPr>
                <w:kern w:val="0"/>
                <w:szCs w:val="21"/>
              </w:rPr>
            </w:pPr>
          </w:p>
        </w:tc>
        <w:tc>
          <w:tcPr>
            <w:tcW w:w="1162" w:type="dxa"/>
            <w:vMerge w:val="continue"/>
            <w:tcBorders>
              <w:top w:val="single" w:color="auto" w:sz="4" w:space="0"/>
              <w:left w:val="single" w:color="auto" w:sz="4" w:space="0"/>
              <w:bottom w:val="single" w:color="000000" w:sz="4" w:space="0"/>
              <w:right w:val="single" w:color="auto" w:sz="4" w:space="0"/>
            </w:tcBorders>
            <w:vAlign w:val="center"/>
          </w:tcPr>
          <w:p>
            <w:pPr>
              <w:ind w:left="-105" w:leftChars="-50" w:right="-105" w:rightChars="-50"/>
              <w:jc w:val="center"/>
              <w:rPr>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9" w:hRule="exact"/>
          <w:jc w:val="center"/>
        </w:trPr>
        <w:tc>
          <w:tcPr>
            <w:tcW w:w="875" w:type="dxa"/>
            <w:tcBorders>
              <w:top w:val="nil"/>
              <w:left w:val="single" w:color="auto" w:sz="4" w:space="0"/>
              <w:bottom w:val="single" w:color="auto" w:sz="4" w:space="0"/>
              <w:right w:val="single" w:color="auto" w:sz="4" w:space="0"/>
            </w:tcBorders>
            <w:vAlign w:val="center"/>
          </w:tcPr>
          <w:p>
            <w:pPr>
              <w:ind w:left="-105" w:leftChars="-50" w:right="-105" w:rightChars="-50"/>
              <w:jc w:val="center"/>
              <w:rPr>
                <w:kern w:val="0"/>
                <w:szCs w:val="21"/>
              </w:rPr>
            </w:pPr>
            <w:r>
              <w:rPr>
                <w:kern w:val="0"/>
                <w:szCs w:val="21"/>
              </w:rPr>
              <w:t>Ⅰ</w:t>
            </w:r>
          </w:p>
        </w:tc>
        <w:tc>
          <w:tcPr>
            <w:tcW w:w="1300" w:type="dxa"/>
            <w:tcBorders>
              <w:top w:val="nil"/>
              <w:left w:val="nil"/>
              <w:bottom w:val="single" w:color="auto" w:sz="4" w:space="0"/>
              <w:right w:val="nil"/>
            </w:tcBorders>
            <w:vAlign w:val="center"/>
          </w:tcPr>
          <w:p>
            <w:pPr>
              <w:ind w:left="-105" w:leftChars="-50" w:right="-105" w:rightChars="-50"/>
              <w:jc w:val="center"/>
              <w:rPr>
                <w:kern w:val="0"/>
                <w:szCs w:val="21"/>
              </w:rPr>
            </w:pPr>
            <w:r>
              <w:rPr>
                <w:kern w:val="0"/>
                <w:szCs w:val="21"/>
              </w:rPr>
              <w:t>出让土地使用权</w:t>
            </w:r>
          </w:p>
        </w:tc>
        <w:tc>
          <w:tcPr>
            <w:tcW w:w="1048"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kern w:val="0"/>
                <w:szCs w:val="21"/>
              </w:rPr>
            </w:pPr>
            <w:r>
              <w:rPr>
                <w:kern w:val="0"/>
                <w:szCs w:val="21"/>
              </w:rPr>
              <w:t>40</w:t>
            </w:r>
          </w:p>
        </w:tc>
        <w:tc>
          <w:tcPr>
            <w:tcW w:w="941" w:type="dxa"/>
            <w:tcBorders>
              <w:top w:val="single" w:color="auto" w:sz="4" w:space="0"/>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2.8</w:t>
            </w:r>
          </w:p>
        </w:tc>
        <w:tc>
          <w:tcPr>
            <w:tcW w:w="929"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70</w:t>
            </w:r>
          </w:p>
        </w:tc>
        <w:tc>
          <w:tcPr>
            <w:tcW w:w="909"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2.4</w:t>
            </w:r>
          </w:p>
        </w:tc>
        <w:tc>
          <w:tcPr>
            <w:tcW w:w="1040"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50</w:t>
            </w:r>
          </w:p>
        </w:tc>
        <w:tc>
          <w:tcPr>
            <w:tcW w:w="1226"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五通一平</w:t>
            </w:r>
          </w:p>
        </w:tc>
        <w:tc>
          <w:tcPr>
            <w:tcW w:w="1162"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kern w:val="0"/>
                <w:szCs w:val="21"/>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7" w:hRule="exact"/>
          <w:jc w:val="center"/>
        </w:trPr>
        <w:tc>
          <w:tcPr>
            <w:tcW w:w="875" w:type="dxa"/>
            <w:tcBorders>
              <w:top w:val="nil"/>
              <w:left w:val="single" w:color="auto" w:sz="4" w:space="0"/>
              <w:bottom w:val="single" w:color="auto" w:sz="4" w:space="0"/>
              <w:right w:val="single" w:color="auto" w:sz="4" w:space="0"/>
            </w:tcBorders>
            <w:vAlign w:val="center"/>
          </w:tcPr>
          <w:p>
            <w:pPr>
              <w:ind w:left="-105" w:leftChars="-50" w:right="-105" w:rightChars="-50"/>
              <w:jc w:val="center"/>
              <w:rPr>
                <w:kern w:val="0"/>
                <w:szCs w:val="21"/>
              </w:rPr>
            </w:pPr>
            <w:r>
              <w:rPr>
                <w:kern w:val="0"/>
                <w:szCs w:val="21"/>
              </w:rPr>
              <w:t>Ⅱ</w:t>
            </w:r>
          </w:p>
        </w:tc>
        <w:tc>
          <w:tcPr>
            <w:tcW w:w="1300" w:type="dxa"/>
            <w:tcBorders>
              <w:top w:val="nil"/>
              <w:left w:val="nil"/>
              <w:bottom w:val="single" w:color="auto" w:sz="4" w:space="0"/>
              <w:right w:val="nil"/>
            </w:tcBorders>
            <w:vAlign w:val="center"/>
          </w:tcPr>
          <w:p>
            <w:pPr>
              <w:ind w:left="-105" w:leftChars="-50" w:right="-105" w:rightChars="-50"/>
              <w:jc w:val="center"/>
              <w:rPr>
                <w:kern w:val="0"/>
                <w:szCs w:val="21"/>
              </w:rPr>
            </w:pPr>
            <w:r>
              <w:rPr>
                <w:kern w:val="0"/>
                <w:szCs w:val="21"/>
              </w:rPr>
              <w:t>出让土地使用权</w:t>
            </w:r>
          </w:p>
        </w:tc>
        <w:tc>
          <w:tcPr>
            <w:tcW w:w="1048" w:type="dxa"/>
            <w:tcBorders>
              <w:top w:val="nil"/>
              <w:left w:val="single" w:color="auto" w:sz="4" w:space="0"/>
              <w:bottom w:val="single" w:color="auto" w:sz="4" w:space="0"/>
              <w:right w:val="single" w:color="auto" w:sz="4" w:space="0"/>
            </w:tcBorders>
            <w:vAlign w:val="center"/>
          </w:tcPr>
          <w:p>
            <w:pPr>
              <w:ind w:left="-105" w:leftChars="-50" w:right="-105" w:rightChars="-50"/>
              <w:jc w:val="center"/>
              <w:rPr>
                <w:kern w:val="0"/>
                <w:szCs w:val="21"/>
              </w:rPr>
            </w:pPr>
            <w:r>
              <w:rPr>
                <w:kern w:val="0"/>
                <w:szCs w:val="21"/>
              </w:rPr>
              <w:t>40</w:t>
            </w:r>
          </w:p>
        </w:tc>
        <w:tc>
          <w:tcPr>
            <w:tcW w:w="941"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2.5</w:t>
            </w:r>
          </w:p>
        </w:tc>
        <w:tc>
          <w:tcPr>
            <w:tcW w:w="929"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70</w:t>
            </w:r>
          </w:p>
        </w:tc>
        <w:tc>
          <w:tcPr>
            <w:tcW w:w="909"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2.2</w:t>
            </w:r>
          </w:p>
        </w:tc>
        <w:tc>
          <w:tcPr>
            <w:tcW w:w="1040"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50</w:t>
            </w:r>
          </w:p>
        </w:tc>
        <w:tc>
          <w:tcPr>
            <w:tcW w:w="1226"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五通一平</w:t>
            </w:r>
          </w:p>
        </w:tc>
        <w:tc>
          <w:tcPr>
            <w:tcW w:w="1162"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kern w:val="0"/>
                <w:szCs w:val="21"/>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9" w:hRule="exact"/>
          <w:jc w:val="center"/>
        </w:trPr>
        <w:tc>
          <w:tcPr>
            <w:tcW w:w="875" w:type="dxa"/>
            <w:tcBorders>
              <w:top w:val="nil"/>
              <w:left w:val="single" w:color="auto" w:sz="4" w:space="0"/>
              <w:bottom w:val="single" w:color="auto" w:sz="4" w:space="0"/>
              <w:right w:val="single" w:color="auto" w:sz="4" w:space="0"/>
            </w:tcBorders>
            <w:vAlign w:val="center"/>
          </w:tcPr>
          <w:p>
            <w:pPr>
              <w:ind w:left="-105" w:leftChars="-50" w:right="-105" w:rightChars="-50"/>
              <w:jc w:val="center"/>
              <w:rPr>
                <w:kern w:val="0"/>
                <w:szCs w:val="21"/>
              </w:rPr>
            </w:pPr>
            <w:r>
              <w:rPr>
                <w:kern w:val="0"/>
                <w:szCs w:val="21"/>
              </w:rPr>
              <w:t>Ⅲ</w:t>
            </w:r>
          </w:p>
        </w:tc>
        <w:tc>
          <w:tcPr>
            <w:tcW w:w="1300" w:type="dxa"/>
            <w:tcBorders>
              <w:top w:val="nil"/>
              <w:left w:val="nil"/>
              <w:bottom w:val="single" w:color="auto" w:sz="4" w:space="0"/>
              <w:right w:val="nil"/>
            </w:tcBorders>
            <w:vAlign w:val="center"/>
          </w:tcPr>
          <w:p>
            <w:pPr>
              <w:ind w:left="-105" w:leftChars="-50" w:right="-105" w:rightChars="-50"/>
              <w:jc w:val="center"/>
              <w:rPr>
                <w:kern w:val="0"/>
                <w:szCs w:val="21"/>
              </w:rPr>
            </w:pPr>
            <w:r>
              <w:rPr>
                <w:kern w:val="0"/>
                <w:szCs w:val="21"/>
              </w:rPr>
              <w:t>出让土地使用权</w:t>
            </w:r>
          </w:p>
        </w:tc>
        <w:tc>
          <w:tcPr>
            <w:tcW w:w="1048" w:type="dxa"/>
            <w:tcBorders>
              <w:top w:val="nil"/>
              <w:left w:val="single" w:color="auto" w:sz="4" w:space="0"/>
              <w:bottom w:val="single" w:color="auto" w:sz="4" w:space="0"/>
              <w:right w:val="single" w:color="auto" w:sz="4" w:space="0"/>
            </w:tcBorders>
            <w:vAlign w:val="center"/>
          </w:tcPr>
          <w:p>
            <w:pPr>
              <w:jc w:val="center"/>
              <w:rPr>
                <w:kern w:val="0"/>
                <w:szCs w:val="21"/>
              </w:rPr>
            </w:pPr>
            <w:r>
              <w:rPr>
                <w:color w:val="000000"/>
                <w:sz w:val="20"/>
              </w:rPr>
              <w:t>40</w:t>
            </w:r>
          </w:p>
        </w:tc>
        <w:tc>
          <w:tcPr>
            <w:tcW w:w="941"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2.3</w:t>
            </w:r>
          </w:p>
        </w:tc>
        <w:tc>
          <w:tcPr>
            <w:tcW w:w="929"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70</w:t>
            </w:r>
          </w:p>
        </w:tc>
        <w:tc>
          <w:tcPr>
            <w:tcW w:w="909"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1.9</w:t>
            </w:r>
          </w:p>
        </w:tc>
        <w:tc>
          <w:tcPr>
            <w:tcW w:w="1040"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50</w:t>
            </w:r>
          </w:p>
        </w:tc>
        <w:tc>
          <w:tcPr>
            <w:tcW w:w="1226"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五通一平</w:t>
            </w:r>
          </w:p>
        </w:tc>
        <w:tc>
          <w:tcPr>
            <w:tcW w:w="1162"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kern w:val="0"/>
                <w:szCs w:val="21"/>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875" w:type="dxa"/>
            <w:tcBorders>
              <w:top w:val="nil"/>
              <w:left w:val="single" w:color="auto" w:sz="4" w:space="0"/>
              <w:bottom w:val="single" w:color="auto" w:sz="4" w:space="0"/>
              <w:right w:val="single" w:color="auto" w:sz="4" w:space="0"/>
            </w:tcBorders>
            <w:vAlign w:val="center"/>
          </w:tcPr>
          <w:p>
            <w:pPr>
              <w:ind w:left="-105" w:leftChars="-50" w:right="-105" w:rightChars="-50"/>
              <w:jc w:val="center"/>
              <w:rPr>
                <w:kern w:val="0"/>
                <w:szCs w:val="21"/>
              </w:rPr>
            </w:pPr>
            <w:r>
              <w:rPr>
                <w:kern w:val="0"/>
                <w:szCs w:val="21"/>
              </w:rPr>
              <w:t>Ⅳ</w:t>
            </w:r>
          </w:p>
        </w:tc>
        <w:tc>
          <w:tcPr>
            <w:tcW w:w="1300" w:type="dxa"/>
            <w:tcBorders>
              <w:top w:val="nil"/>
              <w:left w:val="nil"/>
              <w:bottom w:val="single" w:color="auto" w:sz="4" w:space="0"/>
              <w:right w:val="nil"/>
            </w:tcBorders>
            <w:vAlign w:val="center"/>
          </w:tcPr>
          <w:p>
            <w:pPr>
              <w:ind w:left="-105" w:leftChars="-50" w:right="-105" w:rightChars="-50"/>
              <w:jc w:val="center"/>
              <w:rPr>
                <w:kern w:val="0"/>
                <w:szCs w:val="21"/>
              </w:rPr>
            </w:pPr>
            <w:r>
              <w:rPr>
                <w:kern w:val="0"/>
                <w:szCs w:val="21"/>
              </w:rPr>
              <w:t>出让土地使用权</w:t>
            </w:r>
          </w:p>
        </w:tc>
        <w:tc>
          <w:tcPr>
            <w:tcW w:w="1048" w:type="dxa"/>
            <w:tcBorders>
              <w:top w:val="nil"/>
              <w:left w:val="single" w:color="auto" w:sz="4" w:space="0"/>
              <w:bottom w:val="single" w:color="auto" w:sz="4" w:space="0"/>
              <w:right w:val="single" w:color="auto" w:sz="4" w:space="0"/>
            </w:tcBorders>
            <w:vAlign w:val="center"/>
          </w:tcPr>
          <w:p>
            <w:pPr>
              <w:jc w:val="center"/>
              <w:rPr>
                <w:kern w:val="0"/>
                <w:szCs w:val="21"/>
              </w:rPr>
            </w:pPr>
            <w:r>
              <w:rPr>
                <w:color w:val="000000"/>
                <w:sz w:val="20"/>
              </w:rPr>
              <w:t>40</w:t>
            </w:r>
          </w:p>
        </w:tc>
        <w:tc>
          <w:tcPr>
            <w:tcW w:w="941"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2.0</w:t>
            </w:r>
          </w:p>
        </w:tc>
        <w:tc>
          <w:tcPr>
            <w:tcW w:w="929"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70</w:t>
            </w:r>
          </w:p>
        </w:tc>
        <w:tc>
          <w:tcPr>
            <w:tcW w:w="909"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1.7</w:t>
            </w:r>
          </w:p>
        </w:tc>
        <w:tc>
          <w:tcPr>
            <w:tcW w:w="1040"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50</w:t>
            </w:r>
          </w:p>
        </w:tc>
        <w:tc>
          <w:tcPr>
            <w:tcW w:w="1226"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五通一平</w:t>
            </w:r>
          </w:p>
        </w:tc>
        <w:tc>
          <w:tcPr>
            <w:tcW w:w="1162"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kern w:val="0"/>
                <w:szCs w:val="21"/>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875" w:type="dxa"/>
            <w:tcBorders>
              <w:top w:val="nil"/>
              <w:left w:val="single" w:color="auto" w:sz="4" w:space="0"/>
              <w:bottom w:val="single" w:color="auto" w:sz="4" w:space="0"/>
              <w:right w:val="single" w:color="auto" w:sz="4" w:space="0"/>
            </w:tcBorders>
            <w:vAlign w:val="center"/>
          </w:tcPr>
          <w:p>
            <w:pPr>
              <w:ind w:left="-105" w:leftChars="-50" w:right="-105" w:rightChars="-50"/>
              <w:jc w:val="center"/>
              <w:rPr>
                <w:kern w:val="0"/>
                <w:szCs w:val="21"/>
              </w:rPr>
            </w:pPr>
            <w:r>
              <w:rPr>
                <w:kern w:val="0"/>
                <w:szCs w:val="21"/>
              </w:rPr>
              <w:t>Ⅴ</w:t>
            </w:r>
          </w:p>
        </w:tc>
        <w:tc>
          <w:tcPr>
            <w:tcW w:w="1300" w:type="dxa"/>
            <w:tcBorders>
              <w:top w:val="nil"/>
              <w:left w:val="nil"/>
              <w:bottom w:val="single" w:color="auto" w:sz="4" w:space="0"/>
              <w:right w:val="nil"/>
            </w:tcBorders>
            <w:vAlign w:val="center"/>
          </w:tcPr>
          <w:p>
            <w:pPr>
              <w:ind w:left="-105" w:leftChars="-50" w:right="-105" w:rightChars="-50"/>
              <w:jc w:val="center"/>
              <w:rPr>
                <w:kern w:val="0"/>
                <w:szCs w:val="21"/>
              </w:rPr>
            </w:pPr>
            <w:r>
              <w:rPr>
                <w:kern w:val="0"/>
                <w:szCs w:val="21"/>
              </w:rPr>
              <w:t>出让土地使用权</w:t>
            </w:r>
          </w:p>
        </w:tc>
        <w:tc>
          <w:tcPr>
            <w:tcW w:w="1048" w:type="dxa"/>
            <w:tcBorders>
              <w:top w:val="nil"/>
              <w:left w:val="single" w:color="auto" w:sz="4" w:space="0"/>
              <w:bottom w:val="single" w:color="auto" w:sz="4" w:space="0"/>
              <w:right w:val="single" w:color="auto" w:sz="4" w:space="0"/>
            </w:tcBorders>
            <w:vAlign w:val="center"/>
          </w:tcPr>
          <w:p>
            <w:pPr>
              <w:jc w:val="center"/>
              <w:rPr>
                <w:kern w:val="0"/>
                <w:szCs w:val="21"/>
              </w:rPr>
            </w:pPr>
            <w:r>
              <w:rPr>
                <w:color w:val="000000"/>
                <w:sz w:val="20"/>
              </w:rPr>
              <w:t>40</w:t>
            </w:r>
          </w:p>
        </w:tc>
        <w:tc>
          <w:tcPr>
            <w:tcW w:w="941"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1.8</w:t>
            </w:r>
          </w:p>
        </w:tc>
        <w:tc>
          <w:tcPr>
            <w:tcW w:w="929"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70</w:t>
            </w:r>
          </w:p>
        </w:tc>
        <w:tc>
          <w:tcPr>
            <w:tcW w:w="909"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1.5</w:t>
            </w:r>
          </w:p>
        </w:tc>
        <w:tc>
          <w:tcPr>
            <w:tcW w:w="1040"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50</w:t>
            </w:r>
          </w:p>
        </w:tc>
        <w:tc>
          <w:tcPr>
            <w:tcW w:w="1226"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五通一平</w:t>
            </w:r>
          </w:p>
        </w:tc>
        <w:tc>
          <w:tcPr>
            <w:tcW w:w="1162"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kern w:val="0"/>
                <w:szCs w:val="21"/>
                <w:lang w:eastAsia="zh-CN"/>
              </w:rPr>
            </w:pPr>
            <w:r>
              <w:rPr>
                <w:rFonts w:hint="eastAsia"/>
                <w:bCs/>
                <w:kern w:val="0"/>
                <w:sz w:val="20"/>
                <w:lang w:eastAsia="zh-CN"/>
              </w:rPr>
              <w:t>2018.3.1</w:t>
            </w:r>
          </w:p>
        </w:tc>
      </w:tr>
    </w:tbl>
    <w:p>
      <w:pPr>
        <w:widowControl/>
        <w:ind w:firstLine="562" w:firstLineChars="200"/>
        <w:jc w:val="left"/>
        <w:rPr>
          <w:b/>
          <w:sz w:val="28"/>
          <w:szCs w:val="28"/>
        </w:rPr>
      </w:pPr>
      <w:r>
        <w:rPr>
          <w:b/>
          <w:sz w:val="28"/>
          <w:szCs w:val="28"/>
        </w:rPr>
        <w:br w:type="page"/>
      </w:r>
    </w:p>
    <w:p>
      <w:pPr>
        <w:spacing w:line="360" w:lineRule="auto"/>
        <w:ind w:firstLine="560" w:firstLineChars="200"/>
        <w:outlineLvl w:val="2"/>
        <w:rPr>
          <w:rFonts w:eastAsia="黑体"/>
          <w:sz w:val="28"/>
          <w:szCs w:val="28"/>
        </w:rPr>
      </w:pPr>
      <w:bookmarkStart w:id="524" w:name="_Toc17053"/>
      <w:bookmarkStart w:id="525" w:name="_Toc19056"/>
      <w:bookmarkStart w:id="526" w:name="_Toc470721313"/>
      <w:bookmarkStart w:id="527" w:name="_Toc469296462"/>
      <w:bookmarkStart w:id="528" w:name="_Toc467846853"/>
      <w:r>
        <w:rPr>
          <w:rFonts w:eastAsia="黑体"/>
          <w:sz w:val="28"/>
          <w:szCs w:val="28"/>
        </w:rPr>
        <w:t>七、基准地价表达方式</w:t>
      </w:r>
      <w:bookmarkEnd w:id="524"/>
      <w:bookmarkEnd w:id="525"/>
      <w:bookmarkEnd w:id="526"/>
      <w:bookmarkEnd w:id="527"/>
      <w:bookmarkEnd w:id="528"/>
    </w:p>
    <w:p>
      <w:pPr>
        <w:spacing w:line="360" w:lineRule="auto"/>
        <w:ind w:firstLine="480" w:firstLineChars="200"/>
        <w:rPr>
          <w:sz w:val="24"/>
        </w:rPr>
      </w:pPr>
      <w:r>
        <w:rPr>
          <w:sz w:val="24"/>
        </w:rPr>
        <w:t>按成果表达方式，基准地价按其成果表达方式又可分为点状、线状和面状三种基准地价。其中基准地价的面状表达方式有级别基准地价和分区基准地价（见图3-1-2）。</w:t>
      </w:r>
    </w:p>
    <w:p>
      <w:pPr>
        <w:spacing w:line="400" w:lineRule="exact"/>
        <w:jc w:val="center"/>
        <w:rPr>
          <w:b/>
          <w:bCs/>
          <w:sz w:val="24"/>
          <w:szCs w:val="22"/>
        </w:rPr>
      </w:pPr>
      <w:r>
        <w:rPr>
          <w:rFonts w:ascii="Times New Roman" w:hAnsi="Times New Roman" w:eastAsia="宋体" w:cs="Times New Roman"/>
          <w:b/>
          <w:bCs/>
          <w:kern w:val="2"/>
          <w:sz w:val="24"/>
          <w:szCs w:val="22"/>
          <w:lang w:val="en-US" w:eastAsia="zh-CN" w:bidi="ar-SA"/>
        </w:rPr>
        <w:pict>
          <v:shape id="图片 55" o:spid="_x0000_s1201" type="#_x0000_t75" style="position:absolute;left:0;margin-left:17.4pt;margin-top:8.95pt;height:172.7pt;width:416.45pt;mso-wrap-distance-bottom:0pt;mso-wrap-distance-top:0pt;rotation:0f;z-index:251701248;" o:ole="f" fillcolor="#FFFFFF" filled="f" o:preferrelative="t" stroked="f" coordorigin="0,0" coordsize="21600,21600">
            <v:fill on="f" color2="#FFFFFF" focus="0%"/>
            <v:imagedata gain="65536f" blacklevel="0f" gamma="0" o:title="" r:id="rId62"/>
            <o:lock v:ext="edit" position="f" selection="f" grouping="f" rotation="f" cropping="f" text="f" aspectratio="t"/>
            <w10:wrap type="topAndBottom"/>
          </v:shape>
        </w:pict>
      </w:r>
      <w:r>
        <w:rPr>
          <w:rFonts w:ascii="Times New Roman" w:hAnsi="Times New Roman" w:eastAsia="宋体" w:cs="Times New Roman"/>
          <w:b/>
          <w:bCs/>
          <w:kern w:val="2"/>
          <w:sz w:val="24"/>
          <w:szCs w:val="22"/>
          <w:lang w:val="en-US" w:eastAsia="zh-CN" w:bidi="ar-SA"/>
        </w:rPr>
        <w:pict>
          <v:rect id="文本框 1125" o:spid="_x0000_s1202" style="position:absolute;left:0;margin-left:94.85pt;margin-top:115.9pt;height:23.25pt;width:87.75pt;rotation:0f;z-index:251664384;"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sz w:val="24"/>
                      <w:szCs w:val="24"/>
                    </w:rPr>
                  </w:pPr>
                  <w:r>
                    <w:rPr>
                      <w:rFonts w:hint="eastAsia"/>
                      <w:sz w:val="24"/>
                      <w:szCs w:val="24"/>
                    </w:rPr>
                    <w:t>面状</w:t>
                  </w:r>
                  <w:r>
                    <w:rPr>
                      <w:sz w:val="24"/>
                      <w:szCs w:val="24"/>
                    </w:rPr>
                    <w:t>基准地价</w:t>
                  </w:r>
                </w:p>
              </w:txbxContent>
            </v:textbox>
          </v:rect>
        </w:pict>
      </w:r>
      <w:r>
        <w:rPr>
          <w:b/>
          <w:bCs/>
          <w:sz w:val="24"/>
          <w:szCs w:val="22"/>
        </w:rPr>
        <w:t>图3-1-2  基准地价表达方式图</w:t>
      </w:r>
    </w:p>
    <w:p>
      <w:pPr>
        <w:spacing w:line="360" w:lineRule="auto"/>
        <w:ind w:firstLine="482" w:firstLineChars="200"/>
        <w:rPr>
          <w:b/>
          <w:sz w:val="24"/>
        </w:rPr>
      </w:pPr>
      <w:r>
        <w:rPr>
          <w:b/>
          <w:sz w:val="24"/>
        </w:rPr>
        <w:t>1、级别基准地价</w:t>
      </w:r>
    </w:p>
    <w:p>
      <w:pPr>
        <w:spacing w:line="360" w:lineRule="auto"/>
        <w:ind w:firstLine="480" w:firstLineChars="200"/>
        <w:rPr>
          <w:sz w:val="24"/>
        </w:rPr>
      </w:pPr>
      <w:r>
        <w:rPr>
          <w:sz w:val="24"/>
        </w:rPr>
        <w:t>包括综合基准地价和分类基准地价。是在土地综合定级或土地分类定级的基础上，以土地级别为测算单元，利用土地级差收益和土地交易资料确定每个级别的商服、住宅和工矿仓储用地的基准地价。这种方法以土地级别为控制，能较好地反映级别间土地使用价值的差异及地价的变化趋势与规律，且其表达方法简明实用，所需样点资料较少。但级别价的控制范围过大，对于与微观区位因素比较敏感的商服用地来说，显得过于粗略。</w:t>
      </w:r>
    </w:p>
    <w:p>
      <w:pPr>
        <w:spacing w:line="360" w:lineRule="auto"/>
        <w:ind w:firstLine="482" w:firstLineChars="200"/>
        <w:rPr>
          <w:b/>
          <w:sz w:val="24"/>
        </w:rPr>
      </w:pPr>
      <w:r>
        <w:rPr>
          <w:b/>
          <w:sz w:val="24"/>
        </w:rPr>
        <w:t>2、分区基准地价</w:t>
      </w:r>
    </w:p>
    <w:p>
      <w:pPr>
        <w:spacing w:line="360" w:lineRule="auto"/>
        <w:ind w:firstLine="480" w:firstLineChars="200"/>
        <w:rPr>
          <w:sz w:val="24"/>
        </w:rPr>
      </w:pPr>
      <w:r>
        <w:rPr>
          <w:sz w:val="24"/>
        </w:rPr>
        <w:t>是一种区域性或者说区片状基准地价表达方式。分区基准地价的基础是地价分区，即把城市土地按照土地质量相近、用途相似而又在地域上相互毗邻的原则分成若干个地价区，并以相应的平均值表示其基准地价。</w:t>
      </w:r>
    </w:p>
    <w:p>
      <w:pPr>
        <w:spacing w:line="360" w:lineRule="auto"/>
        <w:ind w:firstLine="482" w:firstLineChars="200"/>
        <w:rPr>
          <w:b/>
          <w:sz w:val="24"/>
        </w:rPr>
      </w:pPr>
      <w:r>
        <w:rPr>
          <w:b/>
          <w:sz w:val="24"/>
        </w:rPr>
        <w:t>3、路线价</w:t>
      </w:r>
    </w:p>
    <w:p>
      <w:pPr>
        <w:pStyle w:val="22"/>
        <w:ind w:firstLine="480" w:firstLineChars="200"/>
        <w:rPr>
          <w:rFonts w:ascii="Times New Roman" w:hAnsi="Times New Roman"/>
        </w:rPr>
      </w:pPr>
      <w:r>
        <w:rPr>
          <w:rFonts w:ascii="Times New Roman" w:hAnsi="Times New Roman"/>
        </w:rPr>
        <w:t>为基准地价的线状表达方式。指用地条件相近的若干临街标准宗地地价的平均值，主要反映各繁华街道一定深度上的地价水平，商服用地地价一般用路线价表示。</w:t>
      </w:r>
    </w:p>
    <w:p>
      <w:pPr>
        <w:spacing w:line="360" w:lineRule="auto"/>
        <w:ind w:firstLine="482" w:firstLineChars="200"/>
        <w:rPr>
          <w:b/>
          <w:sz w:val="24"/>
        </w:rPr>
      </w:pPr>
      <w:r>
        <w:rPr>
          <w:b/>
          <w:sz w:val="24"/>
        </w:rPr>
        <w:t>4、标准宗地地价</w:t>
      </w:r>
    </w:p>
    <w:p>
      <w:pPr>
        <w:spacing w:line="360" w:lineRule="auto"/>
        <w:ind w:firstLine="480" w:firstLineChars="200"/>
        <w:rPr>
          <w:sz w:val="24"/>
        </w:rPr>
      </w:pPr>
      <w:r>
        <w:rPr>
          <w:sz w:val="24"/>
        </w:rPr>
        <w:t>为基准地价的点状表达方式，指具有地段代表性的标准宗地，通过近期交易资料或其他资料测算的地价。根据《城镇土地估价规程》要求，分类基准地价评估即针对城镇土地用途不同而评估商服、住宅、工矿仓储三类用地的基准地价。总体而言，三类用地地价的空间分布呈现从城市中心向外逐渐递减的一般规律。但由于不同用地对地价影响因素的敏感性不同，地价的空间分异特征不同。商服用地主要沿城市道路呈带状分布，对人流量、进深、店铺分布及规模等因素十分敏感，地价的空间变化很大；住宅用地对繁华度、可通达性等因素的敏感性较商服要差，地价由城市中心高地价区逐渐向四周递减；而工矿仓储用地对区位条件反映最不敏感。</w:t>
      </w:r>
    </w:p>
    <w:p>
      <w:pPr>
        <w:spacing w:line="360" w:lineRule="auto"/>
        <w:ind w:firstLine="482" w:firstLineChars="200"/>
        <w:rPr>
          <w:b/>
          <w:sz w:val="24"/>
        </w:rPr>
      </w:pPr>
      <w:r>
        <w:rPr>
          <w:b/>
          <w:sz w:val="24"/>
        </w:rPr>
        <w:t>5、标定地价</w:t>
      </w:r>
    </w:p>
    <w:p>
      <w:pPr>
        <w:spacing w:line="360" w:lineRule="auto"/>
        <w:ind w:firstLine="480" w:firstLineChars="200"/>
        <w:rPr>
          <w:sz w:val="24"/>
          <w:szCs w:val="24"/>
        </w:rPr>
      </w:pPr>
      <w:r>
        <w:rPr>
          <w:sz w:val="24"/>
          <w:lang w:val="zh-CN"/>
        </w:rPr>
        <w:t>根据《城镇土地估价规程》（GB/T  18508-2014）</w:t>
      </w:r>
      <w:r>
        <w:rPr>
          <w:sz w:val="24"/>
          <w:szCs w:val="24"/>
        </w:rPr>
        <w:t>要求，标定地价以标准宗地地价为基础，是由政府土地管理部门定期公布各类城市标准的合理价格，是标准宗地在现状开发利用、正常市场条件下，某一估价期日法定最高使用年期下的土地权利价格。标准宗地是标定地价的基础和载体，合理配置城镇标准宗地是建立标定地价制度的关键。</w:t>
      </w:r>
    </w:p>
    <w:p>
      <w:pPr>
        <w:spacing w:line="360" w:lineRule="auto"/>
        <w:ind w:firstLine="480" w:firstLineChars="200"/>
        <w:rPr>
          <w:sz w:val="24"/>
          <w:lang w:val="zh-CN"/>
        </w:rPr>
      </w:pPr>
      <w:r>
        <w:rPr>
          <w:sz w:val="24"/>
        </w:rPr>
        <w:t>根据长沙县房地产市场、土地市场的发育情况和政府地价管理的需要，本次基准地价更新采用级别价基准地价、均质区域基准地价和路线价的表现形式，其中：城区商服用地包含均质区域基准地价、路线价和级别基准地价；住宅用地包含均质区域基准地价和级别基准地价；工矿仓储用地包含级别基准地价（示意图见图3-1-3）。同时为了保证成果的延续性，在级别基准地价的基础上，进一步细化</w:t>
      </w:r>
      <w:r>
        <w:rPr>
          <w:sz w:val="24"/>
          <w:lang w:val="zh-CN"/>
        </w:rPr>
        <w:t>城市公益性用地、独立地下空间土地使用权价格体系，同时建立楼面基准地价体系。</w:t>
      </w:r>
    </w:p>
    <w:p>
      <w:pPr>
        <w:spacing w:line="360" w:lineRule="auto"/>
        <w:ind w:firstLine="420" w:firstLineChars="200"/>
        <w:jc w:val="left"/>
        <w:rPr>
          <w:sz w:val="24"/>
          <w:highlight w:val="yellow"/>
        </w:rPr>
      </w:pPr>
      <w:r>
        <w:rPr>
          <w:rFonts w:ascii="Times New Roman" w:hAnsi="Times New Roman" w:eastAsia="宋体" w:cs="Times New Roman"/>
          <w:kern w:val="2"/>
          <w:sz w:val="21"/>
          <w:lang w:val="en-US" w:eastAsia="zh-CN" w:bidi="ar-SA"/>
        </w:rPr>
        <w:pict>
          <v:line id="直接连接符 309" o:spid="_x0000_s1203" style="position:absolute;left:0;margin-left:386.4pt;margin-top:37.15pt;height:8.35pt;width:0.05pt;rotation:0f;z-index:251697152;"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w:pict>
      </w:r>
      <w:r>
        <w:rPr>
          <w:rFonts w:ascii="Times New Roman" w:hAnsi="Times New Roman" w:eastAsia="宋体" w:cs="Times New Roman"/>
          <w:kern w:val="2"/>
          <w:sz w:val="21"/>
          <w:lang w:val="en-US" w:eastAsia="zh-CN" w:bidi="ar-SA"/>
        </w:rPr>
        <w:pict>
          <v:line id="直接连接符 308" o:spid="_x0000_s1204" style="position:absolute;left:0;margin-left:324.45pt;margin-top:27.15pt;height:9.2pt;width:0.05pt;rotation:0f;z-index:251695104;"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w:pict>
      </w:r>
      <w:r>
        <w:rPr>
          <w:rFonts w:ascii="Times New Roman" w:hAnsi="Times New Roman" w:eastAsia="宋体" w:cs="Times New Roman"/>
          <w:kern w:val="2"/>
          <w:sz w:val="21"/>
          <w:lang w:val="en-US" w:eastAsia="zh-CN" w:bidi="ar-SA"/>
        </w:rPr>
        <w:pict>
          <v:line id="直接连接符 306" o:spid="_x0000_s1205" style="position:absolute;left:0;margin-left:157pt;margin-top:38.05pt;height:7.5pt;width:0.05pt;rotation:0f;z-index:251694080;"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w:pict>
      </w:r>
      <w:r>
        <w:rPr>
          <w:rFonts w:ascii="Times New Roman" w:hAnsi="Times New Roman" w:eastAsia="宋体" w:cs="Times New Roman"/>
          <w:kern w:val="2"/>
          <w:sz w:val="21"/>
          <w:lang w:val="en-US" w:eastAsia="zh-CN" w:bidi="ar-SA"/>
        </w:rPr>
        <w:pict>
          <v:line id="直接连接符 304" o:spid="_x0000_s1206" style="position:absolute;left:0;margin-left:91.75pt;margin-top:26.9pt;height:18.65pt;width:0.05pt;rotation:0f;z-index:251693056;"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w:pict>
      </w:r>
      <w:r>
        <w:rPr>
          <w:rFonts w:ascii="Times New Roman" w:hAnsi="Times New Roman" w:eastAsia="宋体" w:cs="Times New Roman"/>
          <w:kern w:val="2"/>
          <w:sz w:val="21"/>
          <w:lang w:val="en-US" w:eastAsia="zh-CN" w:bidi="ar-SA"/>
        </w:rPr>
        <w:pict>
          <v:group id="组合 301" o:spid="_x0000_s1207" style="position:absolute;left:0;margin-left:230.7pt;margin-top:4.5pt;height:76.45pt;width:181.65pt;rotation:0f;z-index:251691008;" coordorigin="0,0" coordsize="3633,1529">
            <o:lock v:ext="edit" position="f" selection="f" grouping="f" rotation="f" cropping="f" text="f" aspectratio="f"/>
            <v:rect id="文本框 2" o:spid="_x0000_s1208" style="position:absolute;left:1373;top:0;height:431;width:971;rotation:0f;" o:ole="f" fillcolor="#FFFFFF" filled="t" o:preferrelative="t" stroked="t" coordsize="21600,21600">
              <v:stroke weight="1pt" color="#000000" color2="#FFFFFF" miterlimit="2"/>
              <v:imagedata gain="65536f" blacklevel="0f" gamma="0"/>
              <o:lock v:ext="edit" position="f" selection="f" grouping="f" rotation="f" cropping="f" text="f" aspectratio="f"/>
              <v:textbox>
                <w:txbxContent>
                  <w:p>
                    <w:pPr>
                      <w:ind w:left="-105" w:leftChars="-50" w:right="-105" w:rightChars="-50"/>
                    </w:pPr>
                    <w:r>
                      <w:rPr>
                        <w:rFonts w:hint="eastAsia"/>
                      </w:rPr>
                      <w:t>住宅用地</w:t>
                    </w:r>
                  </w:p>
                </w:txbxContent>
              </v:textbox>
            </v:rect>
            <v:rect id="文本框 2" o:spid="_x0000_s1209" style="position:absolute;left:0;top:820;height:709;width:972;rotation:0f;" o:ole="f" fillcolor="#FFFFFF" filled="t" o:preferrelative="t" stroked="t" coordsize="21600,21600">
              <v:stroke weight="1pt" color="#000000" color2="#FFFFFF" miterlimit="2"/>
              <v:imagedata gain="65536f" blacklevel="0f" gamma="0"/>
              <o:lock v:ext="edit" position="f" selection="f" grouping="f" rotation="f" cropping="f" text="f" aspectratio="f"/>
              <v:textbox style="mso-fit-shape-to-text:t;">
                <w:txbxContent>
                  <w:p>
                    <w:pPr>
                      <w:ind w:left="-105" w:leftChars="-50" w:right="-105" w:rightChars="-50"/>
                    </w:pPr>
                    <w:r>
                      <w:rPr>
                        <w:rFonts w:hint="eastAsia"/>
                      </w:rPr>
                      <w:t>均质区域基准地价</w:t>
                    </w:r>
                  </w:p>
                </w:txbxContent>
              </v:textbox>
            </v:rect>
            <v:rect id="文本框 2" o:spid="_x0000_s1210" style="position:absolute;left:2662;top:820;height:703;width:971;rotation:0f;" o:ole="f" fillcolor="#FFFFFF" filled="t" o:preferrelative="t" stroked="t" coordsize="21600,21600">
              <v:stroke weight="1pt" color="#000000" color2="#FFFFFF" miterlimit="2"/>
              <v:imagedata gain="65536f" blacklevel="0f" gamma="0"/>
              <o:lock v:ext="edit" position="f" selection="f" grouping="f" rotation="f" cropping="f" text="f" aspectratio="f"/>
              <v:textbox style="mso-fit-shape-to-text:t;">
                <w:txbxContent>
                  <w:p>
                    <w:pPr>
                      <w:ind w:left="-105" w:leftChars="-50" w:right="-105" w:rightChars="-50"/>
                      <w:jc w:val="center"/>
                    </w:pPr>
                    <w:r>
                      <w:rPr>
                        <w:rFonts w:hint="eastAsia"/>
                      </w:rPr>
                      <w:t>级别基</w:t>
                    </w:r>
                  </w:p>
                  <w:p>
                    <w:pPr>
                      <w:ind w:left="-105" w:leftChars="-50" w:right="-105" w:rightChars="-50"/>
                      <w:jc w:val="center"/>
                    </w:pPr>
                    <w:r>
                      <w:rPr>
                        <w:rFonts w:hint="eastAsia"/>
                      </w:rPr>
                      <w:t>准地价</w:t>
                    </w:r>
                  </w:p>
                </w:txbxContent>
              </v:textbox>
            </v:rect>
            <v:line id="直接连接符 295" o:spid="_x0000_s1211" style="position:absolute;left:234;top:636;height:0;width:2880;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group>
        </w:pict>
      </w:r>
      <w:r>
        <w:rPr>
          <w:rFonts w:ascii="Times New Roman" w:hAnsi="Times New Roman" w:eastAsia="宋体" w:cs="Times New Roman"/>
          <w:kern w:val="2"/>
          <w:sz w:val="21"/>
          <w:lang w:val="en-US" w:eastAsia="zh-CN" w:bidi="ar-SA"/>
        </w:rPr>
        <w:pict>
          <v:line id="直接连接符 34" o:spid="_x0000_s1212" style="position:absolute;left:0;margin-left:25.55pt;margin-top:37.95pt;height:9.2pt;width:0.05pt;rotation:0f;z-index:251689984;"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w:pict>
      </w:r>
      <w:r>
        <w:rPr>
          <w:rFonts w:ascii="Times New Roman" w:hAnsi="Times New Roman" w:eastAsia="宋体" w:cs="Times New Roman"/>
          <w:kern w:val="2"/>
          <w:sz w:val="21"/>
          <w:lang w:val="en-US" w:eastAsia="zh-CN" w:bidi="ar-SA"/>
        </w:rPr>
        <w:pict>
          <v:group id="组合 289" o:spid="_x0000_s1213" style="position:absolute;left:0;margin-left:1.3pt;margin-top:5.2pt;height:76.45pt;width:181.65pt;mso-wrap-distance-bottom:0pt;mso-wrap-distance-top:0pt;rotation:0f;z-index:251688960;" coordorigin="0,0" coordsize="3633,1529">
            <o:lock v:ext="edit" position="f" selection="f" grouping="f" rotation="f" cropping="f" text="f" aspectratio="f"/>
            <v:rect id="文本框 2" o:spid="_x0000_s1214" style="position:absolute;left:1372;top:0;height:432;width:971;rotation:0f;" o:ole="f" fillcolor="#FFFFFF" filled="t" o:preferrelative="t" stroked="t" coordsize="21600,21600">
              <v:stroke weight="1pt" color="#000000" color2="#FFFFFF" miterlimit="2"/>
              <v:imagedata gain="65536f" blacklevel="0f" gamma="0"/>
              <o:lock v:ext="edit" position="f" selection="f" grouping="f" rotation="f" cropping="f" text="f" aspectratio="f"/>
              <v:textbox style="mso-fit-shape-to-text:t;">
                <w:txbxContent>
                  <w:p>
                    <w:pPr>
                      <w:ind w:left="-105" w:leftChars="-50" w:right="-105" w:rightChars="-50"/>
                    </w:pPr>
                    <w:r>
                      <w:rPr>
                        <w:rFonts w:hint="eastAsia"/>
                      </w:rPr>
                      <w:t>商服用地</w:t>
                    </w:r>
                  </w:p>
                </w:txbxContent>
              </v:textbox>
            </v:rect>
            <v:rect id="文本框 2" o:spid="_x0000_s1215" style="position:absolute;left:0;top:823;height:706;width:972;rotation:0f;" o:ole="f" fillcolor="#FFFFFF" filled="t" o:preferrelative="t" stroked="t" coordsize="21600,21600">
              <v:stroke weight="1pt" color="#000000" color2="#FFFFFF" miterlimit="2"/>
              <v:imagedata gain="65536f" blacklevel="0f" gamma="0"/>
              <o:lock v:ext="edit" position="f" selection="f" grouping="f" rotation="f" cropping="f" text="f" aspectratio="f"/>
              <v:textbox style="mso-fit-shape-to-text:t;">
                <w:txbxContent>
                  <w:p>
                    <w:pPr>
                      <w:ind w:left="-105" w:leftChars="-50" w:right="-105" w:rightChars="-50"/>
                    </w:pPr>
                    <w:r>
                      <w:rPr>
                        <w:rFonts w:hint="eastAsia"/>
                      </w:rPr>
                      <w:t>均质区域基准地价</w:t>
                    </w:r>
                  </w:p>
                </w:txbxContent>
              </v:textbox>
            </v:rect>
            <v:rect id="文本框 2" o:spid="_x0000_s1216" style="position:absolute;left:1373;top:823;height:706;width:971;rotation:0f;" o:ole="f" fillcolor="#FFFFFF" filled="t" o:preferrelative="t" stroked="t" coordsize="21600,21600">
              <v:stroke weight="1pt" color="#000000" color2="#FFFFFF" miterlimit="2"/>
              <v:imagedata gain="65536f" blacklevel="0f" gamma="0"/>
              <o:lock v:ext="edit" position="f" selection="f" grouping="f" rotation="f" cropping="f" text="f" aspectratio="f"/>
              <v:textbox>
                <w:txbxContent>
                  <w:p>
                    <w:pPr>
                      <w:ind w:left="-105" w:leftChars="-50" w:right="-105" w:rightChars="-50"/>
                      <w:jc w:val="center"/>
                    </w:pPr>
                    <w:r>
                      <w:rPr>
                        <w:rFonts w:hint="eastAsia"/>
                      </w:rPr>
                      <w:t>路线价</w:t>
                    </w:r>
                  </w:p>
                </w:txbxContent>
              </v:textbox>
            </v:rect>
            <v:rect id="文本框 2" o:spid="_x0000_s1217" style="position:absolute;left:2662;top:823;height:706;width:971;rotation:0f;" o:ole="f" fillcolor="#FFFFFF" filled="t" o:preferrelative="t" stroked="t" coordsize="21600,21600">
              <v:stroke weight="1pt" color="#000000" color2="#FFFFFF" miterlimit="2"/>
              <v:imagedata gain="65536f" blacklevel="0f" gamma="0"/>
              <o:lock v:ext="edit" position="f" selection="f" grouping="f" rotation="f" cropping="f" text="f" aspectratio="f"/>
              <v:textbox style="mso-fit-shape-to-text:t;">
                <w:txbxContent>
                  <w:p>
                    <w:pPr>
                      <w:ind w:left="-105" w:leftChars="-50" w:right="-105" w:rightChars="-50"/>
                      <w:jc w:val="center"/>
                    </w:pPr>
                    <w:r>
                      <w:rPr>
                        <w:rFonts w:hint="eastAsia"/>
                      </w:rPr>
                      <w:t>级别基</w:t>
                    </w:r>
                  </w:p>
                  <w:p>
                    <w:pPr>
                      <w:ind w:left="-105" w:leftChars="-50" w:right="-105" w:rightChars="-50"/>
                      <w:jc w:val="center"/>
                    </w:pPr>
                    <w:r>
                      <w:rPr>
                        <w:rFonts w:hint="eastAsia"/>
                      </w:rPr>
                      <w:t>准地价</w:t>
                    </w:r>
                  </w:p>
                </w:txbxContent>
              </v:textbox>
            </v:rect>
            <v:line id="直接连接符 32" o:spid="_x0000_s1218" style="position:absolute;left:502;top:638;height:0;width:2612;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w10:wrap type="topAndBottom"/>
          </v:group>
        </w:pict>
      </w:r>
      <w:r>
        <w:rPr>
          <w:rFonts w:ascii="Times New Roman" w:hAnsi="Times New Roman" w:eastAsia="宋体" w:cs="Times New Roman"/>
          <w:kern w:val="2"/>
          <w:sz w:val="21"/>
          <w:lang w:val="en-US" w:eastAsia="zh-CN" w:bidi="ar-SA"/>
        </w:rPr>
        <w:pict>
          <v:line id="直接连接符 297" o:spid="_x0000_s1219" style="position:absolute;left:0;margin-left:242.4pt;margin-top:36.7pt;height:9.2pt;width:0.05pt;rotation:0f;z-index:251692032;"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w:pict>
      </w:r>
      <w:r>
        <w:rPr>
          <w:rFonts w:ascii="Times New Roman" w:hAnsi="Times New Roman" w:eastAsia="宋体" w:cs="Times New Roman"/>
          <w:kern w:val="2"/>
          <w:sz w:val="24"/>
          <w:highlight w:val="yellow"/>
          <w:lang w:val="en-US" w:eastAsia="zh-CN" w:bidi="ar-SA"/>
        </w:rPr>
        <w:pict>
          <v:shape id="直接连接符 309" o:spid="_x0000_s1220" type="#_x0000_t32" style="position:absolute;left:0;margin-left:405.55pt;margin-top:72535.75pt;height:28.35pt;width:30.4pt;rotation:0f;z-index:251675648;" o:ole="f" fillcolor="#FFFFFF" filled="t" o:preferrelative="t" stroked="t" coordorigin="0,0" coordsize="21600,21600">
            <v:stroke color="#000000" color2="#FFFFFF" joinstyle="round"/>
            <v:imagedata gain="65536f" blacklevel="0f" gamma="0"/>
            <o:lock v:ext="edit" position="f" selection="f" grouping="f" rotation="f" cropping="f" text="f" aspectratio="f"/>
          </v:shape>
        </w:pict>
      </w:r>
      <w:r>
        <w:rPr>
          <w:rFonts w:ascii="Times New Roman" w:hAnsi="Times New Roman" w:eastAsia="宋体" w:cs="Times New Roman"/>
          <w:kern w:val="2"/>
          <w:sz w:val="24"/>
          <w:highlight w:val="yellow"/>
          <w:lang w:val="en-US" w:eastAsia="zh-CN" w:bidi="ar-SA"/>
        </w:rPr>
        <w:pict>
          <v:shape id="直接连接符 308" o:spid="_x0000_s1221" type="#_x0000_t32" style="position:absolute;left:0;margin-left:405.55pt;margin-top:72535.75pt;height:28.35pt;width:30.4pt;rotation:0f;z-index:251674624;" o:ole="f" fillcolor="#FFFFFF" filled="t" o:preferrelative="t" stroked="t" coordorigin="0,0" coordsize="21600,21600">
            <v:stroke color="#000000" color2="#FFFFFF" joinstyle="round"/>
            <v:imagedata gain="65536f" blacklevel="0f" gamma="0"/>
            <o:lock v:ext="edit" position="f" selection="f" grouping="f" rotation="f" cropping="f" text="f" aspectratio="f"/>
          </v:shape>
        </w:pict>
      </w:r>
      <w:r>
        <w:rPr>
          <w:rFonts w:ascii="Times New Roman" w:hAnsi="Times New Roman" w:eastAsia="宋体" w:cs="Times New Roman"/>
          <w:kern w:val="2"/>
          <w:sz w:val="24"/>
          <w:highlight w:val="yellow"/>
          <w:lang w:val="en-US" w:eastAsia="zh-CN" w:bidi="ar-SA"/>
        </w:rPr>
        <w:pict>
          <v:shape id="直接连接符 306" o:spid="_x0000_s1222" type="#_x0000_t32" style="position:absolute;left:0;margin-left:405.55pt;margin-top:72535.75pt;height:28.35pt;width:30.4pt;rotation:0f;z-index:251673600;" o:ole="f" fillcolor="#FFFFFF" filled="t" o:preferrelative="t" stroked="t" coordorigin="0,0" coordsize="21600,21600">
            <v:stroke color="#000000" color2="#FFFFFF" joinstyle="round"/>
            <v:imagedata gain="65536f" blacklevel="0f" gamma="0"/>
            <o:lock v:ext="edit" position="f" selection="f" grouping="f" rotation="f" cropping="f" text="f" aspectratio="f"/>
          </v:shape>
        </w:pict>
      </w:r>
      <w:r>
        <w:rPr>
          <w:rFonts w:ascii="Times New Roman" w:hAnsi="Times New Roman" w:eastAsia="宋体" w:cs="Times New Roman"/>
          <w:kern w:val="2"/>
          <w:sz w:val="24"/>
          <w:highlight w:val="yellow"/>
          <w:lang w:val="en-US" w:eastAsia="zh-CN" w:bidi="ar-SA"/>
        </w:rPr>
        <w:pict>
          <v:shape id="直接连接符 304" o:spid="_x0000_s1223" type="#_x0000_t32" style="position:absolute;left:0;margin-left:405.55pt;margin-top:72535.75pt;height:28.35pt;width:30.4pt;rotation:0f;z-index:251672576;" o:ole="f" fillcolor="#FFFFFF" filled="t" o:preferrelative="t" stroked="t" coordorigin="0,0" coordsize="21600,21600">
            <v:stroke color="#000000" color2="#FFFFFF" joinstyle="round"/>
            <v:imagedata gain="65536f" blacklevel="0f" gamma="0"/>
            <o:lock v:ext="edit" position="f" selection="f" grouping="f" rotation="f" cropping="f" text="f" aspectratio="f"/>
          </v:shape>
        </w:pict>
      </w:r>
      <w:r>
        <w:rPr>
          <w:rFonts w:ascii="Times New Roman" w:hAnsi="Times New Roman" w:eastAsia="宋体" w:cs="Times New Roman"/>
          <w:kern w:val="2"/>
          <w:sz w:val="24"/>
          <w:highlight w:val="yellow"/>
          <w:lang w:val="en-US" w:eastAsia="zh-CN" w:bidi="ar-SA"/>
        </w:rPr>
        <w:pict>
          <v:shape id="直接连接符 34" o:spid="_x0000_s1224" type="#_x0000_t32" style="position:absolute;left:0;margin-left:405.55pt;margin-top:72535.75pt;height:28.35pt;width:30.4pt;rotation:0f;z-index:251670528;" o:ole="f" fillcolor="#FFFFFF" filled="t" o:preferrelative="t" stroked="t" coordorigin="0,0" coordsize="21600,21600">
            <v:stroke color="#000000" color2="#FFFFFF" joinstyle="round"/>
            <v:imagedata gain="65536f" blacklevel="0f" gamma="0"/>
            <o:lock v:ext="edit" position="f" selection="f" grouping="f" rotation="f" cropping="f" text="f" aspectratio="f"/>
          </v:shape>
        </w:pict>
      </w:r>
      <w:r>
        <w:rPr>
          <w:rFonts w:ascii="Times New Roman" w:hAnsi="Times New Roman" w:eastAsia="宋体" w:cs="Times New Roman"/>
          <w:kern w:val="2"/>
          <w:sz w:val="24"/>
          <w:highlight w:val="yellow"/>
          <w:lang w:val="en-US" w:eastAsia="zh-CN" w:bidi="ar-SA"/>
        </w:rPr>
        <w:pict>
          <v:shape id="直接连接符 297" o:spid="_x0000_s1225" type="#_x0000_t32" style="position:absolute;left:0;margin-left:405.55pt;margin-top:72535.75pt;height:28.35pt;width:30.4pt;rotation:0f;z-index:251671552;" o:ole="f" fillcolor="#FFFFFF" filled="t" o:preferrelative="t" stroked="t" coordorigin="0,0" coordsize="21600,21600">
            <v:stroke color="#000000" color2="#FFFFFF" joinstyle="round"/>
            <v:imagedata gain="65536f" blacklevel="0f" gamma="0"/>
            <o:lock v:ext="edit" position="f" selection="f" grouping="f" rotation="f" cropping="f" text="f" aspectratio="f"/>
          </v:shape>
        </w:pict>
      </w:r>
    </w:p>
    <w:p>
      <w:pPr>
        <w:spacing w:line="400" w:lineRule="exact"/>
        <w:jc w:val="center"/>
        <w:rPr>
          <w:b/>
          <w:bCs/>
          <w:sz w:val="24"/>
          <w:szCs w:val="22"/>
        </w:rPr>
      </w:pPr>
      <w:r>
        <w:rPr>
          <w:b/>
          <w:bCs/>
          <w:sz w:val="24"/>
          <w:szCs w:val="22"/>
        </w:rPr>
        <w:t>图3-1-3  长沙县城区商服用地和住宅用地基准地价表现形式图</w:t>
      </w:r>
    </w:p>
    <w:p>
      <w:pPr>
        <w:widowControl/>
        <w:ind w:firstLine="640" w:firstLineChars="200"/>
        <w:jc w:val="left"/>
        <w:rPr>
          <w:rFonts w:eastAsia="黑体"/>
          <w:sz w:val="32"/>
          <w:szCs w:val="32"/>
        </w:rPr>
      </w:pPr>
      <w:bookmarkStart w:id="529" w:name="_Toc248306028"/>
      <w:bookmarkStart w:id="530" w:name="_Toc213589788"/>
      <w:bookmarkStart w:id="531" w:name="_Toc248305591"/>
      <w:bookmarkStart w:id="532" w:name="_Toc213589812"/>
      <w:bookmarkStart w:id="533" w:name="_Toc248306050"/>
      <w:bookmarkStart w:id="534" w:name="_Toc248305613"/>
      <w:r>
        <w:rPr>
          <w:rFonts w:eastAsia="黑体"/>
          <w:sz w:val="32"/>
          <w:szCs w:val="32"/>
        </w:rPr>
        <w:br w:type="page"/>
      </w:r>
    </w:p>
    <w:p>
      <w:pPr>
        <w:spacing w:line="360" w:lineRule="auto"/>
        <w:jc w:val="center"/>
        <w:textAlignment w:val="baseline"/>
        <w:outlineLvl w:val="1"/>
        <w:rPr>
          <w:rFonts w:eastAsia="黑体"/>
          <w:sz w:val="32"/>
          <w:szCs w:val="32"/>
        </w:rPr>
      </w:pPr>
      <w:bookmarkStart w:id="535" w:name="_Toc467846854"/>
      <w:bookmarkStart w:id="536" w:name="_Toc14493"/>
      <w:bookmarkStart w:id="537" w:name="_Toc23551"/>
      <w:bookmarkStart w:id="538" w:name="_Toc470721314"/>
      <w:bookmarkStart w:id="539" w:name="_Toc469296463"/>
      <w:bookmarkStart w:id="540" w:name="_Toc11688"/>
      <w:bookmarkStart w:id="541" w:name="_Toc14344"/>
      <w:r>
        <w:rPr>
          <w:rFonts w:eastAsia="黑体"/>
          <w:sz w:val="32"/>
          <w:szCs w:val="32"/>
        </w:rPr>
        <w:t>第二章  样点地价测算</w:t>
      </w:r>
      <w:bookmarkEnd w:id="529"/>
      <w:bookmarkEnd w:id="530"/>
      <w:bookmarkEnd w:id="531"/>
      <w:bookmarkEnd w:id="535"/>
      <w:bookmarkEnd w:id="536"/>
      <w:bookmarkEnd w:id="537"/>
      <w:bookmarkEnd w:id="538"/>
      <w:bookmarkEnd w:id="539"/>
      <w:bookmarkEnd w:id="540"/>
      <w:bookmarkEnd w:id="541"/>
    </w:p>
    <w:p>
      <w:pPr>
        <w:spacing w:line="360" w:lineRule="auto"/>
        <w:ind w:firstLine="560" w:firstLineChars="200"/>
        <w:outlineLvl w:val="2"/>
        <w:rPr>
          <w:rFonts w:eastAsia="黑体"/>
          <w:sz w:val="28"/>
          <w:szCs w:val="28"/>
        </w:rPr>
      </w:pPr>
      <w:bookmarkStart w:id="542" w:name="_Toc10932"/>
      <w:bookmarkStart w:id="543" w:name="_Toc271529449"/>
      <w:bookmarkStart w:id="544" w:name="_Toc469296464"/>
      <w:bookmarkStart w:id="545" w:name="_Toc470721315"/>
      <w:bookmarkStart w:id="546" w:name="_Toc467846855"/>
      <w:bookmarkStart w:id="547" w:name="_Toc4438"/>
      <w:r>
        <w:rPr>
          <w:rFonts w:eastAsia="黑体"/>
          <w:sz w:val="28"/>
          <w:szCs w:val="28"/>
        </w:rPr>
        <w:t>一、土地估价相关参数的确定</w:t>
      </w:r>
      <w:bookmarkEnd w:id="542"/>
      <w:bookmarkEnd w:id="543"/>
      <w:bookmarkEnd w:id="544"/>
      <w:bookmarkEnd w:id="545"/>
      <w:bookmarkEnd w:id="546"/>
      <w:bookmarkEnd w:id="547"/>
    </w:p>
    <w:p>
      <w:pPr>
        <w:spacing w:line="360" w:lineRule="auto"/>
        <w:ind w:firstLine="480" w:firstLineChars="200"/>
        <w:rPr>
          <w:sz w:val="24"/>
          <w:lang w:val="zh-CN"/>
        </w:rPr>
      </w:pPr>
      <w:r>
        <w:rPr>
          <w:sz w:val="24"/>
          <w:lang w:val="zh-CN"/>
        </w:rPr>
        <w:t>不同交易类型的样点有不同的地价测算方法。本次基准地价的评估所收集的样点类型主要包括房屋租赁、商品房出售、土地出让、土地转让及征地拆迁等类型。其中房屋租赁样点需要用收益还原法、商品房出售需要用剩余法和修正转化法、征地拆迁样点需用成本逼近法测定地价。在初步价格测算出后，都要统一修正到基准地价内涵下的价格。</w:t>
      </w:r>
    </w:p>
    <w:p>
      <w:pPr>
        <w:spacing w:line="360" w:lineRule="auto"/>
        <w:ind w:firstLine="482" w:firstLineChars="200"/>
        <w:rPr>
          <w:b/>
          <w:sz w:val="24"/>
          <w:szCs w:val="24"/>
        </w:rPr>
      </w:pPr>
      <w:r>
        <w:rPr>
          <w:b/>
          <w:sz w:val="24"/>
          <w:szCs w:val="24"/>
          <w:lang w:val="zh-CN"/>
        </w:rPr>
        <w:t>（一）房屋重置价格的确定</w:t>
      </w:r>
    </w:p>
    <w:p>
      <w:pPr>
        <w:spacing w:line="360" w:lineRule="auto"/>
        <w:ind w:firstLine="480" w:firstLineChars="200"/>
        <w:rPr>
          <w:sz w:val="24"/>
          <w:lang w:val="zh-CN"/>
        </w:rPr>
      </w:pPr>
      <w:r>
        <w:rPr>
          <w:sz w:val="24"/>
          <w:lang w:val="zh-CN"/>
        </w:rPr>
        <w:t>房屋重置价是依据目前人工、材料、建筑设计标准及正常管理水平下，建造一幢各项设备相同或相当的建筑物所需的成本价格。房屋重置价对于计算房屋的现值及纯收益具有重要的意义。</w:t>
      </w:r>
    </w:p>
    <w:p>
      <w:pPr>
        <w:spacing w:line="360" w:lineRule="auto"/>
        <w:ind w:firstLine="480" w:firstLineChars="200"/>
        <w:rPr>
          <w:sz w:val="24"/>
          <w:lang w:val="zh-CN"/>
        </w:rPr>
      </w:pPr>
      <w:r>
        <w:rPr>
          <w:sz w:val="24"/>
          <w:lang w:val="zh-CN"/>
        </w:rPr>
        <w:t>耐用年限指房屋的折旧年限，因房屋的建筑结构的不同而各异。残值指折旧年限期满后，建筑物的余值。一般根据适当的残值率，利用公式：</w:t>
      </w:r>
    </w:p>
    <w:p>
      <w:pPr>
        <w:spacing w:line="360" w:lineRule="auto"/>
        <w:ind w:firstLine="480" w:firstLineChars="200"/>
        <w:rPr>
          <w:sz w:val="24"/>
          <w:lang w:val="zh-CN"/>
        </w:rPr>
      </w:pPr>
      <w:r>
        <w:rPr>
          <w:sz w:val="24"/>
          <w:lang w:val="zh-CN"/>
        </w:rPr>
        <w:t>残值=重置价×残值率来计算。房屋建筑结构不同，残值率也不同。</w:t>
      </w:r>
    </w:p>
    <w:p>
      <w:pPr>
        <w:spacing w:line="360" w:lineRule="auto"/>
        <w:ind w:firstLine="480" w:firstLineChars="200"/>
        <w:rPr>
          <w:sz w:val="24"/>
          <w:lang w:val="zh-CN"/>
        </w:rPr>
      </w:pPr>
      <w:r>
        <w:rPr>
          <w:sz w:val="24"/>
          <w:lang w:val="zh-CN"/>
        </w:rPr>
        <w:t>此次采用的房屋重置价标准</w:t>
      </w:r>
      <w:r>
        <w:rPr>
          <w:sz w:val="24"/>
          <w:szCs w:val="24"/>
        </w:rPr>
        <w:t>是以长沙县2013年基准地价更新技术报告中确定的房屋重置价格标准，考虑2013年以来的物价上涨水平，房屋建造材料、人工成本等建筑成本进行调查，并前往市物价局等相关单位，对数据进行测算分析，进而测算出</w:t>
      </w:r>
      <w:r>
        <w:rPr>
          <w:sz w:val="24"/>
        </w:rPr>
        <w:t>长沙县房屋重置价格标准。见表3-2-1。</w:t>
      </w:r>
    </w:p>
    <w:p>
      <w:pPr>
        <w:spacing w:line="400" w:lineRule="exact"/>
        <w:jc w:val="center"/>
        <w:rPr>
          <w:b/>
          <w:bCs/>
          <w:sz w:val="24"/>
          <w:szCs w:val="22"/>
        </w:rPr>
      </w:pPr>
      <w:r>
        <w:rPr>
          <w:b/>
          <w:bCs/>
          <w:sz w:val="24"/>
          <w:szCs w:val="22"/>
        </w:rPr>
        <w:t>表3-2-1  长沙县房屋重置价格标准</w:t>
      </w:r>
    </w:p>
    <w:p>
      <w:pPr>
        <w:ind w:firstLine="480" w:firstLineChars="200"/>
        <w:jc w:val="right"/>
        <w:rPr>
          <w:rFonts w:eastAsia="黑体"/>
          <w:color w:val="000000"/>
          <w:sz w:val="24"/>
          <w:szCs w:val="24"/>
        </w:rPr>
      </w:pPr>
      <w:r>
        <w:rPr>
          <w:rFonts w:eastAsia="黑体"/>
          <w:color w:val="000000"/>
          <w:sz w:val="24"/>
          <w:szCs w:val="24"/>
        </w:rPr>
        <w:t xml:space="preserve">单位：元/平方米  </w:t>
      </w:r>
    </w:p>
    <w:tbl>
      <w:tblPr>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2118"/>
        <w:gridCol w:w="2874"/>
        <w:gridCol w:w="2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5" w:type="dxa"/>
            <w:vAlign w:val="center"/>
          </w:tcPr>
          <w:p>
            <w:pPr>
              <w:jc w:val="center"/>
              <w:rPr>
                <w:color w:val="000000"/>
                <w:szCs w:val="21"/>
              </w:rPr>
            </w:pPr>
            <w:r>
              <w:rPr>
                <w:color w:val="000000"/>
                <w:szCs w:val="21"/>
              </w:rPr>
              <w:t>结构</w:t>
            </w:r>
          </w:p>
        </w:tc>
        <w:tc>
          <w:tcPr>
            <w:tcW w:w="2118" w:type="dxa"/>
            <w:vAlign w:val="center"/>
          </w:tcPr>
          <w:p>
            <w:pPr>
              <w:jc w:val="center"/>
              <w:rPr>
                <w:color w:val="000000"/>
                <w:szCs w:val="21"/>
              </w:rPr>
            </w:pPr>
            <w:r>
              <w:rPr>
                <w:color w:val="000000"/>
                <w:szCs w:val="21"/>
              </w:rPr>
              <w:t>等级</w:t>
            </w:r>
          </w:p>
        </w:tc>
        <w:tc>
          <w:tcPr>
            <w:tcW w:w="2874" w:type="dxa"/>
            <w:vAlign w:val="center"/>
          </w:tcPr>
          <w:p>
            <w:pPr>
              <w:jc w:val="center"/>
              <w:rPr>
                <w:color w:val="000000"/>
                <w:szCs w:val="21"/>
              </w:rPr>
            </w:pPr>
            <w:r>
              <w:rPr>
                <w:color w:val="000000"/>
                <w:szCs w:val="21"/>
              </w:rPr>
              <w:t>住宅用房</w:t>
            </w:r>
          </w:p>
        </w:tc>
        <w:tc>
          <w:tcPr>
            <w:tcW w:w="2874" w:type="dxa"/>
            <w:vAlign w:val="center"/>
          </w:tcPr>
          <w:p>
            <w:pPr>
              <w:jc w:val="center"/>
              <w:rPr>
                <w:color w:val="000000"/>
                <w:szCs w:val="21"/>
              </w:rPr>
            </w:pPr>
            <w:r>
              <w:rPr>
                <w:color w:val="000000"/>
                <w:szCs w:val="21"/>
              </w:rPr>
              <w:t>综合用房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5" w:type="dxa"/>
            <w:vMerge w:val="restart"/>
            <w:vAlign w:val="center"/>
          </w:tcPr>
          <w:p>
            <w:pPr>
              <w:jc w:val="center"/>
              <w:rPr>
                <w:color w:val="000000"/>
                <w:szCs w:val="21"/>
              </w:rPr>
            </w:pPr>
            <w:r>
              <w:rPr>
                <w:color w:val="000000"/>
                <w:szCs w:val="21"/>
              </w:rPr>
              <w:t>钢混</w:t>
            </w:r>
          </w:p>
        </w:tc>
        <w:tc>
          <w:tcPr>
            <w:tcW w:w="2118" w:type="dxa"/>
            <w:vAlign w:val="center"/>
          </w:tcPr>
          <w:p>
            <w:pPr>
              <w:jc w:val="center"/>
              <w:rPr>
                <w:color w:val="000000"/>
                <w:szCs w:val="21"/>
              </w:rPr>
            </w:pPr>
            <w:r>
              <w:rPr>
                <w:color w:val="000000"/>
                <w:szCs w:val="21"/>
              </w:rPr>
              <w:t>一</w:t>
            </w:r>
          </w:p>
        </w:tc>
        <w:tc>
          <w:tcPr>
            <w:tcW w:w="2874" w:type="dxa"/>
            <w:vAlign w:val="center"/>
          </w:tcPr>
          <w:p>
            <w:pPr>
              <w:jc w:val="center"/>
              <w:rPr>
                <w:color w:val="000000"/>
                <w:szCs w:val="21"/>
              </w:rPr>
            </w:pPr>
            <w:r>
              <w:rPr>
                <w:color w:val="000000"/>
                <w:szCs w:val="21"/>
              </w:rPr>
              <w:t>1260</w:t>
            </w:r>
          </w:p>
        </w:tc>
        <w:tc>
          <w:tcPr>
            <w:tcW w:w="2874" w:type="dxa"/>
            <w:vAlign w:val="center"/>
          </w:tcPr>
          <w:p>
            <w:pPr>
              <w:jc w:val="center"/>
              <w:rPr>
                <w:color w:val="000000"/>
                <w:szCs w:val="21"/>
              </w:rPr>
            </w:pPr>
            <w:r>
              <w:rPr>
                <w:color w:val="000000"/>
                <w:szCs w:val="21"/>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5" w:type="dxa"/>
            <w:vMerge w:val="continue"/>
            <w:vAlign w:val="center"/>
          </w:tcPr>
          <w:p>
            <w:pPr>
              <w:jc w:val="center"/>
              <w:rPr>
                <w:color w:val="000000"/>
                <w:szCs w:val="21"/>
              </w:rPr>
            </w:pPr>
          </w:p>
        </w:tc>
        <w:tc>
          <w:tcPr>
            <w:tcW w:w="2118" w:type="dxa"/>
            <w:vAlign w:val="center"/>
          </w:tcPr>
          <w:p>
            <w:pPr>
              <w:jc w:val="center"/>
              <w:rPr>
                <w:color w:val="000000"/>
                <w:szCs w:val="21"/>
              </w:rPr>
            </w:pPr>
            <w:r>
              <w:rPr>
                <w:color w:val="000000"/>
                <w:szCs w:val="21"/>
              </w:rPr>
              <w:t>二</w:t>
            </w:r>
          </w:p>
        </w:tc>
        <w:tc>
          <w:tcPr>
            <w:tcW w:w="2874" w:type="dxa"/>
            <w:vAlign w:val="center"/>
          </w:tcPr>
          <w:p>
            <w:pPr>
              <w:jc w:val="center"/>
              <w:rPr>
                <w:color w:val="000000"/>
                <w:szCs w:val="21"/>
              </w:rPr>
            </w:pPr>
            <w:r>
              <w:rPr>
                <w:color w:val="000000"/>
                <w:szCs w:val="21"/>
              </w:rPr>
              <w:t>1120</w:t>
            </w:r>
          </w:p>
        </w:tc>
        <w:tc>
          <w:tcPr>
            <w:tcW w:w="2874" w:type="dxa"/>
            <w:vAlign w:val="center"/>
          </w:tcPr>
          <w:p>
            <w:pPr>
              <w:jc w:val="center"/>
              <w:rPr>
                <w:color w:val="000000"/>
                <w:szCs w:val="21"/>
              </w:rPr>
            </w:pPr>
            <w:r>
              <w:rPr>
                <w:color w:val="000000"/>
                <w:szCs w:val="21"/>
              </w:rPr>
              <w:t>1210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95" w:type="dxa"/>
            <w:vMerge w:val="restart"/>
            <w:vAlign w:val="center"/>
          </w:tcPr>
          <w:p>
            <w:pPr>
              <w:jc w:val="center"/>
              <w:rPr>
                <w:color w:val="000000"/>
                <w:szCs w:val="21"/>
              </w:rPr>
            </w:pPr>
            <w:r>
              <w:rPr>
                <w:color w:val="000000"/>
                <w:szCs w:val="21"/>
              </w:rPr>
              <w:t>砖混</w:t>
            </w:r>
          </w:p>
        </w:tc>
        <w:tc>
          <w:tcPr>
            <w:tcW w:w="2118" w:type="dxa"/>
            <w:vAlign w:val="center"/>
          </w:tcPr>
          <w:p>
            <w:pPr>
              <w:jc w:val="center"/>
              <w:rPr>
                <w:color w:val="000000"/>
                <w:szCs w:val="21"/>
              </w:rPr>
            </w:pPr>
            <w:r>
              <w:rPr>
                <w:color w:val="000000"/>
                <w:szCs w:val="21"/>
              </w:rPr>
              <w:t>一</w:t>
            </w:r>
          </w:p>
        </w:tc>
        <w:tc>
          <w:tcPr>
            <w:tcW w:w="2874" w:type="dxa"/>
            <w:vAlign w:val="center"/>
          </w:tcPr>
          <w:p>
            <w:pPr>
              <w:jc w:val="center"/>
              <w:rPr>
                <w:color w:val="000000"/>
                <w:szCs w:val="21"/>
              </w:rPr>
            </w:pPr>
            <w:r>
              <w:rPr>
                <w:color w:val="000000"/>
                <w:szCs w:val="21"/>
              </w:rPr>
              <w:t>960</w:t>
            </w:r>
          </w:p>
        </w:tc>
        <w:tc>
          <w:tcPr>
            <w:tcW w:w="2874" w:type="dxa"/>
            <w:vAlign w:val="center"/>
          </w:tcPr>
          <w:p>
            <w:pPr>
              <w:jc w:val="center"/>
              <w:rPr>
                <w:color w:val="000000"/>
                <w:szCs w:val="21"/>
              </w:rPr>
            </w:pPr>
            <w:r>
              <w:rPr>
                <w:color w:val="000000"/>
                <w:szCs w:val="21"/>
              </w:rP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5" w:type="dxa"/>
            <w:vMerge w:val="continue"/>
            <w:vAlign w:val="center"/>
          </w:tcPr>
          <w:p>
            <w:pPr>
              <w:jc w:val="center"/>
              <w:rPr>
                <w:color w:val="000000"/>
                <w:szCs w:val="21"/>
              </w:rPr>
            </w:pPr>
          </w:p>
        </w:tc>
        <w:tc>
          <w:tcPr>
            <w:tcW w:w="2118" w:type="dxa"/>
            <w:vAlign w:val="center"/>
          </w:tcPr>
          <w:p>
            <w:pPr>
              <w:jc w:val="center"/>
              <w:rPr>
                <w:color w:val="000000"/>
                <w:szCs w:val="21"/>
              </w:rPr>
            </w:pPr>
            <w:r>
              <w:rPr>
                <w:color w:val="000000"/>
                <w:szCs w:val="21"/>
              </w:rPr>
              <w:t>二</w:t>
            </w:r>
          </w:p>
        </w:tc>
        <w:tc>
          <w:tcPr>
            <w:tcW w:w="2874" w:type="dxa"/>
            <w:vAlign w:val="center"/>
          </w:tcPr>
          <w:p>
            <w:pPr>
              <w:jc w:val="center"/>
              <w:rPr>
                <w:color w:val="000000"/>
                <w:szCs w:val="21"/>
              </w:rPr>
            </w:pPr>
            <w:r>
              <w:rPr>
                <w:color w:val="000000"/>
                <w:szCs w:val="21"/>
              </w:rPr>
              <w:t>660</w:t>
            </w:r>
          </w:p>
        </w:tc>
        <w:tc>
          <w:tcPr>
            <w:tcW w:w="2874" w:type="dxa"/>
            <w:vAlign w:val="center"/>
          </w:tcPr>
          <w:p>
            <w:pPr>
              <w:jc w:val="center"/>
              <w:rPr>
                <w:color w:val="000000"/>
                <w:szCs w:val="21"/>
              </w:rPr>
            </w:pPr>
            <w:r>
              <w:rPr>
                <w:color w:val="000000"/>
                <w:szCs w:val="21"/>
              </w:rPr>
              <w:t>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5" w:type="dxa"/>
            <w:vMerge w:val="continue"/>
            <w:vAlign w:val="center"/>
          </w:tcPr>
          <w:p>
            <w:pPr>
              <w:jc w:val="center"/>
              <w:rPr>
                <w:color w:val="000000"/>
                <w:szCs w:val="21"/>
              </w:rPr>
            </w:pPr>
          </w:p>
        </w:tc>
        <w:tc>
          <w:tcPr>
            <w:tcW w:w="2118" w:type="dxa"/>
            <w:vAlign w:val="center"/>
          </w:tcPr>
          <w:p>
            <w:pPr>
              <w:jc w:val="center"/>
              <w:rPr>
                <w:color w:val="000000"/>
                <w:szCs w:val="21"/>
              </w:rPr>
            </w:pPr>
            <w:r>
              <w:rPr>
                <w:color w:val="000000"/>
                <w:szCs w:val="21"/>
              </w:rPr>
              <w:t>三</w:t>
            </w:r>
          </w:p>
        </w:tc>
        <w:tc>
          <w:tcPr>
            <w:tcW w:w="2874" w:type="dxa"/>
            <w:vAlign w:val="center"/>
          </w:tcPr>
          <w:p>
            <w:pPr>
              <w:jc w:val="center"/>
              <w:rPr>
                <w:color w:val="000000"/>
                <w:szCs w:val="21"/>
              </w:rPr>
            </w:pPr>
            <w:r>
              <w:rPr>
                <w:color w:val="000000"/>
                <w:szCs w:val="21"/>
              </w:rPr>
              <w:t>520</w:t>
            </w:r>
          </w:p>
        </w:tc>
        <w:tc>
          <w:tcPr>
            <w:tcW w:w="2874" w:type="dxa"/>
            <w:vAlign w:val="center"/>
          </w:tcPr>
          <w:p>
            <w:pPr>
              <w:jc w:val="center"/>
              <w:rPr>
                <w:color w:val="000000"/>
                <w:szCs w:val="21"/>
              </w:rPr>
            </w:pPr>
            <w:r>
              <w:rPr>
                <w:color w:val="000000"/>
                <w:szCs w:val="21"/>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5" w:type="dxa"/>
            <w:vMerge w:val="continue"/>
            <w:vAlign w:val="center"/>
          </w:tcPr>
          <w:p>
            <w:pPr>
              <w:jc w:val="center"/>
              <w:rPr>
                <w:color w:val="000000"/>
                <w:szCs w:val="21"/>
              </w:rPr>
            </w:pPr>
          </w:p>
        </w:tc>
        <w:tc>
          <w:tcPr>
            <w:tcW w:w="2118" w:type="dxa"/>
            <w:vAlign w:val="center"/>
          </w:tcPr>
          <w:p>
            <w:pPr>
              <w:jc w:val="center"/>
              <w:rPr>
                <w:color w:val="000000"/>
                <w:szCs w:val="21"/>
              </w:rPr>
            </w:pPr>
            <w:r>
              <w:rPr>
                <w:color w:val="000000"/>
                <w:szCs w:val="21"/>
              </w:rPr>
              <w:t>四</w:t>
            </w:r>
          </w:p>
        </w:tc>
        <w:tc>
          <w:tcPr>
            <w:tcW w:w="2874" w:type="dxa"/>
            <w:vAlign w:val="center"/>
          </w:tcPr>
          <w:p>
            <w:pPr>
              <w:jc w:val="center"/>
              <w:rPr>
                <w:color w:val="000000"/>
                <w:szCs w:val="21"/>
              </w:rPr>
            </w:pPr>
            <w:r>
              <w:rPr>
                <w:color w:val="000000"/>
                <w:szCs w:val="21"/>
              </w:rPr>
              <w:t>390</w:t>
            </w:r>
          </w:p>
        </w:tc>
        <w:tc>
          <w:tcPr>
            <w:tcW w:w="2874" w:type="dxa"/>
            <w:vAlign w:val="center"/>
          </w:tcPr>
          <w:p>
            <w:pPr>
              <w:jc w:val="center"/>
              <w:rPr>
                <w:color w:val="000000"/>
                <w:szCs w:val="21"/>
              </w:rPr>
            </w:pPr>
            <w:r>
              <w:rPr>
                <w:color w:val="000000"/>
                <w:szCs w:val="21"/>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5" w:type="dxa"/>
            <w:vMerge w:val="restart"/>
            <w:vAlign w:val="center"/>
          </w:tcPr>
          <w:p>
            <w:pPr>
              <w:jc w:val="center"/>
              <w:rPr>
                <w:color w:val="000000"/>
                <w:szCs w:val="21"/>
              </w:rPr>
            </w:pPr>
            <w:r>
              <w:rPr>
                <w:color w:val="000000"/>
                <w:szCs w:val="21"/>
              </w:rPr>
              <w:t>砖木</w:t>
            </w:r>
          </w:p>
        </w:tc>
        <w:tc>
          <w:tcPr>
            <w:tcW w:w="2118" w:type="dxa"/>
            <w:vAlign w:val="center"/>
          </w:tcPr>
          <w:p>
            <w:pPr>
              <w:jc w:val="center"/>
              <w:rPr>
                <w:color w:val="000000"/>
                <w:szCs w:val="21"/>
              </w:rPr>
            </w:pPr>
            <w:r>
              <w:rPr>
                <w:color w:val="000000"/>
                <w:szCs w:val="21"/>
              </w:rPr>
              <w:t>一</w:t>
            </w:r>
          </w:p>
        </w:tc>
        <w:tc>
          <w:tcPr>
            <w:tcW w:w="2874" w:type="dxa"/>
            <w:vAlign w:val="center"/>
          </w:tcPr>
          <w:p>
            <w:pPr>
              <w:jc w:val="center"/>
              <w:rPr>
                <w:color w:val="000000"/>
                <w:szCs w:val="21"/>
              </w:rPr>
            </w:pPr>
            <w:r>
              <w:rPr>
                <w:color w:val="000000"/>
                <w:szCs w:val="21"/>
              </w:rPr>
              <w:t>790</w:t>
            </w:r>
          </w:p>
        </w:tc>
        <w:tc>
          <w:tcPr>
            <w:tcW w:w="2874" w:type="dxa"/>
            <w:vAlign w:val="center"/>
          </w:tcPr>
          <w:p>
            <w:pPr>
              <w:jc w:val="center"/>
              <w:rPr>
                <w:color w:val="000000"/>
                <w:szCs w:val="21"/>
              </w:rPr>
            </w:pPr>
            <w:r>
              <w:rPr>
                <w:color w:val="000000"/>
                <w:szCs w:val="21"/>
              </w:rPr>
              <w:t>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5" w:type="dxa"/>
            <w:vMerge w:val="continue"/>
            <w:vAlign w:val="center"/>
          </w:tcPr>
          <w:p>
            <w:pPr>
              <w:jc w:val="center"/>
              <w:rPr>
                <w:color w:val="000000"/>
                <w:szCs w:val="21"/>
              </w:rPr>
            </w:pPr>
          </w:p>
        </w:tc>
        <w:tc>
          <w:tcPr>
            <w:tcW w:w="2118" w:type="dxa"/>
            <w:vAlign w:val="center"/>
          </w:tcPr>
          <w:p>
            <w:pPr>
              <w:jc w:val="center"/>
              <w:rPr>
                <w:color w:val="000000"/>
                <w:szCs w:val="21"/>
              </w:rPr>
            </w:pPr>
            <w:r>
              <w:rPr>
                <w:color w:val="000000"/>
                <w:szCs w:val="21"/>
              </w:rPr>
              <w:t>二</w:t>
            </w:r>
          </w:p>
        </w:tc>
        <w:tc>
          <w:tcPr>
            <w:tcW w:w="2874" w:type="dxa"/>
            <w:vAlign w:val="center"/>
          </w:tcPr>
          <w:p>
            <w:pPr>
              <w:jc w:val="center"/>
              <w:rPr>
                <w:color w:val="000000"/>
                <w:szCs w:val="21"/>
              </w:rPr>
            </w:pPr>
            <w:r>
              <w:rPr>
                <w:color w:val="000000"/>
                <w:szCs w:val="21"/>
              </w:rPr>
              <w:t>620</w:t>
            </w:r>
          </w:p>
        </w:tc>
        <w:tc>
          <w:tcPr>
            <w:tcW w:w="2874" w:type="dxa"/>
            <w:vAlign w:val="center"/>
          </w:tcPr>
          <w:p>
            <w:pPr>
              <w:jc w:val="center"/>
              <w:rPr>
                <w:color w:val="000000"/>
                <w:szCs w:val="21"/>
              </w:rPr>
            </w:pPr>
            <w:r>
              <w:rPr>
                <w:color w:val="000000"/>
                <w:szCs w:val="21"/>
              </w:rPr>
              <w:t>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5" w:type="dxa"/>
            <w:vMerge w:val="continue"/>
            <w:vAlign w:val="center"/>
          </w:tcPr>
          <w:p>
            <w:pPr>
              <w:jc w:val="center"/>
              <w:rPr>
                <w:color w:val="000000"/>
                <w:szCs w:val="21"/>
              </w:rPr>
            </w:pPr>
          </w:p>
        </w:tc>
        <w:tc>
          <w:tcPr>
            <w:tcW w:w="2118" w:type="dxa"/>
            <w:vAlign w:val="center"/>
          </w:tcPr>
          <w:p>
            <w:pPr>
              <w:jc w:val="center"/>
              <w:rPr>
                <w:color w:val="000000"/>
                <w:szCs w:val="21"/>
              </w:rPr>
            </w:pPr>
            <w:r>
              <w:rPr>
                <w:color w:val="000000"/>
                <w:szCs w:val="21"/>
              </w:rPr>
              <w:t>三</w:t>
            </w:r>
          </w:p>
        </w:tc>
        <w:tc>
          <w:tcPr>
            <w:tcW w:w="2874" w:type="dxa"/>
            <w:vAlign w:val="center"/>
          </w:tcPr>
          <w:p>
            <w:pPr>
              <w:jc w:val="center"/>
              <w:rPr>
                <w:color w:val="000000"/>
                <w:szCs w:val="21"/>
              </w:rPr>
            </w:pPr>
            <w:r>
              <w:rPr>
                <w:color w:val="000000"/>
                <w:szCs w:val="21"/>
              </w:rPr>
              <w:t>470</w:t>
            </w:r>
          </w:p>
        </w:tc>
        <w:tc>
          <w:tcPr>
            <w:tcW w:w="2874" w:type="dxa"/>
            <w:vAlign w:val="center"/>
          </w:tcPr>
          <w:p>
            <w:pPr>
              <w:jc w:val="center"/>
              <w:rPr>
                <w:color w:val="000000"/>
                <w:szCs w:val="21"/>
              </w:rPr>
            </w:pPr>
            <w:r>
              <w:rPr>
                <w:color w:val="000000"/>
                <w:szCs w:val="21"/>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5" w:type="dxa"/>
            <w:vMerge w:val="restart"/>
            <w:vAlign w:val="center"/>
          </w:tcPr>
          <w:p>
            <w:pPr>
              <w:jc w:val="center"/>
              <w:rPr>
                <w:color w:val="000000"/>
                <w:szCs w:val="21"/>
              </w:rPr>
            </w:pPr>
            <w:r>
              <w:rPr>
                <w:color w:val="000000"/>
                <w:szCs w:val="21"/>
              </w:rPr>
              <w:t>简易</w:t>
            </w:r>
          </w:p>
        </w:tc>
        <w:tc>
          <w:tcPr>
            <w:tcW w:w="2118" w:type="dxa"/>
            <w:vAlign w:val="center"/>
          </w:tcPr>
          <w:p>
            <w:pPr>
              <w:jc w:val="center"/>
              <w:rPr>
                <w:color w:val="000000"/>
                <w:szCs w:val="21"/>
              </w:rPr>
            </w:pPr>
            <w:r>
              <w:rPr>
                <w:color w:val="000000"/>
                <w:szCs w:val="21"/>
              </w:rPr>
              <w:t>一</w:t>
            </w:r>
          </w:p>
        </w:tc>
        <w:tc>
          <w:tcPr>
            <w:tcW w:w="5748" w:type="dxa"/>
            <w:gridSpan w:val="2"/>
            <w:vAlign w:val="center"/>
          </w:tcPr>
          <w:p>
            <w:pPr>
              <w:jc w:val="center"/>
              <w:rPr>
                <w:color w:val="000000"/>
                <w:szCs w:val="21"/>
              </w:rPr>
            </w:pPr>
            <w:r>
              <w:rPr>
                <w:color w:val="000000"/>
                <w:szCs w:val="21"/>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5" w:type="dxa"/>
            <w:vMerge w:val="continue"/>
            <w:vAlign w:val="center"/>
          </w:tcPr>
          <w:p>
            <w:pPr>
              <w:jc w:val="center"/>
              <w:rPr>
                <w:color w:val="000000"/>
                <w:szCs w:val="21"/>
              </w:rPr>
            </w:pPr>
          </w:p>
        </w:tc>
        <w:tc>
          <w:tcPr>
            <w:tcW w:w="2118" w:type="dxa"/>
            <w:vAlign w:val="center"/>
          </w:tcPr>
          <w:p>
            <w:pPr>
              <w:jc w:val="center"/>
              <w:rPr>
                <w:color w:val="000000"/>
                <w:szCs w:val="21"/>
              </w:rPr>
            </w:pPr>
            <w:r>
              <w:rPr>
                <w:color w:val="000000"/>
                <w:szCs w:val="21"/>
              </w:rPr>
              <w:t>二</w:t>
            </w:r>
          </w:p>
        </w:tc>
        <w:tc>
          <w:tcPr>
            <w:tcW w:w="5748" w:type="dxa"/>
            <w:gridSpan w:val="2"/>
            <w:vAlign w:val="center"/>
          </w:tcPr>
          <w:p>
            <w:pPr>
              <w:jc w:val="center"/>
              <w:rPr>
                <w:color w:val="000000"/>
                <w:szCs w:val="21"/>
              </w:rPr>
            </w:pPr>
            <w:r>
              <w:rPr>
                <w:color w:val="000000"/>
                <w:szCs w:val="21"/>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5" w:type="dxa"/>
            <w:vAlign w:val="center"/>
          </w:tcPr>
          <w:p>
            <w:pPr>
              <w:jc w:val="center"/>
              <w:rPr>
                <w:color w:val="000000"/>
                <w:szCs w:val="21"/>
              </w:rPr>
            </w:pPr>
            <w:r>
              <w:rPr>
                <w:color w:val="000000"/>
                <w:szCs w:val="21"/>
              </w:rPr>
              <w:t>备注</w:t>
            </w:r>
          </w:p>
        </w:tc>
        <w:tc>
          <w:tcPr>
            <w:tcW w:w="7866" w:type="dxa"/>
            <w:gridSpan w:val="3"/>
            <w:vAlign w:val="center"/>
          </w:tcPr>
          <w:p>
            <w:pPr>
              <w:rPr>
                <w:color w:val="000000"/>
                <w:szCs w:val="21"/>
              </w:rPr>
            </w:pPr>
            <w:r>
              <w:rPr>
                <w:color w:val="000000"/>
                <w:szCs w:val="21"/>
              </w:rPr>
              <w:t>1、基准日期为</w:t>
            </w:r>
            <w:r>
              <w:rPr>
                <w:rFonts w:hint="eastAsia"/>
                <w:color w:val="000000"/>
                <w:szCs w:val="21"/>
                <w:lang w:eastAsia="zh-CN"/>
              </w:rPr>
              <w:t>2018年3月1日</w:t>
            </w:r>
            <w:r>
              <w:rPr>
                <w:color w:val="000000"/>
                <w:szCs w:val="21"/>
              </w:rPr>
              <w:t>；</w:t>
            </w:r>
          </w:p>
          <w:p>
            <w:pPr>
              <w:rPr>
                <w:color w:val="000000"/>
                <w:szCs w:val="21"/>
              </w:rPr>
            </w:pPr>
            <w:r>
              <w:rPr>
                <w:color w:val="000000"/>
                <w:szCs w:val="21"/>
              </w:rPr>
              <w:t>2、包括前期工程费用、建安成本、管理费用、投资利息，不包括销售税费与利润；</w:t>
            </w:r>
          </w:p>
          <w:p>
            <w:pPr>
              <w:rPr>
                <w:color w:val="000000"/>
                <w:szCs w:val="21"/>
              </w:rPr>
            </w:pPr>
            <w:r>
              <w:rPr>
                <w:color w:val="000000"/>
                <w:szCs w:val="21"/>
              </w:rPr>
              <w:t>3、不包括土地费用</w:t>
            </w:r>
          </w:p>
          <w:p>
            <w:pPr>
              <w:rPr>
                <w:color w:val="000000"/>
                <w:szCs w:val="21"/>
              </w:rPr>
            </w:pPr>
            <w:r>
              <w:rPr>
                <w:color w:val="000000"/>
                <w:szCs w:val="21"/>
              </w:rPr>
              <w:t>4、不包括电梯、消防等设施设备（原设计中的水电卫除外）的价格，小区内房屋重置价格不包括公共服务设施及其它配套设施的价格。</w:t>
            </w:r>
          </w:p>
        </w:tc>
      </w:tr>
    </w:tbl>
    <w:p>
      <w:pPr>
        <w:ind w:firstLine="360" w:firstLineChars="200"/>
        <w:rPr>
          <w:sz w:val="18"/>
          <w:szCs w:val="18"/>
        </w:rPr>
      </w:pPr>
      <w:r>
        <w:rPr>
          <w:sz w:val="18"/>
          <w:szCs w:val="18"/>
        </w:rPr>
        <w:t>备注：长沙县房屋重置价格参照长沙市房屋重置价格标准</w:t>
      </w:r>
    </w:p>
    <w:p>
      <w:pPr>
        <w:spacing w:line="360" w:lineRule="auto"/>
        <w:ind w:firstLine="480" w:firstLineChars="200"/>
        <w:rPr>
          <w:sz w:val="24"/>
          <w:lang w:val="zh-CN"/>
        </w:rPr>
      </w:pPr>
      <w:r>
        <w:rPr>
          <w:sz w:val="24"/>
          <w:lang w:val="zh-CN"/>
        </w:rPr>
        <w:t>根据长沙县房屋的使用状况，为了较客观地反映房屋成新程度，体现出实际的房屋现值，结合《房地产估价规范》中关于房屋成新度评定标准的相关规定，征询有关专业人士，确定长沙县基准地价测算所用房屋成新度评定标准，见表3-2-2。</w:t>
      </w:r>
    </w:p>
    <w:p>
      <w:pPr>
        <w:spacing w:line="400" w:lineRule="exact"/>
        <w:jc w:val="center"/>
        <w:rPr>
          <w:b/>
          <w:bCs/>
          <w:sz w:val="24"/>
          <w:szCs w:val="22"/>
        </w:rPr>
      </w:pPr>
      <w:r>
        <w:rPr>
          <w:b/>
          <w:bCs/>
          <w:sz w:val="24"/>
          <w:szCs w:val="22"/>
        </w:rPr>
        <w:t>表3-2-2  长沙县房屋等级评定、耐用年限及残值率标准表</w:t>
      </w:r>
    </w:p>
    <w:tbl>
      <w:tblPr>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489"/>
        <w:gridCol w:w="4076"/>
        <w:gridCol w:w="3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7" w:type="dxa"/>
            <w:vMerge w:val="restart"/>
            <w:vAlign w:val="center"/>
          </w:tcPr>
          <w:p>
            <w:pPr>
              <w:ind w:left="-105" w:leftChars="-50" w:right="-105" w:rightChars="-50"/>
              <w:jc w:val="center"/>
              <w:rPr>
                <w:b/>
                <w:bCs/>
                <w:color w:val="000000"/>
                <w:szCs w:val="21"/>
              </w:rPr>
            </w:pPr>
            <w:r>
              <w:rPr>
                <w:b/>
                <w:bCs/>
                <w:color w:val="000000"/>
                <w:szCs w:val="21"/>
              </w:rPr>
              <w:t>结构</w:t>
            </w:r>
          </w:p>
        </w:tc>
        <w:tc>
          <w:tcPr>
            <w:tcW w:w="489" w:type="dxa"/>
            <w:vMerge w:val="restart"/>
            <w:vAlign w:val="center"/>
          </w:tcPr>
          <w:p>
            <w:pPr>
              <w:ind w:left="-105" w:leftChars="-50" w:right="-105" w:rightChars="-50"/>
              <w:jc w:val="center"/>
              <w:rPr>
                <w:b/>
                <w:bCs/>
                <w:color w:val="000000"/>
                <w:szCs w:val="21"/>
              </w:rPr>
            </w:pPr>
            <w:r>
              <w:rPr>
                <w:b/>
                <w:bCs/>
                <w:color w:val="000000"/>
                <w:szCs w:val="21"/>
              </w:rPr>
              <w:t>等级</w:t>
            </w:r>
          </w:p>
        </w:tc>
        <w:tc>
          <w:tcPr>
            <w:tcW w:w="8025" w:type="dxa"/>
            <w:gridSpan w:val="2"/>
            <w:vAlign w:val="center"/>
          </w:tcPr>
          <w:p>
            <w:pPr>
              <w:ind w:right="-105" w:rightChars="-50"/>
              <w:jc w:val="center"/>
              <w:rPr>
                <w:b/>
                <w:bCs/>
                <w:color w:val="000000"/>
                <w:szCs w:val="21"/>
              </w:rPr>
            </w:pPr>
            <w:r>
              <w:rPr>
                <w:b/>
                <w:bCs/>
                <w:color w:val="00000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7" w:type="dxa"/>
            <w:vMerge w:val="continue"/>
            <w:vAlign w:val="center"/>
          </w:tcPr>
          <w:p>
            <w:pPr>
              <w:ind w:left="-105" w:leftChars="-50" w:right="-105" w:rightChars="-50" w:firstLine="211" w:firstLineChars="100"/>
              <w:jc w:val="center"/>
              <w:rPr>
                <w:b/>
                <w:bCs/>
                <w:color w:val="000000"/>
                <w:szCs w:val="21"/>
              </w:rPr>
            </w:pPr>
          </w:p>
        </w:tc>
        <w:tc>
          <w:tcPr>
            <w:tcW w:w="489" w:type="dxa"/>
            <w:vMerge w:val="continue"/>
            <w:vAlign w:val="center"/>
          </w:tcPr>
          <w:p>
            <w:pPr>
              <w:ind w:left="-105" w:leftChars="-50" w:right="-105" w:rightChars="-50" w:firstLine="211" w:firstLineChars="100"/>
              <w:jc w:val="center"/>
              <w:rPr>
                <w:b/>
                <w:bCs/>
                <w:color w:val="000000"/>
                <w:szCs w:val="21"/>
              </w:rPr>
            </w:pPr>
          </w:p>
        </w:tc>
        <w:tc>
          <w:tcPr>
            <w:tcW w:w="4076" w:type="dxa"/>
            <w:vAlign w:val="center"/>
          </w:tcPr>
          <w:p>
            <w:pPr>
              <w:ind w:left="-105" w:leftChars="-50" w:right="-105" w:rightChars="-50" w:firstLine="211" w:firstLineChars="100"/>
              <w:jc w:val="center"/>
              <w:rPr>
                <w:b/>
                <w:bCs/>
                <w:color w:val="000000"/>
                <w:szCs w:val="21"/>
              </w:rPr>
            </w:pPr>
            <w:r>
              <w:rPr>
                <w:b/>
                <w:bCs/>
                <w:color w:val="000000"/>
                <w:szCs w:val="21"/>
              </w:rPr>
              <w:t>结 构 标 准</w:t>
            </w:r>
          </w:p>
        </w:tc>
        <w:tc>
          <w:tcPr>
            <w:tcW w:w="3949" w:type="dxa"/>
            <w:vAlign w:val="center"/>
          </w:tcPr>
          <w:p>
            <w:pPr>
              <w:ind w:left="-105" w:leftChars="-50" w:right="-105" w:rightChars="-50" w:firstLine="211" w:firstLineChars="100"/>
              <w:jc w:val="center"/>
              <w:rPr>
                <w:b/>
                <w:bCs/>
                <w:color w:val="000000"/>
                <w:szCs w:val="21"/>
              </w:rPr>
            </w:pPr>
            <w:r>
              <w:rPr>
                <w:b/>
                <w:bCs/>
                <w:color w:val="000000"/>
                <w:szCs w:val="21"/>
              </w:rPr>
              <w:t>装饰与设备标准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7" w:type="dxa"/>
            <w:vMerge w:val="restart"/>
            <w:vAlign w:val="center"/>
          </w:tcPr>
          <w:p>
            <w:pPr>
              <w:ind w:left="-105" w:leftChars="-50" w:right="-105" w:rightChars="-50"/>
              <w:jc w:val="center"/>
              <w:rPr>
                <w:color w:val="000000"/>
                <w:szCs w:val="21"/>
              </w:rPr>
            </w:pPr>
            <w:r>
              <w:rPr>
                <w:color w:val="000000"/>
                <w:szCs w:val="21"/>
              </w:rPr>
              <w:t>钢筋混凝土结构</w:t>
            </w:r>
          </w:p>
        </w:tc>
        <w:tc>
          <w:tcPr>
            <w:tcW w:w="489" w:type="dxa"/>
            <w:vAlign w:val="center"/>
          </w:tcPr>
          <w:p>
            <w:pPr>
              <w:ind w:left="-105" w:leftChars="-50" w:right="-105" w:rightChars="-50"/>
              <w:jc w:val="center"/>
              <w:rPr>
                <w:color w:val="000000"/>
                <w:szCs w:val="21"/>
              </w:rPr>
            </w:pPr>
            <w:r>
              <w:rPr>
                <w:color w:val="000000"/>
                <w:szCs w:val="21"/>
              </w:rPr>
              <w:t>一等</w:t>
            </w:r>
          </w:p>
        </w:tc>
        <w:tc>
          <w:tcPr>
            <w:tcW w:w="4076" w:type="dxa"/>
            <w:vAlign w:val="center"/>
          </w:tcPr>
          <w:p>
            <w:pPr>
              <w:ind w:left="-105" w:leftChars="-50" w:right="-105" w:rightChars="-50" w:firstLine="210" w:firstLineChars="100"/>
              <w:jc w:val="center"/>
              <w:rPr>
                <w:color w:val="000000"/>
                <w:szCs w:val="21"/>
              </w:rPr>
            </w:pPr>
            <w:r>
              <w:rPr>
                <w:color w:val="000000"/>
                <w:szCs w:val="21"/>
              </w:rPr>
              <w:t>高层、钢筋混凝土承重结构，现浇楼板、梁、柱、楼梯，现浇钢筋混凝土平屋顶，砌砖墙、砌块墙或轻质墙板。</w:t>
            </w:r>
          </w:p>
        </w:tc>
        <w:tc>
          <w:tcPr>
            <w:tcW w:w="3949" w:type="dxa"/>
            <w:vAlign w:val="center"/>
          </w:tcPr>
          <w:p>
            <w:pPr>
              <w:ind w:left="-105" w:leftChars="-50" w:right="-105" w:rightChars="-50" w:firstLine="210" w:firstLineChars="100"/>
              <w:jc w:val="center"/>
              <w:rPr>
                <w:color w:val="000000"/>
                <w:szCs w:val="21"/>
              </w:rPr>
            </w:pPr>
            <w:r>
              <w:rPr>
                <w:color w:val="000000"/>
                <w:szCs w:val="21"/>
              </w:rPr>
              <w:t>外墙贴块料面层，内墙水泥混合砂浆粉刷，楼地面水泥混合砂浆找平，顶棚水泥砂浆，木门、铝合金窗或塑钢窗，水电卫设施齐全。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7" w:type="dxa"/>
            <w:vMerge w:val="continue"/>
            <w:vAlign w:val="center"/>
          </w:tcPr>
          <w:p>
            <w:pPr>
              <w:ind w:left="-105" w:leftChars="-50" w:right="-105" w:rightChars="-50" w:firstLine="210" w:firstLineChars="100"/>
              <w:jc w:val="center"/>
              <w:rPr>
                <w:color w:val="000000"/>
                <w:szCs w:val="21"/>
              </w:rPr>
            </w:pPr>
          </w:p>
        </w:tc>
        <w:tc>
          <w:tcPr>
            <w:tcW w:w="489" w:type="dxa"/>
            <w:vAlign w:val="center"/>
          </w:tcPr>
          <w:p>
            <w:pPr>
              <w:ind w:left="-105" w:leftChars="-50" w:right="-105" w:rightChars="-50"/>
              <w:jc w:val="center"/>
              <w:rPr>
                <w:color w:val="000000"/>
                <w:szCs w:val="21"/>
              </w:rPr>
            </w:pPr>
            <w:r>
              <w:rPr>
                <w:color w:val="000000"/>
                <w:szCs w:val="21"/>
              </w:rPr>
              <w:t>二等</w:t>
            </w:r>
          </w:p>
        </w:tc>
        <w:tc>
          <w:tcPr>
            <w:tcW w:w="4076" w:type="dxa"/>
            <w:vAlign w:val="center"/>
          </w:tcPr>
          <w:p>
            <w:pPr>
              <w:ind w:left="-105" w:leftChars="-50" w:right="-105" w:rightChars="-50" w:firstLine="210" w:firstLineChars="100"/>
              <w:jc w:val="center"/>
              <w:rPr>
                <w:color w:val="000000"/>
                <w:szCs w:val="21"/>
              </w:rPr>
            </w:pPr>
            <w:r>
              <w:rPr>
                <w:color w:val="000000"/>
                <w:szCs w:val="21"/>
              </w:rPr>
              <w:t>多层、钢筋混凝土承重结构、现浇或预制楼板，现浇梁、柱、楼梯，现浇钢筋混凝土平屋顶，砖砖墙、砌块墙或轻质墙板。</w:t>
            </w:r>
          </w:p>
        </w:tc>
        <w:tc>
          <w:tcPr>
            <w:tcW w:w="3949" w:type="dxa"/>
            <w:vAlign w:val="center"/>
          </w:tcPr>
          <w:p>
            <w:pPr>
              <w:ind w:left="-105" w:leftChars="-50" w:right="-105" w:rightChars="-50" w:firstLine="210" w:firstLineChars="100"/>
              <w:jc w:val="center"/>
              <w:rPr>
                <w:color w:val="000000"/>
                <w:szCs w:val="21"/>
              </w:rPr>
            </w:pPr>
            <w:r>
              <w:rPr>
                <w:color w:val="000000"/>
                <w:szCs w:val="21"/>
              </w:rPr>
              <w:t>外墙贴块料面层，内墙水泥混合砂浆粉刷，楼地面水泥混合砂浆找平，顶棚水泥砂浆，木门、铝合金窗或塑钢窗，水电卫设施齐全。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7" w:type="dxa"/>
            <w:vMerge w:val="restart"/>
            <w:vAlign w:val="center"/>
          </w:tcPr>
          <w:p>
            <w:pPr>
              <w:ind w:left="-105" w:leftChars="-50" w:right="-105" w:rightChars="-50"/>
              <w:jc w:val="center"/>
              <w:rPr>
                <w:color w:val="000000"/>
                <w:szCs w:val="21"/>
              </w:rPr>
            </w:pPr>
            <w:r>
              <w:rPr>
                <w:color w:val="000000"/>
                <w:szCs w:val="21"/>
              </w:rPr>
              <w:t>砖混结构</w:t>
            </w:r>
          </w:p>
        </w:tc>
        <w:tc>
          <w:tcPr>
            <w:tcW w:w="489" w:type="dxa"/>
            <w:vAlign w:val="center"/>
          </w:tcPr>
          <w:p>
            <w:pPr>
              <w:ind w:left="-105" w:leftChars="-50" w:right="-105" w:rightChars="-50"/>
              <w:jc w:val="center"/>
              <w:rPr>
                <w:color w:val="000000"/>
                <w:szCs w:val="21"/>
              </w:rPr>
            </w:pPr>
            <w:r>
              <w:rPr>
                <w:color w:val="000000"/>
                <w:szCs w:val="21"/>
              </w:rPr>
              <w:t>一等</w:t>
            </w:r>
          </w:p>
        </w:tc>
        <w:tc>
          <w:tcPr>
            <w:tcW w:w="4076" w:type="dxa"/>
            <w:vAlign w:val="center"/>
          </w:tcPr>
          <w:p>
            <w:pPr>
              <w:ind w:left="-105" w:leftChars="-50" w:right="-105" w:rightChars="-50" w:firstLine="210" w:firstLineChars="100"/>
              <w:jc w:val="center"/>
              <w:rPr>
                <w:color w:val="000000"/>
                <w:szCs w:val="21"/>
              </w:rPr>
            </w:pPr>
            <w:r>
              <w:rPr>
                <w:color w:val="000000"/>
                <w:szCs w:val="21"/>
              </w:rPr>
              <w:t>多层、砖墙和钢筋混凝土陌生的结构，现浇或预制楼板、层层设置圈梁、构造柱，现浇楼梯，现浇钢筋混凝土平屋顶，第一、二层为钢筋混凝土承重结构。</w:t>
            </w:r>
          </w:p>
        </w:tc>
        <w:tc>
          <w:tcPr>
            <w:tcW w:w="3949" w:type="dxa"/>
            <w:vAlign w:val="center"/>
          </w:tcPr>
          <w:p>
            <w:pPr>
              <w:ind w:left="-105" w:leftChars="-50" w:right="-105" w:rightChars="-50" w:firstLine="210" w:firstLineChars="100"/>
              <w:jc w:val="center"/>
              <w:rPr>
                <w:color w:val="000000"/>
                <w:szCs w:val="21"/>
              </w:rPr>
            </w:pPr>
            <w:r>
              <w:rPr>
                <w:color w:val="000000"/>
                <w:szCs w:val="21"/>
              </w:rPr>
              <w:t>外墙贴块料面层或高档墙漆，内墙水泥混合砂浆粉刷，楼地面水泥混合砂浆抹面，顶棚水泥砂浆，木门、铝合金窗或塑钢窗，水电卫设施齐全。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7" w:type="dxa"/>
            <w:vMerge w:val="continue"/>
            <w:vAlign w:val="center"/>
          </w:tcPr>
          <w:p>
            <w:pPr>
              <w:ind w:left="-105" w:leftChars="-50" w:right="-105" w:rightChars="-50" w:firstLine="210" w:firstLineChars="100"/>
              <w:jc w:val="center"/>
              <w:rPr>
                <w:color w:val="000000"/>
                <w:szCs w:val="21"/>
              </w:rPr>
            </w:pPr>
          </w:p>
        </w:tc>
        <w:tc>
          <w:tcPr>
            <w:tcW w:w="489" w:type="dxa"/>
            <w:vAlign w:val="center"/>
          </w:tcPr>
          <w:p>
            <w:pPr>
              <w:ind w:left="-105" w:leftChars="-50" w:right="-105" w:rightChars="-50"/>
              <w:jc w:val="center"/>
              <w:rPr>
                <w:color w:val="000000"/>
                <w:szCs w:val="21"/>
              </w:rPr>
            </w:pPr>
            <w:r>
              <w:rPr>
                <w:color w:val="000000"/>
                <w:szCs w:val="21"/>
              </w:rPr>
              <w:t>二等</w:t>
            </w:r>
          </w:p>
        </w:tc>
        <w:tc>
          <w:tcPr>
            <w:tcW w:w="4076" w:type="dxa"/>
            <w:vAlign w:val="center"/>
          </w:tcPr>
          <w:p>
            <w:pPr>
              <w:ind w:left="-105" w:leftChars="-50" w:right="-105" w:rightChars="-50" w:firstLine="210" w:firstLineChars="100"/>
              <w:jc w:val="center"/>
              <w:rPr>
                <w:color w:val="000000"/>
                <w:szCs w:val="21"/>
              </w:rPr>
            </w:pPr>
            <w:r>
              <w:rPr>
                <w:color w:val="000000"/>
                <w:szCs w:val="21"/>
              </w:rPr>
              <w:t>多层、砖墙和钢筋混凝土承重的结构，现浇或预制楼板，层层设置圈梁、构造柱，现浇楼梯，现浇钢筋混凝土平屋顶，第一层为钢筋混凝土或砖墙陌生结构。</w:t>
            </w:r>
          </w:p>
        </w:tc>
        <w:tc>
          <w:tcPr>
            <w:tcW w:w="3949" w:type="dxa"/>
            <w:vAlign w:val="center"/>
          </w:tcPr>
          <w:p>
            <w:pPr>
              <w:ind w:left="-105" w:leftChars="-50" w:right="-105" w:rightChars="-50" w:firstLine="210" w:firstLineChars="100"/>
              <w:jc w:val="center"/>
              <w:rPr>
                <w:color w:val="000000"/>
                <w:szCs w:val="21"/>
              </w:rPr>
            </w:pPr>
            <w:r>
              <w:rPr>
                <w:color w:val="000000"/>
                <w:szCs w:val="21"/>
              </w:rPr>
              <w:t>外墙普通墙漆，内墙水泥混合砂浆粉刷，楼地面水泥混合砂浆抹面，顶硼水泥砂浆，木门、铝合金窗或塑钢窗，水电卫设施基本齐全。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7" w:type="dxa"/>
            <w:vMerge w:val="continue"/>
            <w:vAlign w:val="center"/>
          </w:tcPr>
          <w:p>
            <w:pPr>
              <w:ind w:left="-105" w:leftChars="-50" w:right="-105" w:rightChars="-50" w:firstLine="210" w:firstLineChars="100"/>
              <w:jc w:val="center"/>
              <w:rPr>
                <w:color w:val="000000"/>
                <w:szCs w:val="21"/>
              </w:rPr>
            </w:pPr>
          </w:p>
        </w:tc>
        <w:tc>
          <w:tcPr>
            <w:tcW w:w="489" w:type="dxa"/>
            <w:vAlign w:val="center"/>
          </w:tcPr>
          <w:p>
            <w:pPr>
              <w:ind w:left="-105" w:leftChars="-50" w:right="-105" w:rightChars="-50"/>
              <w:jc w:val="center"/>
              <w:rPr>
                <w:color w:val="000000"/>
                <w:szCs w:val="21"/>
              </w:rPr>
            </w:pPr>
            <w:r>
              <w:rPr>
                <w:color w:val="000000"/>
                <w:szCs w:val="21"/>
              </w:rPr>
              <w:t>三等</w:t>
            </w:r>
          </w:p>
        </w:tc>
        <w:tc>
          <w:tcPr>
            <w:tcW w:w="4076" w:type="dxa"/>
            <w:vAlign w:val="center"/>
          </w:tcPr>
          <w:p>
            <w:pPr>
              <w:ind w:left="-105" w:leftChars="-50" w:right="-105" w:rightChars="-50" w:firstLine="210" w:firstLineChars="100"/>
              <w:jc w:val="center"/>
              <w:rPr>
                <w:color w:val="000000"/>
                <w:szCs w:val="21"/>
              </w:rPr>
            </w:pPr>
            <w:r>
              <w:rPr>
                <w:color w:val="000000"/>
                <w:szCs w:val="21"/>
              </w:rPr>
              <w:t>多层或低层，实心砖墙承重体系，设有部分圈梁和构造柱，预制空心板楼板，预制空心板平屋顶，砖墙。</w:t>
            </w:r>
          </w:p>
        </w:tc>
        <w:tc>
          <w:tcPr>
            <w:tcW w:w="3949" w:type="dxa"/>
            <w:vAlign w:val="center"/>
          </w:tcPr>
          <w:p>
            <w:pPr>
              <w:ind w:left="-105" w:leftChars="-50" w:right="-105" w:rightChars="-50" w:firstLine="210" w:firstLineChars="100"/>
              <w:jc w:val="center"/>
              <w:rPr>
                <w:color w:val="000000"/>
                <w:szCs w:val="21"/>
              </w:rPr>
            </w:pPr>
            <w:r>
              <w:rPr>
                <w:color w:val="000000"/>
                <w:szCs w:val="21"/>
              </w:rPr>
              <w:t>外墙干粘石，内墙水泥混合砂浆粉刷，楼地面水泥混合砂浆抹面，顶棚水泥砂浆，木门、铝合金窗或塑钢窗，水电卫设施基本齐全。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7" w:type="dxa"/>
            <w:vMerge w:val="continue"/>
            <w:vAlign w:val="center"/>
          </w:tcPr>
          <w:p>
            <w:pPr>
              <w:ind w:left="-105" w:leftChars="-50" w:right="-105" w:rightChars="-50" w:firstLine="210" w:firstLineChars="100"/>
              <w:jc w:val="center"/>
              <w:rPr>
                <w:color w:val="000000"/>
                <w:szCs w:val="21"/>
              </w:rPr>
            </w:pPr>
          </w:p>
        </w:tc>
        <w:tc>
          <w:tcPr>
            <w:tcW w:w="489" w:type="dxa"/>
            <w:vAlign w:val="center"/>
          </w:tcPr>
          <w:p>
            <w:pPr>
              <w:ind w:left="-105" w:leftChars="-50" w:right="-105" w:rightChars="-50"/>
              <w:jc w:val="center"/>
              <w:rPr>
                <w:color w:val="000000"/>
                <w:szCs w:val="21"/>
              </w:rPr>
            </w:pPr>
            <w:r>
              <w:rPr>
                <w:color w:val="000000"/>
                <w:szCs w:val="21"/>
              </w:rPr>
              <w:t>四等</w:t>
            </w:r>
          </w:p>
        </w:tc>
        <w:tc>
          <w:tcPr>
            <w:tcW w:w="4076" w:type="dxa"/>
            <w:vAlign w:val="center"/>
          </w:tcPr>
          <w:p>
            <w:pPr>
              <w:ind w:left="-105" w:leftChars="-50" w:right="-105" w:rightChars="-50" w:firstLine="210" w:firstLineChars="100"/>
              <w:jc w:val="center"/>
              <w:rPr>
                <w:color w:val="000000"/>
                <w:szCs w:val="21"/>
              </w:rPr>
            </w:pPr>
            <w:r>
              <w:rPr>
                <w:color w:val="000000"/>
                <w:szCs w:val="21"/>
              </w:rPr>
              <w:t>低层，实心或实心砖承重体系，无圈梁和构造柱，预制空心楼板平层屋或平瓦屋面，砖墙。</w:t>
            </w:r>
          </w:p>
        </w:tc>
        <w:tc>
          <w:tcPr>
            <w:tcW w:w="3949" w:type="dxa"/>
            <w:vAlign w:val="center"/>
          </w:tcPr>
          <w:p>
            <w:pPr>
              <w:ind w:left="-105" w:leftChars="-50" w:right="-105" w:rightChars="-50" w:firstLine="210" w:firstLineChars="100"/>
              <w:jc w:val="center"/>
              <w:rPr>
                <w:color w:val="000000"/>
                <w:szCs w:val="21"/>
              </w:rPr>
            </w:pPr>
            <w:r>
              <w:rPr>
                <w:color w:val="000000"/>
                <w:szCs w:val="21"/>
              </w:rPr>
              <w:t>外墙干粘石，内墙水泥混合砂浆粉刷，楼地面水泥混合砂浆抹白，木门、铝合金窗，顶棚水泥砂浆刷白。水电卫设施齐全。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7" w:type="dxa"/>
            <w:vMerge w:val="restart"/>
            <w:vAlign w:val="center"/>
          </w:tcPr>
          <w:p>
            <w:pPr>
              <w:ind w:left="-105" w:leftChars="-50" w:right="-105" w:rightChars="-50"/>
              <w:jc w:val="center"/>
              <w:rPr>
                <w:color w:val="000000"/>
                <w:szCs w:val="21"/>
              </w:rPr>
            </w:pPr>
            <w:r>
              <w:rPr>
                <w:color w:val="000000"/>
                <w:szCs w:val="21"/>
              </w:rPr>
              <w:t>砖木结构</w:t>
            </w:r>
          </w:p>
        </w:tc>
        <w:tc>
          <w:tcPr>
            <w:tcW w:w="489" w:type="dxa"/>
            <w:vAlign w:val="center"/>
          </w:tcPr>
          <w:p>
            <w:pPr>
              <w:ind w:left="-105" w:leftChars="-50" w:right="-105" w:rightChars="-50"/>
              <w:jc w:val="center"/>
              <w:rPr>
                <w:color w:val="000000"/>
                <w:szCs w:val="21"/>
              </w:rPr>
            </w:pPr>
            <w:r>
              <w:rPr>
                <w:color w:val="000000"/>
                <w:szCs w:val="21"/>
              </w:rPr>
              <w:t>一等</w:t>
            </w:r>
          </w:p>
        </w:tc>
        <w:tc>
          <w:tcPr>
            <w:tcW w:w="4076" w:type="dxa"/>
            <w:vAlign w:val="center"/>
          </w:tcPr>
          <w:p>
            <w:pPr>
              <w:ind w:left="-105" w:leftChars="-50" w:right="-105" w:rightChars="-50" w:firstLine="210" w:firstLineChars="100"/>
              <w:jc w:val="center"/>
              <w:rPr>
                <w:color w:val="000000"/>
                <w:szCs w:val="21"/>
              </w:rPr>
            </w:pPr>
            <w:r>
              <w:rPr>
                <w:color w:val="000000"/>
                <w:szCs w:val="21"/>
              </w:rPr>
              <w:t>材料上等，24砖眠墙，木屋架、木梁、木柱或砖柱和少量混凝土梁承重，木楼板，木地面，有屋面板的平瓦屋面。</w:t>
            </w:r>
          </w:p>
        </w:tc>
        <w:tc>
          <w:tcPr>
            <w:tcW w:w="3949" w:type="dxa"/>
            <w:vAlign w:val="center"/>
          </w:tcPr>
          <w:p>
            <w:pPr>
              <w:ind w:left="-105" w:leftChars="-50" w:right="-105" w:rightChars="-50" w:firstLine="210" w:firstLineChars="100"/>
              <w:jc w:val="center"/>
              <w:rPr>
                <w:color w:val="000000"/>
                <w:szCs w:val="21"/>
              </w:rPr>
            </w:pPr>
            <w:r>
              <w:rPr>
                <w:color w:val="000000"/>
                <w:szCs w:val="21"/>
              </w:rPr>
              <w:t>外墙清水墙，内墙水泥混合砂浆刷白，木门、木窗、水、电、卫设施齐全。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7" w:type="dxa"/>
            <w:vMerge w:val="continue"/>
            <w:vAlign w:val="center"/>
          </w:tcPr>
          <w:p>
            <w:pPr>
              <w:ind w:left="-105" w:leftChars="-50" w:right="-105" w:rightChars="-50" w:firstLine="210" w:firstLineChars="100"/>
              <w:jc w:val="center"/>
              <w:rPr>
                <w:color w:val="000000"/>
                <w:szCs w:val="21"/>
              </w:rPr>
            </w:pPr>
          </w:p>
        </w:tc>
        <w:tc>
          <w:tcPr>
            <w:tcW w:w="489" w:type="dxa"/>
            <w:vAlign w:val="center"/>
          </w:tcPr>
          <w:p>
            <w:pPr>
              <w:ind w:left="-105" w:leftChars="-50" w:right="-105" w:rightChars="-50"/>
              <w:jc w:val="center"/>
              <w:rPr>
                <w:color w:val="000000"/>
                <w:szCs w:val="21"/>
              </w:rPr>
            </w:pPr>
            <w:r>
              <w:rPr>
                <w:color w:val="000000"/>
                <w:szCs w:val="21"/>
              </w:rPr>
              <w:t>二等</w:t>
            </w:r>
          </w:p>
        </w:tc>
        <w:tc>
          <w:tcPr>
            <w:tcW w:w="4076" w:type="dxa"/>
            <w:vAlign w:val="center"/>
          </w:tcPr>
          <w:p>
            <w:pPr>
              <w:ind w:left="-105" w:leftChars="-50" w:right="-105" w:rightChars="-50" w:firstLine="210" w:firstLineChars="100"/>
              <w:jc w:val="center"/>
              <w:rPr>
                <w:color w:val="000000"/>
                <w:szCs w:val="21"/>
              </w:rPr>
            </w:pPr>
            <w:r>
              <w:rPr>
                <w:color w:val="000000"/>
                <w:szCs w:val="21"/>
              </w:rPr>
              <w:t>材料中等，大部分24眠墙或24空斗墙，木屋架或水量钢屋架，木梁，木楼板，水泥或地砖地板，平瓦屋面。</w:t>
            </w:r>
          </w:p>
        </w:tc>
        <w:tc>
          <w:tcPr>
            <w:tcW w:w="3949" w:type="dxa"/>
            <w:vAlign w:val="center"/>
          </w:tcPr>
          <w:p>
            <w:pPr>
              <w:ind w:left="-105" w:leftChars="-50" w:right="-105" w:rightChars="-50" w:firstLine="210" w:firstLineChars="100"/>
              <w:jc w:val="center"/>
              <w:rPr>
                <w:color w:val="000000"/>
                <w:szCs w:val="21"/>
              </w:rPr>
            </w:pPr>
            <w:r>
              <w:rPr>
                <w:color w:val="000000"/>
                <w:szCs w:val="21"/>
              </w:rPr>
              <w:t>外墙清水墙，内墙白灰纸筋刷白，木门、木窗。有水、电。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7" w:type="dxa"/>
            <w:vMerge w:val="continue"/>
            <w:vAlign w:val="center"/>
          </w:tcPr>
          <w:p>
            <w:pPr>
              <w:ind w:left="-105" w:leftChars="-50" w:right="-105" w:rightChars="-50" w:firstLine="210" w:firstLineChars="100"/>
              <w:jc w:val="center"/>
              <w:rPr>
                <w:color w:val="000000"/>
                <w:szCs w:val="21"/>
              </w:rPr>
            </w:pPr>
          </w:p>
        </w:tc>
        <w:tc>
          <w:tcPr>
            <w:tcW w:w="489" w:type="dxa"/>
            <w:vAlign w:val="center"/>
          </w:tcPr>
          <w:p>
            <w:pPr>
              <w:ind w:left="-105" w:leftChars="-50" w:right="-105" w:rightChars="-50"/>
              <w:jc w:val="center"/>
              <w:rPr>
                <w:color w:val="000000"/>
                <w:szCs w:val="21"/>
              </w:rPr>
            </w:pPr>
            <w:r>
              <w:rPr>
                <w:color w:val="000000"/>
                <w:szCs w:val="21"/>
              </w:rPr>
              <w:t>三等</w:t>
            </w:r>
          </w:p>
        </w:tc>
        <w:tc>
          <w:tcPr>
            <w:tcW w:w="4076" w:type="dxa"/>
            <w:vAlign w:val="center"/>
          </w:tcPr>
          <w:p>
            <w:pPr>
              <w:ind w:left="-105" w:leftChars="-50" w:right="-105" w:rightChars="-50" w:firstLine="210" w:firstLineChars="100"/>
              <w:jc w:val="center"/>
              <w:rPr>
                <w:color w:val="000000"/>
                <w:szCs w:val="21"/>
              </w:rPr>
            </w:pPr>
            <w:r>
              <w:rPr>
                <w:color w:val="000000"/>
                <w:szCs w:val="21"/>
              </w:rPr>
              <w:t>材料较差，12墙或24空斗墙、木屋架承重。水泥或三合土地面，平瓦或布瓦屋面。</w:t>
            </w:r>
          </w:p>
        </w:tc>
        <w:tc>
          <w:tcPr>
            <w:tcW w:w="3949" w:type="dxa"/>
            <w:vAlign w:val="center"/>
          </w:tcPr>
          <w:p>
            <w:pPr>
              <w:ind w:left="-105" w:leftChars="-50" w:right="-105" w:rightChars="-50" w:firstLine="210" w:firstLineChars="100"/>
              <w:jc w:val="center"/>
              <w:rPr>
                <w:color w:val="000000"/>
                <w:szCs w:val="21"/>
              </w:rPr>
            </w:pPr>
            <w:r>
              <w:rPr>
                <w:color w:val="000000"/>
                <w:szCs w:val="21"/>
              </w:rPr>
              <w:t>外墙清水墙，内墙无粉刷，普通或简易木门窗无专用上下水设备。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7" w:type="dxa"/>
            <w:vMerge w:val="restart"/>
            <w:vAlign w:val="center"/>
          </w:tcPr>
          <w:p>
            <w:pPr>
              <w:ind w:left="-105" w:leftChars="-50" w:right="-105" w:rightChars="-50"/>
              <w:jc w:val="center"/>
              <w:rPr>
                <w:color w:val="000000"/>
                <w:szCs w:val="21"/>
              </w:rPr>
            </w:pPr>
            <w:r>
              <w:rPr>
                <w:color w:val="000000"/>
                <w:szCs w:val="21"/>
              </w:rPr>
              <w:t>简易结构</w:t>
            </w:r>
          </w:p>
        </w:tc>
        <w:tc>
          <w:tcPr>
            <w:tcW w:w="489" w:type="dxa"/>
            <w:vAlign w:val="center"/>
          </w:tcPr>
          <w:p>
            <w:pPr>
              <w:ind w:left="-105" w:leftChars="-50" w:right="-105" w:rightChars="-50"/>
              <w:jc w:val="center"/>
              <w:rPr>
                <w:color w:val="000000"/>
                <w:szCs w:val="21"/>
              </w:rPr>
            </w:pPr>
            <w:r>
              <w:rPr>
                <w:color w:val="000000"/>
                <w:szCs w:val="21"/>
              </w:rPr>
              <w:t>一等</w:t>
            </w:r>
          </w:p>
        </w:tc>
        <w:tc>
          <w:tcPr>
            <w:tcW w:w="4076" w:type="dxa"/>
            <w:vAlign w:val="center"/>
          </w:tcPr>
          <w:p>
            <w:pPr>
              <w:ind w:left="-105" w:leftChars="-50" w:right="-105" w:rightChars="-50" w:firstLine="210" w:firstLineChars="100"/>
              <w:jc w:val="center"/>
              <w:rPr>
                <w:color w:val="000000"/>
                <w:szCs w:val="21"/>
              </w:rPr>
            </w:pPr>
            <w:r>
              <w:rPr>
                <w:color w:val="000000"/>
                <w:szCs w:val="21"/>
              </w:rPr>
              <w:t>简易楼、砖坯房或达不到砖木结构三级标准的临时房屋。三合土地面，石棉瓦屋面。</w:t>
            </w:r>
          </w:p>
        </w:tc>
        <w:tc>
          <w:tcPr>
            <w:tcW w:w="3949" w:type="dxa"/>
            <w:vAlign w:val="center"/>
          </w:tcPr>
          <w:p>
            <w:pPr>
              <w:ind w:left="-105" w:leftChars="-50" w:right="-105" w:rightChars="-50" w:firstLine="210" w:firstLineChars="100"/>
              <w:jc w:val="center"/>
              <w:rPr>
                <w:color w:val="000000"/>
                <w:szCs w:val="21"/>
              </w:rPr>
            </w:pPr>
            <w:r>
              <w:rPr>
                <w:color w:val="000000"/>
                <w:szCs w:val="21"/>
              </w:rPr>
              <w:t>内外无粉刷，简易木门窗。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7" w:type="dxa"/>
            <w:vMerge w:val="continue"/>
            <w:vAlign w:val="center"/>
          </w:tcPr>
          <w:p>
            <w:pPr>
              <w:ind w:left="-105" w:leftChars="-50" w:right="-105" w:rightChars="-50" w:firstLine="210" w:firstLineChars="100"/>
              <w:jc w:val="center"/>
              <w:rPr>
                <w:color w:val="000000"/>
                <w:szCs w:val="21"/>
              </w:rPr>
            </w:pPr>
          </w:p>
        </w:tc>
        <w:tc>
          <w:tcPr>
            <w:tcW w:w="489" w:type="dxa"/>
            <w:vAlign w:val="center"/>
          </w:tcPr>
          <w:p>
            <w:pPr>
              <w:ind w:left="-105" w:leftChars="-50" w:right="-105" w:rightChars="-50"/>
              <w:jc w:val="center"/>
              <w:rPr>
                <w:color w:val="000000"/>
                <w:szCs w:val="21"/>
              </w:rPr>
            </w:pPr>
            <w:r>
              <w:rPr>
                <w:color w:val="000000"/>
                <w:szCs w:val="21"/>
              </w:rPr>
              <w:t>二等</w:t>
            </w:r>
          </w:p>
        </w:tc>
        <w:tc>
          <w:tcPr>
            <w:tcW w:w="4076" w:type="dxa"/>
            <w:vAlign w:val="center"/>
          </w:tcPr>
          <w:p>
            <w:pPr>
              <w:ind w:left="-105" w:leftChars="-50" w:right="-105" w:rightChars="-50" w:firstLine="210" w:firstLineChars="100"/>
              <w:jc w:val="center"/>
              <w:rPr>
                <w:color w:val="000000"/>
                <w:szCs w:val="21"/>
              </w:rPr>
            </w:pPr>
            <w:r>
              <w:rPr>
                <w:color w:val="000000"/>
                <w:szCs w:val="21"/>
              </w:rPr>
              <w:t>竹木捆绑房，土坯房等，茅草屋面。</w:t>
            </w:r>
          </w:p>
        </w:tc>
        <w:tc>
          <w:tcPr>
            <w:tcW w:w="3949" w:type="dxa"/>
            <w:vAlign w:val="center"/>
          </w:tcPr>
          <w:p>
            <w:pPr>
              <w:ind w:left="-105" w:leftChars="-50" w:right="-105" w:rightChars="-50" w:firstLine="210" w:firstLineChars="100"/>
              <w:jc w:val="center"/>
              <w:rPr>
                <w:color w:val="000000"/>
                <w:szCs w:val="21"/>
              </w:rPr>
            </w:pPr>
            <w:r>
              <w:rPr>
                <w:color w:val="000000"/>
                <w:szCs w:val="21"/>
              </w:rPr>
              <w:t>无窗，茅草屋面。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7" w:type="dxa"/>
            <w:vAlign w:val="center"/>
          </w:tcPr>
          <w:p>
            <w:pPr>
              <w:ind w:left="-105" w:leftChars="-50" w:right="-105" w:rightChars="-50" w:firstLine="420" w:firstLineChars="200"/>
              <w:jc w:val="center"/>
              <w:rPr>
                <w:color w:val="000000"/>
                <w:szCs w:val="21"/>
              </w:rPr>
            </w:pPr>
            <w:r>
              <w:rPr>
                <w:color w:val="000000"/>
                <w:szCs w:val="21"/>
              </w:rPr>
              <w:t>备</w:t>
            </w:r>
          </w:p>
          <w:p>
            <w:pPr>
              <w:ind w:left="-105" w:leftChars="-50" w:right="-105" w:rightChars="-50" w:firstLine="420" w:firstLineChars="200"/>
              <w:jc w:val="center"/>
              <w:rPr>
                <w:color w:val="000000"/>
                <w:szCs w:val="21"/>
              </w:rPr>
            </w:pPr>
            <w:r>
              <w:rPr>
                <w:color w:val="000000"/>
                <w:szCs w:val="21"/>
              </w:rPr>
              <w:t>注</w:t>
            </w:r>
          </w:p>
        </w:tc>
        <w:tc>
          <w:tcPr>
            <w:tcW w:w="8514" w:type="dxa"/>
            <w:gridSpan w:val="3"/>
            <w:vAlign w:val="center"/>
          </w:tcPr>
          <w:p>
            <w:pPr>
              <w:spacing w:line="300" w:lineRule="exact"/>
              <w:ind w:right="-105" w:rightChars="-50" w:firstLine="420" w:firstLineChars="200"/>
              <w:rPr>
                <w:color w:val="000000"/>
                <w:szCs w:val="21"/>
              </w:rPr>
            </w:pPr>
            <w:r>
              <w:rPr>
                <w:color w:val="000000"/>
                <w:szCs w:val="21"/>
              </w:rPr>
              <w:t>1、本标准中，房屋是指按国家规范、标准设计和施工的房屋（简易结构房屋除外）。</w:t>
            </w:r>
          </w:p>
          <w:p>
            <w:pPr>
              <w:spacing w:line="300" w:lineRule="exact"/>
              <w:ind w:right="-105" w:rightChars="-50" w:firstLine="420" w:firstLineChars="200"/>
              <w:rPr>
                <w:color w:val="000000"/>
                <w:szCs w:val="21"/>
              </w:rPr>
            </w:pPr>
            <w:r>
              <w:rPr>
                <w:color w:val="000000"/>
                <w:szCs w:val="21"/>
              </w:rPr>
              <w:t>2、本标准中，低层房屋是指建筑层数为1-3层的房屋；多层房屋是指建筑层数为4-7层未安装电梯的房屋；高层房屋是指建筑层数为7层以上且安装有电梯的房屋。</w:t>
            </w:r>
          </w:p>
          <w:p>
            <w:pPr>
              <w:spacing w:line="300" w:lineRule="exact"/>
              <w:ind w:right="-105" w:rightChars="-50" w:firstLine="420" w:firstLineChars="200"/>
              <w:rPr>
                <w:color w:val="000000"/>
                <w:szCs w:val="21"/>
              </w:rPr>
            </w:pPr>
            <w:r>
              <w:rPr>
                <w:color w:val="000000"/>
                <w:szCs w:val="21"/>
              </w:rPr>
              <w:t>3、本标准中，房屋标准层高设定为3.0m。</w:t>
            </w:r>
          </w:p>
          <w:p>
            <w:pPr>
              <w:spacing w:line="300" w:lineRule="exact"/>
              <w:ind w:right="-105" w:rightChars="-50" w:firstLine="420" w:firstLineChars="200"/>
              <w:rPr>
                <w:color w:val="000000"/>
                <w:szCs w:val="21"/>
              </w:rPr>
            </w:pPr>
            <w:r>
              <w:rPr>
                <w:color w:val="000000"/>
                <w:szCs w:val="21"/>
              </w:rPr>
              <w:t>4、本标准中，水、电、卫设施是指在原设计中设有，与房屋主体一并建造的水、电、卫等设施，能满足房屋基本功能需要。</w:t>
            </w:r>
          </w:p>
          <w:p>
            <w:pPr>
              <w:spacing w:line="300" w:lineRule="exact"/>
              <w:ind w:right="-105" w:rightChars="-50" w:firstLine="420" w:firstLineChars="200"/>
              <w:rPr>
                <w:color w:val="000000"/>
                <w:szCs w:val="21"/>
              </w:rPr>
            </w:pPr>
            <w:r>
              <w:rPr>
                <w:color w:val="000000"/>
                <w:szCs w:val="21"/>
              </w:rPr>
              <w:t>5、房屋成新率采用耐用年限法和实际观察法综合评定，采用耐用年限法评定房屋成新率，应采用直线折旧公式，根据房屋的建造年份和维修保养情况评定；采用实际观察法评定房屋成新率，见附表三。</w:t>
            </w:r>
          </w:p>
          <w:p>
            <w:pPr>
              <w:spacing w:line="300" w:lineRule="exact"/>
              <w:ind w:right="-105" w:rightChars="-50" w:firstLine="420" w:firstLineChars="200"/>
              <w:rPr>
                <w:color w:val="000000"/>
                <w:szCs w:val="21"/>
              </w:rPr>
            </w:pPr>
            <w:r>
              <w:rPr>
                <w:color w:val="000000"/>
                <w:szCs w:val="21"/>
              </w:rPr>
              <w:t>6、本标准中住宅用房包括各层为纯住宅的房屋，也包括绝大部分层数为住宅，少量层数为其他用房的房屋。</w:t>
            </w:r>
          </w:p>
          <w:p>
            <w:pPr>
              <w:spacing w:line="300" w:lineRule="exact"/>
              <w:ind w:right="-105" w:rightChars="-50" w:firstLine="420" w:firstLineChars="200"/>
              <w:rPr>
                <w:color w:val="000000"/>
                <w:szCs w:val="21"/>
              </w:rPr>
            </w:pPr>
            <w:r>
              <w:rPr>
                <w:color w:val="000000"/>
                <w:szCs w:val="21"/>
              </w:rPr>
              <w:t>7、本标准中综合用房泛指住宅用房以外的房屋，但不包括结构特征明显异于一般住宅、商服与办公用房的房屋。</w:t>
            </w:r>
          </w:p>
          <w:p>
            <w:pPr>
              <w:spacing w:line="300" w:lineRule="exact"/>
              <w:ind w:right="-105" w:rightChars="-50" w:firstLine="420" w:firstLineChars="200"/>
              <w:rPr>
                <w:color w:val="000000"/>
                <w:szCs w:val="21"/>
              </w:rPr>
            </w:pPr>
            <w:r>
              <w:rPr>
                <w:color w:val="000000"/>
                <w:szCs w:val="21"/>
              </w:rPr>
              <w:t>8、本标准中钢筋混凝土结构一等、二等基础为：钢筋混凝土独立基础、桩基础；砖混一等、二等基础为：条形基础、桩基础；砖混三等、四等基础为：条形基础。</w:t>
            </w:r>
          </w:p>
        </w:tc>
      </w:tr>
    </w:tbl>
    <w:p>
      <w:pPr>
        <w:spacing w:line="360" w:lineRule="auto"/>
        <w:ind w:firstLine="482" w:firstLineChars="200"/>
        <w:rPr>
          <w:b/>
          <w:sz w:val="24"/>
          <w:szCs w:val="24"/>
        </w:rPr>
      </w:pPr>
      <w:r>
        <w:rPr>
          <w:b/>
          <w:sz w:val="24"/>
          <w:szCs w:val="24"/>
          <w:lang w:val="zh-CN"/>
        </w:rPr>
        <w:t>2、</w:t>
      </w:r>
      <w:r>
        <w:rPr>
          <w:b/>
          <w:sz w:val="24"/>
          <w:szCs w:val="24"/>
        </w:rPr>
        <w:t>房地产交易税费</w:t>
      </w:r>
    </w:p>
    <w:p>
      <w:pPr>
        <w:spacing w:line="400" w:lineRule="exact"/>
        <w:jc w:val="center"/>
        <w:rPr>
          <w:b/>
          <w:bCs/>
          <w:sz w:val="24"/>
          <w:szCs w:val="22"/>
        </w:rPr>
      </w:pPr>
      <w:r>
        <w:rPr>
          <w:b/>
          <w:bCs/>
          <w:sz w:val="24"/>
          <w:szCs w:val="22"/>
        </w:rPr>
        <w:t>表3-2-3 长沙县房地产交易税费一览表</w:t>
      </w:r>
    </w:p>
    <w:tbl>
      <w:tblPr>
        <w:tblW w:w="9428" w:type="dxa"/>
        <w:tblInd w:w="-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8"/>
        <w:gridCol w:w="992"/>
        <w:gridCol w:w="1684"/>
        <w:gridCol w:w="1161"/>
        <w:gridCol w:w="1126"/>
        <w:gridCol w:w="1134"/>
        <w:gridCol w:w="1559"/>
        <w:gridCol w:w="10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2" w:hRule="atLeast"/>
        </w:trPr>
        <w:tc>
          <w:tcPr>
            <w:tcW w:w="70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序号</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项  目</w:t>
            </w:r>
          </w:p>
        </w:tc>
        <w:tc>
          <w:tcPr>
            <w:tcW w:w="3971"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收  费  标  准</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计算单位</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收 费 依 据</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收费</w:t>
            </w:r>
            <w:r>
              <w:rPr>
                <w:b/>
                <w:bCs/>
                <w:color w:val="000000"/>
                <w:kern w:val="0"/>
                <w:szCs w:val="21"/>
              </w:rPr>
              <w:br/>
            </w:r>
            <w:r>
              <w:rPr>
                <w:b/>
                <w:bCs/>
                <w:color w:val="000000"/>
                <w:kern w:val="0"/>
                <w:szCs w:val="21"/>
              </w:rPr>
              <w:t>性质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2"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397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0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1</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白蚁防治费</w:t>
            </w:r>
          </w:p>
        </w:tc>
        <w:tc>
          <w:tcPr>
            <w:tcW w:w="2845" w:type="dxa"/>
            <w:gridSpan w:val="2"/>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类型</w:t>
            </w:r>
          </w:p>
        </w:tc>
        <w:tc>
          <w:tcPr>
            <w:tcW w:w="1126"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标准</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按房屋建筑 面 积</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湘发改价费（2015）1119号</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事业性收  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2845" w:type="dxa"/>
            <w:gridSpan w:val="2"/>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新建、扩建、改建房屋</w:t>
            </w:r>
          </w:p>
        </w:tc>
        <w:tc>
          <w:tcPr>
            <w:tcW w:w="1126"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2.5元/㎡</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2845" w:type="dxa"/>
            <w:gridSpan w:val="2"/>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装修房屋</w:t>
            </w:r>
          </w:p>
        </w:tc>
        <w:tc>
          <w:tcPr>
            <w:tcW w:w="1126"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3元/㎡</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0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2</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测绘费</w:t>
            </w:r>
          </w:p>
        </w:tc>
        <w:tc>
          <w:tcPr>
            <w:tcW w:w="1684"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类型</w:t>
            </w:r>
          </w:p>
        </w:tc>
        <w:tc>
          <w:tcPr>
            <w:tcW w:w="116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预测</w:t>
            </w:r>
          </w:p>
        </w:tc>
        <w:tc>
          <w:tcPr>
            <w:tcW w:w="1126"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实测</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按房屋建筑 面 积</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rPr>
            </w:pPr>
            <w:r>
              <w:rPr>
                <w:color w:val="000000"/>
                <w:kern w:val="0"/>
                <w:szCs w:val="21"/>
              </w:rPr>
              <w:t>湘价服字（2016）172号，长发改价服【2016】703号</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服务性收  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1684"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住宅</w:t>
            </w:r>
          </w:p>
        </w:tc>
        <w:tc>
          <w:tcPr>
            <w:tcW w:w="1161"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0.26元/㎡</w:t>
            </w:r>
          </w:p>
        </w:tc>
        <w:tc>
          <w:tcPr>
            <w:tcW w:w="1126"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0.86元/㎡</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1684"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商服</w:t>
            </w:r>
          </w:p>
        </w:tc>
        <w:tc>
          <w:tcPr>
            <w:tcW w:w="1161"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0.35元/㎡</w:t>
            </w:r>
          </w:p>
        </w:tc>
        <w:tc>
          <w:tcPr>
            <w:tcW w:w="1126"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1.15元/㎡</w:t>
            </w:r>
          </w:p>
        </w:tc>
        <w:tc>
          <w:tcPr>
            <w:tcW w:w="3757" w:type="dxa"/>
            <w:gridSpan w:val="3"/>
            <w:vMerge w:val="restar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rPr>
            </w:pPr>
            <w:r>
              <w:rPr>
                <w:color w:val="000000"/>
                <w:kern w:val="0"/>
                <w:szCs w:val="21"/>
              </w:rPr>
              <w:t>下列情况不得收取测量成果利用费：新建商品房（含经济适用房、廉租房）初始登记、转移登记和存量房换发证时重新测绘收取了房屋分户图测量费的，不得收取房产分幅、分丘、分层分户平面图测量成果利用费。房产管理部门需要测绘的，由房地产或测绘行政主管部门委托测绘单位进行。其费用由委托单位承担，不得向房屋权利人收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1684"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综合</w:t>
            </w:r>
          </w:p>
        </w:tc>
        <w:tc>
          <w:tcPr>
            <w:tcW w:w="1161"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0.52元/㎡</w:t>
            </w:r>
          </w:p>
        </w:tc>
        <w:tc>
          <w:tcPr>
            <w:tcW w:w="1126"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1.73元/㎡</w:t>
            </w:r>
          </w:p>
        </w:tc>
        <w:tc>
          <w:tcPr>
            <w:tcW w:w="3757"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0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3</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测绘成果利 用 费</w:t>
            </w:r>
          </w:p>
        </w:tc>
        <w:tc>
          <w:tcPr>
            <w:tcW w:w="2845" w:type="dxa"/>
            <w:gridSpan w:val="2"/>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房产分丘平面图</w:t>
            </w:r>
          </w:p>
        </w:tc>
        <w:tc>
          <w:tcPr>
            <w:tcW w:w="1126"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43.2元/幅</w:t>
            </w:r>
          </w:p>
        </w:tc>
        <w:tc>
          <w:tcPr>
            <w:tcW w:w="3757"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2845" w:type="dxa"/>
            <w:gridSpan w:val="2"/>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房产分幅平面图</w:t>
            </w:r>
          </w:p>
        </w:tc>
        <w:tc>
          <w:tcPr>
            <w:tcW w:w="1126"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36元/幅</w:t>
            </w:r>
          </w:p>
        </w:tc>
        <w:tc>
          <w:tcPr>
            <w:tcW w:w="3757"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2845" w:type="dxa"/>
            <w:gridSpan w:val="2"/>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房产分户平面图</w:t>
            </w:r>
          </w:p>
        </w:tc>
        <w:tc>
          <w:tcPr>
            <w:tcW w:w="1126"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28.8元/幅</w:t>
            </w:r>
          </w:p>
        </w:tc>
        <w:tc>
          <w:tcPr>
            <w:tcW w:w="3757"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70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4</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房屋转让手续费</w:t>
            </w:r>
          </w:p>
        </w:tc>
        <w:tc>
          <w:tcPr>
            <w:tcW w:w="1684"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类型</w:t>
            </w:r>
          </w:p>
        </w:tc>
        <w:tc>
          <w:tcPr>
            <w:tcW w:w="116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住房</w:t>
            </w:r>
          </w:p>
        </w:tc>
        <w:tc>
          <w:tcPr>
            <w:tcW w:w="1126"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非住房</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住房按建筑 面 积</w:t>
            </w:r>
            <w:r>
              <w:rPr>
                <w:color w:val="000000"/>
                <w:kern w:val="0"/>
                <w:szCs w:val="21"/>
              </w:rPr>
              <w:br/>
            </w:r>
            <w:r>
              <w:rPr>
                <w:color w:val="000000"/>
                <w:kern w:val="0"/>
                <w:szCs w:val="21"/>
              </w:rPr>
              <w:t>非住房按交易金额</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湘发改价费（2015）1119号</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服务性收  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1684"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新建</w:t>
            </w:r>
          </w:p>
        </w:tc>
        <w:tc>
          <w:tcPr>
            <w:tcW w:w="1161"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2元/㎡</w:t>
            </w:r>
          </w:p>
        </w:tc>
        <w:tc>
          <w:tcPr>
            <w:tcW w:w="1126"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0.5%</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1684"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存量</w:t>
            </w:r>
          </w:p>
        </w:tc>
        <w:tc>
          <w:tcPr>
            <w:tcW w:w="1161"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4元/㎡</w:t>
            </w:r>
          </w:p>
        </w:tc>
        <w:tc>
          <w:tcPr>
            <w:tcW w:w="1126"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1684"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房改、经适、限价</w:t>
            </w:r>
          </w:p>
        </w:tc>
        <w:tc>
          <w:tcPr>
            <w:tcW w:w="1161"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1元/㎡</w:t>
            </w:r>
          </w:p>
        </w:tc>
        <w:tc>
          <w:tcPr>
            <w:tcW w:w="1126" w:type="dxa"/>
            <w:tcBorders>
              <w:top w:val="single" w:color="auto" w:sz="4" w:space="0"/>
              <w:left w:val="nil"/>
              <w:bottom w:val="single" w:color="auto" w:sz="4" w:space="0"/>
              <w:right w:val="single" w:color="auto" w:sz="4" w:space="0"/>
              <w:tr2bl w:val="single" w:color="auto" w:sz="4" w:space="0"/>
            </w:tcBorders>
            <w:vAlign w:val="center"/>
          </w:tcPr>
          <w:p>
            <w:pPr>
              <w:widowControl/>
              <w:jc w:val="center"/>
              <w:rPr>
                <w:color w:val="000000"/>
                <w:kern w:val="0"/>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7728" w:type="dxa"/>
            <w:gridSpan w:val="6"/>
            <w:tcBorders>
              <w:top w:val="single" w:color="auto" w:sz="4" w:space="0"/>
              <w:left w:val="nil"/>
              <w:bottom w:val="single" w:color="auto" w:sz="4" w:space="0"/>
              <w:right w:val="single" w:color="auto" w:sz="4" w:space="0"/>
            </w:tcBorders>
            <w:vAlign w:val="center"/>
          </w:tcPr>
          <w:p>
            <w:pPr>
              <w:jc w:val="center"/>
              <w:rPr>
                <w:color w:val="000000"/>
                <w:kern w:val="0"/>
                <w:szCs w:val="21"/>
              </w:rPr>
            </w:pPr>
            <w:r>
              <w:rPr>
                <w:color w:val="000000"/>
                <w:kern w:val="0"/>
                <w:szCs w:val="21"/>
              </w:rPr>
              <w:t>1、经济适用住房（控制面积以内）、限价商品住房、棚户区改造安置住房等保障性住房转让免收住房转让手续费；2、因继承、遗赠、婚姻关系共有发生的房屋转让免收房屋转让手续；3、小微企业免收房屋转让手续费。小微企业范围，按照《中小企业划型标准规定》（工信部联企业(2011)300号）具体确定；4、凡企事业单位在改制重组过程中发生房屋产权转移，且属于税务部门契税免征范围的，免收房屋转让手续费；5、首次交易的房改房住宅投等平方米1元收取；6、非住房房屋转让手续费每宗最高不得超过5万元；7、新建商品房房屋转让手续费由转让方承担，存量房房屋转让手续费转让双方各承担一半。交易双方有合同规定的，从其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0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5</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登  记  费</w:t>
            </w:r>
          </w:p>
        </w:tc>
        <w:tc>
          <w:tcPr>
            <w:tcW w:w="1684"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类别</w:t>
            </w:r>
          </w:p>
        </w:tc>
        <w:tc>
          <w:tcPr>
            <w:tcW w:w="116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住房</w:t>
            </w:r>
          </w:p>
        </w:tc>
        <w:tc>
          <w:tcPr>
            <w:tcW w:w="1126"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非住房</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按套或宗</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湘发改价费（2015）1119号、湘发改价费（2016）211号</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行政性收费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85"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1684"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所有权初始登记、转移登记、变更登记、抵押权登记、地役权登记、异议登记</w:t>
            </w:r>
          </w:p>
        </w:tc>
        <w:tc>
          <w:tcPr>
            <w:tcW w:w="1161"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70元/件</w:t>
            </w:r>
          </w:p>
        </w:tc>
        <w:tc>
          <w:tcPr>
            <w:tcW w:w="1126"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520元/件</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56"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7728" w:type="dxa"/>
            <w:gridSpan w:val="6"/>
            <w:tcBorders>
              <w:top w:val="single" w:color="auto" w:sz="4" w:space="0"/>
              <w:left w:val="nil"/>
              <w:bottom w:val="single" w:color="auto" w:sz="4" w:space="0"/>
              <w:right w:val="single" w:color="auto" w:sz="4" w:space="0"/>
            </w:tcBorders>
            <w:vAlign w:val="center"/>
          </w:tcPr>
          <w:p>
            <w:pPr>
              <w:jc w:val="center"/>
              <w:rPr>
                <w:b/>
                <w:bCs/>
                <w:color w:val="000000"/>
                <w:kern w:val="0"/>
                <w:szCs w:val="21"/>
              </w:rPr>
            </w:pPr>
            <w:r>
              <w:rPr>
                <w:color w:val="000000"/>
                <w:kern w:val="0"/>
                <w:szCs w:val="21"/>
              </w:rPr>
              <w:t>1、申请预告登记不得收费。因房屋坐落的街道、门牌号码或因房屋名称变更、权利人姓名或者名称变更而申请的房屋所有权变更登记，减半收费。2、向一个以上房屋权利人核发权属证书时，每增加一本证书加收证书工本费10元。3、企业申请房屋登记按上述标准减半收费。4、不动产登记收费政策明确后，房屋登记收费统一按不动产登记收费政策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5"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7728" w:type="dxa"/>
            <w:gridSpan w:val="6"/>
            <w:tcBorders>
              <w:top w:val="single" w:color="auto" w:sz="4" w:space="0"/>
              <w:left w:val="nil"/>
              <w:bottom w:val="single" w:color="auto" w:sz="4" w:space="0"/>
              <w:right w:val="single" w:color="auto" w:sz="4" w:space="0"/>
            </w:tcBorders>
            <w:vAlign w:val="center"/>
          </w:tcPr>
          <w:p>
            <w:pPr>
              <w:jc w:val="center"/>
              <w:rPr>
                <w:color w:val="000000"/>
                <w:kern w:val="0"/>
                <w:szCs w:val="21"/>
              </w:rPr>
            </w:pPr>
            <w:r>
              <w:rPr>
                <w:color w:val="000000"/>
                <w:kern w:val="0"/>
                <w:szCs w:val="21"/>
              </w:rPr>
              <w:t>依法进行的廉租住房、公共租赁住房等保障性住房租赁行为免收租赁手续费。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0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7</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档案利用费（含出具书面证明）</w:t>
            </w:r>
          </w:p>
        </w:tc>
        <w:tc>
          <w:tcPr>
            <w:tcW w:w="1684"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类  型</w:t>
            </w:r>
          </w:p>
        </w:tc>
        <w:tc>
          <w:tcPr>
            <w:tcW w:w="116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私  产</w:t>
            </w:r>
          </w:p>
        </w:tc>
        <w:tc>
          <w:tcPr>
            <w:tcW w:w="1126"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其他产</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按申请</w:t>
            </w:r>
            <w:r>
              <w:rPr>
                <w:color w:val="000000"/>
                <w:kern w:val="0"/>
                <w:szCs w:val="21"/>
              </w:rPr>
              <w:br/>
            </w:r>
            <w:r>
              <w:rPr>
                <w:color w:val="000000"/>
                <w:kern w:val="0"/>
                <w:szCs w:val="21"/>
              </w:rPr>
              <w:t>卷次</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湘价服</w:t>
            </w:r>
            <w:r>
              <w:rPr>
                <w:color w:val="000000"/>
                <w:kern w:val="0"/>
                <w:szCs w:val="21"/>
              </w:rPr>
              <w:br/>
            </w:r>
            <w:r>
              <w:rPr>
                <w:color w:val="000000"/>
                <w:kern w:val="0"/>
                <w:szCs w:val="21"/>
              </w:rPr>
              <w:t>（2012）86号</w:t>
            </w:r>
          </w:p>
          <w:p>
            <w:pPr>
              <w:widowControl/>
              <w:jc w:val="center"/>
              <w:rPr>
                <w:color w:val="000000"/>
                <w:kern w:val="0"/>
                <w:szCs w:val="21"/>
              </w:rPr>
            </w:pPr>
            <w:r>
              <w:rPr>
                <w:color w:val="000000"/>
                <w:kern w:val="0"/>
                <w:szCs w:val="21"/>
              </w:rPr>
              <w:t>湘发改价综【2014】901号</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服务性收  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1684"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查询、验证</w:t>
            </w:r>
          </w:p>
        </w:tc>
        <w:tc>
          <w:tcPr>
            <w:tcW w:w="1161"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40元/卷次</w:t>
            </w:r>
          </w:p>
        </w:tc>
        <w:tc>
          <w:tcPr>
            <w:tcW w:w="1126"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100元/卷次</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1684"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产权证明</w:t>
            </w:r>
          </w:p>
        </w:tc>
        <w:tc>
          <w:tcPr>
            <w:tcW w:w="1161"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10元/卷次</w:t>
            </w:r>
          </w:p>
        </w:tc>
        <w:tc>
          <w:tcPr>
            <w:tcW w:w="1126"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150元/卷次</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p>
        </w:tc>
        <w:tc>
          <w:tcPr>
            <w:tcW w:w="1684"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产权限制</w:t>
            </w:r>
          </w:p>
        </w:tc>
        <w:tc>
          <w:tcPr>
            <w:tcW w:w="1161"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150元/卷次</w:t>
            </w:r>
          </w:p>
        </w:tc>
        <w:tc>
          <w:tcPr>
            <w:tcW w:w="1126" w:type="dxa"/>
            <w:tcBorders>
              <w:top w:val="single" w:color="auto" w:sz="4" w:space="0"/>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400元/卷次</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r>
    </w:tbl>
    <w:p>
      <w:pPr>
        <w:spacing w:line="360" w:lineRule="auto"/>
        <w:ind w:firstLine="480" w:firstLineChars="200"/>
        <w:jc w:val="left"/>
        <w:rPr>
          <w:rFonts w:eastAsia="黑体"/>
          <w:bCs/>
          <w:sz w:val="24"/>
        </w:rPr>
      </w:pPr>
      <w:r>
        <w:rPr>
          <w:rFonts w:eastAsia="黑体"/>
          <w:bCs/>
          <w:sz w:val="24"/>
        </w:rPr>
        <w:t>备注：房地产交易税费执行的是2015年4月15日起实施的政策。</w:t>
      </w:r>
    </w:p>
    <w:p>
      <w:pPr>
        <w:spacing w:line="400" w:lineRule="exact"/>
        <w:jc w:val="center"/>
        <w:rPr>
          <w:b/>
          <w:bCs/>
          <w:sz w:val="24"/>
          <w:szCs w:val="22"/>
        </w:rPr>
      </w:pPr>
      <w:r>
        <w:rPr>
          <w:b/>
          <w:bCs/>
          <w:sz w:val="24"/>
          <w:szCs w:val="22"/>
        </w:rPr>
        <w:t>表3-2-4长沙县房屋维修资金缴存标准</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89"/>
        <w:gridCol w:w="979"/>
        <w:gridCol w:w="901"/>
        <w:gridCol w:w="1107"/>
        <w:gridCol w:w="1055"/>
        <w:gridCol w:w="1158"/>
        <w:gridCol w:w="1082"/>
        <w:gridCol w:w="13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389"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color w:val="000000"/>
                <w:kern w:val="0"/>
                <w:sz w:val="22"/>
                <w:szCs w:val="22"/>
              </w:rPr>
            </w:pPr>
            <w:r>
              <w:rPr>
                <w:color w:val="000000"/>
                <w:kern w:val="0"/>
                <w:sz w:val="22"/>
                <w:szCs w:val="22"/>
              </w:rPr>
              <w:t>维修资金</w:t>
            </w:r>
          </w:p>
        </w:tc>
        <w:tc>
          <w:tcPr>
            <w:tcW w:w="97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住宅</w:t>
            </w:r>
          </w:p>
        </w:tc>
        <w:tc>
          <w:tcPr>
            <w:tcW w:w="90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商品房</w:t>
            </w:r>
          </w:p>
        </w:tc>
        <w:tc>
          <w:tcPr>
            <w:tcW w:w="110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毛坯房</w:t>
            </w:r>
          </w:p>
        </w:tc>
        <w:tc>
          <w:tcPr>
            <w:tcW w:w="1055" w:type="dxa"/>
            <w:tcBorders>
              <w:top w:val="single" w:color="auto" w:sz="4" w:space="0"/>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有电梯</w:t>
            </w:r>
          </w:p>
        </w:tc>
        <w:tc>
          <w:tcPr>
            <w:tcW w:w="1158" w:type="dxa"/>
            <w:tcBorders>
              <w:top w:val="single" w:color="auto" w:sz="4" w:space="0"/>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120元/㎡</w:t>
            </w:r>
          </w:p>
        </w:tc>
        <w:tc>
          <w:tcPr>
            <w:tcW w:w="1082"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color w:val="000000"/>
                <w:kern w:val="0"/>
                <w:sz w:val="22"/>
                <w:szCs w:val="22"/>
              </w:rPr>
            </w:pPr>
            <w:r>
              <w:rPr>
                <w:color w:val="000000"/>
                <w:kern w:val="0"/>
                <w:sz w:val="22"/>
                <w:szCs w:val="22"/>
              </w:rPr>
              <w:t>按建筑面积</w:t>
            </w:r>
          </w:p>
        </w:tc>
        <w:tc>
          <w:tcPr>
            <w:tcW w:w="1390"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color w:val="000000"/>
                <w:kern w:val="0"/>
                <w:sz w:val="22"/>
                <w:szCs w:val="22"/>
              </w:rPr>
            </w:pPr>
            <w:r>
              <w:rPr>
                <w:color w:val="000000"/>
                <w:kern w:val="0"/>
                <w:sz w:val="22"/>
                <w:szCs w:val="22"/>
              </w:rPr>
              <w:t>建设部、财政部第165号令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8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9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1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055"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无电梯</w:t>
            </w:r>
          </w:p>
        </w:tc>
        <w:tc>
          <w:tcPr>
            <w:tcW w:w="1158"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75元/㎡</w:t>
            </w:r>
          </w:p>
        </w:tc>
        <w:tc>
          <w:tcPr>
            <w:tcW w:w="108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39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38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9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107"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精装修</w:t>
            </w:r>
          </w:p>
        </w:tc>
        <w:tc>
          <w:tcPr>
            <w:tcW w:w="1055"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有电梯</w:t>
            </w:r>
          </w:p>
        </w:tc>
        <w:tc>
          <w:tcPr>
            <w:tcW w:w="1158"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110元/㎡</w:t>
            </w:r>
          </w:p>
        </w:tc>
        <w:tc>
          <w:tcPr>
            <w:tcW w:w="108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39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8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9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107"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055"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无电梯</w:t>
            </w:r>
          </w:p>
        </w:tc>
        <w:tc>
          <w:tcPr>
            <w:tcW w:w="1158"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65元/㎡</w:t>
            </w:r>
          </w:p>
        </w:tc>
        <w:tc>
          <w:tcPr>
            <w:tcW w:w="108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39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38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9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162" w:type="dxa"/>
            <w:gridSpan w:val="2"/>
            <w:tcBorders>
              <w:top w:val="single" w:color="auto" w:sz="4" w:space="0"/>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别墅</w:t>
            </w:r>
          </w:p>
        </w:tc>
        <w:tc>
          <w:tcPr>
            <w:tcW w:w="1158"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200元/㎡</w:t>
            </w:r>
          </w:p>
        </w:tc>
        <w:tc>
          <w:tcPr>
            <w:tcW w:w="108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39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38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9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901"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经济适用房</w:t>
            </w:r>
          </w:p>
        </w:tc>
        <w:tc>
          <w:tcPr>
            <w:tcW w:w="2162" w:type="dxa"/>
            <w:gridSpan w:val="2"/>
            <w:tcBorders>
              <w:top w:val="single" w:color="auto" w:sz="4" w:space="0"/>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有电梯</w:t>
            </w:r>
          </w:p>
        </w:tc>
        <w:tc>
          <w:tcPr>
            <w:tcW w:w="1158"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100元/㎡</w:t>
            </w:r>
          </w:p>
        </w:tc>
        <w:tc>
          <w:tcPr>
            <w:tcW w:w="108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39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8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9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901"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162" w:type="dxa"/>
            <w:gridSpan w:val="2"/>
            <w:tcBorders>
              <w:top w:val="single" w:color="auto" w:sz="4" w:space="0"/>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无电梯</w:t>
            </w:r>
          </w:p>
        </w:tc>
        <w:tc>
          <w:tcPr>
            <w:tcW w:w="1158"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60元/㎡</w:t>
            </w:r>
          </w:p>
        </w:tc>
        <w:tc>
          <w:tcPr>
            <w:tcW w:w="108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39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8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9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3063" w:type="dxa"/>
            <w:gridSpan w:val="3"/>
            <w:tcBorders>
              <w:top w:val="single" w:color="auto" w:sz="4" w:space="0"/>
              <w:left w:val="nil"/>
              <w:bottom w:val="single" w:color="auto" w:sz="4" w:space="0"/>
              <w:right w:val="single" w:color="000000" w:sz="4" w:space="0"/>
            </w:tcBorders>
            <w:vAlign w:val="bottom"/>
          </w:tcPr>
          <w:p>
            <w:pPr>
              <w:widowControl/>
              <w:jc w:val="center"/>
              <w:rPr>
                <w:color w:val="000000"/>
                <w:kern w:val="0"/>
                <w:sz w:val="22"/>
                <w:szCs w:val="22"/>
              </w:rPr>
            </w:pPr>
            <w:r>
              <w:rPr>
                <w:color w:val="000000"/>
                <w:kern w:val="0"/>
                <w:sz w:val="22"/>
                <w:szCs w:val="22"/>
              </w:rPr>
              <w:t>独立地下车库</w:t>
            </w:r>
          </w:p>
        </w:tc>
        <w:tc>
          <w:tcPr>
            <w:tcW w:w="1158" w:type="dxa"/>
            <w:tcBorders>
              <w:top w:val="nil"/>
              <w:left w:val="nil"/>
              <w:bottom w:val="single" w:color="auto" w:sz="4" w:space="0"/>
              <w:right w:val="single" w:color="auto" w:sz="4" w:space="0"/>
            </w:tcBorders>
            <w:vAlign w:val="bottom"/>
          </w:tcPr>
          <w:p>
            <w:pPr>
              <w:widowControl/>
              <w:jc w:val="left"/>
              <w:rPr>
                <w:color w:val="000000"/>
                <w:kern w:val="0"/>
                <w:sz w:val="22"/>
                <w:szCs w:val="22"/>
              </w:rPr>
            </w:pPr>
            <w:r>
              <w:rPr>
                <w:color w:val="000000"/>
                <w:kern w:val="0"/>
                <w:sz w:val="22"/>
                <w:szCs w:val="22"/>
              </w:rPr>
              <w:t>80元/㎡</w:t>
            </w:r>
          </w:p>
        </w:tc>
        <w:tc>
          <w:tcPr>
            <w:tcW w:w="108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39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8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979" w:type="dxa"/>
            <w:tcBorders>
              <w:top w:val="nil"/>
              <w:left w:val="nil"/>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非住宅</w:t>
            </w:r>
          </w:p>
        </w:tc>
        <w:tc>
          <w:tcPr>
            <w:tcW w:w="6693" w:type="dxa"/>
            <w:gridSpan w:val="6"/>
            <w:tcBorders>
              <w:top w:val="single" w:color="auto" w:sz="4" w:space="0"/>
              <w:left w:val="nil"/>
              <w:bottom w:val="single" w:color="auto" w:sz="4" w:space="0"/>
              <w:right w:val="single" w:color="000000" w:sz="4" w:space="0"/>
            </w:tcBorders>
            <w:vAlign w:val="center"/>
          </w:tcPr>
          <w:p>
            <w:pPr>
              <w:widowControl/>
              <w:jc w:val="center"/>
              <w:rPr>
                <w:color w:val="000000"/>
                <w:kern w:val="0"/>
                <w:sz w:val="22"/>
                <w:szCs w:val="22"/>
              </w:rPr>
            </w:pPr>
            <w:r>
              <w:rPr>
                <w:color w:val="000000"/>
                <w:kern w:val="0"/>
                <w:sz w:val="22"/>
                <w:szCs w:val="22"/>
              </w:rPr>
              <w:t>按核定的标准缴存</w:t>
            </w:r>
          </w:p>
        </w:tc>
      </w:tr>
    </w:tbl>
    <w:p>
      <w:pPr>
        <w:spacing w:beforeLines="50" w:line="360" w:lineRule="auto"/>
        <w:ind w:firstLine="482" w:firstLineChars="200"/>
        <w:rPr>
          <w:b/>
          <w:sz w:val="24"/>
        </w:rPr>
      </w:pPr>
      <w:r>
        <w:rPr>
          <w:b/>
          <w:sz w:val="24"/>
        </w:rPr>
        <w:t>3、土地取得费及税费</w:t>
      </w:r>
    </w:p>
    <w:p>
      <w:pPr>
        <w:spacing w:line="400" w:lineRule="exact"/>
        <w:jc w:val="center"/>
        <w:rPr>
          <w:b/>
          <w:bCs/>
          <w:sz w:val="24"/>
          <w:szCs w:val="22"/>
        </w:rPr>
      </w:pPr>
      <w:r>
        <w:rPr>
          <w:b/>
          <w:bCs/>
          <w:sz w:val="24"/>
          <w:szCs w:val="22"/>
        </w:rPr>
        <w:t>表3-2-5 农用地转用、土地征用收费一览表</w:t>
      </w:r>
    </w:p>
    <w:tbl>
      <w:tblPr>
        <w:tblW w:w="907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2796"/>
        <w:gridCol w:w="4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844" w:type="dxa"/>
            <w:vAlign w:val="center"/>
          </w:tcPr>
          <w:p>
            <w:pPr>
              <w:widowControl/>
              <w:jc w:val="center"/>
              <w:rPr>
                <w:b/>
                <w:kern w:val="0"/>
                <w:szCs w:val="21"/>
              </w:rPr>
            </w:pPr>
            <w:r>
              <w:rPr>
                <w:b/>
                <w:kern w:val="0"/>
                <w:szCs w:val="21"/>
              </w:rPr>
              <w:t>费、税项目</w:t>
            </w:r>
          </w:p>
        </w:tc>
        <w:tc>
          <w:tcPr>
            <w:tcW w:w="2796" w:type="dxa"/>
            <w:vAlign w:val="center"/>
          </w:tcPr>
          <w:p>
            <w:pPr>
              <w:widowControl/>
              <w:jc w:val="center"/>
              <w:rPr>
                <w:b/>
                <w:kern w:val="0"/>
                <w:szCs w:val="21"/>
              </w:rPr>
            </w:pPr>
            <w:r>
              <w:rPr>
                <w:b/>
                <w:kern w:val="0"/>
                <w:szCs w:val="21"/>
              </w:rPr>
              <w:t>收费标准</w:t>
            </w:r>
          </w:p>
        </w:tc>
        <w:tc>
          <w:tcPr>
            <w:tcW w:w="4433" w:type="dxa"/>
            <w:vAlign w:val="center"/>
          </w:tcPr>
          <w:p>
            <w:pPr>
              <w:widowControl/>
              <w:jc w:val="center"/>
              <w:rPr>
                <w:b/>
                <w:kern w:val="0"/>
                <w:szCs w:val="21"/>
              </w:rPr>
            </w:pPr>
            <w:r>
              <w:rPr>
                <w:b/>
                <w:kern w:val="0"/>
                <w:szCs w:val="21"/>
              </w:rPr>
              <w:t>收费依据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844" w:type="dxa"/>
            <w:vAlign w:val="center"/>
          </w:tcPr>
          <w:p>
            <w:pPr>
              <w:widowControl/>
              <w:jc w:val="center"/>
              <w:rPr>
                <w:kern w:val="0"/>
                <w:szCs w:val="21"/>
              </w:rPr>
            </w:pPr>
            <w:r>
              <w:rPr>
                <w:kern w:val="0"/>
                <w:szCs w:val="21"/>
              </w:rPr>
              <w:t>征地拆迁安置补偿费</w:t>
            </w:r>
          </w:p>
        </w:tc>
        <w:tc>
          <w:tcPr>
            <w:tcW w:w="2796" w:type="dxa"/>
            <w:vAlign w:val="center"/>
          </w:tcPr>
          <w:p>
            <w:pPr>
              <w:widowControl/>
              <w:jc w:val="center"/>
              <w:rPr>
                <w:kern w:val="0"/>
                <w:szCs w:val="21"/>
              </w:rPr>
            </w:pPr>
            <w:r>
              <w:rPr>
                <w:kern w:val="0"/>
                <w:szCs w:val="21"/>
              </w:rPr>
              <w:t>按</w:t>
            </w:r>
            <w:r>
              <w:rPr>
                <w:kern w:val="0"/>
                <w:szCs w:val="21"/>
              </w:rPr>
              <w:fldChar w:fldCharType="begin"/>
            </w:r>
            <w:r>
              <w:rPr>
                <w:kern w:val="0"/>
                <w:szCs w:val="21"/>
              </w:rPr>
              <w:instrText xml:space="preserve"> = 1 \* ROMAN </w:instrText>
            </w:r>
            <w:r>
              <w:rPr>
                <w:kern w:val="0"/>
                <w:szCs w:val="21"/>
              </w:rPr>
              <w:fldChar w:fldCharType="separate"/>
            </w:r>
            <w:r>
              <w:rPr>
                <w:kern w:val="0"/>
                <w:szCs w:val="21"/>
              </w:rPr>
              <w:t>I</w:t>
            </w:r>
            <w:r>
              <w:rPr>
                <w:kern w:val="0"/>
                <w:szCs w:val="21"/>
              </w:rPr>
              <w:fldChar w:fldCharType="end"/>
            </w:r>
            <w:r>
              <w:rPr>
                <w:kern w:val="0"/>
                <w:szCs w:val="21"/>
              </w:rPr>
              <w:t>区71100元/亩，</w:t>
            </w:r>
            <w:r>
              <w:rPr>
                <w:kern w:val="0"/>
                <w:szCs w:val="21"/>
              </w:rPr>
              <w:fldChar w:fldCharType="begin"/>
            </w:r>
            <w:r>
              <w:rPr>
                <w:kern w:val="0"/>
                <w:szCs w:val="21"/>
              </w:rPr>
              <w:instrText xml:space="preserve"> = 2 \* ROMAN </w:instrText>
            </w:r>
            <w:r>
              <w:rPr>
                <w:kern w:val="0"/>
                <w:szCs w:val="21"/>
              </w:rPr>
              <w:fldChar w:fldCharType="separate"/>
            </w:r>
            <w:r>
              <w:rPr>
                <w:kern w:val="0"/>
                <w:szCs w:val="21"/>
              </w:rPr>
              <w:t>II</w:t>
            </w:r>
            <w:r>
              <w:rPr>
                <w:kern w:val="0"/>
                <w:szCs w:val="21"/>
              </w:rPr>
              <w:fldChar w:fldCharType="end"/>
            </w:r>
            <w:r>
              <w:rPr>
                <w:kern w:val="0"/>
                <w:szCs w:val="21"/>
              </w:rPr>
              <w:t>区68400元/亩；水田，基本农田1.2；耕地（除水田）、草地、其他农用地、建设用地1；园地、林地0.8,；未利用地0.6</w:t>
            </w:r>
          </w:p>
        </w:tc>
        <w:tc>
          <w:tcPr>
            <w:tcW w:w="4433" w:type="dxa"/>
            <w:vAlign w:val="center"/>
          </w:tcPr>
          <w:p>
            <w:pPr>
              <w:spacing w:line="360" w:lineRule="auto"/>
              <w:ind w:left="-105" w:leftChars="-50" w:right="-105" w:rightChars="-50"/>
              <w:rPr>
                <w:kern w:val="0"/>
                <w:szCs w:val="21"/>
              </w:rPr>
            </w:pPr>
            <w:r>
              <w:rPr>
                <w:szCs w:val="21"/>
              </w:rPr>
              <w:t>湖南省人民政府关于调整湖南省征地补偿标准的通知（湘政发[201</w:t>
            </w:r>
            <w:r>
              <w:rPr>
                <w:rFonts w:hint="eastAsia"/>
                <w:szCs w:val="21"/>
              </w:rPr>
              <w:t>8</w:t>
            </w:r>
            <w:r>
              <w:rPr>
                <w:szCs w:val="21"/>
              </w:rPr>
              <w:t>]</w:t>
            </w:r>
            <w:r>
              <w:rPr>
                <w:rFonts w:hint="eastAsia"/>
                <w:szCs w:val="21"/>
              </w:rPr>
              <w:t>5</w:t>
            </w:r>
            <w:r>
              <w:rPr>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844" w:type="dxa"/>
            <w:vAlign w:val="center"/>
          </w:tcPr>
          <w:p>
            <w:pPr>
              <w:widowControl/>
              <w:jc w:val="center"/>
              <w:rPr>
                <w:kern w:val="0"/>
                <w:szCs w:val="21"/>
              </w:rPr>
            </w:pPr>
            <w:r>
              <w:rPr>
                <w:kern w:val="0"/>
                <w:szCs w:val="21"/>
              </w:rPr>
              <w:t>耕地占用税</w:t>
            </w:r>
          </w:p>
        </w:tc>
        <w:tc>
          <w:tcPr>
            <w:tcW w:w="2796" w:type="dxa"/>
            <w:vAlign w:val="center"/>
          </w:tcPr>
          <w:p>
            <w:pPr>
              <w:widowControl/>
              <w:jc w:val="center"/>
              <w:rPr>
                <w:kern w:val="0"/>
                <w:szCs w:val="21"/>
              </w:rPr>
            </w:pPr>
            <w:r>
              <w:rPr>
                <w:kern w:val="0"/>
                <w:szCs w:val="21"/>
              </w:rPr>
              <w:t>32元/m</w:t>
            </w:r>
            <w:r>
              <w:rPr>
                <w:kern w:val="0"/>
                <w:szCs w:val="21"/>
                <w:vertAlign w:val="superscript"/>
              </w:rPr>
              <w:t>2</w:t>
            </w:r>
          </w:p>
        </w:tc>
        <w:tc>
          <w:tcPr>
            <w:tcW w:w="4433" w:type="dxa"/>
            <w:vAlign w:val="center"/>
          </w:tcPr>
          <w:p>
            <w:pPr>
              <w:widowControl/>
              <w:jc w:val="left"/>
              <w:rPr>
                <w:kern w:val="0"/>
                <w:szCs w:val="21"/>
              </w:rPr>
            </w:pPr>
            <w:r>
              <w:rPr>
                <w:kern w:val="0"/>
                <w:szCs w:val="21"/>
              </w:rPr>
              <w:t>湖南省实施《中华人民共和国耕地占用税暂行条例》办法（湖南省人民政府231号令）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844" w:type="dxa"/>
            <w:vAlign w:val="center"/>
          </w:tcPr>
          <w:p>
            <w:pPr>
              <w:widowControl/>
              <w:jc w:val="center"/>
              <w:rPr>
                <w:kern w:val="0"/>
                <w:szCs w:val="21"/>
              </w:rPr>
            </w:pPr>
            <w:r>
              <w:rPr>
                <w:kern w:val="0"/>
                <w:szCs w:val="21"/>
              </w:rPr>
              <w:t>耕地开垦费</w:t>
            </w:r>
          </w:p>
        </w:tc>
        <w:tc>
          <w:tcPr>
            <w:tcW w:w="2796" w:type="dxa"/>
            <w:vAlign w:val="center"/>
          </w:tcPr>
          <w:p>
            <w:pPr>
              <w:widowControl/>
              <w:jc w:val="left"/>
              <w:rPr>
                <w:kern w:val="0"/>
                <w:szCs w:val="21"/>
              </w:rPr>
            </w:pPr>
            <w:r>
              <w:rPr>
                <w:kern w:val="0"/>
                <w:szCs w:val="21"/>
              </w:rPr>
              <w:t>水田：2万元/亩，旱地：1.2万元/亩；合为30元/ m</w:t>
            </w:r>
            <w:r>
              <w:rPr>
                <w:kern w:val="0"/>
                <w:szCs w:val="21"/>
                <w:vertAlign w:val="superscript"/>
              </w:rPr>
              <w:t>2</w:t>
            </w:r>
            <w:r>
              <w:rPr>
                <w:kern w:val="0"/>
                <w:szCs w:val="21"/>
              </w:rPr>
              <w:t>和24元/ m</w:t>
            </w:r>
            <w:r>
              <w:rPr>
                <w:kern w:val="0"/>
                <w:szCs w:val="21"/>
                <w:vertAlign w:val="superscript"/>
              </w:rPr>
              <w:t>2</w:t>
            </w:r>
          </w:p>
        </w:tc>
        <w:tc>
          <w:tcPr>
            <w:tcW w:w="4433" w:type="dxa"/>
            <w:vAlign w:val="center"/>
          </w:tcPr>
          <w:p>
            <w:pPr>
              <w:widowControl/>
              <w:jc w:val="left"/>
              <w:rPr>
                <w:kern w:val="0"/>
                <w:szCs w:val="21"/>
              </w:rPr>
            </w:pPr>
            <w:r>
              <w:rPr>
                <w:kern w:val="0"/>
                <w:szCs w:val="21"/>
              </w:rPr>
              <w:t>湖南省人民政府办公厅关于印发《湖南省耕地开垦费征收使用管理办法》的通知[2010]47号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844" w:type="dxa"/>
            <w:vAlign w:val="center"/>
          </w:tcPr>
          <w:p>
            <w:pPr>
              <w:widowControl/>
              <w:jc w:val="center"/>
              <w:rPr>
                <w:kern w:val="0"/>
                <w:szCs w:val="21"/>
              </w:rPr>
            </w:pPr>
            <w:r>
              <w:rPr>
                <w:kern w:val="0"/>
                <w:szCs w:val="21"/>
              </w:rPr>
              <w:t>社保基金</w:t>
            </w:r>
          </w:p>
        </w:tc>
        <w:tc>
          <w:tcPr>
            <w:tcW w:w="2796" w:type="dxa"/>
            <w:vAlign w:val="center"/>
          </w:tcPr>
          <w:p>
            <w:pPr>
              <w:widowControl/>
              <w:jc w:val="center"/>
              <w:rPr>
                <w:kern w:val="0"/>
                <w:szCs w:val="21"/>
              </w:rPr>
            </w:pPr>
            <w:r>
              <w:rPr>
                <w:kern w:val="0"/>
                <w:szCs w:val="21"/>
              </w:rPr>
              <w:t>80元/m</w:t>
            </w:r>
            <w:r>
              <w:rPr>
                <w:kern w:val="0"/>
                <w:szCs w:val="21"/>
                <w:vertAlign w:val="superscript"/>
              </w:rPr>
              <w:t>2</w:t>
            </w:r>
          </w:p>
        </w:tc>
        <w:tc>
          <w:tcPr>
            <w:tcW w:w="4433" w:type="dxa"/>
            <w:vAlign w:val="center"/>
          </w:tcPr>
          <w:p>
            <w:pPr>
              <w:widowControl/>
              <w:jc w:val="left"/>
              <w:rPr>
                <w:kern w:val="0"/>
                <w:szCs w:val="21"/>
              </w:rPr>
            </w:pPr>
            <w:r>
              <w:rPr>
                <w:kern w:val="0"/>
                <w:szCs w:val="21"/>
              </w:rPr>
              <w:t>《湖南省人民政府办公厅转发省人力资源社会保障厅&lt;关于做好被征地农民社会保障工作的意见&gt;的通知》（湘政办发[2014]）31号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844" w:type="dxa"/>
            <w:vAlign w:val="center"/>
          </w:tcPr>
          <w:p>
            <w:pPr>
              <w:widowControl/>
              <w:rPr>
                <w:kern w:val="0"/>
                <w:szCs w:val="21"/>
              </w:rPr>
            </w:pPr>
            <w:r>
              <w:rPr>
                <w:kern w:val="0"/>
                <w:szCs w:val="21"/>
              </w:rPr>
              <w:t>湖南省水利建设基金</w:t>
            </w:r>
          </w:p>
        </w:tc>
        <w:tc>
          <w:tcPr>
            <w:tcW w:w="2796" w:type="dxa"/>
            <w:vAlign w:val="center"/>
          </w:tcPr>
          <w:p>
            <w:pPr>
              <w:widowControl/>
              <w:jc w:val="center"/>
              <w:rPr>
                <w:kern w:val="0"/>
                <w:szCs w:val="21"/>
              </w:rPr>
            </w:pPr>
            <w:r>
              <w:rPr>
                <w:kern w:val="0"/>
                <w:szCs w:val="21"/>
              </w:rPr>
              <w:t>应缴新增建设用地有偿使用费的10%缴纳水利建设基金</w:t>
            </w:r>
          </w:p>
        </w:tc>
        <w:tc>
          <w:tcPr>
            <w:tcW w:w="4433" w:type="dxa"/>
            <w:vAlign w:val="center"/>
          </w:tcPr>
          <w:p>
            <w:pPr>
              <w:widowControl/>
              <w:ind w:left="-105" w:leftChars="-50" w:right="-105" w:rightChars="-50"/>
              <w:jc w:val="left"/>
              <w:rPr>
                <w:kern w:val="0"/>
                <w:szCs w:val="21"/>
              </w:rPr>
            </w:pPr>
            <w:r>
              <w:rPr>
                <w:kern w:val="0"/>
                <w:szCs w:val="21"/>
              </w:rPr>
              <w:t>湖南省人民政府关于印发《湖南省水利建设基金筹集和使用管理办法》的通知（湘政发[2011]27号）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844" w:type="dxa"/>
            <w:vAlign w:val="center"/>
          </w:tcPr>
          <w:p>
            <w:pPr>
              <w:widowControl/>
              <w:rPr>
                <w:kern w:val="0"/>
                <w:szCs w:val="21"/>
              </w:rPr>
            </w:pPr>
            <w:r>
              <w:rPr>
                <w:kern w:val="0"/>
                <w:szCs w:val="21"/>
              </w:rPr>
              <w:t>森林植被恢复费</w:t>
            </w:r>
          </w:p>
        </w:tc>
        <w:tc>
          <w:tcPr>
            <w:tcW w:w="2796" w:type="dxa"/>
            <w:vAlign w:val="center"/>
          </w:tcPr>
          <w:p>
            <w:pPr>
              <w:widowControl/>
              <w:jc w:val="center"/>
              <w:rPr>
                <w:kern w:val="0"/>
                <w:szCs w:val="21"/>
              </w:rPr>
            </w:pPr>
            <w:r>
              <w:rPr>
                <w:kern w:val="0"/>
                <w:szCs w:val="21"/>
              </w:rPr>
              <w:t>郁闭度0.2以上的乔木林地（含采伐迹地和火烧迹地）、竹林地、苗圃地，每平方米10元；灌木林地、疏林地、未成林造林地，每平方米6元；宜林地，每平方米3元。</w:t>
            </w:r>
          </w:p>
        </w:tc>
        <w:tc>
          <w:tcPr>
            <w:tcW w:w="4433" w:type="dxa"/>
            <w:vAlign w:val="center"/>
          </w:tcPr>
          <w:p>
            <w:pPr>
              <w:widowControl/>
              <w:ind w:left="-105" w:leftChars="-50" w:right="-105" w:rightChars="-50"/>
              <w:jc w:val="left"/>
              <w:rPr>
                <w:kern w:val="0"/>
                <w:szCs w:val="21"/>
              </w:rPr>
            </w:pPr>
            <w:r>
              <w:rPr>
                <w:kern w:val="0"/>
                <w:szCs w:val="21"/>
              </w:rPr>
              <w:t>湖南省财政厅 湖南省林业厅转发财政部国家林业局关于调整森林植被恢复费征收标准引导节约集约利用林地的通知（湘财综[2015]44号）</w:t>
            </w:r>
          </w:p>
        </w:tc>
      </w:tr>
    </w:tbl>
    <w:p>
      <w:pPr>
        <w:spacing w:line="360" w:lineRule="auto"/>
        <w:ind w:firstLine="482" w:firstLineChars="200"/>
        <w:rPr>
          <w:b/>
          <w:sz w:val="24"/>
        </w:rPr>
      </w:pPr>
      <w:r>
        <w:rPr>
          <w:b/>
          <w:sz w:val="24"/>
        </w:rPr>
        <w:t>4、土地交易税费</w:t>
      </w:r>
    </w:p>
    <w:p>
      <w:pPr>
        <w:spacing w:line="400" w:lineRule="exact"/>
        <w:jc w:val="center"/>
        <w:rPr>
          <w:b/>
          <w:bCs/>
          <w:sz w:val="24"/>
          <w:szCs w:val="22"/>
        </w:rPr>
      </w:pPr>
      <w:r>
        <w:rPr>
          <w:b/>
          <w:bCs/>
          <w:sz w:val="24"/>
          <w:szCs w:val="22"/>
        </w:rPr>
        <w:t>表3-2-6 长沙县土地交易涉及的税费一览表</w:t>
      </w:r>
    </w:p>
    <w:tbl>
      <w:tblPr>
        <w:tblW w:w="86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2840" w:type="dxa"/>
            <w:vAlign w:val="center"/>
          </w:tcPr>
          <w:p>
            <w:pPr>
              <w:spacing w:line="300" w:lineRule="exact"/>
              <w:ind w:left="-105" w:leftChars="-50" w:right="-105" w:rightChars="-50"/>
              <w:jc w:val="center"/>
            </w:pPr>
            <w:r>
              <w:t>项     目</w:t>
            </w:r>
          </w:p>
        </w:tc>
        <w:tc>
          <w:tcPr>
            <w:tcW w:w="5762" w:type="dxa"/>
            <w:vAlign w:val="center"/>
          </w:tcPr>
          <w:p>
            <w:pPr>
              <w:spacing w:line="300" w:lineRule="exact"/>
              <w:ind w:left="-105" w:leftChars="-50" w:right="-105" w:rightChars="-50"/>
              <w:jc w:val="center"/>
            </w:pPr>
            <w:r>
              <w:t>收费标准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2840" w:type="dxa"/>
            <w:vAlign w:val="center"/>
          </w:tcPr>
          <w:p>
            <w:pPr>
              <w:spacing w:line="300" w:lineRule="exact"/>
              <w:ind w:left="-105" w:leftChars="-50" w:right="-105" w:rightChars="-50"/>
              <w:jc w:val="center"/>
              <w:rPr>
                <w:szCs w:val="21"/>
              </w:rPr>
            </w:pPr>
            <w:r>
              <w:rPr>
                <w:szCs w:val="21"/>
              </w:rPr>
              <w:t>国有收回统征地、储备地出让；零星土地整合协议出让</w:t>
            </w:r>
          </w:p>
        </w:tc>
        <w:tc>
          <w:tcPr>
            <w:tcW w:w="5762" w:type="dxa"/>
            <w:vAlign w:val="center"/>
          </w:tcPr>
          <w:p>
            <w:pPr>
              <w:spacing w:line="300" w:lineRule="exact"/>
              <w:ind w:left="-105" w:leftChars="-50" w:right="-105" w:rightChars="-50" w:firstLine="420" w:firstLineChars="200"/>
              <w:rPr>
                <w:szCs w:val="21"/>
              </w:rPr>
            </w:pPr>
            <w:r>
              <w:rPr>
                <w:szCs w:val="21"/>
              </w:rPr>
              <w:t>1、出让金  按国办发[2006]100号文具体测算；</w:t>
            </w:r>
          </w:p>
          <w:p>
            <w:pPr>
              <w:spacing w:line="300" w:lineRule="exact"/>
              <w:ind w:left="-105" w:leftChars="-50" w:right="-105" w:rightChars="-50" w:firstLine="420" w:firstLineChars="200"/>
              <w:rPr>
                <w:szCs w:val="21"/>
              </w:rPr>
            </w:pPr>
            <w:r>
              <w:rPr>
                <w:szCs w:val="21"/>
              </w:rPr>
              <w:t>2、契税  按交易额的4%；</w:t>
            </w:r>
          </w:p>
          <w:p>
            <w:pPr>
              <w:spacing w:line="300" w:lineRule="exact"/>
              <w:ind w:left="-105" w:leftChars="-50" w:right="-105" w:rightChars="-50" w:firstLine="420" w:firstLineChars="200"/>
              <w:rPr>
                <w:szCs w:val="21"/>
              </w:rPr>
            </w:pPr>
            <w:r>
              <w:rPr>
                <w:szCs w:val="21"/>
              </w:rPr>
              <w:t>3、</w:t>
            </w:r>
            <w:r>
              <w:t>土地交易服务费  按湘发改价服 (2016)147号测算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2840" w:type="dxa"/>
            <w:vAlign w:val="center"/>
          </w:tcPr>
          <w:p>
            <w:pPr>
              <w:spacing w:line="300" w:lineRule="exact"/>
              <w:ind w:left="-105" w:leftChars="-50" w:right="-105" w:rightChars="-50"/>
              <w:jc w:val="center"/>
            </w:pPr>
            <w:r>
              <w:t>划拨土地补办出让</w:t>
            </w:r>
          </w:p>
        </w:tc>
        <w:tc>
          <w:tcPr>
            <w:tcW w:w="5762" w:type="dxa"/>
            <w:vAlign w:val="center"/>
          </w:tcPr>
          <w:p>
            <w:pPr>
              <w:spacing w:line="300" w:lineRule="exact"/>
              <w:ind w:left="-105" w:leftChars="-50" w:right="-105" w:rightChars="-50" w:firstLine="420" w:firstLineChars="200"/>
            </w:pPr>
            <w:r>
              <w:t>1、出让金  按湘财综[2007]65号文具体测算</w:t>
            </w:r>
          </w:p>
          <w:p>
            <w:pPr>
              <w:spacing w:line="300" w:lineRule="exact"/>
              <w:ind w:left="-105" w:leftChars="-50" w:right="-105" w:rightChars="-50" w:firstLine="420" w:firstLineChars="200"/>
            </w:pPr>
            <w:r>
              <w:t>2、契税    按交易额的4%</w:t>
            </w:r>
          </w:p>
          <w:p>
            <w:pPr>
              <w:spacing w:line="300" w:lineRule="exact"/>
              <w:ind w:left="-105" w:leftChars="-50" w:right="-105" w:rightChars="-50" w:firstLine="420" w:firstLineChars="200"/>
              <w:rPr>
                <w:sz w:val="28"/>
              </w:rPr>
            </w:pPr>
            <w:r>
              <w:rPr>
                <w:szCs w:val="21"/>
              </w:rPr>
              <w:t>3、增值税  根据财政部、国家税务总局《关于全面推开营业税改征增值税试点的通知》（财税〔2016〕36号，2016年3月23日）、国家税务总局《关于发布＜纳税人提供不动产经营租赁服务增值税征收管理暂行办法＞的公告》（国家税务总局公告2016年第16号）；4、土地增值税根据财政部、国家税务总局《关于营改增后契税、房产税、土地增值税、个人所得税计税依据问题的通知》（财税〔2016〕43号</w:t>
            </w:r>
            <w:r>
              <w:rPr>
                <w:sz w:val="28"/>
              </w:rPr>
              <w:t>）；</w:t>
            </w:r>
          </w:p>
          <w:p>
            <w:pPr>
              <w:spacing w:line="300" w:lineRule="exact"/>
              <w:ind w:left="-105" w:leftChars="-50" w:right="-105" w:rightChars="-50" w:firstLine="420" w:firstLineChars="200"/>
            </w:pPr>
            <w:r>
              <w:rPr>
                <w:szCs w:val="21"/>
              </w:rPr>
              <w:t>5、</w:t>
            </w:r>
            <w:r>
              <w:t>土地交易服务费  按湘发改价服 (2016)147号测算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2840" w:type="dxa"/>
            <w:vAlign w:val="center"/>
          </w:tcPr>
          <w:p>
            <w:pPr>
              <w:spacing w:line="300" w:lineRule="exact"/>
              <w:ind w:left="-105" w:leftChars="-50" w:right="-105" w:rightChars="-50"/>
              <w:jc w:val="center"/>
            </w:pPr>
            <w:r>
              <w:t>国有出让土地使用权转让</w:t>
            </w:r>
          </w:p>
        </w:tc>
        <w:tc>
          <w:tcPr>
            <w:tcW w:w="5762" w:type="dxa"/>
            <w:vAlign w:val="center"/>
          </w:tcPr>
          <w:p>
            <w:pPr>
              <w:spacing w:line="300" w:lineRule="exact"/>
              <w:ind w:left="-105" w:leftChars="-50" w:right="-105" w:rightChars="-50" w:firstLine="420" w:firstLineChars="200"/>
              <w:rPr>
                <w:szCs w:val="21"/>
              </w:rPr>
            </w:pPr>
            <w:r>
              <w:rPr>
                <w:szCs w:val="21"/>
              </w:rPr>
              <w:t>受让方：1、契税   受让方按交易额的4%；</w:t>
            </w:r>
          </w:p>
          <w:p>
            <w:pPr>
              <w:spacing w:line="300" w:lineRule="exact"/>
              <w:ind w:left="-105" w:leftChars="-50" w:right="-105" w:rightChars="-50" w:firstLine="420" w:firstLineChars="200"/>
              <w:rPr>
                <w:szCs w:val="21"/>
              </w:rPr>
            </w:pPr>
            <w:r>
              <w:rPr>
                <w:szCs w:val="21"/>
              </w:rPr>
              <w:t>2、</w:t>
            </w:r>
            <w:r>
              <w:t>土地交易服务费  按湘发改价服 (2016)147号测算；</w:t>
            </w:r>
          </w:p>
          <w:p>
            <w:pPr>
              <w:spacing w:line="300" w:lineRule="exact"/>
              <w:ind w:left="-105" w:leftChars="-50" w:right="-105" w:rightChars="-50" w:firstLine="420" w:firstLineChars="200"/>
              <w:rPr>
                <w:szCs w:val="21"/>
              </w:rPr>
            </w:pPr>
            <w:r>
              <w:rPr>
                <w:szCs w:val="21"/>
              </w:rPr>
              <w:t>转让方：1、增值税  根据财政部、国家税务总局《关于全面推开营业税改征增值税试点的通知》（财税〔2016〕36号，2016年3月23日）、国家税务总局《关于发布＜纳税人提供不动产经营租赁服务增值税征收管理暂行办法＞的公告》（国家税务总局公告2016年第16号）；</w:t>
            </w:r>
          </w:p>
          <w:p>
            <w:pPr>
              <w:spacing w:line="300" w:lineRule="exact"/>
              <w:ind w:left="-105" w:leftChars="-50" w:right="-105" w:rightChars="-50" w:firstLine="420" w:firstLineChars="200"/>
            </w:pPr>
            <w:r>
              <w:rPr>
                <w:szCs w:val="21"/>
              </w:rPr>
              <w:t>2、土地增值税根据财政部、国家税务总局《关于营改增后契税、房产税、土地增值税、个人所得税计税依据问题的通知》（财税〔2016〕43号</w:t>
            </w:r>
            <w:r>
              <w:rPr>
                <w:sz w:val="28"/>
              </w:rPr>
              <w:t>）；</w:t>
            </w:r>
          </w:p>
        </w:tc>
      </w:tr>
    </w:tbl>
    <w:p>
      <w:pPr>
        <w:widowControl/>
        <w:ind w:firstLine="482" w:firstLineChars="200"/>
        <w:jc w:val="left"/>
        <w:rPr>
          <w:b/>
          <w:sz w:val="24"/>
          <w:highlight w:val="yellow"/>
        </w:rPr>
      </w:pPr>
      <w:r>
        <w:rPr>
          <w:b/>
          <w:sz w:val="24"/>
        </w:rPr>
        <w:br w:type="page"/>
      </w:r>
    </w:p>
    <w:p>
      <w:pPr>
        <w:pStyle w:val="33"/>
        <w:spacing w:line="360" w:lineRule="auto"/>
        <w:ind w:firstLine="482" w:firstLineChars="200"/>
        <w:rPr>
          <w:rFonts w:hint="default" w:ascii="Times New Roman" w:hAnsi="Times New Roman" w:eastAsia="宋体"/>
          <w:b/>
          <w:sz w:val="24"/>
        </w:rPr>
      </w:pPr>
      <w:r>
        <w:rPr>
          <w:rFonts w:hint="default" w:ascii="Times New Roman" w:hAnsi="Times New Roman" w:eastAsia="宋体"/>
          <w:b/>
          <w:sz w:val="24"/>
        </w:rPr>
        <w:t>5、银行存、贷款利率</w:t>
      </w:r>
    </w:p>
    <w:p>
      <w:pPr>
        <w:spacing w:line="400" w:lineRule="exact"/>
        <w:jc w:val="center"/>
        <w:rPr>
          <w:b/>
          <w:bCs/>
          <w:sz w:val="24"/>
          <w:szCs w:val="22"/>
        </w:rPr>
      </w:pPr>
      <w:r>
        <w:rPr>
          <w:b/>
          <w:bCs/>
          <w:sz w:val="24"/>
          <w:szCs w:val="22"/>
        </w:rPr>
        <w:t>表3-2-7 中国人民银行最新贷款利率表（2017-01-01）</w:t>
      </w:r>
    </w:p>
    <w:tbl>
      <w:tblPr>
        <w:tblW w:w="90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1"/>
        <w:gridCol w:w="4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4531" w:type="dxa"/>
            <w:tcBorders>
              <w:top w:val="single" w:color="auto" w:sz="4" w:space="0"/>
              <w:left w:val="single" w:color="auto" w:sz="4" w:space="0"/>
              <w:bottom w:val="single" w:color="auto" w:sz="4" w:space="0"/>
              <w:right w:val="single" w:color="auto" w:sz="4" w:space="0"/>
            </w:tcBorders>
            <w:vAlign w:val="center"/>
          </w:tcPr>
          <w:p>
            <w:pPr>
              <w:widowControl/>
              <w:jc w:val="center"/>
              <w:rPr>
                <w:b/>
              </w:rPr>
            </w:pPr>
            <w:r>
              <w:rPr>
                <w:b/>
              </w:rPr>
              <w:t>利率/项目</w:t>
            </w:r>
          </w:p>
        </w:tc>
        <w:tc>
          <w:tcPr>
            <w:tcW w:w="4530" w:type="dxa"/>
            <w:tcBorders>
              <w:top w:val="single" w:color="auto" w:sz="4" w:space="0"/>
              <w:left w:val="single" w:color="auto" w:sz="4" w:space="0"/>
              <w:bottom w:val="single" w:color="auto" w:sz="4" w:space="0"/>
              <w:right w:val="single" w:color="auto" w:sz="4" w:space="0"/>
            </w:tcBorders>
            <w:vAlign w:val="center"/>
          </w:tcPr>
          <w:p>
            <w:pPr>
              <w:widowControl/>
              <w:jc w:val="center"/>
              <w:rPr>
                <w:b/>
              </w:rPr>
            </w:pPr>
            <w:r>
              <w:rPr>
                <w:b/>
              </w:rPr>
              <w:t>年利率%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4531" w:type="dxa"/>
            <w:tcBorders>
              <w:top w:val="single" w:color="auto" w:sz="4" w:space="0"/>
              <w:left w:val="single" w:color="auto" w:sz="4" w:space="0"/>
              <w:bottom w:val="single" w:color="auto" w:sz="4" w:space="0"/>
              <w:right w:val="single" w:color="auto" w:sz="4" w:space="0"/>
            </w:tcBorders>
            <w:vAlign w:val="center"/>
          </w:tcPr>
          <w:p>
            <w:pPr>
              <w:widowControl/>
              <w:jc w:val="center"/>
            </w:pPr>
            <w:r>
              <w:t>六个月以内（含六个月）</w:t>
            </w:r>
          </w:p>
        </w:tc>
        <w:tc>
          <w:tcPr>
            <w:tcW w:w="4530" w:type="dxa"/>
            <w:tcBorders>
              <w:top w:val="nil"/>
              <w:left w:val="nil"/>
              <w:bottom w:val="single" w:color="auto" w:sz="4" w:space="0"/>
              <w:right w:val="single" w:color="auto" w:sz="4" w:space="0"/>
            </w:tcBorders>
            <w:vAlign w:val="center"/>
          </w:tcPr>
          <w:p>
            <w:pPr>
              <w:widowControl/>
              <w:jc w:val="center"/>
            </w:pPr>
            <w:r>
              <w:t>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4531" w:type="dxa"/>
            <w:tcBorders>
              <w:top w:val="nil"/>
              <w:left w:val="single" w:color="auto" w:sz="4" w:space="0"/>
              <w:bottom w:val="single" w:color="auto" w:sz="4" w:space="0"/>
              <w:right w:val="single" w:color="auto" w:sz="4" w:space="0"/>
            </w:tcBorders>
            <w:vAlign w:val="center"/>
          </w:tcPr>
          <w:p>
            <w:pPr>
              <w:widowControl/>
              <w:jc w:val="center"/>
            </w:pPr>
            <w:r>
              <w:t>六个月至一年（含一年）</w:t>
            </w:r>
          </w:p>
        </w:tc>
        <w:tc>
          <w:tcPr>
            <w:tcW w:w="4530" w:type="dxa"/>
            <w:tcBorders>
              <w:top w:val="nil"/>
              <w:left w:val="nil"/>
              <w:bottom w:val="single" w:color="auto" w:sz="4" w:space="0"/>
              <w:right w:val="single" w:color="auto" w:sz="4" w:space="0"/>
            </w:tcBorders>
            <w:vAlign w:val="center"/>
          </w:tcPr>
          <w:p>
            <w:pPr>
              <w:widowControl/>
              <w:jc w:val="center"/>
            </w:pPr>
            <w:r>
              <w:t>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4531" w:type="dxa"/>
            <w:tcBorders>
              <w:top w:val="nil"/>
              <w:left w:val="single" w:color="auto" w:sz="4" w:space="0"/>
              <w:bottom w:val="single" w:color="auto" w:sz="4" w:space="0"/>
              <w:right w:val="single" w:color="auto" w:sz="4" w:space="0"/>
            </w:tcBorders>
            <w:vAlign w:val="center"/>
          </w:tcPr>
          <w:p>
            <w:pPr>
              <w:widowControl/>
              <w:jc w:val="center"/>
            </w:pPr>
            <w:r>
              <w:t>二、中长期贷款</w:t>
            </w:r>
          </w:p>
        </w:tc>
        <w:tc>
          <w:tcPr>
            <w:tcW w:w="4530" w:type="dxa"/>
            <w:tcBorders>
              <w:top w:val="nil"/>
              <w:left w:val="nil"/>
              <w:bottom w:val="single" w:color="auto" w:sz="4" w:space="0"/>
              <w:right w:val="single" w:color="auto" w:sz="4" w:space="0"/>
            </w:tcBorders>
            <w:vAlign w:val="center"/>
          </w:tcPr>
          <w:p>
            <w:pPr>
              <w:widowControl/>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3" w:hRule="exact"/>
          <w:jc w:val="center"/>
        </w:trPr>
        <w:tc>
          <w:tcPr>
            <w:tcW w:w="4531" w:type="dxa"/>
            <w:tcBorders>
              <w:top w:val="nil"/>
              <w:left w:val="single" w:color="auto" w:sz="4" w:space="0"/>
              <w:bottom w:val="single" w:color="auto" w:sz="4" w:space="0"/>
              <w:right w:val="single" w:color="auto" w:sz="4" w:space="0"/>
            </w:tcBorders>
            <w:vAlign w:val="center"/>
          </w:tcPr>
          <w:p>
            <w:pPr>
              <w:widowControl/>
              <w:jc w:val="center"/>
            </w:pPr>
            <w:r>
              <w:t>一至三年（含三年）</w:t>
            </w:r>
          </w:p>
        </w:tc>
        <w:tc>
          <w:tcPr>
            <w:tcW w:w="4530" w:type="dxa"/>
            <w:tcBorders>
              <w:top w:val="nil"/>
              <w:left w:val="nil"/>
              <w:bottom w:val="single" w:color="auto" w:sz="4" w:space="0"/>
              <w:right w:val="single" w:color="auto" w:sz="4" w:space="0"/>
            </w:tcBorders>
            <w:vAlign w:val="center"/>
          </w:tcPr>
          <w:p>
            <w:pPr>
              <w:widowControl/>
              <w:jc w:val="center"/>
            </w:pPr>
            <w:r>
              <w:t>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4531" w:type="dxa"/>
            <w:tcBorders>
              <w:top w:val="nil"/>
              <w:left w:val="single" w:color="auto" w:sz="4" w:space="0"/>
              <w:bottom w:val="single" w:color="auto" w:sz="4" w:space="0"/>
              <w:right w:val="single" w:color="auto" w:sz="4" w:space="0"/>
            </w:tcBorders>
            <w:vAlign w:val="center"/>
          </w:tcPr>
          <w:p>
            <w:pPr>
              <w:widowControl/>
              <w:jc w:val="center"/>
            </w:pPr>
            <w:r>
              <w:t>三至五年（含五年）</w:t>
            </w:r>
          </w:p>
        </w:tc>
        <w:tc>
          <w:tcPr>
            <w:tcW w:w="4530" w:type="dxa"/>
            <w:tcBorders>
              <w:top w:val="nil"/>
              <w:left w:val="nil"/>
              <w:bottom w:val="single" w:color="auto" w:sz="4" w:space="0"/>
              <w:right w:val="single" w:color="auto" w:sz="4" w:space="0"/>
            </w:tcBorders>
            <w:vAlign w:val="center"/>
          </w:tcPr>
          <w:p>
            <w:pPr>
              <w:widowControl/>
              <w:jc w:val="center"/>
            </w:pPr>
            <w:r>
              <w:t>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4531" w:type="dxa"/>
            <w:tcBorders>
              <w:top w:val="nil"/>
              <w:left w:val="single" w:color="auto" w:sz="4" w:space="0"/>
              <w:bottom w:val="single" w:color="auto" w:sz="4" w:space="0"/>
              <w:right w:val="single" w:color="auto" w:sz="4" w:space="0"/>
            </w:tcBorders>
            <w:vAlign w:val="center"/>
          </w:tcPr>
          <w:p>
            <w:pPr>
              <w:widowControl/>
              <w:jc w:val="center"/>
            </w:pPr>
            <w:r>
              <w:t>五年以上</w:t>
            </w:r>
          </w:p>
        </w:tc>
        <w:tc>
          <w:tcPr>
            <w:tcW w:w="4530" w:type="dxa"/>
            <w:tcBorders>
              <w:top w:val="nil"/>
              <w:left w:val="nil"/>
              <w:bottom w:val="single" w:color="auto" w:sz="4" w:space="0"/>
              <w:right w:val="single" w:color="auto" w:sz="4" w:space="0"/>
            </w:tcBorders>
            <w:vAlign w:val="center"/>
          </w:tcPr>
          <w:p>
            <w:pPr>
              <w:widowControl/>
              <w:jc w:val="center"/>
            </w:pPr>
            <w:r>
              <w:t>4.90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4531" w:type="dxa"/>
            <w:tcBorders>
              <w:top w:val="nil"/>
              <w:left w:val="single" w:color="auto" w:sz="4" w:space="0"/>
              <w:bottom w:val="single" w:color="auto" w:sz="4" w:space="0"/>
              <w:right w:val="single" w:color="auto" w:sz="4" w:space="0"/>
            </w:tcBorders>
            <w:vAlign w:val="center"/>
          </w:tcPr>
          <w:p>
            <w:pPr>
              <w:widowControl/>
              <w:ind w:firstLine="315" w:firstLineChars="150"/>
              <w:jc w:val="left"/>
            </w:pPr>
            <w:r>
              <w:t>三、贴现</w:t>
            </w:r>
          </w:p>
        </w:tc>
        <w:tc>
          <w:tcPr>
            <w:tcW w:w="4530" w:type="dxa"/>
            <w:tcBorders>
              <w:top w:val="nil"/>
              <w:left w:val="nil"/>
              <w:bottom w:val="single" w:color="auto" w:sz="4" w:space="0"/>
              <w:right w:val="single" w:color="auto" w:sz="4" w:space="0"/>
            </w:tcBorders>
            <w:vAlign w:val="center"/>
          </w:tcPr>
          <w:p>
            <w:pPr>
              <w:widowControl/>
              <w:jc w:val="center"/>
            </w:pPr>
            <w:r>
              <w:t>以再贴现利率为下限加点确定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4531" w:type="dxa"/>
            <w:tcBorders>
              <w:top w:val="nil"/>
              <w:left w:val="single" w:color="auto" w:sz="4" w:space="0"/>
              <w:bottom w:val="single" w:color="auto" w:sz="4" w:space="0"/>
              <w:right w:val="single" w:color="auto" w:sz="4" w:space="0"/>
            </w:tcBorders>
            <w:vAlign w:val="center"/>
          </w:tcPr>
          <w:p>
            <w:pPr>
              <w:widowControl/>
              <w:jc w:val="center"/>
            </w:pPr>
            <w:r>
              <w:t>四、个人住房公积金贷款</w:t>
            </w:r>
          </w:p>
        </w:tc>
        <w:tc>
          <w:tcPr>
            <w:tcW w:w="4530" w:type="dxa"/>
            <w:tcBorders>
              <w:top w:val="nil"/>
              <w:left w:val="nil"/>
              <w:bottom w:val="single" w:color="auto" w:sz="4" w:space="0"/>
              <w:right w:val="single" w:color="auto" w:sz="4" w:space="0"/>
            </w:tcBorders>
            <w:vAlign w:val="center"/>
          </w:tcPr>
          <w:p>
            <w:pPr>
              <w:widowControl/>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4531" w:type="dxa"/>
            <w:tcBorders>
              <w:top w:val="nil"/>
              <w:left w:val="single" w:color="auto" w:sz="4" w:space="0"/>
              <w:bottom w:val="single" w:color="auto" w:sz="4" w:space="0"/>
              <w:right w:val="single" w:color="auto" w:sz="4" w:space="0"/>
            </w:tcBorders>
            <w:vAlign w:val="center"/>
          </w:tcPr>
          <w:p>
            <w:pPr>
              <w:widowControl/>
              <w:jc w:val="center"/>
            </w:pPr>
            <w:r>
              <w:t>五年以下（含五年）</w:t>
            </w:r>
          </w:p>
        </w:tc>
        <w:tc>
          <w:tcPr>
            <w:tcW w:w="4530" w:type="dxa"/>
            <w:tcBorders>
              <w:top w:val="nil"/>
              <w:left w:val="nil"/>
              <w:bottom w:val="single" w:color="auto" w:sz="4" w:space="0"/>
              <w:right w:val="single" w:color="auto" w:sz="4" w:space="0"/>
            </w:tcBorders>
            <w:vAlign w:val="center"/>
          </w:tcPr>
          <w:p>
            <w:pPr>
              <w:widowControl/>
              <w:jc w:val="center"/>
            </w:pPr>
            <w:r>
              <w:t>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4531" w:type="dxa"/>
            <w:tcBorders>
              <w:top w:val="nil"/>
              <w:left w:val="single" w:color="auto" w:sz="4" w:space="0"/>
              <w:bottom w:val="single" w:color="auto" w:sz="4" w:space="0"/>
              <w:right w:val="single" w:color="auto" w:sz="4" w:space="0"/>
            </w:tcBorders>
            <w:vAlign w:val="center"/>
          </w:tcPr>
          <w:p>
            <w:pPr>
              <w:widowControl/>
              <w:jc w:val="center"/>
            </w:pPr>
            <w:r>
              <w:t>五年以上</w:t>
            </w:r>
          </w:p>
        </w:tc>
        <w:tc>
          <w:tcPr>
            <w:tcW w:w="4530" w:type="dxa"/>
            <w:tcBorders>
              <w:top w:val="nil"/>
              <w:left w:val="nil"/>
              <w:bottom w:val="single" w:color="auto" w:sz="4" w:space="0"/>
              <w:right w:val="single" w:color="auto" w:sz="4" w:space="0"/>
            </w:tcBorders>
            <w:vAlign w:val="center"/>
          </w:tcPr>
          <w:p>
            <w:pPr>
              <w:widowControl/>
              <w:jc w:val="center"/>
            </w:pPr>
            <w:r>
              <w:t>3.25</w:t>
            </w:r>
          </w:p>
        </w:tc>
      </w:tr>
    </w:tbl>
    <w:p>
      <w:pPr>
        <w:spacing w:line="400" w:lineRule="exact"/>
        <w:jc w:val="center"/>
        <w:rPr>
          <w:b/>
          <w:bCs/>
          <w:sz w:val="24"/>
          <w:szCs w:val="22"/>
        </w:rPr>
      </w:pPr>
      <w:r>
        <w:rPr>
          <w:b/>
          <w:bCs/>
          <w:sz w:val="24"/>
          <w:szCs w:val="22"/>
        </w:rPr>
        <w:t>表3-2-8中国人民银行最新存款利率表（2017-03-1）</w:t>
      </w:r>
    </w:p>
    <w:tbl>
      <w:tblPr>
        <w:tblW w:w="90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6"/>
        <w:gridCol w:w="40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4986" w:type="dxa"/>
            <w:tcBorders>
              <w:top w:val="single" w:color="auto" w:sz="4" w:space="0"/>
              <w:left w:val="single" w:color="auto" w:sz="4" w:space="0"/>
              <w:bottom w:val="single" w:color="auto" w:sz="4" w:space="0"/>
              <w:right w:val="single" w:color="auto" w:sz="4" w:space="0"/>
            </w:tcBorders>
            <w:vAlign w:val="bottom"/>
          </w:tcPr>
          <w:p>
            <w:pPr>
              <w:widowControl/>
              <w:jc w:val="center"/>
              <w:rPr>
                <w:b/>
              </w:rPr>
            </w:pPr>
            <w:r>
              <w:rPr>
                <w:b/>
              </w:rPr>
              <w:t>项目</w:t>
            </w:r>
          </w:p>
        </w:tc>
        <w:tc>
          <w:tcPr>
            <w:tcW w:w="4075" w:type="dxa"/>
            <w:tcBorders>
              <w:top w:val="single" w:color="auto" w:sz="4" w:space="0"/>
              <w:left w:val="nil"/>
              <w:bottom w:val="single" w:color="auto" w:sz="4" w:space="0"/>
              <w:right w:val="single" w:color="auto" w:sz="4" w:space="0"/>
            </w:tcBorders>
            <w:vAlign w:val="bottom"/>
          </w:tcPr>
          <w:p>
            <w:pPr>
              <w:widowControl/>
              <w:jc w:val="center"/>
              <w:rPr>
                <w:b/>
              </w:rPr>
            </w:pPr>
            <w:r>
              <w:rPr>
                <w:b/>
              </w:rPr>
              <w:t>年利率%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4986" w:type="dxa"/>
            <w:tcBorders>
              <w:top w:val="single" w:color="auto" w:sz="4" w:space="0"/>
              <w:left w:val="single" w:color="auto" w:sz="4" w:space="0"/>
              <w:bottom w:val="single" w:color="auto" w:sz="4" w:space="0"/>
              <w:right w:val="single" w:color="auto" w:sz="4" w:space="0"/>
            </w:tcBorders>
            <w:vAlign w:val="bottom"/>
          </w:tcPr>
          <w:p>
            <w:pPr>
              <w:widowControl/>
              <w:jc w:val="center"/>
              <w:rPr>
                <w:szCs w:val="22"/>
              </w:rPr>
            </w:pPr>
            <w:r>
              <w:rPr>
                <w:szCs w:val="22"/>
              </w:rPr>
              <w:t>一、城乡居民及单位存款</w:t>
            </w:r>
          </w:p>
        </w:tc>
        <w:tc>
          <w:tcPr>
            <w:tcW w:w="4075" w:type="dxa"/>
            <w:tcBorders>
              <w:top w:val="single" w:color="auto" w:sz="4" w:space="0"/>
              <w:left w:val="nil"/>
              <w:bottom w:val="single" w:color="auto" w:sz="4" w:space="0"/>
              <w:right w:val="single" w:color="auto" w:sz="4" w:space="0"/>
            </w:tcBorders>
            <w:vAlign w:val="bottom"/>
          </w:tcPr>
          <w:p>
            <w:pPr>
              <w:widowControl/>
              <w:jc w:val="center"/>
              <w:rPr>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4986" w:type="dxa"/>
            <w:tcBorders>
              <w:top w:val="single" w:color="auto" w:sz="4" w:space="0"/>
              <w:left w:val="single" w:color="auto" w:sz="4" w:space="0"/>
              <w:bottom w:val="single" w:color="auto" w:sz="4" w:space="0"/>
              <w:right w:val="single" w:color="auto" w:sz="4" w:space="0"/>
            </w:tcBorders>
            <w:vAlign w:val="bottom"/>
          </w:tcPr>
          <w:p>
            <w:pPr>
              <w:widowControl/>
              <w:jc w:val="center"/>
              <w:rPr>
                <w:szCs w:val="22"/>
              </w:rPr>
            </w:pPr>
            <w:r>
              <w:rPr>
                <w:szCs w:val="22"/>
              </w:rPr>
              <w:t>（一）活期</w:t>
            </w:r>
          </w:p>
        </w:tc>
        <w:tc>
          <w:tcPr>
            <w:tcW w:w="4075" w:type="dxa"/>
            <w:tcBorders>
              <w:top w:val="single" w:color="auto" w:sz="4" w:space="0"/>
              <w:left w:val="nil"/>
              <w:bottom w:val="single" w:color="auto" w:sz="4" w:space="0"/>
              <w:right w:val="single" w:color="auto" w:sz="4" w:space="0"/>
            </w:tcBorders>
            <w:vAlign w:val="bottom"/>
          </w:tcPr>
          <w:p>
            <w:pPr>
              <w:widowControl/>
              <w:jc w:val="center"/>
              <w:rPr>
                <w:szCs w:val="22"/>
              </w:rPr>
            </w:pPr>
            <w:r>
              <w:rPr>
                <w:szCs w:val="22"/>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4986" w:type="dxa"/>
            <w:tcBorders>
              <w:top w:val="single" w:color="auto" w:sz="4" w:space="0"/>
              <w:left w:val="single" w:color="auto" w:sz="4" w:space="0"/>
              <w:bottom w:val="single" w:color="auto" w:sz="4" w:space="0"/>
              <w:right w:val="single" w:color="auto" w:sz="4" w:space="0"/>
            </w:tcBorders>
            <w:vAlign w:val="bottom"/>
          </w:tcPr>
          <w:p>
            <w:pPr>
              <w:widowControl/>
              <w:jc w:val="center"/>
              <w:rPr>
                <w:szCs w:val="22"/>
              </w:rPr>
            </w:pPr>
            <w:r>
              <w:rPr>
                <w:szCs w:val="22"/>
              </w:rPr>
              <w:t>（二）定期</w:t>
            </w:r>
          </w:p>
        </w:tc>
        <w:tc>
          <w:tcPr>
            <w:tcW w:w="4075" w:type="dxa"/>
            <w:tcBorders>
              <w:top w:val="single" w:color="auto" w:sz="4" w:space="0"/>
              <w:left w:val="nil"/>
              <w:bottom w:val="single" w:color="auto" w:sz="4" w:space="0"/>
              <w:right w:val="single" w:color="auto" w:sz="4" w:space="0"/>
            </w:tcBorders>
            <w:vAlign w:val="bottom"/>
          </w:tcPr>
          <w:p>
            <w:pPr>
              <w:widowControl/>
              <w:jc w:val="center"/>
              <w:rPr>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4986" w:type="dxa"/>
            <w:tcBorders>
              <w:top w:val="single" w:color="auto" w:sz="4" w:space="0"/>
              <w:left w:val="single" w:color="auto" w:sz="4" w:space="0"/>
              <w:bottom w:val="single" w:color="auto" w:sz="4" w:space="0"/>
              <w:right w:val="single" w:color="auto" w:sz="4" w:space="0"/>
            </w:tcBorders>
            <w:vAlign w:val="bottom"/>
          </w:tcPr>
          <w:p>
            <w:pPr>
              <w:widowControl/>
              <w:jc w:val="center"/>
              <w:rPr>
                <w:szCs w:val="22"/>
              </w:rPr>
            </w:pPr>
            <w:r>
              <w:rPr>
                <w:szCs w:val="22"/>
              </w:rPr>
              <w:t>1.整存整取</w:t>
            </w:r>
          </w:p>
        </w:tc>
        <w:tc>
          <w:tcPr>
            <w:tcW w:w="4075" w:type="dxa"/>
            <w:tcBorders>
              <w:top w:val="single" w:color="auto" w:sz="4" w:space="0"/>
              <w:left w:val="nil"/>
              <w:bottom w:val="single" w:color="auto" w:sz="4" w:space="0"/>
              <w:right w:val="single" w:color="auto" w:sz="4" w:space="0"/>
            </w:tcBorders>
            <w:vAlign w:val="bottom"/>
          </w:tcPr>
          <w:p>
            <w:pPr>
              <w:widowControl/>
              <w:jc w:val="center"/>
              <w:rPr>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4986" w:type="dxa"/>
            <w:tcBorders>
              <w:top w:val="single" w:color="auto" w:sz="4" w:space="0"/>
              <w:left w:val="single" w:color="auto" w:sz="4" w:space="0"/>
              <w:bottom w:val="single" w:color="auto" w:sz="4" w:space="0"/>
              <w:right w:val="single" w:color="auto" w:sz="4" w:space="0"/>
            </w:tcBorders>
            <w:vAlign w:val="bottom"/>
          </w:tcPr>
          <w:p>
            <w:pPr>
              <w:widowControl/>
              <w:jc w:val="center"/>
              <w:rPr>
                <w:szCs w:val="22"/>
              </w:rPr>
            </w:pPr>
            <w:r>
              <w:rPr>
                <w:szCs w:val="22"/>
              </w:rPr>
              <w:t>三个月</w:t>
            </w:r>
          </w:p>
        </w:tc>
        <w:tc>
          <w:tcPr>
            <w:tcW w:w="4075" w:type="dxa"/>
            <w:tcBorders>
              <w:top w:val="single" w:color="auto" w:sz="4" w:space="0"/>
              <w:left w:val="nil"/>
              <w:bottom w:val="single" w:color="auto" w:sz="4" w:space="0"/>
              <w:right w:val="single" w:color="auto" w:sz="4" w:space="0"/>
            </w:tcBorders>
            <w:vAlign w:val="bottom"/>
          </w:tcPr>
          <w:p>
            <w:pPr>
              <w:widowControl/>
              <w:jc w:val="center"/>
              <w:rPr>
                <w:szCs w:val="22"/>
              </w:rPr>
            </w:pPr>
            <w:r>
              <w:rPr>
                <w:szCs w:val="22"/>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4986" w:type="dxa"/>
            <w:tcBorders>
              <w:top w:val="single" w:color="auto" w:sz="4" w:space="0"/>
              <w:left w:val="single" w:color="auto" w:sz="4" w:space="0"/>
              <w:bottom w:val="single" w:color="auto" w:sz="4" w:space="0"/>
              <w:right w:val="single" w:color="auto" w:sz="4" w:space="0"/>
            </w:tcBorders>
            <w:vAlign w:val="bottom"/>
          </w:tcPr>
          <w:p>
            <w:pPr>
              <w:widowControl/>
              <w:jc w:val="center"/>
              <w:rPr>
                <w:szCs w:val="22"/>
              </w:rPr>
            </w:pPr>
            <w:r>
              <w:rPr>
                <w:szCs w:val="22"/>
              </w:rPr>
              <w:t>半年</w:t>
            </w:r>
          </w:p>
        </w:tc>
        <w:tc>
          <w:tcPr>
            <w:tcW w:w="4075" w:type="dxa"/>
            <w:tcBorders>
              <w:top w:val="single" w:color="auto" w:sz="4" w:space="0"/>
              <w:left w:val="nil"/>
              <w:bottom w:val="single" w:color="auto" w:sz="4" w:space="0"/>
              <w:right w:val="single" w:color="auto" w:sz="4" w:space="0"/>
            </w:tcBorders>
            <w:vAlign w:val="bottom"/>
          </w:tcPr>
          <w:p>
            <w:pPr>
              <w:widowControl/>
              <w:jc w:val="center"/>
              <w:rPr>
                <w:szCs w:val="22"/>
              </w:rPr>
            </w:pPr>
            <w:r>
              <w:rPr>
                <w:szCs w:val="22"/>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4986" w:type="dxa"/>
            <w:tcBorders>
              <w:top w:val="single" w:color="auto" w:sz="4" w:space="0"/>
              <w:left w:val="single" w:color="auto" w:sz="4" w:space="0"/>
              <w:bottom w:val="single" w:color="auto" w:sz="4" w:space="0"/>
              <w:right w:val="single" w:color="auto" w:sz="4" w:space="0"/>
            </w:tcBorders>
            <w:vAlign w:val="bottom"/>
          </w:tcPr>
          <w:p>
            <w:pPr>
              <w:widowControl/>
              <w:jc w:val="center"/>
              <w:rPr>
                <w:szCs w:val="22"/>
              </w:rPr>
            </w:pPr>
            <w:r>
              <w:rPr>
                <w:szCs w:val="22"/>
              </w:rPr>
              <w:t>一年</w:t>
            </w:r>
          </w:p>
        </w:tc>
        <w:tc>
          <w:tcPr>
            <w:tcW w:w="4075" w:type="dxa"/>
            <w:tcBorders>
              <w:top w:val="single" w:color="auto" w:sz="4" w:space="0"/>
              <w:left w:val="nil"/>
              <w:bottom w:val="single" w:color="auto" w:sz="4" w:space="0"/>
              <w:right w:val="single" w:color="auto" w:sz="4" w:space="0"/>
            </w:tcBorders>
            <w:vAlign w:val="bottom"/>
          </w:tcPr>
          <w:p>
            <w:pPr>
              <w:widowControl/>
              <w:jc w:val="center"/>
              <w:rPr>
                <w:szCs w:val="22"/>
              </w:rPr>
            </w:pPr>
            <w:r>
              <w:rPr>
                <w:szCs w:val="22"/>
              </w:rPr>
              <w:t xml:space="preserve">1.50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4986" w:type="dxa"/>
            <w:tcBorders>
              <w:top w:val="single" w:color="auto" w:sz="4" w:space="0"/>
              <w:left w:val="single" w:color="auto" w:sz="4" w:space="0"/>
              <w:bottom w:val="single" w:color="auto" w:sz="4" w:space="0"/>
              <w:right w:val="single" w:color="auto" w:sz="4" w:space="0"/>
            </w:tcBorders>
            <w:vAlign w:val="bottom"/>
          </w:tcPr>
          <w:p>
            <w:pPr>
              <w:widowControl/>
              <w:jc w:val="center"/>
              <w:rPr>
                <w:szCs w:val="22"/>
              </w:rPr>
            </w:pPr>
            <w:r>
              <w:rPr>
                <w:szCs w:val="22"/>
              </w:rPr>
              <w:t>二年</w:t>
            </w:r>
          </w:p>
        </w:tc>
        <w:tc>
          <w:tcPr>
            <w:tcW w:w="4075" w:type="dxa"/>
            <w:tcBorders>
              <w:top w:val="single" w:color="auto" w:sz="4" w:space="0"/>
              <w:left w:val="nil"/>
              <w:bottom w:val="single" w:color="auto" w:sz="4" w:space="0"/>
              <w:right w:val="single" w:color="auto" w:sz="4" w:space="0"/>
            </w:tcBorders>
            <w:vAlign w:val="bottom"/>
          </w:tcPr>
          <w:p>
            <w:pPr>
              <w:widowControl/>
              <w:jc w:val="center"/>
              <w:rPr>
                <w:szCs w:val="22"/>
              </w:rPr>
            </w:pPr>
            <w:r>
              <w:rPr>
                <w:szCs w:val="22"/>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4986" w:type="dxa"/>
            <w:tcBorders>
              <w:top w:val="single" w:color="auto" w:sz="4" w:space="0"/>
              <w:left w:val="single" w:color="auto" w:sz="4" w:space="0"/>
              <w:bottom w:val="single" w:color="auto" w:sz="4" w:space="0"/>
              <w:right w:val="single" w:color="auto" w:sz="4" w:space="0"/>
            </w:tcBorders>
            <w:vAlign w:val="bottom"/>
          </w:tcPr>
          <w:p>
            <w:pPr>
              <w:widowControl/>
              <w:jc w:val="center"/>
              <w:rPr>
                <w:szCs w:val="22"/>
              </w:rPr>
            </w:pPr>
            <w:r>
              <w:rPr>
                <w:szCs w:val="22"/>
              </w:rPr>
              <w:t>三年</w:t>
            </w:r>
          </w:p>
        </w:tc>
        <w:tc>
          <w:tcPr>
            <w:tcW w:w="4075" w:type="dxa"/>
            <w:tcBorders>
              <w:top w:val="single" w:color="auto" w:sz="4" w:space="0"/>
              <w:left w:val="nil"/>
              <w:bottom w:val="single" w:color="auto" w:sz="4" w:space="0"/>
              <w:right w:val="single" w:color="auto" w:sz="4" w:space="0"/>
            </w:tcBorders>
            <w:vAlign w:val="bottom"/>
          </w:tcPr>
          <w:p>
            <w:pPr>
              <w:widowControl/>
              <w:jc w:val="center"/>
              <w:rPr>
                <w:szCs w:val="22"/>
              </w:rPr>
            </w:pPr>
            <w:r>
              <w:rPr>
                <w:szCs w:val="22"/>
              </w:rPr>
              <w:t>2.75</w:t>
            </w:r>
          </w:p>
        </w:tc>
      </w:tr>
    </w:tbl>
    <w:p>
      <w:pPr>
        <w:tabs>
          <w:tab w:val="left" w:pos="2620"/>
        </w:tabs>
        <w:spacing w:line="360" w:lineRule="auto"/>
        <w:ind w:firstLine="482" w:firstLineChars="200"/>
        <w:rPr>
          <w:b/>
          <w:sz w:val="24"/>
        </w:rPr>
      </w:pPr>
      <w:r>
        <w:rPr>
          <w:b/>
          <w:sz w:val="24"/>
        </w:rPr>
        <w:t>6、还原利率的确定</w:t>
      </w:r>
    </w:p>
    <w:p>
      <w:pPr>
        <w:spacing w:line="360" w:lineRule="auto"/>
        <w:ind w:firstLine="480" w:firstLineChars="200"/>
        <w:rPr>
          <w:sz w:val="24"/>
          <w:lang w:val="zh-CN"/>
        </w:rPr>
      </w:pPr>
      <w:bookmarkStart w:id="548" w:name="_Toc271529450"/>
      <w:bookmarkStart w:id="549" w:name="_Toc248305593"/>
      <w:bookmarkStart w:id="550" w:name="_Toc213589790"/>
      <w:bookmarkStart w:id="551" w:name="_Toc248306030"/>
      <w:r>
        <w:rPr>
          <w:sz w:val="24"/>
          <w:lang w:val="zh-CN"/>
        </w:rPr>
        <w:t>还原利率是将房地产纯收益还原或贴现为房地产价格的利率（或比率），实质上就是一种资本投资的收益率。在运用收益还原法评估不动产的价格时,按照评估对象的不同,可将还原率分为3类：土地还原利率(r1)、房屋还原利率(r2)及综合还原利率(r)。若已知其中两个，便可求出另外一个，三者的关系为：</w:t>
      </w:r>
    </w:p>
    <w:p>
      <w:pPr>
        <w:spacing w:line="360" w:lineRule="auto"/>
        <w:jc w:val="center"/>
        <w:rPr>
          <w:sz w:val="24"/>
        </w:rPr>
      </w:pPr>
      <w:r>
        <w:rPr>
          <w:rFonts w:ascii="Times New Roman" w:hAnsi="Times New Roman" w:eastAsia="宋体" w:cs="Times New Roman"/>
          <w:kern w:val="2"/>
          <w:position w:val="-24"/>
          <w:sz w:val="21"/>
          <w:lang w:val="en-US" w:eastAsia="zh-CN" w:bidi="ar-SA"/>
        </w:rPr>
        <w:object>
          <v:shape id="Picture 5" type="#_x0000_t75" style="height:32.65pt;width:67pt;rotation:0f;" o:ole="t" fillcolor="#FFFFFF" filled="f" o:preferrelative="t" stroked="f" coordorigin="0,0" coordsize="21600,21600">
            <v:fill on="f" color2="#FFFFFF" focus="0%"/>
            <v:imagedata gain="65536f" blacklevel="0f" gamma="0" o:title="" r:id="rId64"/>
            <o:lock v:ext="edit" position="f" selection="f" grouping="f" rotation="f" cropping="f" text="f" aspectratio="t"/>
            <w10:wrap type="none"/>
            <w10:anchorlock/>
          </v:shape>
          <o:OLEObject Type="Embed" ProgID="" ShapeID="Picture 5" DrawAspect="Content" ObjectID="_200" r:id="rId63"/>
        </w:object>
      </w:r>
    </w:p>
    <w:p>
      <w:pPr>
        <w:spacing w:line="360" w:lineRule="auto"/>
        <w:ind w:firstLine="480" w:firstLineChars="200"/>
        <w:rPr>
          <w:sz w:val="24"/>
          <w:lang w:val="zh-CN"/>
        </w:rPr>
      </w:pPr>
      <w:r>
        <w:rPr>
          <w:sz w:val="24"/>
          <w:lang w:val="zh-CN"/>
        </w:rPr>
        <w:t>其中，L和B分别表示用收益还原法以外的其他方法求得的土地价格，建筑物价格。一般情况下，土地还原利率比建筑还原利率低1-2个百分点，综合还原利率基本在二者之间。</w:t>
      </w:r>
    </w:p>
    <w:p>
      <w:pPr>
        <w:spacing w:line="360" w:lineRule="auto"/>
        <w:ind w:firstLine="480" w:firstLineChars="200"/>
        <w:rPr>
          <w:sz w:val="24"/>
          <w:szCs w:val="24"/>
        </w:rPr>
      </w:pPr>
      <w:r>
        <w:rPr>
          <w:sz w:val="24"/>
          <w:szCs w:val="24"/>
        </w:rPr>
        <w:t>根据《城镇土地估价规程》，土地还原利率的确定主要有：土地纯收益与价格比率法（租售比法）、安全利率加风险调整值法与投资收益法。目前我国城镇土地市场发育比较完善，在城镇各类用地中，商服、住宅用地交易样点多，可用租售比法、投资收益率法确定其还原利率。由于工矿仓储用地买卖交易样点少，且效益难以确定，不适宜用租售比法与投资收益法确定其土地还原利率。因此，在本轮长沙县基准地价评估时，结合长沙县城镇土地市场情况，采用租售比法、投资收益法确定商服用地及住宅用地的还原利率；工矿仓储用地的还原利率将采用安全利率加风险调整值法确定。</w:t>
      </w:r>
    </w:p>
    <w:p>
      <w:pPr>
        <w:spacing w:line="360" w:lineRule="auto"/>
        <w:ind w:firstLine="480" w:firstLineChars="200"/>
        <w:rPr>
          <w:sz w:val="24"/>
          <w:szCs w:val="24"/>
        </w:rPr>
      </w:pPr>
      <w:r>
        <w:rPr>
          <w:sz w:val="24"/>
          <w:szCs w:val="24"/>
        </w:rPr>
        <w:t>长沙县当前城镇土地市场中，商服、住宅用地样点较多，且样点资料齐全，基本上能反映长沙县商服用地、住宅用地的实际投资收益情况。因此，能比较客观的反映长沙县土地市场供求情况，通过采用租售比法与投资收益法来确定土地还原利率，运用投资收益法测算样点地价。</w:t>
      </w:r>
    </w:p>
    <w:p>
      <w:pPr>
        <w:spacing w:line="360" w:lineRule="auto"/>
        <w:ind w:firstLine="480" w:firstLineChars="200"/>
        <w:rPr>
          <w:sz w:val="24"/>
          <w:szCs w:val="24"/>
        </w:rPr>
      </w:pPr>
      <w:r>
        <w:rPr>
          <w:sz w:val="24"/>
          <w:szCs w:val="24"/>
        </w:rPr>
        <w:t>与地价测算相关的除了土地还原利率外，还要房屋还原利率。依据投资房屋与土地的风险大小，按照高风险高报酬的市场规律，土地还原利率应该比房屋还原利率低。在长沙县土地市场实际情况的基础上，结合样点的普遍结构及平均耐用年限。根据房地产市场一般的规律，房屋还原利率比土地还原利率高（1-2）%，因此，长沙县本轮基准地价评估将土地还原利率定为参数r，则房屋还原利率为（r+1.5%）。</w:t>
      </w:r>
    </w:p>
    <w:p>
      <w:pPr>
        <w:spacing w:line="360" w:lineRule="auto"/>
        <w:ind w:firstLine="480" w:firstLineChars="200"/>
        <w:rPr>
          <w:sz w:val="24"/>
          <w:szCs w:val="24"/>
        </w:rPr>
      </w:pPr>
      <w:r>
        <w:rPr>
          <w:sz w:val="24"/>
          <w:szCs w:val="24"/>
        </w:rPr>
        <w:t>1、租售比法</w:t>
      </w:r>
    </w:p>
    <w:p>
      <w:pPr>
        <w:spacing w:line="360" w:lineRule="auto"/>
        <w:ind w:firstLine="480" w:firstLineChars="200"/>
        <w:rPr>
          <w:sz w:val="24"/>
          <w:szCs w:val="24"/>
        </w:rPr>
      </w:pPr>
      <w:r>
        <w:rPr>
          <w:sz w:val="24"/>
          <w:szCs w:val="24"/>
        </w:rPr>
        <w:t>租售比法是将土地纯收益与价格利率求取土地还原利率的方法，此方法要求至少三宗以上近期交易的实例，且与长沙县选择样点相似性较大。</w:t>
      </w:r>
    </w:p>
    <w:p>
      <w:pPr>
        <w:spacing w:line="360" w:lineRule="auto"/>
        <w:ind w:firstLine="480" w:firstLineChars="200"/>
        <w:rPr>
          <w:sz w:val="24"/>
          <w:szCs w:val="24"/>
        </w:rPr>
      </w:pPr>
      <w:r>
        <w:rPr>
          <w:sz w:val="24"/>
          <w:szCs w:val="24"/>
        </w:rPr>
        <w:t>（1）商服用地还原利率的计算</w:t>
      </w:r>
    </w:p>
    <w:p>
      <w:pPr>
        <w:spacing w:line="360" w:lineRule="auto"/>
        <w:ind w:firstLine="480" w:firstLineChars="200"/>
        <w:rPr>
          <w:sz w:val="24"/>
          <w:szCs w:val="24"/>
        </w:rPr>
      </w:pPr>
      <w:r>
        <w:rPr>
          <w:sz w:val="24"/>
          <w:szCs w:val="24"/>
        </w:rPr>
        <w:t>在长沙县土地定级的基础上，依据房屋结构、房屋所在楼层及交易面积等方面的一致性，在商服用地各级中分别选取近期发生的商服铺面出租或买卖的实例，来求取房地产综合还原利率（R），见公式一。</w:t>
      </w:r>
    </w:p>
    <w:p>
      <w:pPr>
        <w:spacing w:line="360" w:lineRule="auto"/>
        <w:ind w:firstLine="480" w:firstLineChars="200"/>
        <w:jc w:val="center"/>
        <w:rPr>
          <w:sz w:val="24"/>
          <w:szCs w:val="24"/>
        </w:rPr>
      </w:pPr>
      <w:r>
        <w:rPr>
          <w:sz w:val="24"/>
          <w:szCs w:val="24"/>
        </w:rPr>
        <w:t>房地产综合还原利率=实例收益/实例价格       （公式一）</w:t>
      </w:r>
    </w:p>
    <w:p>
      <w:pPr>
        <w:spacing w:line="360" w:lineRule="auto"/>
        <w:ind w:firstLine="480" w:firstLineChars="200"/>
        <w:rPr>
          <w:sz w:val="24"/>
          <w:szCs w:val="24"/>
        </w:rPr>
      </w:pPr>
      <w:r>
        <w:rPr>
          <w:sz w:val="24"/>
          <w:szCs w:val="24"/>
        </w:rPr>
        <w:t>在收集的商服样点中，对商服用地各级别范围内的多个样点进行测算（部分样点的房地产综合还原利率见下表），通过计算，长沙县商服用地的房地产综合还原利率为8.9</w:t>
      </w:r>
      <w:r>
        <w:rPr>
          <w:rFonts w:hint="eastAsia"/>
          <w:sz w:val="24"/>
          <w:szCs w:val="24"/>
        </w:rPr>
        <w:t>5</w:t>
      </w:r>
      <w:r>
        <w:rPr>
          <w:sz w:val="24"/>
          <w:szCs w:val="24"/>
        </w:rPr>
        <w:t>%，结合上文确定的土地还原利率r，房屋还原利率（r+1.5%），接下来求取r。</w:t>
      </w:r>
    </w:p>
    <w:p>
      <w:pPr>
        <w:widowControl/>
        <w:ind w:firstLine="482" w:firstLineChars="200"/>
        <w:jc w:val="left"/>
        <w:rPr>
          <w:b/>
          <w:sz w:val="24"/>
          <w:szCs w:val="24"/>
        </w:rPr>
      </w:pPr>
      <w:r>
        <w:rPr>
          <w:b/>
          <w:sz w:val="24"/>
          <w:szCs w:val="24"/>
        </w:rPr>
        <w:br w:type="page"/>
      </w:r>
    </w:p>
    <w:p>
      <w:pPr>
        <w:spacing w:line="400" w:lineRule="exact"/>
        <w:jc w:val="center"/>
        <w:rPr>
          <w:b/>
          <w:bCs/>
          <w:sz w:val="24"/>
          <w:szCs w:val="22"/>
        </w:rPr>
      </w:pPr>
      <w:r>
        <w:rPr>
          <w:b/>
          <w:bCs/>
          <w:sz w:val="24"/>
          <w:szCs w:val="22"/>
        </w:rPr>
        <w:t>表3-2-10 采用租售比法确定的商服用地部分样点房地产综合还原利率</w:t>
      </w:r>
    </w:p>
    <w:p>
      <w:pPr>
        <w:spacing w:line="360" w:lineRule="auto"/>
        <w:ind w:firstLine="480" w:firstLineChars="200"/>
        <w:jc w:val="right"/>
        <w:rPr>
          <w:sz w:val="24"/>
          <w:szCs w:val="24"/>
        </w:rPr>
      </w:pPr>
      <w:r>
        <w:rPr>
          <w:sz w:val="24"/>
          <w:szCs w:val="24"/>
        </w:rPr>
        <w:t>单位：元/平方米，%</w:t>
      </w:r>
    </w:p>
    <w:tbl>
      <w:tblPr>
        <w:tblW w:w="8572" w:type="dxa"/>
        <w:jc w:val="center"/>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4583"/>
        <w:gridCol w:w="1059"/>
        <w:gridCol w:w="958"/>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662" w:type="dxa"/>
            <w:vAlign w:val="center"/>
          </w:tcPr>
          <w:p>
            <w:pPr>
              <w:widowControl/>
              <w:spacing w:line="400" w:lineRule="exact"/>
              <w:jc w:val="center"/>
              <w:rPr>
                <w:b/>
                <w:color w:val="000000"/>
                <w:kern w:val="0"/>
                <w:szCs w:val="21"/>
              </w:rPr>
            </w:pPr>
            <w:r>
              <w:rPr>
                <w:b/>
                <w:color w:val="000000"/>
                <w:kern w:val="0"/>
                <w:szCs w:val="21"/>
              </w:rPr>
              <w:t>样点序号</w:t>
            </w:r>
          </w:p>
        </w:tc>
        <w:tc>
          <w:tcPr>
            <w:tcW w:w="4583" w:type="dxa"/>
            <w:vAlign w:val="center"/>
          </w:tcPr>
          <w:p>
            <w:pPr>
              <w:widowControl/>
              <w:spacing w:line="400" w:lineRule="exact"/>
              <w:jc w:val="center"/>
              <w:rPr>
                <w:b/>
                <w:color w:val="000000"/>
                <w:kern w:val="0"/>
                <w:szCs w:val="21"/>
              </w:rPr>
            </w:pPr>
            <w:r>
              <w:rPr>
                <w:b/>
                <w:color w:val="000000"/>
                <w:kern w:val="0"/>
                <w:szCs w:val="21"/>
              </w:rPr>
              <w:t>样点位置</w:t>
            </w:r>
          </w:p>
        </w:tc>
        <w:tc>
          <w:tcPr>
            <w:tcW w:w="1059" w:type="dxa"/>
            <w:vAlign w:val="center"/>
          </w:tcPr>
          <w:p>
            <w:pPr>
              <w:widowControl/>
              <w:spacing w:line="400" w:lineRule="exact"/>
              <w:jc w:val="center"/>
              <w:rPr>
                <w:b/>
                <w:color w:val="000000"/>
                <w:kern w:val="0"/>
                <w:szCs w:val="21"/>
              </w:rPr>
            </w:pPr>
            <w:r>
              <w:rPr>
                <w:b/>
                <w:color w:val="000000"/>
                <w:kern w:val="0"/>
                <w:szCs w:val="21"/>
              </w:rPr>
              <w:t>样点</w:t>
            </w:r>
          </w:p>
          <w:p>
            <w:pPr>
              <w:widowControl/>
              <w:spacing w:line="400" w:lineRule="exact"/>
              <w:jc w:val="center"/>
              <w:rPr>
                <w:b/>
                <w:color w:val="000000"/>
                <w:kern w:val="0"/>
                <w:szCs w:val="21"/>
              </w:rPr>
            </w:pPr>
            <w:r>
              <w:rPr>
                <w:b/>
                <w:color w:val="000000"/>
                <w:kern w:val="0"/>
                <w:szCs w:val="21"/>
              </w:rPr>
              <w:t>收益</w:t>
            </w:r>
          </w:p>
        </w:tc>
        <w:tc>
          <w:tcPr>
            <w:tcW w:w="958" w:type="dxa"/>
            <w:vAlign w:val="center"/>
          </w:tcPr>
          <w:p>
            <w:pPr>
              <w:widowControl/>
              <w:spacing w:line="400" w:lineRule="exact"/>
              <w:jc w:val="center"/>
              <w:rPr>
                <w:b/>
                <w:color w:val="000000"/>
                <w:kern w:val="0"/>
                <w:szCs w:val="21"/>
              </w:rPr>
            </w:pPr>
            <w:r>
              <w:rPr>
                <w:b/>
                <w:color w:val="000000"/>
                <w:kern w:val="0"/>
                <w:szCs w:val="21"/>
              </w:rPr>
              <w:t>样点</w:t>
            </w:r>
          </w:p>
          <w:p>
            <w:pPr>
              <w:widowControl/>
              <w:spacing w:line="400" w:lineRule="exact"/>
              <w:jc w:val="center"/>
              <w:rPr>
                <w:b/>
                <w:color w:val="000000"/>
                <w:kern w:val="0"/>
                <w:szCs w:val="21"/>
              </w:rPr>
            </w:pPr>
            <w:r>
              <w:rPr>
                <w:b/>
                <w:color w:val="000000"/>
                <w:kern w:val="0"/>
                <w:szCs w:val="21"/>
              </w:rPr>
              <w:t>价格</w:t>
            </w:r>
          </w:p>
        </w:tc>
        <w:tc>
          <w:tcPr>
            <w:tcW w:w="1310" w:type="dxa"/>
            <w:vAlign w:val="center"/>
          </w:tcPr>
          <w:p>
            <w:pPr>
              <w:widowControl/>
              <w:spacing w:line="400" w:lineRule="exact"/>
              <w:jc w:val="center"/>
              <w:rPr>
                <w:b/>
                <w:color w:val="000000"/>
                <w:kern w:val="0"/>
                <w:szCs w:val="21"/>
              </w:rPr>
            </w:pPr>
            <w:r>
              <w:rPr>
                <w:b/>
                <w:color w:val="000000"/>
                <w:kern w:val="0"/>
                <w:szCs w:val="21"/>
              </w:rPr>
              <w:t>房地产综合还原利率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662" w:type="dxa"/>
            <w:vAlign w:val="center"/>
          </w:tcPr>
          <w:p>
            <w:pPr>
              <w:widowControl/>
              <w:spacing w:line="400" w:lineRule="exact"/>
              <w:jc w:val="center"/>
              <w:rPr>
                <w:color w:val="000000"/>
                <w:kern w:val="0"/>
                <w:szCs w:val="21"/>
              </w:rPr>
            </w:pPr>
            <w:r>
              <w:rPr>
                <w:color w:val="000000"/>
                <w:kern w:val="0"/>
                <w:szCs w:val="21"/>
              </w:rPr>
              <w:t>1</w:t>
            </w:r>
          </w:p>
        </w:tc>
        <w:tc>
          <w:tcPr>
            <w:tcW w:w="4583" w:type="dxa"/>
            <w:vAlign w:val="center"/>
          </w:tcPr>
          <w:p>
            <w:pPr>
              <w:spacing w:line="400" w:lineRule="exact"/>
              <w:jc w:val="center"/>
              <w:rPr>
                <w:color w:val="000000"/>
                <w:szCs w:val="21"/>
              </w:rPr>
            </w:pPr>
            <w:r>
              <w:rPr>
                <w:color w:val="000000"/>
                <w:szCs w:val="21"/>
              </w:rPr>
              <w:t>望仙路以南，东三线以西，开元路以北</w:t>
            </w:r>
          </w:p>
        </w:tc>
        <w:tc>
          <w:tcPr>
            <w:tcW w:w="1059" w:type="dxa"/>
            <w:vAlign w:val="bottom"/>
          </w:tcPr>
          <w:p>
            <w:pPr>
              <w:spacing w:line="400" w:lineRule="exact"/>
              <w:jc w:val="center"/>
              <w:rPr>
                <w:color w:val="000000"/>
                <w:szCs w:val="21"/>
              </w:rPr>
            </w:pPr>
            <w:r>
              <w:rPr>
                <w:color w:val="000000"/>
                <w:szCs w:val="21"/>
              </w:rPr>
              <w:t>469.73</w:t>
            </w:r>
          </w:p>
        </w:tc>
        <w:tc>
          <w:tcPr>
            <w:tcW w:w="958" w:type="dxa"/>
            <w:vAlign w:val="bottom"/>
          </w:tcPr>
          <w:p>
            <w:pPr>
              <w:spacing w:line="400" w:lineRule="exact"/>
              <w:jc w:val="center"/>
              <w:rPr>
                <w:color w:val="000000"/>
                <w:szCs w:val="21"/>
              </w:rPr>
            </w:pPr>
            <w:r>
              <w:rPr>
                <w:color w:val="000000"/>
                <w:szCs w:val="21"/>
              </w:rPr>
              <w:t>5075.66</w:t>
            </w:r>
          </w:p>
        </w:tc>
        <w:tc>
          <w:tcPr>
            <w:tcW w:w="1310" w:type="dxa"/>
            <w:vAlign w:val="center"/>
          </w:tcPr>
          <w:p>
            <w:pPr>
              <w:spacing w:line="400" w:lineRule="exact"/>
              <w:jc w:val="center"/>
              <w:rPr>
                <w:color w:val="000000"/>
                <w:szCs w:val="21"/>
              </w:rPr>
            </w:pPr>
            <w:r>
              <w:rPr>
                <w:color w:val="000000"/>
                <w:szCs w:val="21"/>
              </w:rPr>
              <w:t>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662" w:type="dxa"/>
            <w:vAlign w:val="center"/>
          </w:tcPr>
          <w:p>
            <w:pPr>
              <w:widowControl/>
              <w:spacing w:line="400" w:lineRule="exact"/>
              <w:jc w:val="center"/>
              <w:rPr>
                <w:color w:val="000000"/>
                <w:kern w:val="0"/>
                <w:szCs w:val="21"/>
              </w:rPr>
            </w:pPr>
            <w:r>
              <w:rPr>
                <w:color w:val="000000"/>
                <w:kern w:val="0"/>
                <w:szCs w:val="21"/>
              </w:rPr>
              <w:t>2</w:t>
            </w:r>
          </w:p>
        </w:tc>
        <w:tc>
          <w:tcPr>
            <w:tcW w:w="4583" w:type="dxa"/>
            <w:vAlign w:val="center"/>
          </w:tcPr>
          <w:p>
            <w:pPr>
              <w:spacing w:line="400" w:lineRule="exact"/>
              <w:jc w:val="center"/>
              <w:rPr>
                <w:color w:val="000000"/>
                <w:szCs w:val="21"/>
              </w:rPr>
            </w:pPr>
            <w:r>
              <w:rPr>
                <w:color w:val="000000"/>
                <w:szCs w:val="21"/>
              </w:rPr>
              <w:t>开元路以南，东一线以西，三一路以北</w:t>
            </w:r>
          </w:p>
        </w:tc>
        <w:tc>
          <w:tcPr>
            <w:tcW w:w="1059" w:type="dxa"/>
            <w:vAlign w:val="center"/>
          </w:tcPr>
          <w:p>
            <w:pPr>
              <w:spacing w:line="400" w:lineRule="exact"/>
              <w:jc w:val="center"/>
              <w:rPr>
                <w:color w:val="000000"/>
                <w:szCs w:val="21"/>
              </w:rPr>
            </w:pPr>
            <w:r>
              <w:rPr>
                <w:color w:val="000000"/>
                <w:szCs w:val="21"/>
              </w:rPr>
              <w:t>435.32</w:t>
            </w:r>
          </w:p>
        </w:tc>
        <w:tc>
          <w:tcPr>
            <w:tcW w:w="958" w:type="dxa"/>
            <w:vAlign w:val="center"/>
          </w:tcPr>
          <w:p>
            <w:pPr>
              <w:spacing w:line="400" w:lineRule="exact"/>
              <w:jc w:val="center"/>
              <w:rPr>
                <w:color w:val="000000"/>
                <w:szCs w:val="21"/>
              </w:rPr>
            </w:pPr>
            <w:r>
              <w:rPr>
                <w:color w:val="000000"/>
                <w:szCs w:val="21"/>
              </w:rPr>
              <w:t>4878.24</w:t>
            </w:r>
          </w:p>
        </w:tc>
        <w:tc>
          <w:tcPr>
            <w:tcW w:w="1310" w:type="dxa"/>
            <w:vAlign w:val="center"/>
          </w:tcPr>
          <w:p>
            <w:pPr>
              <w:spacing w:line="400" w:lineRule="exact"/>
              <w:jc w:val="center"/>
              <w:rPr>
                <w:color w:val="000000"/>
                <w:szCs w:val="21"/>
              </w:rPr>
            </w:pPr>
            <w:r>
              <w:rPr>
                <w:color w:val="000000"/>
                <w:szCs w:val="21"/>
              </w:rPr>
              <w:t>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62" w:type="dxa"/>
            <w:vAlign w:val="center"/>
          </w:tcPr>
          <w:p>
            <w:pPr>
              <w:widowControl/>
              <w:spacing w:line="400" w:lineRule="exact"/>
              <w:jc w:val="center"/>
              <w:rPr>
                <w:color w:val="000000"/>
                <w:kern w:val="0"/>
                <w:szCs w:val="21"/>
              </w:rPr>
            </w:pPr>
            <w:r>
              <w:rPr>
                <w:color w:val="000000"/>
                <w:kern w:val="0"/>
                <w:szCs w:val="21"/>
              </w:rPr>
              <w:t>3</w:t>
            </w:r>
          </w:p>
        </w:tc>
        <w:tc>
          <w:tcPr>
            <w:tcW w:w="4583" w:type="dxa"/>
            <w:vAlign w:val="center"/>
          </w:tcPr>
          <w:p>
            <w:pPr>
              <w:spacing w:line="400" w:lineRule="exact"/>
              <w:jc w:val="center"/>
              <w:rPr>
                <w:color w:val="000000"/>
                <w:szCs w:val="21"/>
              </w:rPr>
            </w:pPr>
            <w:r>
              <w:rPr>
                <w:color w:val="000000"/>
                <w:szCs w:val="21"/>
              </w:rPr>
              <w:t>特立路以南，东七路以西，望仙路以北，东五线以东</w:t>
            </w:r>
          </w:p>
        </w:tc>
        <w:tc>
          <w:tcPr>
            <w:tcW w:w="1059" w:type="dxa"/>
            <w:vAlign w:val="center"/>
          </w:tcPr>
          <w:p>
            <w:pPr>
              <w:spacing w:line="400" w:lineRule="exact"/>
              <w:jc w:val="center"/>
              <w:rPr>
                <w:color w:val="000000"/>
                <w:szCs w:val="21"/>
              </w:rPr>
            </w:pPr>
            <w:r>
              <w:rPr>
                <w:color w:val="000000"/>
                <w:szCs w:val="21"/>
              </w:rPr>
              <w:t>322.20</w:t>
            </w:r>
          </w:p>
        </w:tc>
        <w:tc>
          <w:tcPr>
            <w:tcW w:w="958" w:type="dxa"/>
            <w:vAlign w:val="center"/>
          </w:tcPr>
          <w:p>
            <w:pPr>
              <w:spacing w:line="400" w:lineRule="exact"/>
              <w:jc w:val="center"/>
              <w:rPr>
                <w:color w:val="000000"/>
                <w:szCs w:val="21"/>
              </w:rPr>
            </w:pPr>
            <w:r>
              <w:rPr>
                <w:color w:val="000000"/>
                <w:szCs w:val="21"/>
              </w:rPr>
              <w:t>3665.17</w:t>
            </w:r>
          </w:p>
        </w:tc>
        <w:tc>
          <w:tcPr>
            <w:tcW w:w="1310" w:type="dxa"/>
            <w:vAlign w:val="center"/>
          </w:tcPr>
          <w:p>
            <w:pPr>
              <w:spacing w:line="400" w:lineRule="exact"/>
              <w:jc w:val="center"/>
              <w:rPr>
                <w:color w:val="000000"/>
                <w:szCs w:val="21"/>
              </w:rPr>
            </w:pPr>
            <w:r>
              <w:rPr>
                <w:color w:val="000000"/>
                <w:szCs w:val="21"/>
              </w:rPr>
              <w:t>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662" w:type="dxa"/>
            <w:vAlign w:val="center"/>
          </w:tcPr>
          <w:p>
            <w:pPr>
              <w:widowControl/>
              <w:spacing w:line="400" w:lineRule="exact"/>
              <w:jc w:val="center"/>
              <w:rPr>
                <w:color w:val="000000"/>
                <w:kern w:val="0"/>
                <w:szCs w:val="21"/>
              </w:rPr>
            </w:pPr>
            <w:r>
              <w:rPr>
                <w:color w:val="000000"/>
                <w:kern w:val="0"/>
                <w:szCs w:val="21"/>
              </w:rPr>
              <w:t>4</w:t>
            </w:r>
          </w:p>
        </w:tc>
        <w:tc>
          <w:tcPr>
            <w:tcW w:w="4583" w:type="dxa"/>
            <w:vAlign w:val="center"/>
          </w:tcPr>
          <w:p>
            <w:pPr>
              <w:spacing w:line="400" w:lineRule="exact"/>
              <w:jc w:val="center"/>
              <w:rPr>
                <w:color w:val="000000"/>
                <w:szCs w:val="21"/>
              </w:rPr>
            </w:pPr>
            <w:r>
              <w:rPr>
                <w:color w:val="000000"/>
                <w:szCs w:val="21"/>
              </w:rPr>
              <w:t>社塘路以南，黄兴大道以西，远大二路以北，东四线以东</w:t>
            </w:r>
          </w:p>
        </w:tc>
        <w:tc>
          <w:tcPr>
            <w:tcW w:w="1059" w:type="dxa"/>
            <w:vAlign w:val="center"/>
          </w:tcPr>
          <w:p>
            <w:pPr>
              <w:spacing w:line="400" w:lineRule="exact"/>
              <w:jc w:val="center"/>
              <w:rPr>
                <w:color w:val="000000"/>
                <w:szCs w:val="21"/>
              </w:rPr>
            </w:pPr>
            <w:r>
              <w:rPr>
                <w:color w:val="000000"/>
                <w:szCs w:val="21"/>
              </w:rPr>
              <w:t>270.45</w:t>
            </w:r>
          </w:p>
        </w:tc>
        <w:tc>
          <w:tcPr>
            <w:tcW w:w="958" w:type="dxa"/>
            <w:vAlign w:val="center"/>
          </w:tcPr>
          <w:p>
            <w:pPr>
              <w:spacing w:line="400" w:lineRule="exact"/>
              <w:jc w:val="center"/>
              <w:rPr>
                <w:color w:val="000000"/>
                <w:szCs w:val="21"/>
              </w:rPr>
            </w:pPr>
            <w:r>
              <w:rPr>
                <w:color w:val="000000"/>
                <w:szCs w:val="21"/>
              </w:rPr>
              <w:t>3008.05</w:t>
            </w:r>
          </w:p>
        </w:tc>
        <w:tc>
          <w:tcPr>
            <w:tcW w:w="1310" w:type="dxa"/>
            <w:vAlign w:val="center"/>
          </w:tcPr>
          <w:p>
            <w:pPr>
              <w:spacing w:line="400" w:lineRule="exact"/>
              <w:jc w:val="center"/>
              <w:rPr>
                <w:color w:val="000000"/>
                <w:szCs w:val="21"/>
              </w:rPr>
            </w:pPr>
            <w:r>
              <w:rPr>
                <w:color w:val="000000"/>
                <w:szCs w:val="21"/>
              </w:rPr>
              <w:t>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662" w:type="dxa"/>
            <w:vAlign w:val="center"/>
          </w:tcPr>
          <w:p>
            <w:pPr>
              <w:widowControl/>
              <w:spacing w:line="400" w:lineRule="exact"/>
              <w:jc w:val="center"/>
              <w:rPr>
                <w:color w:val="000000"/>
                <w:kern w:val="0"/>
                <w:szCs w:val="21"/>
              </w:rPr>
            </w:pPr>
            <w:r>
              <w:rPr>
                <w:color w:val="000000"/>
                <w:kern w:val="0"/>
                <w:szCs w:val="21"/>
              </w:rPr>
              <w:t>5</w:t>
            </w:r>
          </w:p>
        </w:tc>
        <w:tc>
          <w:tcPr>
            <w:tcW w:w="4583" w:type="dxa"/>
            <w:vAlign w:val="center"/>
          </w:tcPr>
          <w:p>
            <w:pPr>
              <w:spacing w:line="400" w:lineRule="exact"/>
              <w:jc w:val="center"/>
              <w:rPr>
                <w:color w:val="000000"/>
                <w:szCs w:val="21"/>
              </w:rPr>
            </w:pPr>
            <w:r>
              <w:rPr>
                <w:color w:val="000000"/>
                <w:szCs w:val="21"/>
              </w:rPr>
              <w:t>明月路以西北，东升路以东</w:t>
            </w:r>
          </w:p>
        </w:tc>
        <w:tc>
          <w:tcPr>
            <w:tcW w:w="1059" w:type="dxa"/>
            <w:vAlign w:val="center"/>
          </w:tcPr>
          <w:p>
            <w:pPr>
              <w:spacing w:line="400" w:lineRule="exact"/>
              <w:jc w:val="center"/>
              <w:rPr>
                <w:color w:val="000000"/>
                <w:szCs w:val="21"/>
              </w:rPr>
            </w:pPr>
            <w:r>
              <w:rPr>
                <w:color w:val="000000"/>
                <w:szCs w:val="21"/>
              </w:rPr>
              <w:t>305.12</w:t>
            </w:r>
          </w:p>
        </w:tc>
        <w:tc>
          <w:tcPr>
            <w:tcW w:w="958" w:type="dxa"/>
            <w:vAlign w:val="center"/>
          </w:tcPr>
          <w:p>
            <w:pPr>
              <w:spacing w:line="400" w:lineRule="exact"/>
              <w:jc w:val="center"/>
              <w:rPr>
                <w:color w:val="000000"/>
                <w:szCs w:val="21"/>
              </w:rPr>
            </w:pPr>
            <w:r>
              <w:rPr>
                <w:color w:val="000000"/>
                <w:szCs w:val="21"/>
              </w:rPr>
              <w:t>3458.78</w:t>
            </w:r>
          </w:p>
        </w:tc>
        <w:tc>
          <w:tcPr>
            <w:tcW w:w="1310" w:type="dxa"/>
            <w:vAlign w:val="center"/>
          </w:tcPr>
          <w:p>
            <w:pPr>
              <w:spacing w:line="400" w:lineRule="exact"/>
              <w:jc w:val="center"/>
              <w:rPr>
                <w:color w:val="000000"/>
                <w:szCs w:val="21"/>
              </w:rPr>
            </w:pPr>
            <w:r>
              <w:rPr>
                <w:color w:val="000000"/>
                <w:szCs w:val="21"/>
              </w:rPr>
              <w:t>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662" w:type="dxa"/>
            <w:vAlign w:val="center"/>
          </w:tcPr>
          <w:p>
            <w:pPr>
              <w:widowControl/>
              <w:spacing w:line="400" w:lineRule="exact"/>
              <w:jc w:val="center"/>
              <w:rPr>
                <w:color w:val="000000"/>
                <w:kern w:val="0"/>
                <w:szCs w:val="21"/>
              </w:rPr>
            </w:pPr>
            <w:r>
              <w:rPr>
                <w:color w:val="000000"/>
                <w:kern w:val="0"/>
                <w:szCs w:val="21"/>
              </w:rPr>
              <w:t>6</w:t>
            </w:r>
          </w:p>
        </w:tc>
        <w:tc>
          <w:tcPr>
            <w:tcW w:w="4583" w:type="dxa"/>
            <w:vAlign w:val="center"/>
          </w:tcPr>
          <w:p>
            <w:pPr>
              <w:spacing w:line="400" w:lineRule="exact"/>
              <w:jc w:val="center"/>
              <w:rPr>
                <w:color w:val="000000"/>
                <w:szCs w:val="21"/>
              </w:rPr>
            </w:pPr>
            <w:r>
              <w:rPr>
                <w:color w:val="000000"/>
                <w:szCs w:val="21"/>
              </w:rPr>
              <w:t>西霞路以西北，万家丽北路以东南</w:t>
            </w:r>
          </w:p>
        </w:tc>
        <w:tc>
          <w:tcPr>
            <w:tcW w:w="1059" w:type="dxa"/>
            <w:vAlign w:val="center"/>
          </w:tcPr>
          <w:p>
            <w:pPr>
              <w:spacing w:line="400" w:lineRule="exact"/>
              <w:jc w:val="center"/>
              <w:rPr>
                <w:color w:val="000000"/>
                <w:szCs w:val="21"/>
              </w:rPr>
            </w:pPr>
            <w:r>
              <w:rPr>
                <w:color w:val="000000"/>
                <w:szCs w:val="21"/>
              </w:rPr>
              <w:t>246.25</w:t>
            </w:r>
          </w:p>
        </w:tc>
        <w:tc>
          <w:tcPr>
            <w:tcW w:w="958" w:type="dxa"/>
            <w:vAlign w:val="center"/>
          </w:tcPr>
          <w:p>
            <w:pPr>
              <w:spacing w:line="400" w:lineRule="exact"/>
              <w:jc w:val="center"/>
              <w:rPr>
                <w:color w:val="000000"/>
                <w:szCs w:val="21"/>
              </w:rPr>
            </w:pPr>
            <w:r>
              <w:rPr>
                <w:color w:val="000000"/>
                <w:szCs w:val="21"/>
              </w:rPr>
              <w:t>2845.27</w:t>
            </w:r>
          </w:p>
        </w:tc>
        <w:tc>
          <w:tcPr>
            <w:tcW w:w="1310" w:type="dxa"/>
            <w:vAlign w:val="center"/>
          </w:tcPr>
          <w:p>
            <w:pPr>
              <w:spacing w:line="400" w:lineRule="exact"/>
              <w:jc w:val="center"/>
              <w:rPr>
                <w:color w:val="000000"/>
                <w:szCs w:val="21"/>
              </w:rPr>
            </w:pPr>
            <w:r>
              <w:rPr>
                <w:color w:val="000000"/>
                <w:szCs w:val="21"/>
              </w:rPr>
              <w:t>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662" w:type="dxa"/>
            <w:vAlign w:val="center"/>
          </w:tcPr>
          <w:p>
            <w:pPr>
              <w:widowControl/>
              <w:spacing w:line="400" w:lineRule="exact"/>
              <w:jc w:val="center"/>
              <w:rPr>
                <w:color w:val="000000"/>
                <w:kern w:val="0"/>
                <w:szCs w:val="21"/>
              </w:rPr>
            </w:pPr>
            <w:r>
              <w:rPr>
                <w:color w:val="000000"/>
                <w:kern w:val="0"/>
                <w:szCs w:val="21"/>
              </w:rPr>
              <w:t>7</w:t>
            </w:r>
          </w:p>
        </w:tc>
        <w:tc>
          <w:tcPr>
            <w:tcW w:w="4583" w:type="dxa"/>
            <w:vAlign w:val="center"/>
          </w:tcPr>
          <w:p>
            <w:pPr>
              <w:spacing w:line="400" w:lineRule="exact"/>
              <w:jc w:val="center"/>
              <w:rPr>
                <w:color w:val="000000"/>
                <w:szCs w:val="21"/>
              </w:rPr>
            </w:pPr>
            <w:r>
              <w:rPr>
                <w:color w:val="000000"/>
                <w:szCs w:val="21"/>
              </w:rPr>
              <w:t>人民路以南，黄兴大道以东</w:t>
            </w:r>
          </w:p>
        </w:tc>
        <w:tc>
          <w:tcPr>
            <w:tcW w:w="1059" w:type="dxa"/>
            <w:vAlign w:val="center"/>
          </w:tcPr>
          <w:p>
            <w:pPr>
              <w:spacing w:line="400" w:lineRule="exact"/>
              <w:jc w:val="center"/>
              <w:rPr>
                <w:color w:val="000000"/>
                <w:szCs w:val="21"/>
              </w:rPr>
            </w:pPr>
            <w:r>
              <w:rPr>
                <w:color w:val="000000"/>
                <w:szCs w:val="21"/>
              </w:rPr>
              <w:t>186.81</w:t>
            </w:r>
          </w:p>
        </w:tc>
        <w:tc>
          <w:tcPr>
            <w:tcW w:w="958" w:type="dxa"/>
            <w:vAlign w:val="center"/>
          </w:tcPr>
          <w:p>
            <w:pPr>
              <w:spacing w:line="400" w:lineRule="exact"/>
              <w:jc w:val="center"/>
              <w:rPr>
                <w:color w:val="000000"/>
                <w:szCs w:val="21"/>
              </w:rPr>
            </w:pPr>
            <w:r>
              <w:rPr>
                <w:color w:val="000000"/>
                <w:szCs w:val="21"/>
              </w:rPr>
              <w:t>2028.47</w:t>
            </w:r>
          </w:p>
        </w:tc>
        <w:tc>
          <w:tcPr>
            <w:tcW w:w="1310" w:type="dxa"/>
            <w:vAlign w:val="center"/>
          </w:tcPr>
          <w:p>
            <w:pPr>
              <w:spacing w:line="400" w:lineRule="exact"/>
              <w:jc w:val="center"/>
              <w:rPr>
                <w:color w:val="000000"/>
                <w:szCs w:val="21"/>
              </w:rPr>
            </w:pPr>
            <w:r>
              <w:rPr>
                <w:color w:val="000000"/>
                <w:szCs w:val="21"/>
              </w:rPr>
              <w:t>9.21</w:t>
            </w:r>
          </w:p>
        </w:tc>
      </w:tr>
    </w:tbl>
    <w:p>
      <w:pPr>
        <w:spacing w:beforeLines="100" w:line="360" w:lineRule="auto"/>
        <w:ind w:firstLine="480" w:firstLineChars="200"/>
        <w:rPr>
          <w:sz w:val="24"/>
          <w:szCs w:val="24"/>
        </w:rPr>
      </w:pPr>
      <w:r>
        <w:rPr>
          <w:sz w:val="24"/>
          <w:szCs w:val="24"/>
        </w:rPr>
        <w:t>通过调查分析，目前长沙县商服房地产交易价格中，交易样点地价与其对应房屋的现值，计算出土地占房地产总价值的比率一般为30%-40%，房屋（建筑物）占房地产总价值的比率一般为60%-70%。依据下列公式二，分别求取土地还原利率与房屋还原利率。</w:t>
      </w:r>
    </w:p>
    <w:p>
      <w:pPr>
        <w:spacing w:line="360" w:lineRule="auto"/>
        <w:jc w:val="center"/>
        <w:rPr>
          <w:sz w:val="24"/>
          <w:szCs w:val="24"/>
        </w:rPr>
      </w:pPr>
      <w:r>
        <w:rPr>
          <w:sz w:val="24"/>
          <w:szCs w:val="24"/>
        </w:rPr>
        <w:t>R=L×r+B×(r+1.5%)               （公式二）</w:t>
      </w:r>
    </w:p>
    <w:p>
      <w:pPr>
        <w:spacing w:line="360" w:lineRule="auto"/>
        <w:ind w:firstLine="480" w:firstLineChars="200"/>
        <w:rPr>
          <w:sz w:val="24"/>
          <w:szCs w:val="24"/>
        </w:rPr>
      </w:pPr>
      <w:r>
        <w:rPr>
          <w:sz w:val="24"/>
          <w:szCs w:val="24"/>
        </w:rPr>
        <w:t>式中：L表示土地占房地产总价值的比率；B表示房屋（建筑物）占房地产总价值的比率，其中L+B等于1。</w:t>
      </w:r>
    </w:p>
    <w:p>
      <w:pPr>
        <w:spacing w:line="360" w:lineRule="auto"/>
        <w:ind w:firstLine="480" w:firstLineChars="200"/>
        <w:rPr>
          <w:sz w:val="24"/>
          <w:szCs w:val="24"/>
        </w:rPr>
      </w:pPr>
      <w:r>
        <w:rPr>
          <w:sz w:val="24"/>
          <w:szCs w:val="24"/>
        </w:rPr>
        <w:t>将长沙县商服房产中土地占房地产总价值的比率30%、40%代人公式二，即：</w:t>
      </w:r>
    </w:p>
    <w:p>
      <w:pPr>
        <w:spacing w:line="360" w:lineRule="auto"/>
        <w:ind w:firstLine="480" w:firstLineChars="200"/>
        <w:rPr>
          <w:sz w:val="24"/>
          <w:szCs w:val="24"/>
        </w:rPr>
      </w:pPr>
      <w:r>
        <w:rPr>
          <w:sz w:val="24"/>
          <w:szCs w:val="24"/>
        </w:rPr>
        <w:t>30%×r</w:t>
      </w:r>
      <w:r>
        <w:rPr>
          <w:sz w:val="24"/>
          <w:szCs w:val="24"/>
          <w:vertAlign w:val="subscript"/>
        </w:rPr>
        <w:t>1</w:t>
      </w:r>
      <w:r>
        <w:rPr>
          <w:sz w:val="24"/>
          <w:szCs w:val="24"/>
        </w:rPr>
        <w:t>+70%×(r</w:t>
      </w:r>
      <w:r>
        <w:rPr>
          <w:sz w:val="24"/>
          <w:szCs w:val="24"/>
          <w:vertAlign w:val="subscript"/>
        </w:rPr>
        <w:t>1</w:t>
      </w:r>
      <w:r>
        <w:rPr>
          <w:sz w:val="24"/>
          <w:szCs w:val="24"/>
        </w:rPr>
        <w:t>+1.5%)=8.95%   （土地占房地产总价值的比率为30%）</w:t>
      </w:r>
    </w:p>
    <w:p>
      <w:pPr>
        <w:spacing w:line="360" w:lineRule="auto"/>
        <w:ind w:firstLine="480" w:firstLineChars="200"/>
        <w:rPr>
          <w:sz w:val="24"/>
          <w:szCs w:val="24"/>
        </w:rPr>
      </w:pPr>
      <w:r>
        <w:rPr>
          <w:sz w:val="24"/>
          <w:szCs w:val="24"/>
        </w:rPr>
        <w:t>40%×r</w:t>
      </w:r>
      <w:r>
        <w:rPr>
          <w:sz w:val="24"/>
          <w:szCs w:val="24"/>
          <w:vertAlign w:val="subscript"/>
        </w:rPr>
        <w:t>2</w:t>
      </w:r>
      <w:r>
        <w:rPr>
          <w:sz w:val="24"/>
          <w:szCs w:val="24"/>
        </w:rPr>
        <w:t>+60%×(r</w:t>
      </w:r>
      <w:r>
        <w:rPr>
          <w:sz w:val="24"/>
          <w:szCs w:val="24"/>
          <w:vertAlign w:val="subscript"/>
        </w:rPr>
        <w:t>2</w:t>
      </w:r>
      <w:r>
        <w:rPr>
          <w:sz w:val="24"/>
          <w:szCs w:val="24"/>
        </w:rPr>
        <w:t>+1.5%)=8.95%   （土地占房地产总价值的比率为40%）</w:t>
      </w:r>
    </w:p>
    <w:p>
      <w:pPr>
        <w:spacing w:line="360" w:lineRule="auto"/>
        <w:ind w:firstLine="480" w:firstLineChars="200"/>
        <w:rPr>
          <w:sz w:val="24"/>
          <w:szCs w:val="24"/>
        </w:rPr>
      </w:pPr>
      <w:r>
        <w:rPr>
          <w:sz w:val="24"/>
          <w:szCs w:val="24"/>
        </w:rPr>
        <w:t>计算得出：r</w:t>
      </w:r>
      <w:r>
        <w:rPr>
          <w:sz w:val="24"/>
          <w:szCs w:val="24"/>
          <w:vertAlign w:val="subscript"/>
        </w:rPr>
        <w:t>1</w:t>
      </w:r>
      <w:r>
        <w:rPr>
          <w:sz w:val="24"/>
          <w:szCs w:val="24"/>
        </w:rPr>
        <w:t>=7.9%,r</w:t>
      </w:r>
      <w:r>
        <w:rPr>
          <w:sz w:val="24"/>
          <w:szCs w:val="24"/>
          <w:vertAlign w:val="subscript"/>
        </w:rPr>
        <w:t>2</w:t>
      </w:r>
      <w:r>
        <w:rPr>
          <w:sz w:val="24"/>
          <w:szCs w:val="24"/>
        </w:rPr>
        <w:t>=8.05%</w:t>
      </w:r>
    </w:p>
    <w:p>
      <w:pPr>
        <w:spacing w:line="360" w:lineRule="auto"/>
        <w:ind w:firstLine="480" w:firstLineChars="200"/>
        <w:rPr>
          <w:sz w:val="24"/>
          <w:szCs w:val="24"/>
        </w:rPr>
      </w:pPr>
      <w:r>
        <w:rPr>
          <w:sz w:val="24"/>
          <w:szCs w:val="24"/>
        </w:rPr>
        <w:t>以r</w:t>
      </w:r>
      <w:r>
        <w:rPr>
          <w:sz w:val="24"/>
          <w:szCs w:val="24"/>
          <w:vertAlign w:val="subscript"/>
        </w:rPr>
        <w:t>1</w:t>
      </w:r>
      <w:r>
        <w:rPr>
          <w:sz w:val="24"/>
          <w:szCs w:val="24"/>
        </w:rPr>
        <w:t>与r</w:t>
      </w:r>
      <w:r>
        <w:rPr>
          <w:sz w:val="24"/>
          <w:szCs w:val="24"/>
          <w:vertAlign w:val="subscript"/>
        </w:rPr>
        <w:t>2</w:t>
      </w:r>
      <w:r>
        <w:rPr>
          <w:sz w:val="24"/>
          <w:szCs w:val="24"/>
        </w:rPr>
        <w:t>的算术平均值作为租售比法确定的商服用地土地还原利率，则土地还原利率为7.98%，房屋还原利率为8.95%。</w:t>
      </w:r>
    </w:p>
    <w:p>
      <w:pPr>
        <w:spacing w:line="360" w:lineRule="auto"/>
        <w:ind w:firstLine="480" w:firstLineChars="200"/>
        <w:rPr>
          <w:sz w:val="24"/>
          <w:szCs w:val="24"/>
        </w:rPr>
      </w:pPr>
      <w:r>
        <w:rPr>
          <w:sz w:val="24"/>
          <w:szCs w:val="24"/>
        </w:rPr>
        <w:t>（2）住宅用地还原利率的计算</w:t>
      </w:r>
    </w:p>
    <w:p>
      <w:pPr>
        <w:spacing w:line="360" w:lineRule="auto"/>
        <w:ind w:firstLine="480" w:firstLineChars="200"/>
        <w:rPr>
          <w:sz w:val="24"/>
          <w:szCs w:val="24"/>
        </w:rPr>
      </w:pPr>
      <w:r>
        <w:rPr>
          <w:sz w:val="24"/>
          <w:szCs w:val="24"/>
        </w:rPr>
        <w:t>在长沙县土地定级的基础上，依据房屋结构、房屋所在楼层及交易面积等方面的一致性，在住宅用地各级别中分别选取近期交易的住宅出租、住宅买卖实例。按照长沙县交易样点土地价格与其对应房屋的重置价格，得出长沙县住宅用地中，土地价值占房地产总价值的比率一般为25%-35%，房屋（建筑物）占房地产总价值的比率一般为65%-75%。按照商服用地房地产综合还原利率的确定方法，长沙县住宅用地房地产综合还原利率为8.39%（部分住宅用地样点的房地产综合还原利率见下表）。</w:t>
      </w:r>
    </w:p>
    <w:p>
      <w:pPr>
        <w:spacing w:line="360" w:lineRule="auto"/>
        <w:jc w:val="center"/>
        <w:rPr>
          <w:b/>
          <w:sz w:val="24"/>
          <w:szCs w:val="24"/>
        </w:rPr>
      </w:pPr>
      <w:r>
        <w:rPr>
          <w:b/>
          <w:bCs/>
          <w:sz w:val="24"/>
          <w:szCs w:val="22"/>
        </w:rPr>
        <w:t>表3-2-11采用租售比法确定的住宅用地部分样点房地产综合还原利率</w:t>
      </w:r>
    </w:p>
    <w:p>
      <w:pPr>
        <w:spacing w:line="360" w:lineRule="auto"/>
        <w:ind w:firstLine="480" w:firstLineChars="200"/>
        <w:jc w:val="right"/>
        <w:rPr>
          <w:sz w:val="24"/>
          <w:szCs w:val="24"/>
        </w:rPr>
      </w:pPr>
      <w:r>
        <w:rPr>
          <w:sz w:val="24"/>
          <w:szCs w:val="24"/>
        </w:rPr>
        <w:t>单位：元/平方米，%</w:t>
      </w:r>
    </w:p>
    <w:tbl>
      <w:tblPr>
        <w:tblW w:w="8449" w:type="dxa"/>
        <w:jc w:val="center"/>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6"/>
        <w:gridCol w:w="4162"/>
        <w:gridCol w:w="1101"/>
        <w:gridCol w:w="1138"/>
        <w:gridCol w:w="12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b/>
                <w:color w:val="000000"/>
                <w:kern w:val="0"/>
                <w:szCs w:val="21"/>
              </w:rPr>
            </w:pPr>
            <w:r>
              <w:rPr>
                <w:b/>
                <w:color w:val="000000"/>
                <w:kern w:val="0"/>
                <w:szCs w:val="21"/>
              </w:rPr>
              <w:t>样点序号</w:t>
            </w:r>
          </w:p>
        </w:tc>
        <w:tc>
          <w:tcPr>
            <w:tcW w:w="4162" w:type="dxa"/>
            <w:tcBorders>
              <w:top w:val="single" w:color="auto" w:sz="4" w:space="0"/>
              <w:left w:val="nil"/>
              <w:bottom w:val="single" w:color="auto" w:sz="4" w:space="0"/>
              <w:right w:val="single" w:color="auto" w:sz="4" w:space="0"/>
            </w:tcBorders>
            <w:vAlign w:val="center"/>
          </w:tcPr>
          <w:p>
            <w:pPr>
              <w:widowControl/>
              <w:spacing w:line="320" w:lineRule="exact"/>
              <w:jc w:val="center"/>
              <w:rPr>
                <w:b/>
                <w:color w:val="000000"/>
                <w:kern w:val="0"/>
                <w:szCs w:val="21"/>
              </w:rPr>
            </w:pPr>
            <w:r>
              <w:rPr>
                <w:b/>
                <w:color w:val="000000"/>
                <w:kern w:val="0"/>
                <w:szCs w:val="21"/>
              </w:rPr>
              <w:t>样点位置</w:t>
            </w:r>
          </w:p>
        </w:tc>
        <w:tc>
          <w:tcPr>
            <w:tcW w:w="1101" w:type="dxa"/>
            <w:tcBorders>
              <w:top w:val="single" w:color="auto" w:sz="4" w:space="0"/>
              <w:left w:val="nil"/>
              <w:bottom w:val="single" w:color="auto" w:sz="4" w:space="0"/>
              <w:right w:val="single" w:color="auto" w:sz="4" w:space="0"/>
            </w:tcBorders>
            <w:vAlign w:val="center"/>
          </w:tcPr>
          <w:p>
            <w:pPr>
              <w:widowControl/>
              <w:spacing w:line="320" w:lineRule="exact"/>
              <w:jc w:val="center"/>
              <w:rPr>
                <w:b/>
                <w:color w:val="000000"/>
                <w:kern w:val="0"/>
                <w:szCs w:val="21"/>
              </w:rPr>
            </w:pPr>
            <w:r>
              <w:rPr>
                <w:b/>
                <w:color w:val="000000"/>
                <w:kern w:val="0"/>
                <w:szCs w:val="21"/>
              </w:rPr>
              <w:t>样点</w:t>
            </w:r>
          </w:p>
          <w:p>
            <w:pPr>
              <w:widowControl/>
              <w:spacing w:line="320" w:lineRule="exact"/>
              <w:jc w:val="center"/>
              <w:rPr>
                <w:b/>
                <w:color w:val="000000"/>
                <w:kern w:val="0"/>
                <w:szCs w:val="21"/>
              </w:rPr>
            </w:pPr>
            <w:r>
              <w:rPr>
                <w:b/>
                <w:color w:val="000000"/>
                <w:kern w:val="0"/>
                <w:szCs w:val="21"/>
              </w:rPr>
              <w:t>收益</w:t>
            </w:r>
          </w:p>
        </w:tc>
        <w:tc>
          <w:tcPr>
            <w:tcW w:w="1138" w:type="dxa"/>
            <w:tcBorders>
              <w:top w:val="single" w:color="auto" w:sz="4" w:space="0"/>
              <w:left w:val="nil"/>
              <w:bottom w:val="single" w:color="auto" w:sz="4" w:space="0"/>
              <w:right w:val="single" w:color="auto" w:sz="4" w:space="0"/>
            </w:tcBorders>
            <w:vAlign w:val="center"/>
          </w:tcPr>
          <w:p>
            <w:pPr>
              <w:widowControl/>
              <w:spacing w:line="320" w:lineRule="exact"/>
              <w:jc w:val="center"/>
              <w:rPr>
                <w:b/>
                <w:color w:val="000000"/>
                <w:kern w:val="0"/>
                <w:szCs w:val="21"/>
              </w:rPr>
            </w:pPr>
            <w:r>
              <w:rPr>
                <w:b/>
                <w:color w:val="000000"/>
                <w:kern w:val="0"/>
                <w:szCs w:val="21"/>
              </w:rPr>
              <w:t>样点</w:t>
            </w:r>
          </w:p>
          <w:p>
            <w:pPr>
              <w:widowControl/>
              <w:spacing w:line="320" w:lineRule="exact"/>
              <w:jc w:val="center"/>
              <w:rPr>
                <w:b/>
                <w:color w:val="000000"/>
                <w:kern w:val="0"/>
                <w:szCs w:val="21"/>
              </w:rPr>
            </w:pPr>
            <w:r>
              <w:rPr>
                <w:b/>
                <w:color w:val="000000"/>
                <w:kern w:val="0"/>
                <w:szCs w:val="21"/>
              </w:rPr>
              <w:t>价格</w:t>
            </w:r>
          </w:p>
        </w:tc>
        <w:tc>
          <w:tcPr>
            <w:tcW w:w="1272" w:type="dxa"/>
            <w:tcBorders>
              <w:top w:val="single" w:color="auto" w:sz="4" w:space="0"/>
              <w:left w:val="nil"/>
              <w:bottom w:val="single" w:color="auto" w:sz="4" w:space="0"/>
              <w:right w:val="single" w:color="auto" w:sz="4" w:space="0"/>
            </w:tcBorders>
            <w:vAlign w:val="center"/>
          </w:tcPr>
          <w:p>
            <w:pPr>
              <w:widowControl/>
              <w:spacing w:line="320" w:lineRule="exact"/>
              <w:jc w:val="center"/>
              <w:rPr>
                <w:b/>
                <w:color w:val="000000"/>
                <w:kern w:val="0"/>
                <w:szCs w:val="21"/>
              </w:rPr>
            </w:pPr>
            <w:r>
              <w:rPr>
                <w:b/>
                <w:color w:val="000000"/>
                <w:kern w:val="0"/>
                <w:szCs w:val="21"/>
              </w:rPr>
              <w:t>房屋综合还原利率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2" w:hRule="atLeast"/>
          <w:jc w:val="center"/>
        </w:trPr>
        <w:tc>
          <w:tcPr>
            <w:tcW w:w="776" w:type="dxa"/>
            <w:tcBorders>
              <w:top w:val="nil"/>
              <w:left w:val="single" w:color="auto" w:sz="4" w:space="0"/>
              <w:bottom w:val="single" w:color="auto" w:sz="4" w:space="0"/>
              <w:right w:val="single" w:color="auto" w:sz="4" w:space="0"/>
            </w:tcBorders>
            <w:vAlign w:val="center"/>
          </w:tcPr>
          <w:p>
            <w:pPr>
              <w:widowControl/>
              <w:spacing w:line="320" w:lineRule="exact"/>
              <w:jc w:val="center"/>
              <w:rPr>
                <w:color w:val="000000"/>
                <w:kern w:val="0"/>
                <w:szCs w:val="21"/>
              </w:rPr>
            </w:pPr>
            <w:r>
              <w:rPr>
                <w:color w:val="000000"/>
                <w:kern w:val="0"/>
                <w:szCs w:val="21"/>
              </w:rPr>
              <w:t>1</w:t>
            </w:r>
          </w:p>
        </w:tc>
        <w:tc>
          <w:tcPr>
            <w:tcW w:w="4162" w:type="dxa"/>
            <w:tcBorders>
              <w:top w:val="nil"/>
              <w:left w:val="nil"/>
              <w:bottom w:val="single" w:color="auto" w:sz="4" w:space="0"/>
              <w:right w:val="single" w:color="auto" w:sz="4" w:space="0"/>
            </w:tcBorders>
            <w:vAlign w:val="center"/>
          </w:tcPr>
          <w:p>
            <w:pPr>
              <w:spacing w:line="320" w:lineRule="exact"/>
              <w:jc w:val="center"/>
              <w:rPr>
                <w:color w:val="000000"/>
                <w:szCs w:val="21"/>
              </w:rPr>
            </w:pPr>
            <w:r>
              <w:rPr>
                <w:color w:val="000000"/>
                <w:szCs w:val="21"/>
              </w:rPr>
              <w:t>望仙路以南，东三线以西，开元路以北</w:t>
            </w:r>
          </w:p>
        </w:tc>
        <w:tc>
          <w:tcPr>
            <w:tcW w:w="1101" w:type="dxa"/>
            <w:tcBorders>
              <w:top w:val="nil"/>
              <w:left w:val="nil"/>
              <w:bottom w:val="single" w:color="auto" w:sz="4" w:space="0"/>
              <w:right w:val="single" w:color="auto" w:sz="4" w:space="0"/>
            </w:tcBorders>
            <w:vAlign w:val="center"/>
          </w:tcPr>
          <w:p>
            <w:pPr>
              <w:widowControl/>
              <w:spacing w:line="320" w:lineRule="exact"/>
              <w:jc w:val="center"/>
              <w:textAlignment w:val="bottom"/>
              <w:rPr>
                <w:color w:val="000000"/>
                <w:szCs w:val="21"/>
              </w:rPr>
            </w:pPr>
            <w:r>
              <w:rPr>
                <w:rFonts w:eastAsia="Tahoma"/>
                <w:color w:val="000000"/>
                <w:kern w:val="0"/>
                <w:szCs w:val="21"/>
                <w:lang/>
              </w:rPr>
              <w:t>317.84</w:t>
            </w:r>
          </w:p>
        </w:tc>
        <w:tc>
          <w:tcPr>
            <w:tcW w:w="1138" w:type="dxa"/>
            <w:tcBorders>
              <w:top w:val="nil"/>
              <w:left w:val="nil"/>
              <w:bottom w:val="single" w:color="auto" w:sz="4" w:space="0"/>
              <w:right w:val="single" w:color="auto" w:sz="4" w:space="0"/>
            </w:tcBorders>
            <w:vAlign w:val="center"/>
          </w:tcPr>
          <w:p>
            <w:pPr>
              <w:widowControl/>
              <w:spacing w:line="320" w:lineRule="exact"/>
              <w:jc w:val="center"/>
              <w:textAlignment w:val="bottom"/>
              <w:rPr>
                <w:color w:val="000000"/>
                <w:szCs w:val="21"/>
              </w:rPr>
            </w:pPr>
            <w:r>
              <w:rPr>
                <w:rFonts w:eastAsia="Tahoma"/>
                <w:color w:val="000000"/>
                <w:kern w:val="0"/>
                <w:szCs w:val="21"/>
                <w:lang/>
              </w:rPr>
              <w:t>3677.48</w:t>
            </w:r>
          </w:p>
        </w:tc>
        <w:tc>
          <w:tcPr>
            <w:tcW w:w="1272" w:type="dxa"/>
            <w:tcBorders>
              <w:top w:val="nil"/>
              <w:left w:val="nil"/>
              <w:bottom w:val="single" w:color="auto" w:sz="4" w:space="0"/>
              <w:right w:val="single" w:color="auto" w:sz="4" w:space="0"/>
            </w:tcBorders>
            <w:vAlign w:val="center"/>
          </w:tcPr>
          <w:p>
            <w:pPr>
              <w:spacing w:line="320" w:lineRule="exact"/>
              <w:jc w:val="center"/>
              <w:rPr>
                <w:color w:val="000000"/>
                <w:szCs w:val="21"/>
              </w:rPr>
            </w:pPr>
            <w:r>
              <w:rPr>
                <w:color w:val="000000"/>
                <w:szCs w:val="21"/>
              </w:rPr>
              <w:t>8.64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2" w:hRule="atLeast"/>
          <w:jc w:val="center"/>
        </w:trPr>
        <w:tc>
          <w:tcPr>
            <w:tcW w:w="776" w:type="dxa"/>
            <w:tcBorders>
              <w:top w:val="nil"/>
              <w:left w:val="single" w:color="auto" w:sz="4" w:space="0"/>
              <w:bottom w:val="single" w:color="auto" w:sz="4" w:space="0"/>
              <w:right w:val="single" w:color="auto" w:sz="4" w:space="0"/>
            </w:tcBorders>
            <w:vAlign w:val="center"/>
          </w:tcPr>
          <w:p>
            <w:pPr>
              <w:widowControl/>
              <w:spacing w:line="320" w:lineRule="exact"/>
              <w:jc w:val="center"/>
              <w:rPr>
                <w:color w:val="000000"/>
                <w:kern w:val="0"/>
                <w:szCs w:val="21"/>
              </w:rPr>
            </w:pPr>
            <w:r>
              <w:rPr>
                <w:color w:val="000000"/>
                <w:kern w:val="0"/>
                <w:szCs w:val="21"/>
              </w:rPr>
              <w:t>2</w:t>
            </w:r>
          </w:p>
        </w:tc>
        <w:tc>
          <w:tcPr>
            <w:tcW w:w="4162" w:type="dxa"/>
            <w:tcBorders>
              <w:top w:val="nil"/>
              <w:left w:val="nil"/>
              <w:bottom w:val="single" w:color="auto" w:sz="4" w:space="0"/>
              <w:right w:val="single" w:color="auto" w:sz="4" w:space="0"/>
            </w:tcBorders>
            <w:vAlign w:val="center"/>
          </w:tcPr>
          <w:p>
            <w:pPr>
              <w:spacing w:line="320" w:lineRule="exact"/>
              <w:jc w:val="center"/>
              <w:rPr>
                <w:color w:val="000000"/>
                <w:szCs w:val="21"/>
              </w:rPr>
            </w:pPr>
            <w:r>
              <w:rPr>
                <w:color w:val="000000"/>
                <w:szCs w:val="21"/>
              </w:rPr>
              <w:t>开元路以南，东一线以西，三一路以北</w:t>
            </w:r>
          </w:p>
        </w:tc>
        <w:tc>
          <w:tcPr>
            <w:tcW w:w="1101" w:type="dxa"/>
            <w:tcBorders>
              <w:top w:val="nil"/>
              <w:left w:val="nil"/>
              <w:bottom w:val="single" w:color="auto" w:sz="4" w:space="0"/>
              <w:right w:val="single" w:color="auto" w:sz="4" w:space="0"/>
            </w:tcBorders>
            <w:vAlign w:val="center"/>
          </w:tcPr>
          <w:p>
            <w:pPr>
              <w:widowControl/>
              <w:spacing w:line="320" w:lineRule="exact"/>
              <w:jc w:val="center"/>
              <w:textAlignment w:val="bottom"/>
              <w:rPr>
                <w:color w:val="000000"/>
                <w:szCs w:val="21"/>
              </w:rPr>
            </w:pPr>
            <w:r>
              <w:rPr>
                <w:rFonts w:eastAsia="Tahoma"/>
                <w:color w:val="000000"/>
                <w:kern w:val="0"/>
                <w:szCs w:val="21"/>
                <w:lang/>
              </w:rPr>
              <w:t>360.29</w:t>
            </w:r>
          </w:p>
        </w:tc>
        <w:tc>
          <w:tcPr>
            <w:tcW w:w="1138" w:type="dxa"/>
            <w:tcBorders>
              <w:top w:val="nil"/>
              <w:left w:val="nil"/>
              <w:bottom w:val="single" w:color="auto" w:sz="4" w:space="0"/>
              <w:right w:val="single" w:color="auto" w:sz="4" w:space="0"/>
            </w:tcBorders>
            <w:vAlign w:val="center"/>
          </w:tcPr>
          <w:p>
            <w:pPr>
              <w:widowControl/>
              <w:spacing w:line="320" w:lineRule="exact"/>
              <w:jc w:val="center"/>
              <w:textAlignment w:val="bottom"/>
              <w:rPr>
                <w:color w:val="000000"/>
                <w:szCs w:val="21"/>
              </w:rPr>
            </w:pPr>
            <w:r>
              <w:rPr>
                <w:rFonts w:eastAsia="Tahoma"/>
                <w:color w:val="000000"/>
                <w:kern w:val="0"/>
                <w:szCs w:val="21"/>
                <w:lang/>
              </w:rPr>
              <w:t>4218.13</w:t>
            </w:r>
          </w:p>
        </w:tc>
        <w:tc>
          <w:tcPr>
            <w:tcW w:w="1272" w:type="dxa"/>
            <w:tcBorders>
              <w:top w:val="nil"/>
              <w:left w:val="nil"/>
              <w:bottom w:val="single" w:color="auto" w:sz="4" w:space="0"/>
              <w:right w:val="single" w:color="auto" w:sz="4" w:space="0"/>
            </w:tcBorders>
            <w:vAlign w:val="center"/>
          </w:tcPr>
          <w:p>
            <w:pPr>
              <w:spacing w:line="320" w:lineRule="exact"/>
              <w:jc w:val="center"/>
              <w:rPr>
                <w:color w:val="000000"/>
                <w:szCs w:val="21"/>
              </w:rPr>
            </w:pPr>
            <w:r>
              <w:rPr>
                <w:color w:val="000000"/>
                <w:szCs w:val="21"/>
              </w:rPr>
              <w:t>8.54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2" w:hRule="atLeast"/>
          <w:jc w:val="center"/>
        </w:trPr>
        <w:tc>
          <w:tcPr>
            <w:tcW w:w="776" w:type="dxa"/>
            <w:tcBorders>
              <w:top w:val="nil"/>
              <w:left w:val="single" w:color="auto" w:sz="4" w:space="0"/>
              <w:bottom w:val="single" w:color="auto" w:sz="4" w:space="0"/>
              <w:right w:val="single" w:color="auto" w:sz="4" w:space="0"/>
            </w:tcBorders>
            <w:vAlign w:val="center"/>
          </w:tcPr>
          <w:p>
            <w:pPr>
              <w:widowControl/>
              <w:spacing w:line="320" w:lineRule="exact"/>
              <w:jc w:val="center"/>
              <w:rPr>
                <w:color w:val="000000"/>
                <w:kern w:val="0"/>
                <w:szCs w:val="21"/>
              </w:rPr>
            </w:pPr>
            <w:r>
              <w:rPr>
                <w:color w:val="000000"/>
                <w:kern w:val="0"/>
                <w:szCs w:val="21"/>
              </w:rPr>
              <w:t>3</w:t>
            </w:r>
          </w:p>
        </w:tc>
        <w:tc>
          <w:tcPr>
            <w:tcW w:w="4162" w:type="dxa"/>
            <w:tcBorders>
              <w:top w:val="nil"/>
              <w:left w:val="nil"/>
              <w:bottom w:val="single" w:color="auto" w:sz="4" w:space="0"/>
              <w:right w:val="single" w:color="auto" w:sz="4" w:space="0"/>
            </w:tcBorders>
            <w:vAlign w:val="center"/>
          </w:tcPr>
          <w:p>
            <w:pPr>
              <w:spacing w:line="320" w:lineRule="exact"/>
              <w:jc w:val="center"/>
              <w:rPr>
                <w:color w:val="000000"/>
                <w:szCs w:val="21"/>
              </w:rPr>
            </w:pPr>
            <w:r>
              <w:rPr>
                <w:color w:val="000000"/>
                <w:szCs w:val="21"/>
              </w:rPr>
              <w:t>特立路以南，东七路以西，望仙路以北，东五线以东</w:t>
            </w:r>
          </w:p>
        </w:tc>
        <w:tc>
          <w:tcPr>
            <w:tcW w:w="1101" w:type="dxa"/>
            <w:tcBorders>
              <w:top w:val="nil"/>
              <w:left w:val="nil"/>
              <w:bottom w:val="single" w:color="auto" w:sz="4" w:space="0"/>
              <w:right w:val="single" w:color="auto" w:sz="4" w:space="0"/>
            </w:tcBorders>
            <w:vAlign w:val="center"/>
          </w:tcPr>
          <w:p>
            <w:pPr>
              <w:widowControl/>
              <w:spacing w:line="320" w:lineRule="exact"/>
              <w:jc w:val="center"/>
              <w:textAlignment w:val="bottom"/>
              <w:rPr>
                <w:color w:val="000000"/>
                <w:szCs w:val="21"/>
              </w:rPr>
            </w:pPr>
            <w:r>
              <w:rPr>
                <w:rFonts w:eastAsia="Tahoma"/>
                <w:color w:val="000000"/>
                <w:kern w:val="0"/>
                <w:szCs w:val="21"/>
                <w:lang/>
              </w:rPr>
              <w:t>271.54</w:t>
            </w:r>
          </w:p>
        </w:tc>
        <w:tc>
          <w:tcPr>
            <w:tcW w:w="1138" w:type="dxa"/>
            <w:tcBorders>
              <w:top w:val="nil"/>
              <w:left w:val="nil"/>
              <w:bottom w:val="single" w:color="auto" w:sz="4" w:space="0"/>
              <w:right w:val="single" w:color="auto" w:sz="4" w:space="0"/>
            </w:tcBorders>
            <w:vAlign w:val="center"/>
          </w:tcPr>
          <w:p>
            <w:pPr>
              <w:widowControl/>
              <w:spacing w:line="320" w:lineRule="exact"/>
              <w:jc w:val="center"/>
              <w:textAlignment w:val="bottom"/>
              <w:rPr>
                <w:color w:val="000000"/>
                <w:szCs w:val="21"/>
              </w:rPr>
            </w:pPr>
            <w:r>
              <w:rPr>
                <w:rFonts w:eastAsia="Tahoma"/>
                <w:color w:val="000000"/>
                <w:kern w:val="0"/>
                <w:szCs w:val="21"/>
                <w:lang/>
              </w:rPr>
              <w:t>3241.6</w:t>
            </w:r>
          </w:p>
        </w:tc>
        <w:tc>
          <w:tcPr>
            <w:tcW w:w="1272" w:type="dxa"/>
            <w:tcBorders>
              <w:top w:val="nil"/>
              <w:left w:val="nil"/>
              <w:bottom w:val="single" w:color="auto" w:sz="4" w:space="0"/>
              <w:right w:val="single" w:color="auto" w:sz="4" w:space="0"/>
            </w:tcBorders>
            <w:vAlign w:val="center"/>
          </w:tcPr>
          <w:p>
            <w:pPr>
              <w:spacing w:line="320" w:lineRule="exact"/>
              <w:jc w:val="center"/>
              <w:rPr>
                <w:color w:val="000000"/>
                <w:szCs w:val="21"/>
              </w:rPr>
            </w:pPr>
            <w:r>
              <w:rPr>
                <w:color w:val="000000"/>
                <w:szCs w:val="21"/>
              </w:rPr>
              <w:t>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2" w:hRule="atLeast"/>
          <w:jc w:val="center"/>
        </w:trPr>
        <w:tc>
          <w:tcPr>
            <w:tcW w:w="776" w:type="dxa"/>
            <w:tcBorders>
              <w:top w:val="nil"/>
              <w:left w:val="single" w:color="auto" w:sz="4" w:space="0"/>
              <w:bottom w:val="single" w:color="auto" w:sz="4" w:space="0"/>
              <w:right w:val="single" w:color="auto" w:sz="4" w:space="0"/>
            </w:tcBorders>
            <w:vAlign w:val="center"/>
          </w:tcPr>
          <w:p>
            <w:pPr>
              <w:widowControl/>
              <w:spacing w:line="320" w:lineRule="exact"/>
              <w:jc w:val="center"/>
              <w:rPr>
                <w:color w:val="000000"/>
                <w:kern w:val="0"/>
                <w:szCs w:val="21"/>
              </w:rPr>
            </w:pPr>
            <w:r>
              <w:rPr>
                <w:color w:val="000000"/>
                <w:kern w:val="0"/>
                <w:szCs w:val="21"/>
              </w:rPr>
              <w:t>4</w:t>
            </w:r>
          </w:p>
        </w:tc>
        <w:tc>
          <w:tcPr>
            <w:tcW w:w="4162" w:type="dxa"/>
            <w:tcBorders>
              <w:top w:val="nil"/>
              <w:left w:val="nil"/>
              <w:bottom w:val="single" w:color="auto" w:sz="4" w:space="0"/>
              <w:right w:val="single" w:color="auto" w:sz="4" w:space="0"/>
            </w:tcBorders>
            <w:vAlign w:val="center"/>
          </w:tcPr>
          <w:p>
            <w:pPr>
              <w:spacing w:line="320" w:lineRule="exact"/>
              <w:jc w:val="center"/>
              <w:rPr>
                <w:color w:val="000000"/>
                <w:szCs w:val="21"/>
              </w:rPr>
            </w:pPr>
            <w:r>
              <w:rPr>
                <w:color w:val="000000"/>
                <w:szCs w:val="21"/>
              </w:rPr>
              <w:t>社塘路以南，黄兴大道以西，远大二路以北，东四线以东</w:t>
            </w:r>
          </w:p>
        </w:tc>
        <w:tc>
          <w:tcPr>
            <w:tcW w:w="1101" w:type="dxa"/>
            <w:tcBorders>
              <w:top w:val="nil"/>
              <w:left w:val="nil"/>
              <w:bottom w:val="single" w:color="auto" w:sz="4" w:space="0"/>
              <w:right w:val="single" w:color="auto" w:sz="4" w:space="0"/>
            </w:tcBorders>
            <w:vAlign w:val="center"/>
          </w:tcPr>
          <w:p>
            <w:pPr>
              <w:widowControl/>
              <w:spacing w:line="320" w:lineRule="exact"/>
              <w:jc w:val="center"/>
              <w:textAlignment w:val="bottom"/>
              <w:rPr>
                <w:color w:val="000000"/>
                <w:szCs w:val="21"/>
              </w:rPr>
            </w:pPr>
            <w:r>
              <w:rPr>
                <w:rFonts w:eastAsia="Tahoma"/>
                <w:color w:val="000000"/>
                <w:kern w:val="0"/>
                <w:szCs w:val="21"/>
                <w:lang/>
              </w:rPr>
              <w:t>266.44</w:t>
            </w:r>
          </w:p>
        </w:tc>
        <w:tc>
          <w:tcPr>
            <w:tcW w:w="1138" w:type="dxa"/>
            <w:tcBorders>
              <w:top w:val="nil"/>
              <w:left w:val="nil"/>
              <w:bottom w:val="single" w:color="auto" w:sz="4" w:space="0"/>
              <w:right w:val="single" w:color="auto" w:sz="4" w:space="0"/>
            </w:tcBorders>
            <w:vAlign w:val="center"/>
          </w:tcPr>
          <w:p>
            <w:pPr>
              <w:widowControl/>
              <w:spacing w:line="320" w:lineRule="exact"/>
              <w:jc w:val="center"/>
              <w:textAlignment w:val="bottom"/>
              <w:rPr>
                <w:color w:val="000000"/>
                <w:szCs w:val="21"/>
              </w:rPr>
            </w:pPr>
            <w:r>
              <w:rPr>
                <w:rFonts w:eastAsia="Tahoma"/>
                <w:color w:val="000000"/>
                <w:kern w:val="0"/>
                <w:szCs w:val="21"/>
                <w:lang/>
              </w:rPr>
              <w:t>3202.44</w:t>
            </w:r>
          </w:p>
        </w:tc>
        <w:tc>
          <w:tcPr>
            <w:tcW w:w="1272" w:type="dxa"/>
            <w:tcBorders>
              <w:top w:val="nil"/>
              <w:left w:val="nil"/>
              <w:bottom w:val="single" w:color="auto" w:sz="4" w:space="0"/>
              <w:right w:val="single" w:color="auto" w:sz="4" w:space="0"/>
            </w:tcBorders>
            <w:vAlign w:val="center"/>
          </w:tcPr>
          <w:p>
            <w:pPr>
              <w:spacing w:line="320" w:lineRule="exact"/>
              <w:jc w:val="center"/>
              <w:rPr>
                <w:color w:val="000000"/>
                <w:szCs w:val="21"/>
              </w:rPr>
            </w:pPr>
            <w:r>
              <w:rPr>
                <w:color w:val="000000"/>
                <w:szCs w:val="21"/>
              </w:rPr>
              <w:t>8.32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2" w:hRule="atLeast"/>
          <w:jc w:val="center"/>
        </w:trPr>
        <w:tc>
          <w:tcPr>
            <w:tcW w:w="776" w:type="dxa"/>
            <w:tcBorders>
              <w:top w:val="nil"/>
              <w:left w:val="single" w:color="auto" w:sz="4" w:space="0"/>
              <w:bottom w:val="single" w:color="auto" w:sz="4" w:space="0"/>
              <w:right w:val="single" w:color="auto" w:sz="4" w:space="0"/>
            </w:tcBorders>
            <w:vAlign w:val="center"/>
          </w:tcPr>
          <w:p>
            <w:pPr>
              <w:widowControl/>
              <w:spacing w:line="320" w:lineRule="exact"/>
              <w:jc w:val="center"/>
              <w:rPr>
                <w:color w:val="000000"/>
                <w:kern w:val="0"/>
                <w:szCs w:val="21"/>
              </w:rPr>
            </w:pPr>
            <w:r>
              <w:rPr>
                <w:color w:val="000000"/>
                <w:kern w:val="0"/>
                <w:szCs w:val="21"/>
              </w:rPr>
              <w:t>5</w:t>
            </w:r>
          </w:p>
        </w:tc>
        <w:tc>
          <w:tcPr>
            <w:tcW w:w="4162" w:type="dxa"/>
            <w:tcBorders>
              <w:top w:val="nil"/>
              <w:left w:val="nil"/>
              <w:bottom w:val="single" w:color="auto" w:sz="4" w:space="0"/>
              <w:right w:val="single" w:color="auto" w:sz="4" w:space="0"/>
            </w:tcBorders>
            <w:vAlign w:val="center"/>
          </w:tcPr>
          <w:p>
            <w:pPr>
              <w:spacing w:line="320" w:lineRule="exact"/>
              <w:jc w:val="center"/>
              <w:rPr>
                <w:color w:val="000000"/>
                <w:szCs w:val="21"/>
              </w:rPr>
            </w:pPr>
            <w:r>
              <w:rPr>
                <w:color w:val="000000"/>
                <w:szCs w:val="21"/>
              </w:rPr>
              <w:t>明月路以西北，东升路以东</w:t>
            </w:r>
          </w:p>
        </w:tc>
        <w:tc>
          <w:tcPr>
            <w:tcW w:w="1101" w:type="dxa"/>
            <w:tcBorders>
              <w:top w:val="nil"/>
              <w:left w:val="nil"/>
              <w:bottom w:val="single" w:color="auto" w:sz="4" w:space="0"/>
              <w:right w:val="single" w:color="auto" w:sz="4" w:space="0"/>
            </w:tcBorders>
            <w:vAlign w:val="center"/>
          </w:tcPr>
          <w:p>
            <w:pPr>
              <w:widowControl/>
              <w:spacing w:line="320" w:lineRule="exact"/>
              <w:jc w:val="center"/>
              <w:textAlignment w:val="bottom"/>
              <w:rPr>
                <w:color w:val="000000"/>
                <w:szCs w:val="21"/>
              </w:rPr>
            </w:pPr>
            <w:r>
              <w:rPr>
                <w:rFonts w:eastAsia="Tahoma"/>
                <w:color w:val="000000"/>
                <w:kern w:val="0"/>
                <w:szCs w:val="21"/>
                <w:lang/>
              </w:rPr>
              <w:t>247.62</w:t>
            </w:r>
          </w:p>
        </w:tc>
        <w:tc>
          <w:tcPr>
            <w:tcW w:w="1138" w:type="dxa"/>
            <w:tcBorders>
              <w:top w:val="nil"/>
              <w:left w:val="nil"/>
              <w:bottom w:val="single" w:color="auto" w:sz="4" w:space="0"/>
              <w:right w:val="single" w:color="auto" w:sz="4" w:space="0"/>
            </w:tcBorders>
            <w:vAlign w:val="center"/>
          </w:tcPr>
          <w:p>
            <w:pPr>
              <w:widowControl/>
              <w:spacing w:line="320" w:lineRule="exact"/>
              <w:jc w:val="center"/>
              <w:textAlignment w:val="bottom"/>
              <w:rPr>
                <w:color w:val="000000"/>
                <w:szCs w:val="21"/>
              </w:rPr>
            </w:pPr>
            <w:r>
              <w:rPr>
                <w:rFonts w:eastAsia="Tahoma"/>
                <w:color w:val="000000"/>
                <w:kern w:val="0"/>
                <w:szCs w:val="21"/>
                <w:lang/>
              </w:rPr>
              <w:t>2945.14</w:t>
            </w:r>
          </w:p>
        </w:tc>
        <w:tc>
          <w:tcPr>
            <w:tcW w:w="1272" w:type="dxa"/>
            <w:tcBorders>
              <w:top w:val="nil"/>
              <w:left w:val="nil"/>
              <w:bottom w:val="single" w:color="auto" w:sz="4" w:space="0"/>
              <w:right w:val="single" w:color="auto" w:sz="4" w:space="0"/>
            </w:tcBorders>
            <w:vAlign w:val="center"/>
          </w:tcPr>
          <w:p>
            <w:pPr>
              <w:spacing w:line="320" w:lineRule="exact"/>
              <w:jc w:val="center"/>
              <w:rPr>
                <w:color w:val="000000"/>
                <w:szCs w:val="21"/>
              </w:rPr>
            </w:pPr>
            <w:r>
              <w:rPr>
                <w:color w:val="000000"/>
                <w:szCs w:val="21"/>
              </w:rPr>
              <w:t>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2" w:hRule="atLeast"/>
          <w:jc w:val="center"/>
        </w:trPr>
        <w:tc>
          <w:tcPr>
            <w:tcW w:w="776" w:type="dxa"/>
            <w:tcBorders>
              <w:top w:val="nil"/>
              <w:left w:val="single" w:color="auto" w:sz="4" w:space="0"/>
              <w:bottom w:val="single" w:color="auto" w:sz="4" w:space="0"/>
              <w:right w:val="single" w:color="auto" w:sz="4" w:space="0"/>
            </w:tcBorders>
            <w:vAlign w:val="center"/>
          </w:tcPr>
          <w:p>
            <w:pPr>
              <w:widowControl/>
              <w:spacing w:line="320" w:lineRule="exact"/>
              <w:jc w:val="center"/>
              <w:rPr>
                <w:color w:val="000000"/>
                <w:kern w:val="0"/>
                <w:szCs w:val="21"/>
              </w:rPr>
            </w:pPr>
            <w:r>
              <w:rPr>
                <w:color w:val="000000"/>
                <w:kern w:val="0"/>
                <w:szCs w:val="21"/>
              </w:rPr>
              <w:t>6</w:t>
            </w:r>
          </w:p>
        </w:tc>
        <w:tc>
          <w:tcPr>
            <w:tcW w:w="4162" w:type="dxa"/>
            <w:tcBorders>
              <w:top w:val="nil"/>
              <w:left w:val="nil"/>
              <w:bottom w:val="single" w:color="auto" w:sz="4" w:space="0"/>
              <w:right w:val="single" w:color="auto" w:sz="4" w:space="0"/>
            </w:tcBorders>
            <w:vAlign w:val="center"/>
          </w:tcPr>
          <w:p>
            <w:pPr>
              <w:spacing w:line="320" w:lineRule="exact"/>
              <w:jc w:val="center"/>
              <w:rPr>
                <w:color w:val="000000"/>
                <w:szCs w:val="21"/>
              </w:rPr>
            </w:pPr>
            <w:r>
              <w:rPr>
                <w:color w:val="000000"/>
                <w:szCs w:val="21"/>
              </w:rPr>
              <w:t>西霞路以西北，万家丽北路以东南</w:t>
            </w:r>
          </w:p>
        </w:tc>
        <w:tc>
          <w:tcPr>
            <w:tcW w:w="1101" w:type="dxa"/>
            <w:tcBorders>
              <w:top w:val="nil"/>
              <w:left w:val="nil"/>
              <w:bottom w:val="single" w:color="auto" w:sz="4" w:space="0"/>
              <w:right w:val="single" w:color="auto" w:sz="4" w:space="0"/>
            </w:tcBorders>
            <w:vAlign w:val="center"/>
          </w:tcPr>
          <w:p>
            <w:pPr>
              <w:widowControl/>
              <w:spacing w:line="320" w:lineRule="exact"/>
              <w:jc w:val="center"/>
              <w:textAlignment w:val="bottom"/>
              <w:rPr>
                <w:color w:val="000000"/>
                <w:szCs w:val="21"/>
              </w:rPr>
            </w:pPr>
            <w:r>
              <w:rPr>
                <w:rFonts w:eastAsia="Tahoma"/>
                <w:color w:val="000000"/>
                <w:kern w:val="0"/>
                <w:szCs w:val="21"/>
                <w:lang/>
              </w:rPr>
              <w:t>239.87</w:t>
            </w:r>
          </w:p>
        </w:tc>
        <w:tc>
          <w:tcPr>
            <w:tcW w:w="1138" w:type="dxa"/>
            <w:tcBorders>
              <w:top w:val="nil"/>
              <w:left w:val="nil"/>
              <w:bottom w:val="single" w:color="auto" w:sz="4" w:space="0"/>
              <w:right w:val="single" w:color="auto" w:sz="4" w:space="0"/>
            </w:tcBorders>
            <w:vAlign w:val="center"/>
          </w:tcPr>
          <w:p>
            <w:pPr>
              <w:widowControl/>
              <w:spacing w:line="320" w:lineRule="exact"/>
              <w:jc w:val="center"/>
              <w:textAlignment w:val="bottom"/>
              <w:rPr>
                <w:color w:val="000000"/>
                <w:szCs w:val="21"/>
              </w:rPr>
            </w:pPr>
            <w:r>
              <w:rPr>
                <w:rFonts w:eastAsia="Tahoma"/>
                <w:color w:val="000000"/>
                <w:kern w:val="0"/>
                <w:szCs w:val="21"/>
                <w:lang/>
              </w:rPr>
              <w:t>2847.08</w:t>
            </w:r>
          </w:p>
        </w:tc>
        <w:tc>
          <w:tcPr>
            <w:tcW w:w="1272" w:type="dxa"/>
            <w:tcBorders>
              <w:top w:val="nil"/>
              <w:left w:val="nil"/>
              <w:bottom w:val="single" w:color="auto" w:sz="4" w:space="0"/>
              <w:right w:val="single" w:color="auto" w:sz="4" w:space="0"/>
            </w:tcBorders>
            <w:vAlign w:val="center"/>
          </w:tcPr>
          <w:p>
            <w:pPr>
              <w:spacing w:line="320" w:lineRule="exact"/>
              <w:jc w:val="center"/>
              <w:rPr>
                <w:color w:val="000000"/>
                <w:szCs w:val="21"/>
              </w:rPr>
            </w:pPr>
            <w:r>
              <w:rPr>
                <w:color w:val="000000"/>
                <w:szCs w:val="21"/>
              </w:rPr>
              <w:t>8.43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2" w:hRule="atLeast"/>
          <w:jc w:val="center"/>
        </w:trPr>
        <w:tc>
          <w:tcPr>
            <w:tcW w:w="776" w:type="dxa"/>
            <w:tcBorders>
              <w:top w:val="nil"/>
              <w:left w:val="single" w:color="auto" w:sz="4" w:space="0"/>
              <w:bottom w:val="single" w:color="auto" w:sz="4" w:space="0"/>
              <w:right w:val="single" w:color="auto" w:sz="4" w:space="0"/>
            </w:tcBorders>
            <w:vAlign w:val="center"/>
          </w:tcPr>
          <w:p>
            <w:pPr>
              <w:widowControl/>
              <w:spacing w:line="320" w:lineRule="exact"/>
              <w:jc w:val="center"/>
              <w:rPr>
                <w:color w:val="000000"/>
                <w:kern w:val="0"/>
                <w:szCs w:val="21"/>
              </w:rPr>
            </w:pPr>
            <w:r>
              <w:rPr>
                <w:color w:val="000000"/>
                <w:kern w:val="0"/>
                <w:szCs w:val="21"/>
              </w:rPr>
              <w:t>7</w:t>
            </w:r>
          </w:p>
        </w:tc>
        <w:tc>
          <w:tcPr>
            <w:tcW w:w="4162" w:type="dxa"/>
            <w:tcBorders>
              <w:top w:val="nil"/>
              <w:left w:val="nil"/>
              <w:bottom w:val="single" w:color="auto" w:sz="4" w:space="0"/>
              <w:right w:val="single" w:color="auto" w:sz="4" w:space="0"/>
            </w:tcBorders>
            <w:vAlign w:val="center"/>
          </w:tcPr>
          <w:p>
            <w:pPr>
              <w:spacing w:line="320" w:lineRule="exact"/>
              <w:jc w:val="center"/>
              <w:rPr>
                <w:color w:val="000000"/>
                <w:szCs w:val="21"/>
              </w:rPr>
            </w:pPr>
            <w:r>
              <w:rPr>
                <w:color w:val="000000"/>
                <w:szCs w:val="21"/>
              </w:rPr>
              <w:t>人民路以南，黄兴大道以东</w:t>
            </w:r>
          </w:p>
        </w:tc>
        <w:tc>
          <w:tcPr>
            <w:tcW w:w="1101" w:type="dxa"/>
            <w:tcBorders>
              <w:top w:val="nil"/>
              <w:left w:val="nil"/>
              <w:bottom w:val="single" w:color="auto" w:sz="4" w:space="0"/>
              <w:right w:val="single" w:color="auto" w:sz="4" w:space="0"/>
            </w:tcBorders>
            <w:vAlign w:val="center"/>
          </w:tcPr>
          <w:p>
            <w:pPr>
              <w:widowControl/>
              <w:spacing w:line="320" w:lineRule="exact"/>
              <w:jc w:val="center"/>
              <w:textAlignment w:val="bottom"/>
              <w:rPr>
                <w:color w:val="000000"/>
                <w:szCs w:val="21"/>
              </w:rPr>
            </w:pPr>
            <w:r>
              <w:rPr>
                <w:rFonts w:eastAsia="Tahoma"/>
                <w:color w:val="000000"/>
                <w:kern w:val="0"/>
                <w:szCs w:val="21"/>
                <w:lang/>
              </w:rPr>
              <w:t>152.15</w:t>
            </w:r>
          </w:p>
        </w:tc>
        <w:tc>
          <w:tcPr>
            <w:tcW w:w="1138" w:type="dxa"/>
            <w:tcBorders>
              <w:top w:val="nil"/>
              <w:left w:val="nil"/>
              <w:bottom w:val="single" w:color="auto" w:sz="4" w:space="0"/>
              <w:right w:val="single" w:color="auto" w:sz="4" w:space="0"/>
            </w:tcBorders>
            <w:vAlign w:val="center"/>
          </w:tcPr>
          <w:p>
            <w:pPr>
              <w:widowControl/>
              <w:spacing w:line="320" w:lineRule="exact"/>
              <w:jc w:val="center"/>
              <w:textAlignment w:val="bottom"/>
              <w:rPr>
                <w:color w:val="000000"/>
                <w:szCs w:val="21"/>
              </w:rPr>
            </w:pPr>
            <w:r>
              <w:rPr>
                <w:rFonts w:eastAsia="Tahoma"/>
                <w:color w:val="000000"/>
                <w:kern w:val="0"/>
                <w:szCs w:val="21"/>
                <w:lang/>
              </w:rPr>
              <w:t>1755.83</w:t>
            </w:r>
          </w:p>
        </w:tc>
        <w:tc>
          <w:tcPr>
            <w:tcW w:w="1272" w:type="dxa"/>
            <w:tcBorders>
              <w:top w:val="nil"/>
              <w:left w:val="nil"/>
              <w:bottom w:val="single" w:color="auto" w:sz="4" w:space="0"/>
              <w:right w:val="single" w:color="auto" w:sz="4" w:space="0"/>
            </w:tcBorders>
            <w:vAlign w:val="center"/>
          </w:tcPr>
          <w:p>
            <w:pPr>
              <w:spacing w:line="320" w:lineRule="exact"/>
              <w:jc w:val="center"/>
              <w:rPr>
                <w:color w:val="000000"/>
                <w:szCs w:val="21"/>
              </w:rPr>
            </w:pPr>
            <w:r>
              <w:rPr>
                <w:color w:val="000000"/>
                <w:szCs w:val="21"/>
              </w:rPr>
              <w:t>8.67</w:t>
            </w:r>
          </w:p>
        </w:tc>
      </w:tr>
    </w:tbl>
    <w:p>
      <w:pPr>
        <w:spacing w:beforeLines="100" w:line="360" w:lineRule="auto"/>
        <w:ind w:firstLine="480" w:firstLineChars="200"/>
        <w:rPr>
          <w:sz w:val="24"/>
          <w:szCs w:val="24"/>
        </w:rPr>
      </w:pPr>
      <w:r>
        <w:rPr>
          <w:sz w:val="24"/>
          <w:szCs w:val="24"/>
        </w:rPr>
        <w:t>则将长沙县居住房产中土地占房地产总价值的比率25%、35%代人公式二，即：</w:t>
      </w:r>
    </w:p>
    <w:p>
      <w:pPr>
        <w:spacing w:line="360" w:lineRule="auto"/>
        <w:ind w:firstLine="480" w:firstLineChars="200"/>
        <w:rPr>
          <w:sz w:val="24"/>
          <w:szCs w:val="24"/>
        </w:rPr>
      </w:pPr>
      <w:r>
        <w:rPr>
          <w:sz w:val="24"/>
          <w:szCs w:val="24"/>
        </w:rPr>
        <w:t>25%×r</w:t>
      </w:r>
      <w:r>
        <w:rPr>
          <w:sz w:val="24"/>
          <w:szCs w:val="24"/>
          <w:vertAlign w:val="subscript"/>
        </w:rPr>
        <w:t>1</w:t>
      </w:r>
      <w:r>
        <w:rPr>
          <w:sz w:val="24"/>
          <w:szCs w:val="24"/>
        </w:rPr>
        <w:t>+75%×(r</w:t>
      </w:r>
      <w:r>
        <w:rPr>
          <w:sz w:val="24"/>
          <w:szCs w:val="24"/>
          <w:vertAlign w:val="subscript"/>
        </w:rPr>
        <w:t>1</w:t>
      </w:r>
      <w:r>
        <w:rPr>
          <w:sz w:val="24"/>
          <w:szCs w:val="24"/>
        </w:rPr>
        <w:t>+1.5%)=8.48%   （土地占房地产总价值的比率为25%）</w:t>
      </w:r>
    </w:p>
    <w:p>
      <w:pPr>
        <w:spacing w:line="360" w:lineRule="auto"/>
        <w:ind w:firstLine="480" w:firstLineChars="200"/>
        <w:rPr>
          <w:sz w:val="24"/>
          <w:szCs w:val="24"/>
        </w:rPr>
      </w:pPr>
      <w:r>
        <w:rPr>
          <w:sz w:val="24"/>
          <w:szCs w:val="24"/>
        </w:rPr>
        <w:t>35%×r</w:t>
      </w:r>
      <w:r>
        <w:rPr>
          <w:sz w:val="24"/>
          <w:szCs w:val="24"/>
          <w:vertAlign w:val="subscript"/>
        </w:rPr>
        <w:t>2</w:t>
      </w:r>
      <w:r>
        <w:rPr>
          <w:sz w:val="24"/>
          <w:szCs w:val="24"/>
        </w:rPr>
        <w:t>+65%×(r</w:t>
      </w:r>
      <w:r>
        <w:rPr>
          <w:sz w:val="24"/>
          <w:szCs w:val="24"/>
          <w:vertAlign w:val="subscript"/>
        </w:rPr>
        <w:t>2</w:t>
      </w:r>
      <w:r>
        <w:rPr>
          <w:sz w:val="24"/>
          <w:szCs w:val="24"/>
        </w:rPr>
        <w:t>+1.5%)=8.48%   （土地占房地产总价值的比率为35%）</w:t>
      </w:r>
    </w:p>
    <w:p>
      <w:pPr>
        <w:spacing w:line="360" w:lineRule="auto"/>
        <w:ind w:firstLine="480" w:firstLineChars="200"/>
        <w:rPr>
          <w:sz w:val="24"/>
          <w:szCs w:val="24"/>
        </w:rPr>
      </w:pPr>
      <w:r>
        <w:rPr>
          <w:sz w:val="24"/>
          <w:szCs w:val="24"/>
        </w:rPr>
        <w:t>计算得出：r</w:t>
      </w:r>
      <w:r>
        <w:rPr>
          <w:sz w:val="24"/>
          <w:szCs w:val="24"/>
          <w:vertAlign w:val="subscript"/>
        </w:rPr>
        <w:t>1</w:t>
      </w:r>
      <w:r>
        <w:rPr>
          <w:sz w:val="24"/>
          <w:szCs w:val="24"/>
        </w:rPr>
        <w:t>=7.355%,r</w:t>
      </w:r>
      <w:r>
        <w:rPr>
          <w:sz w:val="24"/>
          <w:szCs w:val="24"/>
          <w:vertAlign w:val="subscript"/>
        </w:rPr>
        <w:t>2</w:t>
      </w:r>
      <w:r>
        <w:rPr>
          <w:sz w:val="24"/>
          <w:szCs w:val="24"/>
        </w:rPr>
        <w:t>=7.505%</w:t>
      </w:r>
    </w:p>
    <w:p>
      <w:pPr>
        <w:spacing w:line="360" w:lineRule="auto"/>
        <w:ind w:firstLine="480" w:firstLineChars="200"/>
        <w:rPr>
          <w:sz w:val="24"/>
          <w:szCs w:val="24"/>
        </w:rPr>
      </w:pPr>
      <w:r>
        <w:rPr>
          <w:sz w:val="24"/>
          <w:szCs w:val="24"/>
        </w:rPr>
        <w:t>以r</w:t>
      </w:r>
      <w:r>
        <w:rPr>
          <w:sz w:val="24"/>
          <w:szCs w:val="24"/>
          <w:vertAlign w:val="subscript"/>
        </w:rPr>
        <w:t>1</w:t>
      </w:r>
      <w:r>
        <w:rPr>
          <w:sz w:val="24"/>
          <w:szCs w:val="24"/>
        </w:rPr>
        <w:t>与r</w:t>
      </w:r>
      <w:r>
        <w:rPr>
          <w:sz w:val="24"/>
          <w:szCs w:val="24"/>
          <w:vertAlign w:val="subscript"/>
        </w:rPr>
        <w:t>2</w:t>
      </w:r>
      <w:r>
        <w:rPr>
          <w:sz w:val="24"/>
          <w:szCs w:val="24"/>
        </w:rPr>
        <w:t>的算术平均值作为租售比法确定的住宅用地土地还原利率，则土地还原利率为7.43%，房屋还原利率为8.48%。</w:t>
      </w:r>
    </w:p>
    <w:p>
      <w:pPr>
        <w:spacing w:line="360" w:lineRule="auto"/>
        <w:ind w:firstLine="480" w:firstLineChars="200"/>
        <w:rPr>
          <w:sz w:val="24"/>
          <w:szCs w:val="24"/>
        </w:rPr>
      </w:pPr>
      <w:r>
        <w:rPr>
          <w:sz w:val="24"/>
          <w:szCs w:val="24"/>
        </w:rPr>
        <w:t>2、投资收益法</w:t>
      </w:r>
    </w:p>
    <w:p>
      <w:pPr>
        <w:spacing w:line="360" w:lineRule="auto"/>
        <w:ind w:firstLine="480" w:firstLineChars="200"/>
        <w:rPr>
          <w:sz w:val="24"/>
          <w:szCs w:val="24"/>
        </w:rPr>
      </w:pPr>
      <w:r>
        <w:rPr>
          <w:sz w:val="24"/>
          <w:szCs w:val="24"/>
        </w:rPr>
        <w:t>（1）商服用地还原利率的计算</w:t>
      </w:r>
    </w:p>
    <w:p>
      <w:pPr>
        <w:spacing w:line="360" w:lineRule="auto"/>
        <w:ind w:firstLine="480" w:firstLineChars="200"/>
        <w:rPr>
          <w:sz w:val="24"/>
          <w:szCs w:val="24"/>
        </w:rPr>
      </w:pPr>
      <w:r>
        <w:rPr>
          <w:sz w:val="24"/>
          <w:szCs w:val="24"/>
        </w:rPr>
        <w:t>通过对长沙县房地产公司经营情况的收集、整理、分析发现，长沙县房地产开发的年平均投资收益率一般为25%，而房地产开发中自有资金与银行贷款比例一般为3:7，以此为依据确定房地产的自有资金比率为30%，银行贷款资金比率为70%，房地产投资收益率为25%，周期一年期的贷款利率为4.35%（201</w:t>
      </w:r>
      <w:r>
        <w:rPr>
          <w:rFonts w:hint="eastAsia"/>
          <w:sz w:val="24"/>
          <w:szCs w:val="24"/>
        </w:rPr>
        <w:t>7</w:t>
      </w:r>
      <w:r>
        <w:rPr>
          <w:sz w:val="24"/>
          <w:szCs w:val="24"/>
        </w:rPr>
        <w:t>年3月1日中国人民银行公布）。在公式二的基础上，根据下列等式：</w:t>
      </w:r>
    </w:p>
    <w:p>
      <w:pPr>
        <w:spacing w:line="360" w:lineRule="auto"/>
        <w:ind w:firstLine="480" w:firstLineChars="200"/>
        <w:jc w:val="center"/>
        <w:rPr>
          <w:sz w:val="24"/>
          <w:szCs w:val="24"/>
        </w:rPr>
      </w:pPr>
      <w:r>
        <w:rPr>
          <w:sz w:val="24"/>
          <w:szCs w:val="24"/>
        </w:rPr>
        <w:t xml:space="preserve">R=30%×25%+70%×4.35%           </w:t>
      </w:r>
    </w:p>
    <w:p>
      <w:pPr>
        <w:spacing w:line="360" w:lineRule="auto"/>
        <w:ind w:firstLine="480" w:firstLineChars="200"/>
        <w:rPr>
          <w:sz w:val="24"/>
          <w:szCs w:val="24"/>
        </w:rPr>
      </w:pPr>
      <w:r>
        <w:rPr>
          <w:sz w:val="24"/>
          <w:szCs w:val="24"/>
        </w:rPr>
        <w:t>则求得商服项目用地的房地产综合还原利率（R）为10.545%。</w:t>
      </w:r>
    </w:p>
    <w:p>
      <w:pPr>
        <w:spacing w:line="360" w:lineRule="auto"/>
        <w:ind w:firstLine="480" w:firstLineChars="200"/>
        <w:rPr>
          <w:sz w:val="24"/>
          <w:szCs w:val="24"/>
        </w:rPr>
      </w:pPr>
      <w:r>
        <w:rPr>
          <w:sz w:val="24"/>
          <w:szCs w:val="24"/>
        </w:rPr>
        <w:t>再根据商服用地中土地、房屋（建筑物）占房地产总价值的比例及公式二，求得投资收益法确定的商服用地土地还原利率为9.6%、房屋（建筑物）还原利率为11.1%。</w:t>
      </w:r>
    </w:p>
    <w:p>
      <w:pPr>
        <w:spacing w:line="360" w:lineRule="auto"/>
        <w:ind w:firstLine="480" w:firstLineChars="200"/>
        <w:rPr>
          <w:sz w:val="24"/>
          <w:szCs w:val="24"/>
        </w:rPr>
      </w:pPr>
      <w:r>
        <w:rPr>
          <w:sz w:val="24"/>
          <w:szCs w:val="24"/>
        </w:rPr>
        <w:t>（2）住宅用地还原利率的计算</w:t>
      </w:r>
    </w:p>
    <w:p>
      <w:pPr>
        <w:spacing w:line="360" w:lineRule="auto"/>
        <w:ind w:firstLine="480" w:firstLineChars="200"/>
        <w:rPr>
          <w:sz w:val="24"/>
          <w:szCs w:val="24"/>
        </w:rPr>
      </w:pPr>
      <w:r>
        <w:rPr>
          <w:sz w:val="24"/>
          <w:szCs w:val="24"/>
        </w:rPr>
        <w:t>参照投资收益法确定商服用地还原利率的方法，长沙县房地产开发中住宅项目开发的年平均投资收益率一般为20%，住宅项目的自有资金比率为28%，银行贷款资金比率为72%，周期一年期的贷款利率为4.35%，则长沙县住宅用地房地产综合还原利率为8.732%，求得投资收益法确定的住宅用地土地还原利率为7.7%、房屋还原利率为9.2%。</w:t>
      </w:r>
    </w:p>
    <w:p>
      <w:pPr>
        <w:spacing w:line="360" w:lineRule="auto"/>
        <w:ind w:firstLine="480" w:firstLineChars="200"/>
        <w:rPr>
          <w:sz w:val="24"/>
          <w:szCs w:val="24"/>
        </w:rPr>
      </w:pPr>
      <w:r>
        <w:rPr>
          <w:sz w:val="24"/>
          <w:szCs w:val="24"/>
        </w:rPr>
        <w:t>3、商服用地、住宅用地还原利率的确定</w:t>
      </w:r>
    </w:p>
    <w:p>
      <w:pPr>
        <w:spacing w:line="360" w:lineRule="auto"/>
        <w:ind w:firstLine="480" w:firstLineChars="200"/>
        <w:rPr>
          <w:sz w:val="24"/>
          <w:szCs w:val="24"/>
        </w:rPr>
      </w:pPr>
      <w:r>
        <w:rPr>
          <w:sz w:val="24"/>
          <w:szCs w:val="24"/>
        </w:rPr>
        <w:t>根据租售比法与投资收益法确定的商服用地与住宅用地的还原利率，结合每种方法对不同用地类型的适宜性赋予权重值，最终确定商服用地及住宅用地的还原利率，确定结果见下表。</w:t>
      </w:r>
    </w:p>
    <w:p>
      <w:pPr>
        <w:spacing w:line="400" w:lineRule="exact"/>
        <w:jc w:val="center"/>
        <w:rPr>
          <w:b/>
          <w:bCs/>
          <w:sz w:val="24"/>
          <w:szCs w:val="22"/>
        </w:rPr>
      </w:pPr>
      <w:r>
        <w:rPr>
          <w:b/>
          <w:bCs/>
          <w:sz w:val="24"/>
          <w:szCs w:val="22"/>
        </w:rPr>
        <w:t>表3-2-12  商服、住宅用地土地还原利率表</w:t>
      </w:r>
    </w:p>
    <w:tbl>
      <w:tblPr>
        <w:tblW w:w="887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26"/>
        <w:gridCol w:w="1445"/>
        <w:gridCol w:w="1380"/>
        <w:gridCol w:w="1445"/>
        <w:gridCol w:w="1381"/>
        <w:gridCol w:w="19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22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用地类型</w:t>
            </w:r>
          </w:p>
        </w:tc>
        <w:tc>
          <w:tcPr>
            <w:tcW w:w="282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租售比法</w:t>
            </w:r>
          </w:p>
        </w:tc>
        <w:tc>
          <w:tcPr>
            <w:tcW w:w="282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投资收益法</w:t>
            </w:r>
          </w:p>
        </w:tc>
        <w:tc>
          <w:tcPr>
            <w:tcW w:w="199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还原利率（%）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jc w:val="center"/>
        </w:trPr>
        <w:tc>
          <w:tcPr>
            <w:tcW w:w="122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b/>
                <w:color w:val="000000"/>
                <w:szCs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结果（%）</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权重</w:t>
            </w:r>
          </w:p>
        </w:tc>
        <w:tc>
          <w:tcPr>
            <w:tcW w:w="14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结果（%）</w:t>
            </w:r>
          </w:p>
        </w:tc>
        <w:tc>
          <w:tcPr>
            <w:tcW w:w="13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权重</w:t>
            </w:r>
          </w:p>
        </w:tc>
        <w:tc>
          <w:tcPr>
            <w:tcW w:w="199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b/>
                <w:color w:val="00000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2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商服</w:t>
            </w:r>
          </w:p>
        </w:tc>
        <w:tc>
          <w:tcPr>
            <w:tcW w:w="1445"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7.98</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0.5</w:t>
            </w:r>
          </w:p>
        </w:tc>
        <w:tc>
          <w:tcPr>
            <w:tcW w:w="1445"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9.6</w:t>
            </w:r>
          </w:p>
        </w:tc>
        <w:tc>
          <w:tcPr>
            <w:tcW w:w="1381"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0.5</w:t>
            </w:r>
          </w:p>
        </w:tc>
        <w:tc>
          <w:tcPr>
            <w:tcW w:w="1997"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8.79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2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住宅</w:t>
            </w:r>
          </w:p>
        </w:tc>
        <w:tc>
          <w:tcPr>
            <w:tcW w:w="1445"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7.43</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0.6</w:t>
            </w:r>
          </w:p>
        </w:tc>
        <w:tc>
          <w:tcPr>
            <w:tcW w:w="1445"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7.7</w:t>
            </w:r>
          </w:p>
        </w:tc>
        <w:tc>
          <w:tcPr>
            <w:tcW w:w="1381"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0.4</w:t>
            </w:r>
          </w:p>
        </w:tc>
        <w:tc>
          <w:tcPr>
            <w:tcW w:w="1997"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7.54</w:t>
            </w:r>
          </w:p>
        </w:tc>
      </w:tr>
    </w:tbl>
    <w:p>
      <w:pPr>
        <w:spacing w:line="360" w:lineRule="auto"/>
        <w:jc w:val="center"/>
        <w:rPr>
          <w:rFonts w:eastAsia="黑体"/>
          <w:b/>
          <w:bCs/>
          <w:sz w:val="24"/>
          <w:szCs w:val="24"/>
        </w:rPr>
      </w:pPr>
      <w:r>
        <w:rPr>
          <w:b/>
          <w:bCs/>
          <w:sz w:val="24"/>
          <w:szCs w:val="22"/>
        </w:rPr>
        <w:t>表3-2-13  商服、住宅用地房屋还原利率表</w:t>
      </w:r>
    </w:p>
    <w:tbl>
      <w:tblPr>
        <w:tblW w:w="88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26"/>
        <w:gridCol w:w="1445"/>
        <w:gridCol w:w="1380"/>
        <w:gridCol w:w="1445"/>
        <w:gridCol w:w="1381"/>
        <w:gridCol w:w="19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22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用地类型</w:t>
            </w:r>
          </w:p>
        </w:tc>
        <w:tc>
          <w:tcPr>
            <w:tcW w:w="282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租售比法</w:t>
            </w:r>
          </w:p>
        </w:tc>
        <w:tc>
          <w:tcPr>
            <w:tcW w:w="282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投资收益法</w:t>
            </w:r>
          </w:p>
        </w:tc>
        <w:tc>
          <w:tcPr>
            <w:tcW w:w="199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还原利率（%）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22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b/>
                <w:color w:val="000000"/>
                <w:szCs w:val="21"/>
              </w:rPr>
            </w:pPr>
          </w:p>
        </w:tc>
        <w:tc>
          <w:tcPr>
            <w:tcW w:w="14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结果（%）</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权重</w:t>
            </w:r>
          </w:p>
        </w:tc>
        <w:tc>
          <w:tcPr>
            <w:tcW w:w="14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结果（%）</w:t>
            </w:r>
          </w:p>
        </w:tc>
        <w:tc>
          <w:tcPr>
            <w:tcW w:w="13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权重</w:t>
            </w:r>
          </w:p>
        </w:tc>
        <w:tc>
          <w:tcPr>
            <w:tcW w:w="199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b/>
                <w:color w:val="00000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2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商服</w:t>
            </w:r>
          </w:p>
        </w:tc>
        <w:tc>
          <w:tcPr>
            <w:tcW w:w="1445"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8.95</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0.5</w:t>
            </w:r>
          </w:p>
        </w:tc>
        <w:tc>
          <w:tcPr>
            <w:tcW w:w="1445"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11.1</w:t>
            </w:r>
          </w:p>
        </w:tc>
        <w:tc>
          <w:tcPr>
            <w:tcW w:w="1381"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0.5</w:t>
            </w:r>
          </w:p>
        </w:tc>
        <w:tc>
          <w:tcPr>
            <w:tcW w:w="1997"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10.03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2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住宅</w:t>
            </w:r>
          </w:p>
        </w:tc>
        <w:tc>
          <w:tcPr>
            <w:tcW w:w="1445"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8.48</w:t>
            </w:r>
          </w:p>
        </w:tc>
        <w:tc>
          <w:tcPr>
            <w:tcW w:w="1380"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0.6</w:t>
            </w:r>
          </w:p>
        </w:tc>
        <w:tc>
          <w:tcPr>
            <w:tcW w:w="1445"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9.2</w:t>
            </w:r>
          </w:p>
        </w:tc>
        <w:tc>
          <w:tcPr>
            <w:tcW w:w="1381"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0.4</w:t>
            </w:r>
          </w:p>
        </w:tc>
        <w:tc>
          <w:tcPr>
            <w:tcW w:w="1997"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Cs w:val="21"/>
              </w:rPr>
            </w:pPr>
            <w:r>
              <w:rPr>
                <w:color w:val="000000"/>
                <w:szCs w:val="21"/>
              </w:rPr>
              <w:t>8.77</w:t>
            </w:r>
          </w:p>
        </w:tc>
      </w:tr>
    </w:tbl>
    <w:p>
      <w:pPr>
        <w:pBdr>
          <w:top w:val="none" w:color="auto" w:sz="0" w:space="1"/>
          <w:left w:val="none" w:color="auto" w:sz="0" w:space="1"/>
          <w:bottom w:val="none" w:color="auto" w:sz="0" w:space="1"/>
          <w:right w:val="none" w:color="auto" w:sz="0" w:space="1"/>
          <w:between w:val="none" w:color="auto" w:sz="0" w:space="1"/>
        </w:pBdr>
        <w:spacing w:line="360" w:lineRule="auto"/>
        <w:ind w:firstLine="480" w:firstLineChars="200"/>
        <w:rPr>
          <w:sz w:val="24"/>
          <w:szCs w:val="24"/>
        </w:rPr>
      </w:pPr>
      <w:r>
        <w:rPr>
          <w:sz w:val="24"/>
          <w:szCs w:val="24"/>
        </w:rPr>
        <w:t>4、工矿仓储用地还原利率的确定</w:t>
      </w:r>
    </w:p>
    <w:p>
      <w:pPr>
        <w:spacing w:line="360" w:lineRule="auto"/>
        <w:ind w:firstLine="480" w:firstLineChars="200"/>
        <w:rPr>
          <w:sz w:val="24"/>
          <w:szCs w:val="24"/>
        </w:rPr>
      </w:pPr>
      <w:r>
        <w:rPr>
          <w:sz w:val="24"/>
          <w:szCs w:val="24"/>
        </w:rPr>
        <w:t>工矿仓储用地还原利率的确定方法是安全利率加风险调整值法，安全利率采用中国人民银行公布的一年期流动资金存款利率1.5%（201</w:t>
      </w:r>
      <w:r>
        <w:rPr>
          <w:rFonts w:hint="eastAsia"/>
          <w:sz w:val="24"/>
          <w:szCs w:val="24"/>
        </w:rPr>
        <w:t>7</w:t>
      </w:r>
      <w:r>
        <w:rPr>
          <w:sz w:val="24"/>
          <w:szCs w:val="24"/>
        </w:rPr>
        <w:t>年3月1日中国人民银行公布），风险调整值根据各市场风险因素对土地市场的影响程度而确定。</w:t>
      </w:r>
    </w:p>
    <w:p>
      <w:pPr>
        <w:spacing w:line="360" w:lineRule="auto"/>
        <w:ind w:firstLine="480" w:firstLineChars="200"/>
        <w:rPr>
          <w:sz w:val="24"/>
          <w:szCs w:val="24"/>
        </w:rPr>
      </w:pPr>
      <w:r>
        <w:rPr>
          <w:sz w:val="24"/>
          <w:szCs w:val="24"/>
        </w:rPr>
        <w:t>（1）土地市场风险程度分析</w:t>
      </w:r>
    </w:p>
    <w:p>
      <w:pPr>
        <w:spacing w:line="360" w:lineRule="auto"/>
        <w:ind w:firstLine="480" w:firstLineChars="200"/>
        <w:rPr>
          <w:sz w:val="24"/>
          <w:szCs w:val="24"/>
        </w:rPr>
      </w:pPr>
      <w:r>
        <w:rPr>
          <w:sz w:val="24"/>
          <w:szCs w:val="24"/>
        </w:rPr>
        <w:t>土地投资过程是一种预测未知将来需求而进行产品生产的过程，由于未来需求的不确定性，决定了地产投资是一种典型的风险投资。这些风险因素主要源于地产位置的固定性及地产投资的周期长久性。由于地产位置固定性带来的土地地理环境变化的风险及土地投资周期长使开发商难以精确预测房地产市场的供求变化与国家政策调整方案等风险。本轮基准地价评估结合长沙县社会经济发展及土地市场情况，通过实地调查与咨询专家，总结了各种风险因素对工矿仓储用地的影响程度。各风险因素因子对不同土地利用类型的影响程度分析见表3-2-14。</w:t>
      </w:r>
    </w:p>
    <w:p>
      <w:pPr>
        <w:spacing w:line="400" w:lineRule="exact"/>
        <w:jc w:val="center"/>
        <w:rPr>
          <w:b/>
          <w:bCs/>
          <w:sz w:val="24"/>
          <w:szCs w:val="22"/>
        </w:rPr>
      </w:pPr>
      <w:r>
        <w:rPr>
          <w:b/>
          <w:bCs/>
          <w:sz w:val="24"/>
          <w:szCs w:val="22"/>
        </w:rPr>
        <w:t>表3-2-14  风险因素因子对不同土地利用类型的影响程度分析</w:t>
      </w:r>
    </w:p>
    <w:tbl>
      <w:tblPr>
        <w:tblW w:w="9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2488"/>
        <w:gridCol w:w="1444"/>
        <w:gridCol w:w="1813"/>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03" w:type="dxa"/>
            <w:vAlign w:val="center"/>
          </w:tcPr>
          <w:p>
            <w:pPr>
              <w:spacing w:line="300" w:lineRule="exact"/>
              <w:jc w:val="center"/>
              <w:rPr>
                <w:b/>
                <w:bCs/>
                <w:szCs w:val="21"/>
              </w:rPr>
            </w:pPr>
            <w:r>
              <w:rPr>
                <w:b/>
                <w:bCs/>
                <w:szCs w:val="21"/>
              </w:rPr>
              <w:t>风险因素</w:t>
            </w:r>
          </w:p>
        </w:tc>
        <w:tc>
          <w:tcPr>
            <w:tcW w:w="2488" w:type="dxa"/>
            <w:vAlign w:val="center"/>
          </w:tcPr>
          <w:p>
            <w:pPr>
              <w:spacing w:line="300" w:lineRule="exact"/>
              <w:jc w:val="center"/>
              <w:rPr>
                <w:b/>
                <w:bCs/>
                <w:szCs w:val="21"/>
              </w:rPr>
            </w:pPr>
            <w:r>
              <w:rPr>
                <w:b/>
                <w:bCs/>
                <w:szCs w:val="21"/>
              </w:rPr>
              <w:t>风险因子</w:t>
            </w:r>
          </w:p>
        </w:tc>
        <w:tc>
          <w:tcPr>
            <w:tcW w:w="1444" w:type="dxa"/>
            <w:vAlign w:val="center"/>
          </w:tcPr>
          <w:p>
            <w:pPr>
              <w:spacing w:line="300" w:lineRule="exact"/>
              <w:jc w:val="center"/>
              <w:rPr>
                <w:b/>
                <w:bCs/>
                <w:szCs w:val="21"/>
              </w:rPr>
            </w:pPr>
            <w:r>
              <w:rPr>
                <w:b/>
                <w:bCs/>
                <w:szCs w:val="21"/>
              </w:rPr>
              <w:t>商服用地</w:t>
            </w:r>
          </w:p>
        </w:tc>
        <w:tc>
          <w:tcPr>
            <w:tcW w:w="1813" w:type="dxa"/>
            <w:vAlign w:val="center"/>
          </w:tcPr>
          <w:p>
            <w:pPr>
              <w:spacing w:line="300" w:lineRule="exact"/>
              <w:jc w:val="center"/>
              <w:rPr>
                <w:b/>
                <w:bCs/>
                <w:szCs w:val="21"/>
              </w:rPr>
            </w:pPr>
            <w:r>
              <w:rPr>
                <w:b/>
                <w:bCs/>
                <w:szCs w:val="21"/>
              </w:rPr>
              <w:t>住宅用地</w:t>
            </w:r>
          </w:p>
        </w:tc>
        <w:tc>
          <w:tcPr>
            <w:tcW w:w="1813" w:type="dxa"/>
            <w:vAlign w:val="center"/>
          </w:tcPr>
          <w:p>
            <w:pPr>
              <w:spacing w:line="300" w:lineRule="exact"/>
              <w:jc w:val="center"/>
              <w:rPr>
                <w:b/>
                <w:bCs/>
                <w:szCs w:val="21"/>
              </w:rPr>
            </w:pPr>
            <w:r>
              <w:rPr>
                <w:b/>
                <w:bCs/>
                <w:szCs w:val="21"/>
              </w:rPr>
              <w:t>工矿仓储用地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03" w:type="dxa"/>
            <w:vMerge w:val="restart"/>
            <w:vAlign w:val="center"/>
          </w:tcPr>
          <w:p>
            <w:pPr>
              <w:spacing w:line="300" w:lineRule="exact"/>
              <w:jc w:val="center"/>
              <w:rPr>
                <w:szCs w:val="21"/>
              </w:rPr>
            </w:pPr>
            <w:r>
              <w:rPr>
                <w:szCs w:val="21"/>
              </w:rPr>
              <w:t>政策风险</w:t>
            </w:r>
          </w:p>
        </w:tc>
        <w:tc>
          <w:tcPr>
            <w:tcW w:w="2488" w:type="dxa"/>
            <w:vAlign w:val="center"/>
          </w:tcPr>
          <w:p>
            <w:pPr>
              <w:spacing w:line="300" w:lineRule="exact"/>
              <w:jc w:val="center"/>
              <w:rPr>
                <w:szCs w:val="21"/>
              </w:rPr>
            </w:pPr>
            <w:r>
              <w:rPr>
                <w:szCs w:val="21"/>
              </w:rPr>
              <w:t>产业政策</w:t>
            </w:r>
          </w:p>
        </w:tc>
        <w:tc>
          <w:tcPr>
            <w:tcW w:w="1444" w:type="dxa"/>
            <w:vAlign w:val="center"/>
          </w:tcPr>
          <w:p>
            <w:pPr>
              <w:spacing w:line="300" w:lineRule="exact"/>
              <w:jc w:val="center"/>
              <w:rPr>
                <w:szCs w:val="21"/>
              </w:rPr>
            </w:pPr>
            <w:r>
              <w:rPr>
                <w:szCs w:val="21"/>
              </w:rPr>
              <w:t>C</w:t>
            </w:r>
          </w:p>
        </w:tc>
        <w:tc>
          <w:tcPr>
            <w:tcW w:w="1813" w:type="dxa"/>
            <w:vAlign w:val="center"/>
          </w:tcPr>
          <w:p>
            <w:pPr>
              <w:spacing w:line="300" w:lineRule="exact"/>
              <w:jc w:val="center"/>
              <w:rPr>
                <w:szCs w:val="21"/>
              </w:rPr>
            </w:pPr>
            <w:r>
              <w:rPr>
                <w:szCs w:val="21"/>
              </w:rPr>
              <w:t>B</w:t>
            </w:r>
          </w:p>
        </w:tc>
        <w:tc>
          <w:tcPr>
            <w:tcW w:w="1813" w:type="dxa"/>
            <w:vAlign w:val="center"/>
          </w:tcPr>
          <w:p>
            <w:pPr>
              <w:spacing w:line="300" w:lineRule="exact"/>
              <w:jc w:val="center"/>
              <w:rPr>
                <w:szCs w:val="21"/>
              </w:rPr>
            </w:pPr>
            <w:r>
              <w:rPr>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03" w:type="dxa"/>
            <w:vMerge w:val="continue"/>
            <w:vAlign w:val="center"/>
          </w:tcPr>
          <w:p>
            <w:pPr>
              <w:spacing w:line="300" w:lineRule="exact"/>
              <w:jc w:val="center"/>
              <w:rPr>
                <w:szCs w:val="21"/>
              </w:rPr>
            </w:pPr>
          </w:p>
        </w:tc>
        <w:tc>
          <w:tcPr>
            <w:tcW w:w="2488" w:type="dxa"/>
            <w:vAlign w:val="center"/>
          </w:tcPr>
          <w:p>
            <w:pPr>
              <w:spacing w:line="300" w:lineRule="exact"/>
              <w:jc w:val="center"/>
              <w:rPr>
                <w:szCs w:val="21"/>
              </w:rPr>
            </w:pPr>
            <w:r>
              <w:rPr>
                <w:szCs w:val="21"/>
              </w:rPr>
              <w:t>土地使用制度改革</w:t>
            </w:r>
          </w:p>
        </w:tc>
        <w:tc>
          <w:tcPr>
            <w:tcW w:w="1444" w:type="dxa"/>
            <w:vAlign w:val="center"/>
          </w:tcPr>
          <w:p>
            <w:pPr>
              <w:spacing w:line="300" w:lineRule="exact"/>
              <w:jc w:val="center"/>
              <w:rPr>
                <w:szCs w:val="21"/>
              </w:rPr>
            </w:pPr>
            <w:r>
              <w:rPr>
                <w:szCs w:val="21"/>
              </w:rPr>
              <w:t>C</w:t>
            </w:r>
          </w:p>
        </w:tc>
        <w:tc>
          <w:tcPr>
            <w:tcW w:w="1813" w:type="dxa"/>
            <w:vAlign w:val="center"/>
          </w:tcPr>
          <w:p>
            <w:pPr>
              <w:spacing w:line="300" w:lineRule="exact"/>
              <w:jc w:val="center"/>
              <w:rPr>
                <w:szCs w:val="21"/>
              </w:rPr>
            </w:pPr>
            <w:r>
              <w:rPr>
                <w:szCs w:val="21"/>
              </w:rPr>
              <w:t>C</w:t>
            </w:r>
          </w:p>
        </w:tc>
        <w:tc>
          <w:tcPr>
            <w:tcW w:w="1813" w:type="dxa"/>
            <w:vAlign w:val="center"/>
          </w:tcPr>
          <w:p>
            <w:pPr>
              <w:spacing w:line="300" w:lineRule="exact"/>
              <w:jc w:val="center"/>
              <w:rPr>
                <w:szCs w:val="21"/>
              </w:rPr>
            </w:pPr>
            <w:r>
              <w:rPr>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03" w:type="dxa"/>
            <w:vMerge w:val="continue"/>
            <w:vAlign w:val="center"/>
          </w:tcPr>
          <w:p>
            <w:pPr>
              <w:spacing w:line="300" w:lineRule="exact"/>
              <w:jc w:val="center"/>
              <w:rPr>
                <w:szCs w:val="21"/>
              </w:rPr>
            </w:pPr>
          </w:p>
        </w:tc>
        <w:tc>
          <w:tcPr>
            <w:tcW w:w="2488" w:type="dxa"/>
            <w:vAlign w:val="center"/>
          </w:tcPr>
          <w:p>
            <w:pPr>
              <w:spacing w:line="300" w:lineRule="exact"/>
              <w:jc w:val="center"/>
              <w:rPr>
                <w:szCs w:val="21"/>
              </w:rPr>
            </w:pPr>
            <w:r>
              <w:rPr>
                <w:szCs w:val="21"/>
              </w:rPr>
              <w:t>住房制度</w:t>
            </w:r>
          </w:p>
        </w:tc>
        <w:tc>
          <w:tcPr>
            <w:tcW w:w="1444" w:type="dxa"/>
            <w:vAlign w:val="center"/>
          </w:tcPr>
          <w:p>
            <w:pPr>
              <w:spacing w:line="300" w:lineRule="exact"/>
              <w:jc w:val="center"/>
              <w:rPr>
                <w:szCs w:val="21"/>
              </w:rPr>
            </w:pPr>
            <w:r>
              <w:rPr>
                <w:szCs w:val="21"/>
              </w:rPr>
              <w:t>B</w:t>
            </w:r>
          </w:p>
        </w:tc>
        <w:tc>
          <w:tcPr>
            <w:tcW w:w="1813" w:type="dxa"/>
            <w:vAlign w:val="center"/>
          </w:tcPr>
          <w:p>
            <w:pPr>
              <w:spacing w:line="300" w:lineRule="exact"/>
              <w:jc w:val="center"/>
              <w:rPr>
                <w:szCs w:val="21"/>
              </w:rPr>
            </w:pPr>
            <w:r>
              <w:rPr>
                <w:szCs w:val="21"/>
              </w:rPr>
              <w:t>A</w:t>
            </w:r>
          </w:p>
        </w:tc>
        <w:tc>
          <w:tcPr>
            <w:tcW w:w="1813" w:type="dxa"/>
            <w:vAlign w:val="center"/>
          </w:tcPr>
          <w:p>
            <w:pPr>
              <w:spacing w:line="300" w:lineRule="exact"/>
              <w:jc w:val="center"/>
              <w:rPr>
                <w:szCs w:val="21"/>
              </w:rPr>
            </w:pPr>
            <w:r>
              <w:rPr>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03" w:type="dxa"/>
            <w:vMerge w:val="continue"/>
            <w:vAlign w:val="center"/>
          </w:tcPr>
          <w:p>
            <w:pPr>
              <w:spacing w:line="300" w:lineRule="exact"/>
              <w:jc w:val="center"/>
              <w:rPr>
                <w:szCs w:val="21"/>
              </w:rPr>
            </w:pPr>
          </w:p>
        </w:tc>
        <w:tc>
          <w:tcPr>
            <w:tcW w:w="2488" w:type="dxa"/>
            <w:vAlign w:val="center"/>
          </w:tcPr>
          <w:p>
            <w:pPr>
              <w:spacing w:line="300" w:lineRule="exact"/>
              <w:jc w:val="center"/>
              <w:rPr>
                <w:szCs w:val="21"/>
              </w:rPr>
            </w:pPr>
            <w:r>
              <w:rPr>
                <w:szCs w:val="21"/>
              </w:rPr>
              <w:t>环保变化</w:t>
            </w:r>
          </w:p>
        </w:tc>
        <w:tc>
          <w:tcPr>
            <w:tcW w:w="1444" w:type="dxa"/>
            <w:vAlign w:val="center"/>
          </w:tcPr>
          <w:p>
            <w:pPr>
              <w:spacing w:line="300" w:lineRule="exact"/>
              <w:jc w:val="center"/>
              <w:rPr>
                <w:szCs w:val="21"/>
              </w:rPr>
            </w:pPr>
            <w:r>
              <w:rPr>
                <w:szCs w:val="21"/>
              </w:rPr>
              <w:t>B</w:t>
            </w:r>
          </w:p>
        </w:tc>
        <w:tc>
          <w:tcPr>
            <w:tcW w:w="1813" w:type="dxa"/>
            <w:vAlign w:val="center"/>
          </w:tcPr>
          <w:p>
            <w:pPr>
              <w:spacing w:line="300" w:lineRule="exact"/>
              <w:jc w:val="center"/>
              <w:rPr>
                <w:szCs w:val="21"/>
              </w:rPr>
            </w:pPr>
            <w:r>
              <w:rPr>
                <w:szCs w:val="21"/>
              </w:rPr>
              <w:t>A</w:t>
            </w:r>
          </w:p>
        </w:tc>
        <w:tc>
          <w:tcPr>
            <w:tcW w:w="1813" w:type="dxa"/>
            <w:vAlign w:val="center"/>
          </w:tcPr>
          <w:p>
            <w:pPr>
              <w:spacing w:line="300" w:lineRule="exact"/>
              <w:jc w:val="center"/>
              <w:rPr>
                <w:szCs w:val="21"/>
              </w:rPr>
            </w:pPr>
            <w:r>
              <w:rPr>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03" w:type="dxa"/>
            <w:vMerge w:val="restart"/>
            <w:vAlign w:val="center"/>
          </w:tcPr>
          <w:p>
            <w:pPr>
              <w:spacing w:line="300" w:lineRule="exact"/>
              <w:jc w:val="center"/>
              <w:rPr>
                <w:szCs w:val="21"/>
              </w:rPr>
            </w:pPr>
            <w:r>
              <w:rPr>
                <w:szCs w:val="21"/>
              </w:rPr>
              <w:t>经济风险</w:t>
            </w:r>
          </w:p>
        </w:tc>
        <w:tc>
          <w:tcPr>
            <w:tcW w:w="2488" w:type="dxa"/>
            <w:vAlign w:val="center"/>
          </w:tcPr>
          <w:p>
            <w:pPr>
              <w:spacing w:line="300" w:lineRule="exact"/>
              <w:jc w:val="center"/>
              <w:rPr>
                <w:szCs w:val="21"/>
              </w:rPr>
            </w:pPr>
            <w:r>
              <w:rPr>
                <w:szCs w:val="21"/>
              </w:rPr>
              <w:t>市场供求</w:t>
            </w:r>
          </w:p>
        </w:tc>
        <w:tc>
          <w:tcPr>
            <w:tcW w:w="1444" w:type="dxa"/>
            <w:vAlign w:val="center"/>
          </w:tcPr>
          <w:p>
            <w:pPr>
              <w:spacing w:line="300" w:lineRule="exact"/>
              <w:jc w:val="center"/>
              <w:rPr>
                <w:szCs w:val="21"/>
              </w:rPr>
            </w:pPr>
            <w:r>
              <w:rPr>
                <w:szCs w:val="21"/>
              </w:rPr>
              <w:t>A</w:t>
            </w:r>
          </w:p>
        </w:tc>
        <w:tc>
          <w:tcPr>
            <w:tcW w:w="1813" w:type="dxa"/>
            <w:vAlign w:val="center"/>
          </w:tcPr>
          <w:p>
            <w:pPr>
              <w:spacing w:line="300" w:lineRule="exact"/>
              <w:jc w:val="center"/>
              <w:rPr>
                <w:szCs w:val="21"/>
              </w:rPr>
            </w:pPr>
            <w:r>
              <w:rPr>
                <w:szCs w:val="21"/>
              </w:rPr>
              <w:t>A</w:t>
            </w:r>
          </w:p>
        </w:tc>
        <w:tc>
          <w:tcPr>
            <w:tcW w:w="1813" w:type="dxa"/>
            <w:vAlign w:val="center"/>
          </w:tcPr>
          <w:p>
            <w:pPr>
              <w:spacing w:line="300" w:lineRule="exact"/>
              <w:jc w:val="center"/>
              <w:rPr>
                <w:szCs w:val="21"/>
              </w:rPr>
            </w:pPr>
            <w:r>
              <w:rPr>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03" w:type="dxa"/>
            <w:vMerge w:val="continue"/>
            <w:vAlign w:val="center"/>
          </w:tcPr>
          <w:p>
            <w:pPr>
              <w:spacing w:line="300" w:lineRule="exact"/>
              <w:jc w:val="center"/>
              <w:rPr>
                <w:szCs w:val="21"/>
              </w:rPr>
            </w:pPr>
          </w:p>
        </w:tc>
        <w:tc>
          <w:tcPr>
            <w:tcW w:w="2488" w:type="dxa"/>
            <w:vAlign w:val="center"/>
          </w:tcPr>
          <w:p>
            <w:pPr>
              <w:spacing w:line="300" w:lineRule="exact"/>
              <w:jc w:val="center"/>
              <w:rPr>
                <w:szCs w:val="21"/>
              </w:rPr>
            </w:pPr>
            <w:r>
              <w:rPr>
                <w:szCs w:val="21"/>
              </w:rPr>
              <w:t>财务风险</w:t>
            </w:r>
          </w:p>
        </w:tc>
        <w:tc>
          <w:tcPr>
            <w:tcW w:w="1444" w:type="dxa"/>
            <w:vAlign w:val="center"/>
          </w:tcPr>
          <w:p>
            <w:pPr>
              <w:spacing w:line="300" w:lineRule="exact"/>
              <w:jc w:val="center"/>
              <w:rPr>
                <w:szCs w:val="21"/>
              </w:rPr>
            </w:pPr>
            <w:r>
              <w:rPr>
                <w:szCs w:val="21"/>
              </w:rPr>
              <w:t>B</w:t>
            </w:r>
          </w:p>
        </w:tc>
        <w:tc>
          <w:tcPr>
            <w:tcW w:w="1813" w:type="dxa"/>
            <w:vAlign w:val="center"/>
          </w:tcPr>
          <w:p>
            <w:pPr>
              <w:spacing w:line="300" w:lineRule="exact"/>
              <w:jc w:val="center"/>
              <w:rPr>
                <w:szCs w:val="21"/>
              </w:rPr>
            </w:pPr>
            <w:r>
              <w:rPr>
                <w:szCs w:val="21"/>
              </w:rPr>
              <w:t>B</w:t>
            </w:r>
          </w:p>
        </w:tc>
        <w:tc>
          <w:tcPr>
            <w:tcW w:w="1813" w:type="dxa"/>
            <w:vAlign w:val="center"/>
          </w:tcPr>
          <w:p>
            <w:pPr>
              <w:spacing w:line="300" w:lineRule="exact"/>
              <w:jc w:val="center"/>
              <w:rPr>
                <w:szCs w:val="21"/>
              </w:rPr>
            </w:pPr>
            <w:r>
              <w:rPr>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03" w:type="dxa"/>
            <w:vMerge w:val="continue"/>
            <w:vAlign w:val="center"/>
          </w:tcPr>
          <w:p>
            <w:pPr>
              <w:spacing w:line="300" w:lineRule="exact"/>
              <w:jc w:val="center"/>
              <w:rPr>
                <w:szCs w:val="21"/>
              </w:rPr>
            </w:pPr>
          </w:p>
        </w:tc>
        <w:tc>
          <w:tcPr>
            <w:tcW w:w="2488" w:type="dxa"/>
            <w:vAlign w:val="center"/>
          </w:tcPr>
          <w:p>
            <w:pPr>
              <w:spacing w:line="300" w:lineRule="exact"/>
              <w:jc w:val="center"/>
              <w:rPr>
                <w:szCs w:val="21"/>
              </w:rPr>
            </w:pPr>
            <w:r>
              <w:rPr>
                <w:szCs w:val="21"/>
              </w:rPr>
              <w:t>管理风险</w:t>
            </w:r>
          </w:p>
        </w:tc>
        <w:tc>
          <w:tcPr>
            <w:tcW w:w="1444" w:type="dxa"/>
            <w:vAlign w:val="center"/>
          </w:tcPr>
          <w:p>
            <w:pPr>
              <w:spacing w:line="300" w:lineRule="exact"/>
              <w:jc w:val="center"/>
              <w:rPr>
                <w:szCs w:val="21"/>
              </w:rPr>
            </w:pPr>
            <w:r>
              <w:rPr>
                <w:szCs w:val="21"/>
              </w:rPr>
              <w:t>A</w:t>
            </w:r>
          </w:p>
        </w:tc>
        <w:tc>
          <w:tcPr>
            <w:tcW w:w="1813" w:type="dxa"/>
            <w:vAlign w:val="center"/>
          </w:tcPr>
          <w:p>
            <w:pPr>
              <w:spacing w:line="300" w:lineRule="exact"/>
              <w:jc w:val="center"/>
              <w:rPr>
                <w:szCs w:val="21"/>
              </w:rPr>
            </w:pPr>
            <w:r>
              <w:rPr>
                <w:szCs w:val="21"/>
              </w:rPr>
              <w:t>B</w:t>
            </w:r>
          </w:p>
        </w:tc>
        <w:tc>
          <w:tcPr>
            <w:tcW w:w="1813" w:type="dxa"/>
            <w:vAlign w:val="center"/>
          </w:tcPr>
          <w:p>
            <w:pPr>
              <w:spacing w:line="300" w:lineRule="exact"/>
              <w:jc w:val="center"/>
              <w:rPr>
                <w:szCs w:val="21"/>
              </w:rPr>
            </w:pPr>
            <w:r>
              <w:rPr>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03" w:type="dxa"/>
            <w:vMerge w:val="continue"/>
            <w:vAlign w:val="center"/>
          </w:tcPr>
          <w:p>
            <w:pPr>
              <w:spacing w:line="300" w:lineRule="exact"/>
              <w:jc w:val="center"/>
              <w:rPr>
                <w:szCs w:val="21"/>
              </w:rPr>
            </w:pPr>
          </w:p>
        </w:tc>
        <w:tc>
          <w:tcPr>
            <w:tcW w:w="2488" w:type="dxa"/>
            <w:vAlign w:val="center"/>
          </w:tcPr>
          <w:p>
            <w:pPr>
              <w:spacing w:line="300" w:lineRule="exact"/>
              <w:jc w:val="center"/>
              <w:rPr>
                <w:szCs w:val="21"/>
              </w:rPr>
            </w:pPr>
            <w:r>
              <w:rPr>
                <w:szCs w:val="21"/>
              </w:rPr>
              <w:t>当地经济发展</w:t>
            </w:r>
          </w:p>
        </w:tc>
        <w:tc>
          <w:tcPr>
            <w:tcW w:w="1444" w:type="dxa"/>
            <w:vAlign w:val="center"/>
          </w:tcPr>
          <w:p>
            <w:pPr>
              <w:spacing w:line="300" w:lineRule="exact"/>
              <w:jc w:val="center"/>
              <w:rPr>
                <w:szCs w:val="21"/>
              </w:rPr>
            </w:pPr>
            <w:r>
              <w:rPr>
                <w:szCs w:val="21"/>
              </w:rPr>
              <w:t>A</w:t>
            </w:r>
          </w:p>
        </w:tc>
        <w:tc>
          <w:tcPr>
            <w:tcW w:w="1813" w:type="dxa"/>
            <w:vAlign w:val="center"/>
          </w:tcPr>
          <w:p>
            <w:pPr>
              <w:spacing w:line="300" w:lineRule="exact"/>
              <w:jc w:val="center"/>
              <w:rPr>
                <w:b/>
                <w:szCs w:val="21"/>
              </w:rPr>
            </w:pPr>
            <w:r>
              <w:rPr>
                <w:szCs w:val="21"/>
              </w:rPr>
              <w:t>B</w:t>
            </w:r>
          </w:p>
        </w:tc>
        <w:tc>
          <w:tcPr>
            <w:tcW w:w="1813" w:type="dxa"/>
            <w:vAlign w:val="center"/>
          </w:tcPr>
          <w:p>
            <w:pPr>
              <w:spacing w:line="300" w:lineRule="exact"/>
              <w:jc w:val="center"/>
              <w:rPr>
                <w:szCs w:val="21"/>
              </w:rPr>
            </w:pPr>
            <w:r>
              <w:rPr>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03" w:type="dxa"/>
            <w:vMerge w:val="restart"/>
            <w:vAlign w:val="center"/>
          </w:tcPr>
          <w:p>
            <w:pPr>
              <w:spacing w:line="300" w:lineRule="exact"/>
              <w:jc w:val="center"/>
              <w:rPr>
                <w:szCs w:val="21"/>
              </w:rPr>
            </w:pPr>
            <w:r>
              <w:rPr>
                <w:szCs w:val="21"/>
              </w:rPr>
              <w:t>社会风险</w:t>
            </w:r>
          </w:p>
        </w:tc>
        <w:tc>
          <w:tcPr>
            <w:tcW w:w="2488" w:type="dxa"/>
            <w:vAlign w:val="center"/>
          </w:tcPr>
          <w:p>
            <w:pPr>
              <w:spacing w:line="300" w:lineRule="exact"/>
              <w:jc w:val="center"/>
              <w:rPr>
                <w:szCs w:val="21"/>
              </w:rPr>
            </w:pPr>
            <w:r>
              <w:rPr>
                <w:szCs w:val="21"/>
              </w:rPr>
              <w:t>城市规划</w:t>
            </w:r>
          </w:p>
        </w:tc>
        <w:tc>
          <w:tcPr>
            <w:tcW w:w="1444" w:type="dxa"/>
            <w:vAlign w:val="center"/>
          </w:tcPr>
          <w:p>
            <w:pPr>
              <w:spacing w:line="300" w:lineRule="exact"/>
              <w:jc w:val="center"/>
              <w:rPr>
                <w:szCs w:val="21"/>
              </w:rPr>
            </w:pPr>
            <w:r>
              <w:rPr>
                <w:szCs w:val="21"/>
              </w:rPr>
              <w:t>A</w:t>
            </w:r>
          </w:p>
        </w:tc>
        <w:tc>
          <w:tcPr>
            <w:tcW w:w="1813" w:type="dxa"/>
            <w:vAlign w:val="center"/>
          </w:tcPr>
          <w:p>
            <w:pPr>
              <w:spacing w:line="300" w:lineRule="exact"/>
              <w:jc w:val="center"/>
              <w:rPr>
                <w:szCs w:val="21"/>
              </w:rPr>
            </w:pPr>
            <w:r>
              <w:rPr>
                <w:szCs w:val="21"/>
              </w:rPr>
              <w:t>A</w:t>
            </w:r>
          </w:p>
        </w:tc>
        <w:tc>
          <w:tcPr>
            <w:tcW w:w="1813" w:type="dxa"/>
            <w:vAlign w:val="center"/>
          </w:tcPr>
          <w:p>
            <w:pPr>
              <w:spacing w:line="300" w:lineRule="exact"/>
              <w:jc w:val="center"/>
              <w:rPr>
                <w:szCs w:val="21"/>
              </w:rPr>
            </w:pPr>
            <w:r>
              <w:rPr>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03" w:type="dxa"/>
            <w:vMerge w:val="continue"/>
            <w:vAlign w:val="center"/>
          </w:tcPr>
          <w:p>
            <w:pPr>
              <w:spacing w:line="300" w:lineRule="exact"/>
              <w:jc w:val="center"/>
              <w:rPr>
                <w:szCs w:val="21"/>
              </w:rPr>
            </w:pPr>
          </w:p>
        </w:tc>
        <w:tc>
          <w:tcPr>
            <w:tcW w:w="2488" w:type="dxa"/>
            <w:vAlign w:val="center"/>
          </w:tcPr>
          <w:p>
            <w:pPr>
              <w:spacing w:line="300" w:lineRule="exact"/>
              <w:jc w:val="center"/>
              <w:rPr>
                <w:szCs w:val="21"/>
              </w:rPr>
            </w:pPr>
            <w:r>
              <w:rPr>
                <w:szCs w:val="21"/>
              </w:rPr>
              <w:t>区域发展</w:t>
            </w:r>
          </w:p>
        </w:tc>
        <w:tc>
          <w:tcPr>
            <w:tcW w:w="1444" w:type="dxa"/>
            <w:vAlign w:val="center"/>
          </w:tcPr>
          <w:p>
            <w:pPr>
              <w:spacing w:line="300" w:lineRule="exact"/>
              <w:jc w:val="center"/>
              <w:rPr>
                <w:szCs w:val="21"/>
              </w:rPr>
            </w:pPr>
            <w:r>
              <w:rPr>
                <w:szCs w:val="21"/>
              </w:rPr>
              <w:t>A</w:t>
            </w:r>
          </w:p>
        </w:tc>
        <w:tc>
          <w:tcPr>
            <w:tcW w:w="1813" w:type="dxa"/>
            <w:vAlign w:val="center"/>
          </w:tcPr>
          <w:p>
            <w:pPr>
              <w:spacing w:line="300" w:lineRule="exact"/>
              <w:jc w:val="center"/>
              <w:rPr>
                <w:szCs w:val="21"/>
              </w:rPr>
            </w:pPr>
            <w:r>
              <w:rPr>
                <w:szCs w:val="21"/>
              </w:rPr>
              <w:t>B</w:t>
            </w:r>
          </w:p>
        </w:tc>
        <w:tc>
          <w:tcPr>
            <w:tcW w:w="1813" w:type="dxa"/>
            <w:vAlign w:val="center"/>
          </w:tcPr>
          <w:p>
            <w:pPr>
              <w:spacing w:line="300" w:lineRule="exact"/>
              <w:jc w:val="center"/>
              <w:rPr>
                <w:szCs w:val="21"/>
              </w:rPr>
            </w:pPr>
            <w:r>
              <w:rPr>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03" w:type="dxa"/>
            <w:vMerge w:val="continue"/>
            <w:vAlign w:val="center"/>
          </w:tcPr>
          <w:p>
            <w:pPr>
              <w:spacing w:line="300" w:lineRule="exact"/>
              <w:jc w:val="center"/>
              <w:rPr>
                <w:szCs w:val="21"/>
              </w:rPr>
            </w:pPr>
          </w:p>
        </w:tc>
        <w:tc>
          <w:tcPr>
            <w:tcW w:w="2488" w:type="dxa"/>
            <w:vAlign w:val="center"/>
          </w:tcPr>
          <w:p>
            <w:pPr>
              <w:spacing w:line="300" w:lineRule="exact"/>
              <w:jc w:val="center"/>
              <w:rPr>
                <w:szCs w:val="21"/>
              </w:rPr>
            </w:pPr>
            <w:r>
              <w:rPr>
                <w:szCs w:val="21"/>
              </w:rPr>
              <w:t>治安</w:t>
            </w:r>
          </w:p>
        </w:tc>
        <w:tc>
          <w:tcPr>
            <w:tcW w:w="1444" w:type="dxa"/>
            <w:vAlign w:val="center"/>
          </w:tcPr>
          <w:p>
            <w:pPr>
              <w:spacing w:line="300" w:lineRule="exact"/>
              <w:jc w:val="center"/>
              <w:rPr>
                <w:szCs w:val="21"/>
              </w:rPr>
            </w:pPr>
            <w:r>
              <w:rPr>
                <w:szCs w:val="21"/>
              </w:rPr>
              <w:t>A</w:t>
            </w:r>
          </w:p>
        </w:tc>
        <w:tc>
          <w:tcPr>
            <w:tcW w:w="1813" w:type="dxa"/>
            <w:vAlign w:val="center"/>
          </w:tcPr>
          <w:p>
            <w:pPr>
              <w:spacing w:line="300" w:lineRule="exact"/>
              <w:jc w:val="center"/>
              <w:rPr>
                <w:szCs w:val="21"/>
              </w:rPr>
            </w:pPr>
            <w:r>
              <w:rPr>
                <w:szCs w:val="21"/>
              </w:rPr>
              <w:t>A</w:t>
            </w:r>
          </w:p>
        </w:tc>
        <w:tc>
          <w:tcPr>
            <w:tcW w:w="1813" w:type="dxa"/>
            <w:vAlign w:val="center"/>
          </w:tcPr>
          <w:p>
            <w:pPr>
              <w:spacing w:line="300" w:lineRule="exact"/>
              <w:jc w:val="center"/>
              <w:rPr>
                <w:szCs w:val="21"/>
              </w:rPr>
            </w:pPr>
            <w:r>
              <w:rPr>
                <w:szCs w:val="21"/>
              </w:rPr>
              <w:t>C</w:t>
            </w:r>
          </w:p>
        </w:tc>
      </w:tr>
    </w:tbl>
    <w:p>
      <w:pPr>
        <w:spacing w:line="360" w:lineRule="auto"/>
        <w:ind w:firstLine="480" w:firstLineChars="200"/>
        <w:rPr>
          <w:sz w:val="24"/>
          <w:szCs w:val="24"/>
        </w:rPr>
      </w:pPr>
      <w:r>
        <w:rPr>
          <w:sz w:val="24"/>
          <w:szCs w:val="24"/>
        </w:rPr>
        <w:t>注：A最严重；B较严重；C不严重；D无影响</w:t>
      </w:r>
    </w:p>
    <w:p>
      <w:pPr>
        <w:spacing w:line="360" w:lineRule="auto"/>
        <w:ind w:firstLine="480" w:firstLineChars="200"/>
        <w:rPr>
          <w:sz w:val="24"/>
          <w:szCs w:val="24"/>
        </w:rPr>
      </w:pPr>
      <w:r>
        <w:rPr>
          <w:sz w:val="24"/>
          <w:szCs w:val="24"/>
        </w:rPr>
        <w:t>（2）风险因素因子权重值的确定</w:t>
      </w:r>
    </w:p>
    <w:p>
      <w:pPr>
        <w:spacing w:line="360" w:lineRule="auto"/>
        <w:ind w:firstLine="480" w:firstLineChars="200"/>
        <w:rPr>
          <w:sz w:val="24"/>
          <w:szCs w:val="24"/>
        </w:rPr>
      </w:pPr>
      <w:r>
        <w:rPr>
          <w:sz w:val="24"/>
          <w:szCs w:val="24"/>
        </w:rPr>
        <w:t>由于各种风险因素对工矿仓储用地的影响程度不同，需要选用风险因素因子权重来量化各种风险因素对工矿仓储用地的影响程度。因此，本轮基准地价评估采用特尔斐法确定各风险因素因子的权重值。长沙县地产投资风险因素、因子及权重值见表3-2-15。</w:t>
      </w:r>
    </w:p>
    <w:p>
      <w:pPr>
        <w:spacing w:line="400" w:lineRule="exact"/>
        <w:jc w:val="center"/>
        <w:rPr>
          <w:b/>
          <w:bCs/>
          <w:sz w:val="24"/>
          <w:szCs w:val="22"/>
        </w:rPr>
      </w:pPr>
      <w:r>
        <w:rPr>
          <w:b/>
          <w:bCs/>
          <w:sz w:val="24"/>
          <w:szCs w:val="22"/>
        </w:rPr>
        <w:t>表3-2-15 风险因素、因子权重值</w:t>
      </w:r>
    </w:p>
    <w:tbl>
      <w:tblPr>
        <w:tblW w:w="9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89"/>
        <w:gridCol w:w="3218"/>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89" w:type="dxa"/>
            <w:vAlign w:val="center"/>
          </w:tcPr>
          <w:p>
            <w:pPr>
              <w:spacing w:line="300" w:lineRule="exact"/>
              <w:jc w:val="center"/>
              <w:rPr>
                <w:b/>
                <w:bCs/>
                <w:szCs w:val="21"/>
              </w:rPr>
            </w:pPr>
            <w:r>
              <w:rPr>
                <w:b/>
                <w:bCs/>
                <w:szCs w:val="21"/>
              </w:rPr>
              <w:t>影响因素</w:t>
            </w:r>
          </w:p>
        </w:tc>
        <w:tc>
          <w:tcPr>
            <w:tcW w:w="1789" w:type="dxa"/>
            <w:vAlign w:val="center"/>
          </w:tcPr>
          <w:p>
            <w:pPr>
              <w:spacing w:line="300" w:lineRule="exact"/>
              <w:jc w:val="center"/>
              <w:rPr>
                <w:b/>
                <w:bCs/>
                <w:szCs w:val="21"/>
              </w:rPr>
            </w:pPr>
            <w:r>
              <w:rPr>
                <w:b/>
                <w:bCs/>
                <w:szCs w:val="21"/>
              </w:rPr>
              <w:t>权重值</w:t>
            </w:r>
          </w:p>
        </w:tc>
        <w:tc>
          <w:tcPr>
            <w:tcW w:w="3218" w:type="dxa"/>
            <w:vAlign w:val="center"/>
          </w:tcPr>
          <w:p>
            <w:pPr>
              <w:spacing w:line="300" w:lineRule="exact"/>
              <w:jc w:val="center"/>
              <w:rPr>
                <w:b/>
                <w:bCs/>
                <w:szCs w:val="21"/>
              </w:rPr>
            </w:pPr>
            <w:r>
              <w:rPr>
                <w:b/>
                <w:bCs/>
                <w:szCs w:val="21"/>
              </w:rPr>
              <w:t>影响因子</w:t>
            </w:r>
          </w:p>
        </w:tc>
        <w:tc>
          <w:tcPr>
            <w:tcW w:w="2265" w:type="dxa"/>
            <w:vAlign w:val="center"/>
          </w:tcPr>
          <w:p>
            <w:pPr>
              <w:spacing w:line="300" w:lineRule="exact"/>
              <w:jc w:val="center"/>
              <w:rPr>
                <w:b/>
                <w:bCs/>
                <w:szCs w:val="21"/>
              </w:rPr>
            </w:pPr>
            <w:r>
              <w:rPr>
                <w:b/>
                <w:bCs/>
                <w:szCs w:val="21"/>
              </w:rPr>
              <w:t>权重值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89" w:type="dxa"/>
            <w:vMerge w:val="restart"/>
            <w:vAlign w:val="center"/>
          </w:tcPr>
          <w:p>
            <w:pPr>
              <w:spacing w:line="300" w:lineRule="exact"/>
              <w:jc w:val="center"/>
              <w:rPr>
                <w:szCs w:val="21"/>
              </w:rPr>
            </w:pPr>
            <w:r>
              <w:rPr>
                <w:szCs w:val="21"/>
              </w:rPr>
              <w:t>政策风险</w:t>
            </w:r>
          </w:p>
        </w:tc>
        <w:tc>
          <w:tcPr>
            <w:tcW w:w="1789" w:type="dxa"/>
            <w:vMerge w:val="restart"/>
            <w:vAlign w:val="center"/>
          </w:tcPr>
          <w:p>
            <w:pPr>
              <w:spacing w:line="300" w:lineRule="exact"/>
              <w:jc w:val="center"/>
              <w:rPr>
                <w:szCs w:val="21"/>
              </w:rPr>
            </w:pPr>
            <w:r>
              <w:rPr>
                <w:szCs w:val="21"/>
              </w:rPr>
              <w:t>0.3031</w:t>
            </w:r>
          </w:p>
        </w:tc>
        <w:tc>
          <w:tcPr>
            <w:tcW w:w="3218" w:type="dxa"/>
            <w:vAlign w:val="center"/>
          </w:tcPr>
          <w:p>
            <w:pPr>
              <w:spacing w:line="300" w:lineRule="exact"/>
              <w:jc w:val="center"/>
              <w:rPr>
                <w:szCs w:val="21"/>
              </w:rPr>
            </w:pPr>
            <w:r>
              <w:rPr>
                <w:szCs w:val="21"/>
              </w:rPr>
              <w:t>产业政策</w:t>
            </w:r>
          </w:p>
        </w:tc>
        <w:tc>
          <w:tcPr>
            <w:tcW w:w="2265" w:type="dxa"/>
            <w:vAlign w:val="center"/>
          </w:tcPr>
          <w:p>
            <w:pPr>
              <w:spacing w:line="300" w:lineRule="exact"/>
              <w:jc w:val="center"/>
              <w:rPr>
                <w:szCs w:val="21"/>
              </w:rPr>
            </w:pPr>
            <w:r>
              <w:rPr>
                <w:szCs w:val="21"/>
              </w:rPr>
              <w:t>0.2943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89" w:type="dxa"/>
            <w:vMerge w:val="continue"/>
            <w:vAlign w:val="center"/>
          </w:tcPr>
          <w:p>
            <w:pPr>
              <w:spacing w:line="300" w:lineRule="exact"/>
              <w:jc w:val="center"/>
              <w:rPr>
                <w:szCs w:val="21"/>
              </w:rPr>
            </w:pPr>
          </w:p>
        </w:tc>
        <w:tc>
          <w:tcPr>
            <w:tcW w:w="1789" w:type="dxa"/>
            <w:vMerge w:val="continue"/>
            <w:vAlign w:val="center"/>
          </w:tcPr>
          <w:p>
            <w:pPr>
              <w:spacing w:line="300" w:lineRule="exact"/>
              <w:jc w:val="center"/>
              <w:rPr>
                <w:szCs w:val="21"/>
              </w:rPr>
            </w:pPr>
          </w:p>
        </w:tc>
        <w:tc>
          <w:tcPr>
            <w:tcW w:w="3218" w:type="dxa"/>
            <w:vAlign w:val="center"/>
          </w:tcPr>
          <w:p>
            <w:pPr>
              <w:spacing w:line="300" w:lineRule="exact"/>
              <w:jc w:val="center"/>
              <w:rPr>
                <w:szCs w:val="21"/>
              </w:rPr>
            </w:pPr>
            <w:r>
              <w:rPr>
                <w:szCs w:val="21"/>
              </w:rPr>
              <w:t>土地使用制度改革</w:t>
            </w:r>
          </w:p>
        </w:tc>
        <w:tc>
          <w:tcPr>
            <w:tcW w:w="2265" w:type="dxa"/>
            <w:vAlign w:val="center"/>
          </w:tcPr>
          <w:p>
            <w:pPr>
              <w:spacing w:line="300" w:lineRule="exact"/>
              <w:jc w:val="center"/>
              <w:rPr>
                <w:szCs w:val="21"/>
              </w:rPr>
            </w:pPr>
            <w:r>
              <w:rPr>
                <w:szCs w:val="21"/>
              </w:rPr>
              <w:t>0.2127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89" w:type="dxa"/>
            <w:vMerge w:val="continue"/>
            <w:vAlign w:val="center"/>
          </w:tcPr>
          <w:p>
            <w:pPr>
              <w:spacing w:line="300" w:lineRule="exact"/>
              <w:jc w:val="center"/>
              <w:rPr>
                <w:szCs w:val="21"/>
              </w:rPr>
            </w:pPr>
          </w:p>
        </w:tc>
        <w:tc>
          <w:tcPr>
            <w:tcW w:w="1789" w:type="dxa"/>
            <w:vMerge w:val="continue"/>
            <w:vAlign w:val="center"/>
          </w:tcPr>
          <w:p>
            <w:pPr>
              <w:spacing w:line="300" w:lineRule="exact"/>
              <w:jc w:val="center"/>
              <w:rPr>
                <w:szCs w:val="21"/>
              </w:rPr>
            </w:pPr>
          </w:p>
        </w:tc>
        <w:tc>
          <w:tcPr>
            <w:tcW w:w="3218" w:type="dxa"/>
            <w:vAlign w:val="center"/>
          </w:tcPr>
          <w:p>
            <w:pPr>
              <w:spacing w:line="300" w:lineRule="exact"/>
              <w:jc w:val="center"/>
              <w:rPr>
                <w:szCs w:val="21"/>
              </w:rPr>
            </w:pPr>
            <w:r>
              <w:rPr>
                <w:szCs w:val="21"/>
              </w:rPr>
              <w:t>住房制度</w:t>
            </w:r>
          </w:p>
        </w:tc>
        <w:tc>
          <w:tcPr>
            <w:tcW w:w="2265" w:type="dxa"/>
            <w:vAlign w:val="center"/>
          </w:tcPr>
          <w:p>
            <w:pPr>
              <w:spacing w:line="300" w:lineRule="exact"/>
              <w:jc w:val="center"/>
              <w:rPr>
                <w:szCs w:val="21"/>
              </w:rPr>
            </w:pPr>
            <w:r>
              <w:rPr>
                <w:szCs w:val="21"/>
              </w:rPr>
              <w:t>0.2741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89" w:type="dxa"/>
            <w:vMerge w:val="continue"/>
            <w:vAlign w:val="center"/>
          </w:tcPr>
          <w:p>
            <w:pPr>
              <w:spacing w:line="300" w:lineRule="exact"/>
              <w:jc w:val="center"/>
              <w:rPr>
                <w:szCs w:val="21"/>
              </w:rPr>
            </w:pPr>
          </w:p>
        </w:tc>
        <w:tc>
          <w:tcPr>
            <w:tcW w:w="1789" w:type="dxa"/>
            <w:vMerge w:val="continue"/>
            <w:vAlign w:val="center"/>
          </w:tcPr>
          <w:p>
            <w:pPr>
              <w:spacing w:line="300" w:lineRule="exact"/>
              <w:jc w:val="center"/>
              <w:rPr>
                <w:szCs w:val="21"/>
              </w:rPr>
            </w:pPr>
          </w:p>
        </w:tc>
        <w:tc>
          <w:tcPr>
            <w:tcW w:w="3218" w:type="dxa"/>
            <w:vAlign w:val="center"/>
          </w:tcPr>
          <w:p>
            <w:pPr>
              <w:spacing w:line="300" w:lineRule="exact"/>
              <w:jc w:val="center"/>
              <w:rPr>
                <w:szCs w:val="21"/>
              </w:rPr>
            </w:pPr>
            <w:r>
              <w:rPr>
                <w:szCs w:val="21"/>
              </w:rPr>
              <w:t>环保变化</w:t>
            </w:r>
          </w:p>
        </w:tc>
        <w:tc>
          <w:tcPr>
            <w:tcW w:w="2265" w:type="dxa"/>
            <w:vAlign w:val="center"/>
          </w:tcPr>
          <w:p>
            <w:pPr>
              <w:spacing w:line="300" w:lineRule="exact"/>
              <w:jc w:val="center"/>
              <w:rPr>
                <w:szCs w:val="21"/>
              </w:rPr>
            </w:pPr>
            <w:r>
              <w:rPr>
                <w:szCs w:val="21"/>
              </w:rPr>
              <w:t>0.2189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89" w:type="dxa"/>
            <w:vMerge w:val="restart"/>
            <w:vAlign w:val="center"/>
          </w:tcPr>
          <w:p>
            <w:pPr>
              <w:spacing w:line="300" w:lineRule="exact"/>
              <w:jc w:val="center"/>
              <w:rPr>
                <w:szCs w:val="21"/>
              </w:rPr>
            </w:pPr>
            <w:r>
              <w:rPr>
                <w:szCs w:val="21"/>
              </w:rPr>
              <w:t>经济风险</w:t>
            </w:r>
          </w:p>
        </w:tc>
        <w:tc>
          <w:tcPr>
            <w:tcW w:w="1789" w:type="dxa"/>
            <w:vMerge w:val="restart"/>
            <w:vAlign w:val="center"/>
          </w:tcPr>
          <w:p>
            <w:pPr>
              <w:spacing w:line="300" w:lineRule="exact"/>
              <w:jc w:val="center"/>
              <w:rPr>
                <w:szCs w:val="21"/>
              </w:rPr>
            </w:pPr>
            <w:r>
              <w:rPr>
                <w:szCs w:val="21"/>
              </w:rPr>
              <w:t>0.4126</w:t>
            </w:r>
          </w:p>
        </w:tc>
        <w:tc>
          <w:tcPr>
            <w:tcW w:w="3218" w:type="dxa"/>
            <w:vAlign w:val="center"/>
          </w:tcPr>
          <w:p>
            <w:pPr>
              <w:spacing w:line="300" w:lineRule="exact"/>
              <w:jc w:val="center"/>
              <w:rPr>
                <w:szCs w:val="21"/>
              </w:rPr>
            </w:pPr>
            <w:r>
              <w:rPr>
                <w:szCs w:val="21"/>
              </w:rPr>
              <w:t>市场供求</w:t>
            </w:r>
          </w:p>
        </w:tc>
        <w:tc>
          <w:tcPr>
            <w:tcW w:w="2265" w:type="dxa"/>
            <w:vAlign w:val="center"/>
          </w:tcPr>
          <w:p>
            <w:pPr>
              <w:spacing w:line="300" w:lineRule="exact"/>
              <w:jc w:val="center"/>
              <w:rPr>
                <w:szCs w:val="21"/>
              </w:rPr>
            </w:pPr>
            <w:r>
              <w:rPr>
                <w:szCs w:val="21"/>
              </w:rPr>
              <w:t>0.3419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89" w:type="dxa"/>
            <w:vMerge w:val="continue"/>
            <w:vAlign w:val="center"/>
          </w:tcPr>
          <w:p>
            <w:pPr>
              <w:spacing w:line="300" w:lineRule="exact"/>
              <w:jc w:val="center"/>
              <w:rPr>
                <w:szCs w:val="21"/>
              </w:rPr>
            </w:pPr>
          </w:p>
        </w:tc>
        <w:tc>
          <w:tcPr>
            <w:tcW w:w="1789" w:type="dxa"/>
            <w:vMerge w:val="continue"/>
            <w:vAlign w:val="center"/>
          </w:tcPr>
          <w:p>
            <w:pPr>
              <w:spacing w:line="300" w:lineRule="exact"/>
              <w:jc w:val="center"/>
              <w:rPr>
                <w:szCs w:val="21"/>
              </w:rPr>
            </w:pPr>
          </w:p>
        </w:tc>
        <w:tc>
          <w:tcPr>
            <w:tcW w:w="3218" w:type="dxa"/>
            <w:vAlign w:val="center"/>
          </w:tcPr>
          <w:p>
            <w:pPr>
              <w:spacing w:line="300" w:lineRule="exact"/>
              <w:jc w:val="center"/>
              <w:rPr>
                <w:szCs w:val="21"/>
              </w:rPr>
            </w:pPr>
            <w:r>
              <w:rPr>
                <w:szCs w:val="21"/>
              </w:rPr>
              <w:t>财务风险</w:t>
            </w:r>
          </w:p>
        </w:tc>
        <w:tc>
          <w:tcPr>
            <w:tcW w:w="2265" w:type="dxa"/>
            <w:vAlign w:val="center"/>
          </w:tcPr>
          <w:p>
            <w:pPr>
              <w:spacing w:line="300" w:lineRule="exact"/>
              <w:jc w:val="center"/>
              <w:rPr>
                <w:szCs w:val="21"/>
              </w:rPr>
            </w:pPr>
            <w:r>
              <w:rPr>
                <w:szCs w:val="21"/>
              </w:rPr>
              <w:t>0.2132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89" w:type="dxa"/>
            <w:vMerge w:val="continue"/>
            <w:vAlign w:val="center"/>
          </w:tcPr>
          <w:p>
            <w:pPr>
              <w:spacing w:line="300" w:lineRule="exact"/>
              <w:jc w:val="center"/>
              <w:rPr>
                <w:szCs w:val="21"/>
              </w:rPr>
            </w:pPr>
          </w:p>
        </w:tc>
        <w:tc>
          <w:tcPr>
            <w:tcW w:w="1789" w:type="dxa"/>
            <w:vMerge w:val="continue"/>
            <w:vAlign w:val="center"/>
          </w:tcPr>
          <w:p>
            <w:pPr>
              <w:spacing w:line="300" w:lineRule="exact"/>
              <w:jc w:val="center"/>
              <w:rPr>
                <w:szCs w:val="21"/>
              </w:rPr>
            </w:pPr>
          </w:p>
        </w:tc>
        <w:tc>
          <w:tcPr>
            <w:tcW w:w="3218" w:type="dxa"/>
            <w:vAlign w:val="center"/>
          </w:tcPr>
          <w:p>
            <w:pPr>
              <w:spacing w:line="300" w:lineRule="exact"/>
              <w:jc w:val="center"/>
              <w:rPr>
                <w:szCs w:val="21"/>
              </w:rPr>
            </w:pPr>
            <w:r>
              <w:rPr>
                <w:szCs w:val="21"/>
              </w:rPr>
              <w:t>管理风险</w:t>
            </w:r>
          </w:p>
        </w:tc>
        <w:tc>
          <w:tcPr>
            <w:tcW w:w="2265" w:type="dxa"/>
            <w:vAlign w:val="center"/>
          </w:tcPr>
          <w:p>
            <w:pPr>
              <w:spacing w:line="300" w:lineRule="exact"/>
              <w:jc w:val="center"/>
              <w:rPr>
                <w:szCs w:val="21"/>
              </w:rPr>
            </w:pPr>
            <w:r>
              <w:rPr>
                <w:szCs w:val="21"/>
              </w:rPr>
              <w:t>0.2386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89" w:type="dxa"/>
            <w:vMerge w:val="continue"/>
            <w:vAlign w:val="center"/>
          </w:tcPr>
          <w:p>
            <w:pPr>
              <w:spacing w:line="300" w:lineRule="exact"/>
              <w:jc w:val="center"/>
              <w:rPr>
                <w:szCs w:val="21"/>
              </w:rPr>
            </w:pPr>
          </w:p>
        </w:tc>
        <w:tc>
          <w:tcPr>
            <w:tcW w:w="1789" w:type="dxa"/>
            <w:vMerge w:val="continue"/>
            <w:vAlign w:val="center"/>
          </w:tcPr>
          <w:p>
            <w:pPr>
              <w:spacing w:line="300" w:lineRule="exact"/>
              <w:jc w:val="center"/>
              <w:rPr>
                <w:szCs w:val="21"/>
              </w:rPr>
            </w:pPr>
          </w:p>
        </w:tc>
        <w:tc>
          <w:tcPr>
            <w:tcW w:w="3218" w:type="dxa"/>
            <w:vAlign w:val="center"/>
          </w:tcPr>
          <w:p>
            <w:pPr>
              <w:spacing w:line="300" w:lineRule="exact"/>
              <w:jc w:val="center"/>
              <w:rPr>
                <w:szCs w:val="21"/>
              </w:rPr>
            </w:pPr>
            <w:r>
              <w:rPr>
                <w:szCs w:val="21"/>
              </w:rPr>
              <w:t>当地经济发展</w:t>
            </w:r>
          </w:p>
        </w:tc>
        <w:tc>
          <w:tcPr>
            <w:tcW w:w="2265" w:type="dxa"/>
            <w:vAlign w:val="center"/>
          </w:tcPr>
          <w:p>
            <w:pPr>
              <w:spacing w:line="300" w:lineRule="exact"/>
              <w:jc w:val="center"/>
              <w:rPr>
                <w:szCs w:val="21"/>
              </w:rPr>
            </w:pPr>
            <w:r>
              <w:rPr>
                <w:szCs w:val="21"/>
              </w:rPr>
              <w:t>0.2063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89" w:type="dxa"/>
            <w:vMerge w:val="restart"/>
            <w:vAlign w:val="center"/>
          </w:tcPr>
          <w:p>
            <w:pPr>
              <w:spacing w:line="300" w:lineRule="exact"/>
              <w:jc w:val="center"/>
              <w:rPr>
                <w:szCs w:val="21"/>
              </w:rPr>
            </w:pPr>
            <w:r>
              <w:rPr>
                <w:szCs w:val="21"/>
              </w:rPr>
              <w:t>社会风险</w:t>
            </w:r>
          </w:p>
        </w:tc>
        <w:tc>
          <w:tcPr>
            <w:tcW w:w="1789" w:type="dxa"/>
            <w:vMerge w:val="restart"/>
            <w:vAlign w:val="center"/>
          </w:tcPr>
          <w:p>
            <w:pPr>
              <w:spacing w:line="300" w:lineRule="exact"/>
              <w:jc w:val="center"/>
              <w:rPr>
                <w:szCs w:val="21"/>
              </w:rPr>
            </w:pPr>
            <w:r>
              <w:rPr>
                <w:szCs w:val="21"/>
              </w:rPr>
              <w:t>0.2843</w:t>
            </w:r>
          </w:p>
        </w:tc>
        <w:tc>
          <w:tcPr>
            <w:tcW w:w="3218" w:type="dxa"/>
            <w:vAlign w:val="center"/>
          </w:tcPr>
          <w:p>
            <w:pPr>
              <w:spacing w:line="300" w:lineRule="exact"/>
              <w:jc w:val="center"/>
              <w:rPr>
                <w:szCs w:val="21"/>
              </w:rPr>
            </w:pPr>
            <w:r>
              <w:rPr>
                <w:szCs w:val="21"/>
              </w:rPr>
              <w:t>城市规划</w:t>
            </w:r>
          </w:p>
        </w:tc>
        <w:tc>
          <w:tcPr>
            <w:tcW w:w="2265" w:type="dxa"/>
            <w:vAlign w:val="center"/>
          </w:tcPr>
          <w:p>
            <w:pPr>
              <w:spacing w:line="300" w:lineRule="exact"/>
              <w:jc w:val="center"/>
              <w:rPr>
                <w:szCs w:val="21"/>
              </w:rPr>
            </w:pPr>
            <w:r>
              <w:rPr>
                <w:szCs w:val="21"/>
              </w:rPr>
              <w:t>0.3762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89" w:type="dxa"/>
            <w:vMerge w:val="continue"/>
            <w:vAlign w:val="center"/>
          </w:tcPr>
          <w:p>
            <w:pPr>
              <w:spacing w:line="300" w:lineRule="exact"/>
              <w:jc w:val="center"/>
              <w:rPr>
                <w:szCs w:val="21"/>
              </w:rPr>
            </w:pPr>
          </w:p>
        </w:tc>
        <w:tc>
          <w:tcPr>
            <w:tcW w:w="1789" w:type="dxa"/>
            <w:vMerge w:val="continue"/>
            <w:vAlign w:val="center"/>
          </w:tcPr>
          <w:p>
            <w:pPr>
              <w:spacing w:line="300" w:lineRule="exact"/>
              <w:jc w:val="center"/>
              <w:rPr>
                <w:szCs w:val="21"/>
              </w:rPr>
            </w:pPr>
          </w:p>
        </w:tc>
        <w:tc>
          <w:tcPr>
            <w:tcW w:w="3218" w:type="dxa"/>
            <w:vAlign w:val="center"/>
          </w:tcPr>
          <w:p>
            <w:pPr>
              <w:spacing w:line="300" w:lineRule="exact"/>
              <w:jc w:val="center"/>
              <w:rPr>
                <w:szCs w:val="21"/>
              </w:rPr>
            </w:pPr>
            <w:r>
              <w:rPr>
                <w:szCs w:val="21"/>
              </w:rPr>
              <w:t>区域发展</w:t>
            </w:r>
          </w:p>
        </w:tc>
        <w:tc>
          <w:tcPr>
            <w:tcW w:w="2265" w:type="dxa"/>
            <w:vAlign w:val="center"/>
          </w:tcPr>
          <w:p>
            <w:pPr>
              <w:spacing w:line="300" w:lineRule="exact"/>
              <w:jc w:val="center"/>
              <w:rPr>
                <w:szCs w:val="21"/>
              </w:rPr>
            </w:pPr>
            <w:r>
              <w:rPr>
                <w:szCs w:val="21"/>
              </w:rPr>
              <w:t>0.3104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789" w:type="dxa"/>
            <w:vMerge w:val="continue"/>
            <w:vAlign w:val="center"/>
          </w:tcPr>
          <w:p>
            <w:pPr>
              <w:spacing w:line="300" w:lineRule="exact"/>
              <w:jc w:val="center"/>
              <w:rPr>
                <w:szCs w:val="21"/>
              </w:rPr>
            </w:pPr>
          </w:p>
        </w:tc>
        <w:tc>
          <w:tcPr>
            <w:tcW w:w="1789" w:type="dxa"/>
            <w:vMerge w:val="continue"/>
            <w:vAlign w:val="center"/>
          </w:tcPr>
          <w:p>
            <w:pPr>
              <w:spacing w:line="300" w:lineRule="exact"/>
              <w:jc w:val="center"/>
              <w:rPr>
                <w:szCs w:val="21"/>
              </w:rPr>
            </w:pPr>
          </w:p>
        </w:tc>
        <w:tc>
          <w:tcPr>
            <w:tcW w:w="3218" w:type="dxa"/>
            <w:vAlign w:val="center"/>
          </w:tcPr>
          <w:p>
            <w:pPr>
              <w:spacing w:line="300" w:lineRule="exact"/>
              <w:jc w:val="center"/>
              <w:rPr>
                <w:szCs w:val="21"/>
              </w:rPr>
            </w:pPr>
            <w:r>
              <w:rPr>
                <w:szCs w:val="21"/>
              </w:rPr>
              <w:t>治安</w:t>
            </w:r>
          </w:p>
        </w:tc>
        <w:tc>
          <w:tcPr>
            <w:tcW w:w="2265" w:type="dxa"/>
            <w:vAlign w:val="center"/>
          </w:tcPr>
          <w:p>
            <w:pPr>
              <w:spacing w:line="300" w:lineRule="exact"/>
              <w:jc w:val="center"/>
              <w:rPr>
                <w:szCs w:val="21"/>
              </w:rPr>
            </w:pPr>
            <w:r>
              <w:rPr>
                <w:szCs w:val="21"/>
              </w:rPr>
              <w:t>0.3134</w:t>
            </w:r>
          </w:p>
        </w:tc>
      </w:tr>
    </w:tbl>
    <w:p>
      <w:pPr>
        <w:spacing w:line="360" w:lineRule="auto"/>
        <w:ind w:firstLine="480" w:firstLineChars="200"/>
        <w:rPr>
          <w:sz w:val="24"/>
          <w:szCs w:val="24"/>
        </w:rPr>
      </w:pPr>
      <w:r>
        <w:rPr>
          <w:sz w:val="24"/>
          <w:szCs w:val="24"/>
        </w:rPr>
        <w:t>（3）风险调整值的确定</w:t>
      </w:r>
    </w:p>
    <w:p>
      <w:pPr>
        <w:spacing w:line="360" w:lineRule="auto"/>
        <w:ind w:firstLine="480" w:firstLineChars="200"/>
        <w:rPr>
          <w:sz w:val="24"/>
          <w:szCs w:val="24"/>
        </w:rPr>
      </w:pPr>
      <w:r>
        <w:rPr>
          <w:sz w:val="24"/>
          <w:szCs w:val="24"/>
        </w:rPr>
        <w:t>风险调整值的大小由市场风险因素因子对土地市场的影响程度决定，本轮基准地价评估将对市场风险影响程度赋值，即：风险因素对土地市场无影响时，风险调整值为0；风险因素对土地市场影响不严重时，风险调整值为r；风险因素对土地市场影响较严重时，风险调整值为br；风险因素对土地市场影响最严重时，风险调整值为ar。其中，a、b、r为待定参数，具体数据见表3-2-16。</w:t>
      </w:r>
    </w:p>
    <w:p>
      <w:pPr>
        <w:spacing w:line="400" w:lineRule="exact"/>
        <w:jc w:val="center"/>
        <w:rPr>
          <w:b/>
          <w:bCs/>
          <w:sz w:val="24"/>
          <w:szCs w:val="22"/>
        </w:rPr>
      </w:pPr>
      <w:r>
        <w:rPr>
          <w:b/>
          <w:bCs/>
          <w:sz w:val="24"/>
          <w:szCs w:val="22"/>
        </w:rPr>
        <w:t>表3-2-16 风险调整值赋值表</w:t>
      </w:r>
    </w:p>
    <w:tbl>
      <w:tblPr>
        <w:tblW w:w="88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449"/>
        <w:gridCol w:w="1716"/>
        <w:gridCol w:w="1507"/>
        <w:gridCol w:w="1508"/>
        <w:gridCol w:w="1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trPr>
        <w:tc>
          <w:tcPr>
            <w:tcW w:w="24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市场风险影响程度</w:t>
            </w:r>
          </w:p>
        </w:tc>
        <w:tc>
          <w:tcPr>
            <w:tcW w:w="1716" w:type="dxa"/>
            <w:tcBorders>
              <w:top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无影响（D）</w:t>
            </w:r>
          </w:p>
        </w:tc>
        <w:tc>
          <w:tcPr>
            <w:tcW w:w="1507" w:type="dxa"/>
            <w:tcBorders>
              <w:top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不严重（C）</w:t>
            </w:r>
          </w:p>
        </w:tc>
        <w:tc>
          <w:tcPr>
            <w:tcW w:w="1508" w:type="dxa"/>
            <w:tcBorders>
              <w:top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较严重（B）</w:t>
            </w:r>
          </w:p>
        </w:tc>
        <w:tc>
          <w:tcPr>
            <w:tcW w:w="1695" w:type="dxa"/>
            <w:tcBorders>
              <w:top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最严（A）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449" w:type="dxa"/>
            <w:tcBorders>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风险调整值</w:t>
            </w:r>
          </w:p>
        </w:tc>
        <w:tc>
          <w:tcPr>
            <w:tcW w:w="1716" w:type="dxa"/>
            <w:tcBorders>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0</w:t>
            </w:r>
          </w:p>
        </w:tc>
        <w:tc>
          <w:tcPr>
            <w:tcW w:w="1507" w:type="dxa"/>
            <w:tcBorders>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r</w:t>
            </w:r>
          </w:p>
        </w:tc>
        <w:tc>
          <w:tcPr>
            <w:tcW w:w="1508" w:type="dxa"/>
            <w:tcBorders>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br</w:t>
            </w:r>
          </w:p>
        </w:tc>
        <w:tc>
          <w:tcPr>
            <w:tcW w:w="1695" w:type="dxa"/>
            <w:tcBorders>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ar</w:t>
            </w:r>
          </w:p>
        </w:tc>
      </w:tr>
    </w:tbl>
    <w:p>
      <w:pPr>
        <w:spacing w:line="360" w:lineRule="auto"/>
        <w:ind w:firstLine="480" w:firstLineChars="200"/>
        <w:rPr>
          <w:sz w:val="24"/>
          <w:szCs w:val="24"/>
        </w:rPr>
      </w:pPr>
      <w:r>
        <w:rPr>
          <w:sz w:val="24"/>
          <w:szCs w:val="24"/>
        </w:rPr>
        <w:t>根据风险调整值赋值与长沙县风险因素、因子权重值，确定的长沙县风险调整值结果见表3-2-17。</w:t>
      </w:r>
    </w:p>
    <w:p>
      <w:pPr>
        <w:spacing w:line="400" w:lineRule="exact"/>
        <w:jc w:val="center"/>
        <w:rPr>
          <w:b/>
          <w:bCs/>
          <w:sz w:val="24"/>
          <w:szCs w:val="22"/>
        </w:rPr>
      </w:pPr>
      <w:r>
        <w:rPr>
          <w:b/>
          <w:bCs/>
          <w:sz w:val="24"/>
          <w:szCs w:val="22"/>
        </w:rPr>
        <w:t>表3-2-17 长沙县土地市场风险调整值结果</w:t>
      </w:r>
    </w:p>
    <w:tbl>
      <w:tblPr>
        <w:tblW w:w="887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408"/>
        <w:gridCol w:w="2657"/>
        <w:gridCol w:w="2552"/>
        <w:gridCol w:w="22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4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土地市场</w:t>
            </w:r>
          </w:p>
        </w:tc>
        <w:tc>
          <w:tcPr>
            <w:tcW w:w="26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b/>
                <w:color w:val="000000"/>
                <w:szCs w:val="21"/>
              </w:rPr>
            </w:pPr>
            <w:r>
              <w:rPr>
                <w:b/>
                <w:color w:val="000000"/>
                <w:kern w:val="0"/>
                <w:szCs w:val="21"/>
                <w:lang/>
              </w:rPr>
              <w:t>商服用地</w:t>
            </w:r>
          </w:p>
        </w:tc>
        <w:tc>
          <w:tcPr>
            <w:tcW w:w="25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b/>
                <w:color w:val="000000"/>
                <w:szCs w:val="21"/>
              </w:rPr>
            </w:pPr>
            <w:r>
              <w:rPr>
                <w:b/>
                <w:color w:val="000000"/>
                <w:kern w:val="0"/>
                <w:szCs w:val="21"/>
                <w:lang/>
              </w:rPr>
              <w:t>住宅用地</w:t>
            </w:r>
          </w:p>
        </w:tc>
        <w:tc>
          <w:tcPr>
            <w:tcW w:w="22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b/>
                <w:color w:val="000000"/>
                <w:szCs w:val="21"/>
              </w:rPr>
            </w:pPr>
            <w:r>
              <w:rPr>
                <w:b/>
                <w:color w:val="000000"/>
                <w:kern w:val="0"/>
                <w:szCs w:val="21"/>
                <w:lang/>
              </w:rPr>
              <w:t>工矿仓储用地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jc w:val="center"/>
        </w:trPr>
        <w:tc>
          <w:tcPr>
            <w:tcW w:w="14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风险调整值</w:t>
            </w:r>
          </w:p>
        </w:tc>
        <w:tc>
          <w:tcPr>
            <w:tcW w:w="26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0.76ar+0.24br</w:t>
            </w:r>
          </w:p>
        </w:tc>
        <w:tc>
          <w:tcPr>
            <w:tcW w:w="25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0.57ar+0.37br+0.06r</w:t>
            </w:r>
          </w:p>
        </w:tc>
        <w:tc>
          <w:tcPr>
            <w:tcW w:w="22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0.4ar+0.33br+0.27r</w:t>
            </w:r>
          </w:p>
        </w:tc>
      </w:tr>
    </w:tbl>
    <w:p>
      <w:pPr>
        <w:spacing w:beforeLines="50" w:line="360" w:lineRule="auto"/>
        <w:ind w:firstLine="480" w:firstLineChars="200"/>
        <w:rPr>
          <w:sz w:val="24"/>
          <w:szCs w:val="24"/>
        </w:rPr>
      </w:pPr>
      <w:r>
        <w:rPr>
          <w:sz w:val="24"/>
          <w:szCs w:val="24"/>
        </w:rPr>
        <w:t>（4）还原利率的确定</w:t>
      </w:r>
    </w:p>
    <w:p>
      <w:pPr>
        <w:spacing w:line="360" w:lineRule="auto"/>
        <w:ind w:firstLine="480" w:firstLineChars="200"/>
        <w:rPr>
          <w:sz w:val="24"/>
          <w:szCs w:val="24"/>
        </w:rPr>
      </w:pPr>
      <w:r>
        <w:rPr>
          <w:sz w:val="24"/>
          <w:szCs w:val="24"/>
        </w:rPr>
        <w:t>根据安全利率加风险调整值法确定还原利率的公式，由于前文已经确定了商服用地及住宅用地的还原利率，因此，根据还原利率=安全利率+风险调整值，确定风险调整值结果中参数a、b的值。</w:t>
      </w:r>
    </w:p>
    <w:p>
      <w:pPr>
        <w:spacing w:line="360" w:lineRule="auto"/>
        <w:ind w:firstLine="480" w:firstLineChars="200"/>
        <w:rPr>
          <w:sz w:val="24"/>
          <w:szCs w:val="24"/>
        </w:rPr>
      </w:pPr>
      <w:r>
        <w:rPr>
          <w:sz w:val="24"/>
          <w:szCs w:val="24"/>
        </w:rPr>
        <w:t>8.79%=1.5%+0.76ar+0.24br   （商服用地的风险调整值）</w:t>
      </w:r>
    </w:p>
    <w:p>
      <w:pPr>
        <w:spacing w:line="360" w:lineRule="auto"/>
        <w:ind w:firstLine="480" w:firstLineChars="200"/>
        <w:rPr>
          <w:sz w:val="24"/>
          <w:szCs w:val="24"/>
        </w:rPr>
      </w:pPr>
      <w:r>
        <w:rPr>
          <w:sz w:val="24"/>
          <w:szCs w:val="24"/>
        </w:rPr>
        <w:t>7.54%=1.5%+0.57ar+0.37br+0.06r    （住宅用地的风险调整值）</w:t>
      </w:r>
    </w:p>
    <w:p>
      <w:pPr>
        <w:spacing w:line="360" w:lineRule="auto"/>
        <w:ind w:firstLine="480" w:firstLineChars="200"/>
        <w:rPr>
          <w:sz w:val="24"/>
          <w:szCs w:val="24"/>
        </w:rPr>
      </w:pPr>
      <w:r>
        <w:rPr>
          <w:sz w:val="24"/>
          <w:szCs w:val="24"/>
        </w:rPr>
        <w:t>通过计算，可得到：a=(0.087/r)+0.1   b=(0.027/r)-0.316</w:t>
      </w:r>
    </w:p>
    <w:p>
      <w:pPr>
        <w:spacing w:line="360" w:lineRule="auto"/>
        <w:ind w:firstLine="480" w:firstLineChars="200"/>
        <w:rPr>
          <w:sz w:val="24"/>
          <w:szCs w:val="24"/>
        </w:rPr>
      </w:pPr>
      <w:r>
        <w:rPr>
          <w:sz w:val="24"/>
          <w:szCs w:val="24"/>
        </w:rPr>
        <w:t>由于市场风险对不同土地利用用途的风险调整值的影响，在数值上表现成梯度递增。设n为市场风险影响程度递增倍数，则：</w:t>
      </w:r>
    </w:p>
    <w:p>
      <w:pPr>
        <w:spacing w:line="360" w:lineRule="auto"/>
        <w:ind w:firstLine="480" w:firstLineChars="200"/>
        <w:jc w:val="center"/>
        <w:rPr>
          <w:sz w:val="24"/>
          <w:szCs w:val="24"/>
        </w:rPr>
      </w:pPr>
      <w:r>
        <w:rPr>
          <w:sz w:val="24"/>
          <w:szCs w:val="24"/>
        </w:rPr>
        <w:t>a-b=n(b-1)    b-1=n(1-0)     (且a＞b＞1)</w:t>
      </w:r>
    </w:p>
    <w:p>
      <w:pPr>
        <w:spacing w:line="360" w:lineRule="auto"/>
        <w:ind w:firstLine="480" w:firstLineChars="200"/>
        <w:rPr>
          <w:sz w:val="24"/>
          <w:szCs w:val="24"/>
        </w:rPr>
      </w:pPr>
      <w:r>
        <w:rPr>
          <w:sz w:val="24"/>
          <w:szCs w:val="24"/>
        </w:rPr>
        <w:t>则r=0.0082，b=2.9767，a=10.7098，工矿仓储用地风险调整值为4.5%。</w:t>
      </w:r>
    </w:p>
    <w:p>
      <w:pPr>
        <w:spacing w:line="360" w:lineRule="auto"/>
        <w:ind w:firstLine="480" w:firstLineChars="200"/>
        <w:rPr>
          <w:sz w:val="24"/>
          <w:szCs w:val="24"/>
        </w:rPr>
      </w:pPr>
      <w:r>
        <w:rPr>
          <w:sz w:val="24"/>
          <w:szCs w:val="24"/>
        </w:rPr>
        <w:t>所以，工矿仓储用地的土地还原利率为：1.5%+4.5%=6.0%。房屋还原利率在土地还原利率的基础上，上浮一点五个百分点，则长沙县工矿仓储用地房屋还原利率为7.5%。</w:t>
      </w:r>
    </w:p>
    <w:p>
      <w:pPr>
        <w:spacing w:line="360" w:lineRule="auto"/>
        <w:ind w:firstLine="480" w:firstLineChars="200"/>
        <w:rPr>
          <w:sz w:val="24"/>
          <w:szCs w:val="24"/>
        </w:rPr>
      </w:pPr>
      <w:r>
        <w:rPr>
          <w:sz w:val="24"/>
          <w:szCs w:val="24"/>
        </w:rPr>
        <w:t>长沙县本轮基准地价评估中收益还原法的还原利率见表3-2-18。</w:t>
      </w:r>
    </w:p>
    <w:p>
      <w:pPr>
        <w:spacing w:line="480" w:lineRule="exact"/>
        <w:jc w:val="center"/>
        <w:rPr>
          <w:b/>
          <w:bCs/>
          <w:sz w:val="24"/>
          <w:szCs w:val="22"/>
        </w:rPr>
      </w:pPr>
      <w:r>
        <w:rPr>
          <w:b/>
          <w:bCs/>
          <w:sz w:val="24"/>
          <w:szCs w:val="22"/>
        </w:rPr>
        <w:t>表3-2-18  还原利率结果表</w:t>
      </w:r>
    </w:p>
    <w:tbl>
      <w:tblPr>
        <w:tblW w:w="88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218"/>
        <w:gridCol w:w="2218"/>
        <w:gridCol w:w="2218"/>
        <w:gridCol w:w="22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2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土地用途</w:t>
            </w:r>
          </w:p>
        </w:tc>
        <w:tc>
          <w:tcPr>
            <w:tcW w:w="2218" w:type="dxa"/>
            <w:tcBorders>
              <w:top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商服用地</w:t>
            </w:r>
          </w:p>
        </w:tc>
        <w:tc>
          <w:tcPr>
            <w:tcW w:w="2218" w:type="dxa"/>
            <w:tcBorders>
              <w:top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住宅用地</w:t>
            </w:r>
          </w:p>
        </w:tc>
        <w:tc>
          <w:tcPr>
            <w:tcW w:w="2221" w:type="dxa"/>
            <w:tcBorders>
              <w:top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工矿仓储用地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218" w:type="dxa"/>
            <w:tcBorders>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土地还原利率（%</w:t>
            </w:r>
            <w:r>
              <w:rPr>
                <w:rStyle w:val="149"/>
                <w:rFonts w:hint="default" w:ascii="Times New Roman" w:hAnsi="Times New Roman" w:cs="Times New Roman"/>
                <w:lang/>
              </w:rPr>
              <w:t>）</w:t>
            </w:r>
          </w:p>
        </w:tc>
        <w:tc>
          <w:tcPr>
            <w:tcW w:w="2218" w:type="dxa"/>
            <w:tcBorders>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8.79</w:t>
            </w:r>
          </w:p>
        </w:tc>
        <w:tc>
          <w:tcPr>
            <w:tcW w:w="2218" w:type="dxa"/>
            <w:tcBorders>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7.54</w:t>
            </w:r>
          </w:p>
        </w:tc>
        <w:tc>
          <w:tcPr>
            <w:tcW w:w="2221" w:type="dxa"/>
            <w:tcBorders>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2" w:hRule="atLeast"/>
        </w:trPr>
        <w:tc>
          <w:tcPr>
            <w:tcW w:w="2218" w:type="dxa"/>
            <w:tcBorders>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房屋还原利率（%</w:t>
            </w:r>
            <w:r>
              <w:rPr>
                <w:rStyle w:val="149"/>
                <w:rFonts w:hint="default" w:ascii="Times New Roman" w:hAnsi="Times New Roman" w:cs="Times New Roman"/>
                <w:lang/>
              </w:rPr>
              <w:t>）</w:t>
            </w:r>
          </w:p>
        </w:tc>
        <w:tc>
          <w:tcPr>
            <w:tcW w:w="2218" w:type="dxa"/>
            <w:tcBorders>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10.03</w:t>
            </w:r>
          </w:p>
        </w:tc>
        <w:tc>
          <w:tcPr>
            <w:tcW w:w="2218" w:type="dxa"/>
            <w:tcBorders>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8.77</w:t>
            </w:r>
          </w:p>
        </w:tc>
        <w:tc>
          <w:tcPr>
            <w:tcW w:w="2221" w:type="dxa"/>
            <w:tcBorders>
              <w:bottom w:val="single" w:color="000000" w:sz="4" w:space="0"/>
              <w:right w:val="single" w:color="000000" w:sz="4" w:space="0"/>
            </w:tcBorders>
            <w:vAlign w:val="center"/>
          </w:tcPr>
          <w:p>
            <w:pPr>
              <w:widowControl/>
              <w:jc w:val="center"/>
              <w:textAlignment w:val="center"/>
              <w:rPr>
                <w:color w:val="000000"/>
                <w:kern w:val="0"/>
                <w:szCs w:val="21"/>
                <w:lang/>
              </w:rPr>
            </w:pPr>
            <w:r>
              <w:rPr>
                <w:color w:val="000000"/>
                <w:kern w:val="0"/>
                <w:szCs w:val="21"/>
                <w:lang/>
              </w:rPr>
              <w:t>7.5</w:t>
            </w:r>
          </w:p>
        </w:tc>
      </w:tr>
    </w:tbl>
    <w:p>
      <w:pPr>
        <w:spacing w:line="360" w:lineRule="auto"/>
        <w:ind w:firstLine="480" w:firstLineChars="200"/>
        <w:jc w:val="left"/>
        <w:textAlignment w:val="baseline"/>
        <w:rPr>
          <w:sz w:val="24"/>
          <w:szCs w:val="24"/>
        </w:rPr>
      </w:pPr>
      <w:r>
        <w:rPr>
          <w:sz w:val="24"/>
          <w:szCs w:val="24"/>
        </w:rPr>
        <w:t>备注：取小数点后一位数。</w:t>
      </w:r>
    </w:p>
    <w:p>
      <w:pPr>
        <w:spacing w:line="360" w:lineRule="auto"/>
        <w:ind w:firstLine="560" w:firstLineChars="200"/>
        <w:outlineLvl w:val="2"/>
        <w:rPr>
          <w:rFonts w:eastAsia="黑体"/>
          <w:sz w:val="28"/>
          <w:szCs w:val="28"/>
        </w:rPr>
      </w:pPr>
      <w:bookmarkStart w:id="552" w:name="_Toc20430"/>
      <w:bookmarkStart w:id="553" w:name="_Toc469296465"/>
      <w:bookmarkStart w:id="554" w:name="_Toc470721316"/>
      <w:bookmarkStart w:id="555" w:name="_Toc467846856"/>
      <w:bookmarkStart w:id="556" w:name="_Toc25412"/>
      <w:r>
        <w:rPr>
          <w:rFonts w:eastAsia="黑体"/>
          <w:sz w:val="28"/>
          <w:szCs w:val="28"/>
        </w:rPr>
        <w:t>二、不同类型样点地价的测算</w:t>
      </w:r>
      <w:bookmarkEnd w:id="548"/>
      <w:bookmarkEnd w:id="549"/>
      <w:bookmarkEnd w:id="550"/>
      <w:bookmarkEnd w:id="551"/>
      <w:bookmarkEnd w:id="552"/>
      <w:bookmarkEnd w:id="553"/>
      <w:bookmarkEnd w:id="554"/>
      <w:bookmarkEnd w:id="555"/>
      <w:bookmarkEnd w:id="556"/>
    </w:p>
    <w:p>
      <w:pPr>
        <w:spacing w:line="360" w:lineRule="auto"/>
        <w:ind w:firstLine="480" w:firstLineChars="200"/>
        <w:rPr>
          <w:sz w:val="24"/>
          <w:lang w:val="zh-CN"/>
        </w:rPr>
      </w:pPr>
      <w:r>
        <w:rPr>
          <w:sz w:val="24"/>
          <w:lang w:val="zh-CN"/>
        </w:rPr>
        <w:t>不同交易类型的样点有不同的地价计算方法。本次基准地价更新所收集的样点类型主要包括房屋出租、商品房出售、房屋买卖、土地出让、土地转让及征地拆迁六种类型。除了土地出让和土地转让样点可直接获取相应地价外，房屋租赁样点需用收益还原法、房屋买卖和商品房出售样点需用剩余法、征地拆迁样点需用成本逼近法测定其地价。现就各类型样点的地价测算方法简述如下：</w:t>
      </w:r>
    </w:p>
    <w:p>
      <w:pPr>
        <w:spacing w:line="360" w:lineRule="auto"/>
        <w:ind w:firstLine="482" w:firstLineChars="200"/>
        <w:rPr>
          <w:b/>
          <w:sz w:val="24"/>
          <w:lang w:val="zh-CN"/>
        </w:rPr>
      </w:pPr>
      <w:r>
        <w:rPr>
          <w:b/>
          <w:sz w:val="24"/>
          <w:lang w:val="zh-CN"/>
        </w:rPr>
        <w:t>（一）房屋出租样点地价计算</w:t>
      </w:r>
    </w:p>
    <w:p>
      <w:pPr>
        <w:spacing w:line="360" w:lineRule="auto"/>
        <w:ind w:firstLine="480" w:firstLineChars="200"/>
        <w:rPr>
          <w:sz w:val="24"/>
          <w:lang w:val="zh-CN"/>
        </w:rPr>
      </w:pPr>
      <w:r>
        <w:rPr>
          <w:sz w:val="24"/>
          <w:lang w:val="zh-CN"/>
        </w:rPr>
        <w:t>从实地调查房地出租样点的房地租金，用房地租金剥离法从中测算出地价，计算方法如下：</w:t>
      </w:r>
    </w:p>
    <w:p>
      <w:pPr>
        <w:spacing w:line="360" w:lineRule="auto"/>
        <w:ind w:firstLine="480" w:firstLineChars="200"/>
        <w:rPr>
          <w:sz w:val="24"/>
          <w:lang w:val="zh-CN"/>
        </w:rPr>
      </w:pPr>
      <w:r>
        <w:rPr>
          <w:sz w:val="24"/>
          <w:lang w:val="zh-CN"/>
        </w:rPr>
        <w:t>1、估算房地出租年总收益</w:t>
      </w:r>
    </w:p>
    <w:p>
      <w:pPr>
        <w:spacing w:line="360" w:lineRule="auto"/>
        <w:ind w:firstLine="480" w:firstLineChars="200"/>
        <w:rPr>
          <w:sz w:val="24"/>
          <w:lang w:val="zh-CN"/>
        </w:rPr>
      </w:pPr>
      <w:r>
        <w:rPr>
          <w:sz w:val="24"/>
          <w:lang w:val="zh-CN"/>
        </w:rPr>
        <w:t>现行市场交易中的年房地租金，包括房地出租租金收益和租赁押金利息收益，即房地出租年总收益：</w:t>
      </w:r>
    </w:p>
    <w:p>
      <w:pPr>
        <w:spacing w:line="360" w:lineRule="auto"/>
        <w:jc w:val="center"/>
        <w:rPr>
          <w:sz w:val="24"/>
        </w:rPr>
      </w:pPr>
      <w:r>
        <w:rPr>
          <w:sz w:val="24"/>
        </w:rPr>
        <w:t>R</w:t>
      </w:r>
      <w:r>
        <w:rPr>
          <w:sz w:val="24"/>
          <w:vertAlign w:val="subscript"/>
        </w:rPr>
        <w:t>lg</w:t>
      </w:r>
      <w:r>
        <w:rPr>
          <w:sz w:val="24"/>
        </w:rPr>
        <w:t>=C+B</w:t>
      </w:r>
    </w:p>
    <w:p>
      <w:pPr>
        <w:spacing w:line="360" w:lineRule="auto"/>
        <w:ind w:firstLine="480" w:firstLineChars="200"/>
        <w:rPr>
          <w:sz w:val="24"/>
        </w:rPr>
      </w:pPr>
      <w:r>
        <w:rPr>
          <w:sz w:val="24"/>
        </w:rPr>
        <w:t>式中：R</w:t>
      </w:r>
      <w:r>
        <w:rPr>
          <w:sz w:val="24"/>
          <w:vertAlign w:val="subscript"/>
        </w:rPr>
        <w:t>lg</w:t>
      </w:r>
      <w:r>
        <w:rPr>
          <w:sz w:val="24"/>
        </w:rPr>
        <w:t>：房地出租年总收益；C：实际成交年租金；B：押金的年利息，为押金×4.14%。</w:t>
      </w:r>
    </w:p>
    <w:p>
      <w:pPr>
        <w:spacing w:line="360" w:lineRule="auto"/>
        <w:ind w:firstLine="480" w:firstLineChars="200"/>
        <w:rPr>
          <w:sz w:val="24"/>
        </w:rPr>
      </w:pPr>
      <w:r>
        <w:rPr>
          <w:sz w:val="24"/>
        </w:rPr>
        <w:t>2、确定房地出租年总费用（C</w:t>
      </w:r>
      <w:r>
        <w:rPr>
          <w:sz w:val="24"/>
          <w:vertAlign w:val="subscript"/>
        </w:rPr>
        <w:t>lg</w:t>
      </w:r>
      <w:r>
        <w:rPr>
          <w:sz w:val="24"/>
        </w:rPr>
        <w:t>）</w:t>
      </w:r>
    </w:p>
    <w:p>
      <w:pPr>
        <w:spacing w:line="360" w:lineRule="auto"/>
        <w:ind w:firstLine="480" w:firstLineChars="200"/>
        <w:rPr>
          <w:sz w:val="24"/>
          <w:lang w:val="zh-CN"/>
        </w:rPr>
      </w:pPr>
      <w:r>
        <w:rPr>
          <w:sz w:val="24"/>
          <w:lang w:val="zh-CN"/>
        </w:rPr>
        <w:t>房地出租总费用一般包括管理费、维护费、折旧费、保险费和税金等其它费用。</w:t>
      </w:r>
    </w:p>
    <w:p>
      <w:pPr>
        <w:spacing w:line="360" w:lineRule="auto"/>
        <w:ind w:firstLine="480" w:firstLineChars="200"/>
        <w:rPr>
          <w:sz w:val="24"/>
          <w:lang w:val="zh-CN"/>
        </w:rPr>
      </w:pPr>
      <w:r>
        <w:rPr>
          <w:sz w:val="24"/>
          <w:lang w:val="zh-CN"/>
        </w:rPr>
        <w:t>3、计算房地年纯收益</w:t>
      </w:r>
    </w:p>
    <w:p>
      <w:pPr>
        <w:spacing w:line="360" w:lineRule="auto"/>
        <w:ind w:firstLine="480" w:firstLineChars="200"/>
        <w:rPr>
          <w:sz w:val="24"/>
          <w:lang w:val="zh-CN"/>
        </w:rPr>
      </w:pPr>
      <w:r>
        <w:rPr>
          <w:sz w:val="24"/>
          <w:lang w:val="zh-CN"/>
        </w:rPr>
        <w:t>从房地年总收益中扣除年总费用，按公式计算房地年纯收益：</w:t>
      </w:r>
    </w:p>
    <w:p>
      <w:pPr>
        <w:spacing w:line="360" w:lineRule="auto"/>
        <w:jc w:val="center"/>
        <w:rPr>
          <w:sz w:val="24"/>
        </w:rPr>
      </w:pPr>
      <w:r>
        <w:rPr>
          <w:sz w:val="24"/>
        </w:rPr>
        <w:t>R</w:t>
      </w:r>
      <w:r>
        <w:rPr>
          <w:sz w:val="24"/>
          <w:vertAlign w:val="subscript"/>
        </w:rPr>
        <w:t>in</w:t>
      </w:r>
      <w:r>
        <w:rPr>
          <w:sz w:val="24"/>
        </w:rPr>
        <w:t>=R</w:t>
      </w:r>
      <w:r>
        <w:rPr>
          <w:sz w:val="24"/>
          <w:vertAlign w:val="subscript"/>
        </w:rPr>
        <w:t>lg</w:t>
      </w:r>
      <w:r>
        <w:rPr>
          <w:sz w:val="24"/>
        </w:rPr>
        <w:t>-C</w:t>
      </w:r>
      <w:r>
        <w:rPr>
          <w:sz w:val="24"/>
          <w:vertAlign w:val="subscript"/>
        </w:rPr>
        <w:t>lg</w:t>
      </w:r>
    </w:p>
    <w:p>
      <w:pPr>
        <w:spacing w:line="360" w:lineRule="auto"/>
        <w:ind w:firstLine="480" w:firstLineChars="200"/>
        <w:rPr>
          <w:sz w:val="24"/>
        </w:rPr>
      </w:pPr>
      <w:r>
        <w:rPr>
          <w:sz w:val="24"/>
        </w:rPr>
        <w:t>式中：R</w:t>
      </w:r>
      <w:r>
        <w:rPr>
          <w:sz w:val="24"/>
          <w:vertAlign w:val="subscript"/>
        </w:rPr>
        <w:t>in</w:t>
      </w:r>
      <w:r>
        <w:rPr>
          <w:sz w:val="24"/>
        </w:rPr>
        <w:t>：房地出租年纯收益；R</w:t>
      </w:r>
      <w:r>
        <w:rPr>
          <w:sz w:val="24"/>
          <w:vertAlign w:val="subscript"/>
        </w:rPr>
        <w:t>lg</w:t>
      </w:r>
      <w:r>
        <w:rPr>
          <w:sz w:val="24"/>
        </w:rPr>
        <w:t>：房地出租年总收益；C</w:t>
      </w:r>
      <w:r>
        <w:rPr>
          <w:sz w:val="24"/>
          <w:vertAlign w:val="subscript"/>
        </w:rPr>
        <w:t>lg</w:t>
      </w:r>
      <w:r>
        <w:rPr>
          <w:sz w:val="24"/>
        </w:rPr>
        <w:t>：房地出租年总费用，等于E</w:t>
      </w:r>
      <w:r>
        <w:rPr>
          <w:sz w:val="24"/>
          <w:vertAlign w:val="subscript"/>
        </w:rPr>
        <w:t>1</w:t>
      </w:r>
      <w:r>
        <w:rPr>
          <w:sz w:val="24"/>
        </w:rPr>
        <w:t>＋E</w:t>
      </w:r>
      <w:r>
        <w:rPr>
          <w:sz w:val="24"/>
          <w:vertAlign w:val="subscript"/>
        </w:rPr>
        <w:t>2</w:t>
      </w:r>
      <w:r>
        <w:rPr>
          <w:sz w:val="24"/>
        </w:rPr>
        <w:t>＋E</w:t>
      </w:r>
      <w:r>
        <w:rPr>
          <w:sz w:val="24"/>
          <w:vertAlign w:val="subscript"/>
        </w:rPr>
        <w:t>3</w:t>
      </w:r>
      <w:r>
        <w:rPr>
          <w:sz w:val="24"/>
        </w:rPr>
        <w:t>＋E</w:t>
      </w:r>
      <w:r>
        <w:rPr>
          <w:sz w:val="24"/>
          <w:vertAlign w:val="subscript"/>
        </w:rPr>
        <w:t>4</w:t>
      </w:r>
      <w:r>
        <w:rPr>
          <w:sz w:val="24"/>
        </w:rPr>
        <w:t>＋T，E</w:t>
      </w:r>
      <w:r>
        <w:rPr>
          <w:sz w:val="24"/>
          <w:vertAlign w:val="subscript"/>
        </w:rPr>
        <w:t>1</w:t>
      </w:r>
      <w:r>
        <w:rPr>
          <w:sz w:val="24"/>
        </w:rPr>
        <w:t>为房地出租经营管理费，E</w:t>
      </w:r>
      <w:r>
        <w:rPr>
          <w:sz w:val="24"/>
          <w:vertAlign w:val="subscript"/>
        </w:rPr>
        <w:t>2</w:t>
      </w:r>
      <w:r>
        <w:rPr>
          <w:sz w:val="24"/>
        </w:rPr>
        <w:t>为房地出租经营维修费，E</w:t>
      </w:r>
      <w:r>
        <w:rPr>
          <w:sz w:val="24"/>
          <w:vertAlign w:val="subscript"/>
        </w:rPr>
        <w:t>3</w:t>
      </w:r>
      <w:r>
        <w:rPr>
          <w:sz w:val="24"/>
        </w:rPr>
        <w:t>为房屋年保险费，E</w:t>
      </w:r>
      <w:r>
        <w:rPr>
          <w:sz w:val="24"/>
          <w:vertAlign w:val="subscript"/>
        </w:rPr>
        <w:t>4</w:t>
      </w:r>
      <w:r>
        <w:rPr>
          <w:sz w:val="24"/>
        </w:rPr>
        <w:t>为房屋年折旧费，T为房地出租年应交税金。</w:t>
      </w:r>
    </w:p>
    <w:p>
      <w:pPr>
        <w:spacing w:line="360" w:lineRule="auto"/>
        <w:ind w:firstLine="480" w:firstLineChars="200"/>
        <w:rPr>
          <w:sz w:val="24"/>
          <w:lang w:val="zh-CN"/>
        </w:rPr>
      </w:pPr>
      <w:r>
        <w:rPr>
          <w:sz w:val="24"/>
          <w:lang w:val="zh-CN"/>
        </w:rPr>
        <w:t>4、计算房屋年纯收益</w:t>
      </w:r>
    </w:p>
    <w:p>
      <w:pPr>
        <w:spacing w:line="360" w:lineRule="auto"/>
        <w:ind w:firstLine="480" w:firstLineChars="200"/>
        <w:rPr>
          <w:sz w:val="24"/>
          <w:lang w:val="zh-CN"/>
        </w:rPr>
      </w:pPr>
      <w:r>
        <w:rPr>
          <w:sz w:val="24"/>
          <w:lang w:val="zh-CN"/>
        </w:rPr>
        <w:t>将房屋现值作为资本投资，按正式计算房屋年纯收益：</w:t>
      </w:r>
    </w:p>
    <w:p>
      <w:pPr>
        <w:spacing w:line="360" w:lineRule="auto"/>
        <w:jc w:val="center"/>
        <w:rPr>
          <w:sz w:val="24"/>
        </w:rPr>
      </w:pPr>
      <w:r>
        <w:rPr>
          <w:sz w:val="24"/>
        </w:rPr>
        <w:t>I</w:t>
      </w:r>
      <w:r>
        <w:rPr>
          <w:sz w:val="24"/>
          <w:vertAlign w:val="subscript"/>
        </w:rPr>
        <w:t>hn</w:t>
      </w:r>
      <w:r>
        <w:rPr>
          <w:sz w:val="24"/>
        </w:rPr>
        <w:t>=P</w:t>
      </w:r>
      <w:r>
        <w:rPr>
          <w:sz w:val="24"/>
          <w:vertAlign w:val="subscript"/>
        </w:rPr>
        <w:t>hc</w:t>
      </w:r>
      <w:r>
        <w:rPr>
          <w:sz w:val="24"/>
        </w:rPr>
        <w:t>×r</w:t>
      </w:r>
      <w:r>
        <w:rPr>
          <w:sz w:val="24"/>
          <w:vertAlign w:val="subscript"/>
        </w:rPr>
        <w:t>h</w:t>
      </w:r>
    </w:p>
    <w:p>
      <w:pPr>
        <w:spacing w:line="360" w:lineRule="auto"/>
        <w:ind w:firstLine="480" w:firstLineChars="200"/>
        <w:rPr>
          <w:sz w:val="24"/>
        </w:rPr>
      </w:pPr>
      <w:r>
        <w:rPr>
          <w:sz w:val="24"/>
        </w:rPr>
        <w:t>式中：P</w:t>
      </w:r>
      <w:r>
        <w:rPr>
          <w:sz w:val="24"/>
          <w:vertAlign w:val="subscript"/>
        </w:rPr>
        <w:t>hc</w:t>
      </w:r>
      <w:r>
        <w:rPr>
          <w:sz w:val="24"/>
        </w:rPr>
        <w:t>=P</w:t>
      </w:r>
      <w:r>
        <w:rPr>
          <w:sz w:val="24"/>
          <w:vertAlign w:val="subscript"/>
        </w:rPr>
        <w:t>hk</w:t>
      </w:r>
      <w:r>
        <w:rPr>
          <w:sz w:val="24"/>
        </w:rPr>
        <w:t>－(P</w:t>
      </w:r>
      <w:r>
        <w:rPr>
          <w:sz w:val="24"/>
          <w:vertAlign w:val="subscript"/>
        </w:rPr>
        <w:t>hk</w:t>
      </w:r>
      <w:r>
        <w:rPr>
          <w:sz w:val="24"/>
        </w:rPr>
        <w:t>－P</w:t>
      </w:r>
      <w:r>
        <w:rPr>
          <w:sz w:val="24"/>
          <w:vertAlign w:val="subscript"/>
        </w:rPr>
        <w:t>hd</w:t>
      </w:r>
      <w:r>
        <w:rPr>
          <w:sz w:val="24"/>
        </w:rPr>
        <w:t>)×N</w:t>
      </w:r>
      <w:r>
        <w:rPr>
          <w:sz w:val="24"/>
          <w:vertAlign w:val="subscript"/>
        </w:rPr>
        <w:t>1</w:t>
      </w:r>
      <w:r>
        <w:rPr>
          <w:sz w:val="24"/>
        </w:rPr>
        <w:t>/N=P</w:t>
      </w:r>
      <w:r>
        <w:rPr>
          <w:sz w:val="24"/>
          <w:vertAlign w:val="subscript"/>
        </w:rPr>
        <w:t>hk</w:t>
      </w:r>
      <w:r>
        <w:rPr>
          <w:sz w:val="24"/>
        </w:rPr>
        <w:t>×D</w:t>
      </w:r>
      <w:r>
        <w:rPr>
          <w:sz w:val="24"/>
          <w:vertAlign w:val="subscript"/>
        </w:rPr>
        <w:t>n</w:t>
      </w:r>
      <w:r>
        <w:rPr>
          <w:sz w:val="24"/>
        </w:rPr>
        <w:t>；I</w:t>
      </w:r>
      <w:r>
        <w:rPr>
          <w:sz w:val="24"/>
          <w:vertAlign w:val="subscript"/>
        </w:rPr>
        <w:t>hn</w:t>
      </w:r>
      <w:r>
        <w:rPr>
          <w:sz w:val="24"/>
        </w:rPr>
        <w:t>：房屋年纯收益；P</w:t>
      </w:r>
      <w:r>
        <w:rPr>
          <w:sz w:val="24"/>
          <w:vertAlign w:val="subscript"/>
        </w:rPr>
        <w:t>hc</w:t>
      </w:r>
      <w:r>
        <w:rPr>
          <w:sz w:val="24"/>
        </w:rPr>
        <w:t>：出租房屋的现值；r</w:t>
      </w:r>
      <w:r>
        <w:rPr>
          <w:sz w:val="24"/>
          <w:vertAlign w:val="subscript"/>
        </w:rPr>
        <w:t>h</w:t>
      </w:r>
      <w:r>
        <w:rPr>
          <w:sz w:val="24"/>
        </w:rPr>
        <w:t>：房屋还原率；P</w:t>
      </w:r>
      <w:r>
        <w:rPr>
          <w:sz w:val="24"/>
          <w:vertAlign w:val="subscript"/>
        </w:rPr>
        <w:t>hk</w:t>
      </w:r>
      <w:r>
        <w:rPr>
          <w:sz w:val="24"/>
        </w:rPr>
        <w:t>：房屋重置价格；P</w:t>
      </w:r>
      <w:r>
        <w:rPr>
          <w:sz w:val="24"/>
          <w:vertAlign w:val="subscript"/>
        </w:rPr>
        <w:t>hd</w:t>
      </w:r>
      <w:r>
        <w:rPr>
          <w:sz w:val="24"/>
        </w:rPr>
        <w:t>：房屋残值；N</w:t>
      </w:r>
      <w:r>
        <w:rPr>
          <w:sz w:val="24"/>
          <w:vertAlign w:val="subscript"/>
        </w:rPr>
        <w:t>1</w:t>
      </w:r>
      <w:r>
        <w:rPr>
          <w:sz w:val="24"/>
        </w:rPr>
        <w:t>：房屋已使用年限；N：房屋耐用年限；D</w:t>
      </w:r>
      <w:r>
        <w:rPr>
          <w:sz w:val="24"/>
          <w:vertAlign w:val="subscript"/>
        </w:rPr>
        <w:t>n</w:t>
      </w:r>
      <w:r>
        <w:rPr>
          <w:sz w:val="24"/>
        </w:rPr>
        <w:t>：房屋成新度。</w:t>
      </w:r>
    </w:p>
    <w:p>
      <w:pPr>
        <w:spacing w:line="360" w:lineRule="auto"/>
        <w:ind w:firstLine="480" w:firstLineChars="200"/>
        <w:rPr>
          <w:sz w:val="24"/>
        </w:rPr>
      </w:pPr>
      <w:r>
        <w:rPr>
          <w:sz w:val="24"/>
        </w:rPr>
        <w:t>5、</w:t>
      </w:r>
      <w:r>
        <w:rPr>
          <w:sz w:val="24"/>
          <w:lang w:val="zh-CN"/>
        </w:rPr>
        <w:t>计算土地价格</w:t>
      </w:r>
    </w:p>
    <w:p>
      <w:pPr>
        <w:spacing w:line="360" w:lineRule="auto"/>
        <w:ind w:firstLine="480" w:firstLineChars="200"/>
        <w:rPr>
          <w:sz w:val="24"/>
          <w:lang w:val="zh-CN"/>
        </w:rPr>
      </w:pPr>
      <w:r>
        <w:rPr>
          <w:sz w:val="24"/>
          <w:lang w:val="zh-CN"/>
        </w:rPr>
        <w:t>从房地年纯收益中，扣除房屋年纯收益，按下式计算土地价格：</w:t>
      </w:r>
    </w:p>
    <w:p>
      <w:pPr>
        <w:spacing w:line="360" w:lineRule="auto"/>
        <w:jc w:val="center"/>
        <w:rPr>
          <w:sz w:val="24"/>
        </w:rPr>
      </w:pPr>
      <w:r>
        <w:rPr>
          <w:sz w:val="24"/>
        </w:rPr>
        <w:t>P</w:t>
      </w:r>
      <w:r>
        <w:rPr>
          <w:sz w:val="24"/>
          <w:vertAlign w:val="subscript"/>
        </w:rPr>
        <w:t>is</w:t>
      </w:r>
      <w:r>
        <w:rPr>
          <w:sz w:val="24"/>
        </w:rPr>
        <w:t>=[R</w:t>
      </w:r>
      <w:r>
        <w:rPr>
          <w:sz w:val="24"/>
          <w:vertAlign w:val="subscript"/>
        </w:rPr>
        <w:t>in</w:t>
      </w:r>
      <w:r>
        <w:rPr>
          <w:sz w:val="24"/>
        </w:rPr>
        <w:t>－I</w:t>
      </w:r>
      <w:r>
        <w:rPr>
          <w:sz w:val="24"/>
          <w:vertAlign w:val="subscript"/>
        </w:rPr>
        <w:t>hn</w:t>
      </w:r>
      <w:r>
        <w:rPr>
          <w:sz w:val="24"/>
        </w:rPr>
        <w:t>]/S×1/r</w:t>
      </w:r>
      <w:r>
        <w:rPr>
          <w:sz w:val="24"/>
          <w:vertAlign w:val="subscript"/>
        </w:rPr>
        <w:t>a</w:t>
      </w:r>
    </w:p>
    <w:p>
      <w:pPr>
        <w:spacing w:line="360" w:lineRule="auto"/>
        <w:ind w:firstLine="480" w:firstLineChars="200"/>
        <w:rPr>
          <w:sz w:val="24"/>
        </w:rPr>
      </w:pPr>
      <w:r>
        <w:rPr>
          <w:sz w:val="24"/>
        </w:rPr>
        <w:t>式中：P</w:t>
      </w:r>
      <w:r>
        <w:rPr>
          <w:sz w:val="24"/>
          <w:vertAlign w:val="subscript"/>
        </w:rPr>
        <w:t>is</w:t>
      </w:r>
      <w:r>
        <w:rPr>
          <w:sz w:val="24"/>
        </w:rPr>
        <w:t>：宗地单位土地面积地价</w:t>
      </w:r>
    </w:p>
    <w:p>
      <w:pPr>
        <w:spacing w:line="360" w:lineRule="auto"/>
        <w:ind w:firstLine="480" w:firstLineChars="200"/>
        <w:rPr>
          <w:sz w:val="24"/>
        </w:rPr>
      </w:pPr>
      <w:r>
        <w:rPr>
          <w:sz w:val="24"/>
        </w:rPr>
        <w:t>S：出租房屋的用地面积</w:t>
      </w:r>
    </w:p>
    <w:p>
      <w:pPr>
        <w:spacing w:line="360" w:lineRule="auto"/>
        <w:ind w:firstLine="480" w:firstLineChars="200"/>
        <w:rPr>
          <w:sz w:val="24"/>
        </w:rPr>
      </w:pPr>
      <w:r>
        <w:rPr>
          <w:sz w:val="24"/>
        </w:rPr>
        <w:t>r</w:t>
      </w:r>
      <w:r>
        <w:rPr>
          <w:sz w:val="24"/>
          <w:vertAlign w:val="subscript"/>
        </w:rPr>
        <w:t>a</w:t>
      </w:r>
      <w:r>
        <w:rPr>
          <w:sz w:val="24"/>
        </w:rPr>
        <w:t xml:space="preserve">：土地还原率，商服为8.79%，住宅为7.54%，工矿仓储为6.0%   </w:t>
      </w:r>
    </w:p>
    <w:p>
      <w:pPr>
        <w:spacing w:line="360" w:lineRule="auto"/>
        <w:ind w:firstLine="480" w:firstLineChars="200"/>
        <w:rPr>
          <w:sz w:val="24"/>
        </w:rPr>
      </w:pPr>
      <w:r>
        <w:rPr>
          <w:sz w:val="24"/>
        </w:rPr>
        <w:t>房地租金中，费用部分包括以下因素：</w:t>
      </w:r>
    </w:p>
    <w:p>
      <w:pPr>
        <w:spacing w:line="360" w:lineRule="auto"/>
        <w:ind w:firstLine="480" w:firstLineChars="200"/>
        <w:rPr>
          <w:sz w:val="24"/>
        </w:rPr>
      </w:pPr>
      <w:r>
        <w:rPr>
          <w:sz w:val="24"/>
        </w:rPr>
        <w:t>①房屋年折旧费=(P</w:t>
      </w:r>
      <w:r>
        <w:rPr>
          <w:sz w:val="24"/>
          <w:vertAlign w:val="subscript"/>
        </w:rPr>
        <w:t>hk</w:t>
      </w:r>
      <w:r>
        <w:rPr>
          <w:sz w:val="24"/>
        </w:rPr>
        <w:t>-P</w:t>
      </w:r>
      <w:r>
        <w:rPr>
          <w:sz w:val="24"/>
          <w:vertAlign w:val="subscript"/>
        </w:rPr>
        <w:t>hd</w:t>
      </w:r>
      <w:r>
        <w:rPr>
          <w:sz w:val="24"/>
        </w:rPr>
        <w:t>)/N</w:t>
      </w:r>
    </w:p>
    <w:p>
      <w:pPr>
        <w:spacing w:line="360" w:lineRule="auto"/>
        <w:ind w:firstLine="480" w:firstLineChars="200"/>
        <w:rPr>
          <w:sz w:val="24"/>
        </w:rPr>
      </w:pPr>
      <w:r>
        <w:rPr>
          <w:sz w:val="24"/>
        </w:rPr>
        <w:t>②房屋出租经营维修费=P</w:t>
      </w:r>
      <w:r>
        <w:rPr>
          <w:sz w:val="24"/>
          <w:vertAlign w:val="subscript"/>
        </w:rPr>
        <w:t>hk</w:t>
      </w:r>
      <w:r>
        <w:rPr>
          <w:sz w:val="24"/>
        </w:rPr>
        <w:t>×2%</w:t>
      </w:r>
    </w:p>
    <w:p>
      <w:pPr>
        <w:spacing w:line="360" w:lineRule="auto"/>
        <w:ind w:firstLine="480" w:firstLineChars="200"/>
        <w:rPr>
          <w:sz w:val="24"/>
        </w:rPr>
      </w:pPr>
      <w:r>
        <w:rPr>
          <w:sz w:val="24"/>
        </w:rPr>
        <w:t>③房屋出租经营管理费=C×5%</w:t>
      </w:r>
    </w:p>
    <w:p>
      <w:pPr>
        <w:spacing w:line="360" w:lineRule="auto"/>
        <w:ind w:firstLine="480" w:firstLineChars="200"/>
        <w:rPr>
          <w:sz w:val="24"/>
        </w:rPr>
      </w:pPr>
      <w:r>
        <w:rPr>
          <w:sz w:val="24"/>
        </w:rPr>
        <w:t>④房产税=C×12%</w:t>
      </w:r>
    </w:p>
    <w:p>
      <w:pPr>
        <w:spacing w:line="360" w:lineRule="auto"/>
        <w:ind w:firstLine="480" w:firstLineChars="200"/>
        <w:rPr>
          <w:sz w:val="24"/>
        </w:rPr>
      </w:pPr>
      <w:r>
        <w:rPr>
          <w:sz w:val="24"/>
        </w:rPr>
        <w:t>⑤营业税=C×5%</w:t>
      </w:r>
    </w:p>
    <w:p>
      <w:pPr>
        <w:spacing w:line="360" w:lineRule="auto"/>
        <w:ind w:firstLine="480" w:firstLineChars="200"/>
        <w:rPr>
          <w:sz w:val="24"/>
        </w:rPr>
      </w:pPr>
      <w:r>
        <w:rPr>
          <w:sz w:val="24"/>
        </w:rPr>
        <w:t>⑦保险金=P</w:t>
      </w:r>
      <w:r>
        <w:rPr>
          <w:sz w:val="24"/>
          <w:vertAlign w:val="subscript"/>
        </w:rPr>
        <w:t>hk</w:t>
      </w:r>
      <w:r>
        <w:rPr>
          <w:sz w:val="24"/>
        </w:rPr>
        <w:t>×0.2%</w:t>
      </w:r>
    </w:p>
    <w:p>
      <w:pPr>
        <w:spacing w:line="360" w:lineRule="auto"/>
        <w:ind w:firstLine="480" w:firstLineChars="200"/>
        <w:rPr>
          <w:sz w:val="24"/>
        </w:rPr>
      </w:pPr>
      <w:r>
        <w:rPr>
          <w:sz w:val="24"/>
        </w:rPr>
        <w:t>其中：E</w:t>
      </w:r>
      <w:r>
        <w:rPr>
          <w:sz w:val="24"/>
          <w:vertAlign w:val="subscript"/>
        </w:rPr>
        <w:t>1</w:t>
      </w:r>
      <w:r>
        <w:rPr>
          <w:sz w:val="24"/>
        </w:rPr>
        <w:t>：为③项费用；E</w:t>
      </w:r>
      <w:r>
        <w:rPr>
          <w:sz w:val="24"/>
          <w:vertAlign w:val="subscript"/>
        </w:rPr>
        <w:t>2</w:t>
      </w:r>
      <w:r>
        <w:rPr>
          <w:sz w:val="24"/>
        </w:rPr>
        <w:t>：为②项费用；E</w:t>
      </w:r>
      <w:r>
        <w:rPr>
          <w:sz w:val="24"/>
          <w:vertAlign w:val="subscript"/>
        </w:rPr>
        <w:t>3</w:t>
      </w:r>
      <w:r>
        <w:rPr>
          <w:sz w:val="24"/>
        </w:rPr>
        <w:t>：为⑦项费用；E</w:t>
      </w:r>
      <w:r>
        <w:rPr>
          <w:sz w:val="24"/>
          <w:vertAlign w:val="subscript"/>
        </w:rPr>
        <w:t>4</w:t>
      </w:r>
      <w:r>
        <w:rPr>
          <w:sz w:val="24"/>
        </w:rPr>
        <w:t>：为①项费用；T包括④、⑤、⑥项费用。</w:t>
      </w:r>
    </w:p>
    <w:p>
      <w:pPr>
        <w:spacing w:line="360" w:lineRule="auto"/>
        <w:ind w:firstLine="482" w:firstLineChars="200"/>
        <w:rPr>
          <w:b/>
          <w:sz w:val="24"/>
          <w:lang w:val="zh-CN"/>
        </w:rPr>
      </w:pPr>
      <w:r>
        <w:rPr>
          <w:b/>
          <w:sz w:val="24"/>
          <w:lang w:val="zh-CN"/>
        </w:rPr>
        <w:t>（二）商品房出售资料计算地价</w:t>
      </w:r>
    </w:p>
    <w:p>
      <w:pPr>
        <w:spacing w:line="360" w:lineRule="auto"/>
        <w:ind w:firstLine="480" w:firstLineChars="200"/>
        <w:rPr>
          <w:sz w:val="24"/>
          <w:lang w:val="zh-CN"/>
        </w:rPr>
      </w:pPr>
      <w:r>
        <w:rPr>
          <w:sz w:val="24"/>
          <w:lang w:val="zh-CN"/>
        </w:rPr>
        <w:t>1、地价计算</w:t>
      </w:r>
    </w:p>
    <w:p>
      <w:pPr>
        <w:spacing w:line="360" w:lineRule="auto"/>
        <w:jc w:val="center"/>
        <w:rPr>
          <w:sz w:val="24"/>
        </w:rPr>
      </w:pPr>
      <w:r>
        <w:rPr>
          <w:sz w:val="24"/>
        </w:rPr>
        <w:t>P</w:t>
      </w:r>
      <w:r>
        <w:rPr>
          <w:sz w:val="24"/>
          <w:vertAlign w:val="subscript"/>
        </w:rPr>
        <w:t>is</w:t>
      </w:r>
      <w:r>
        <w:rPr>
          <w:sz w:val="24"/>
        </w:rPr>
        <w:t>=(P</w:t>
      </w:r>
      <w:r>
        <w:rPr>
          <w:sz w:val="24"/>
          <w:vertAlign w:val="subscript"/>
        </w:rPr>
        <w:t>ng</w:t>
      </w:r>
      <w:r>
        <w:rPr>
          <w:sz w:val="24"/>
        </w:rPr>
        <w:t>-P</w:t>
      </w:r>
      <w:r>
        <w:rPr>
          <w:sz w:val="24"/>
          <w:vertAlign w:val="subscript"/>
        </w:rPr>
        <w:t>bm</w:t>
      </w:r>
      <w:r>
        <w:rPr>
          <w:sz w:val="24"/>
        </w:rPr>
        <w:t>×S</w:t>
      </w:r>
      <w:r>
        <w:rPr>
          <w:sz w:val="24"/>
          <w:vertAlign w:val="subscript"/>
        </w:rPr>
        <w:t>nb</w:t>
      </w:r>
      <w:r>
        <w:rPr>
          <w:sz w:val="24"/>
        </w:rPr>
        <w:t>-I-T-B)/S</w:t>
      </w:r>
    </w:p>
    <w:p>
      <w:pPr>
        <w:spacing w:line="360" w:lineRule="auto"/>
        <w:ind w:firstLine="480" w:firstLineChars="200"/>
        <w:rPr>
          <w:sz w:val="24"/>
        </w:rPr>
      </w:pPr>
      <w:r>
        <w:rPr>
          <w:sz w:val="24"/>
        </w:rPr>
        <w:t>式中：P</w:t>
      </w:r>
      <w:r>
        <w:rPr>
          <w:sz w:val="24"/>
          <w:vertAlign w:val="subscript"/>
        </w:rPr>
        <w:t>is</w:t>
      </w:r>
      <w:r>
        <w:rPr>
          <w:sz w:val="24"/>
        </w:rPr>
        <w:t>：商品房用地单位面积的地价；P</w:t>
      </w:r>
      <w:r>
        <w:rPr>
          <w:sz w:val="24"/>
          <w:vertAlign w:val="subscript"/>
        </w:rPr>
        <w:t>ng</w:t>
      </w:r>
      <w:r>
        <w:rPr>
          <w:sz w:val="24"/>
        </w:rPr>
        <w:t>：商品房总售价；P</w:t>
      </w:r>
      <w:r>
        <w:rPr>
          <w:sz w:val="24"/>
          <w:vertAlign w:val="subscript"/>
        </w:rPr>
        <w:t>bm</w:t>
      </w:r>
      <w:r>
        <w:rPr>
          <w:sz w:val="24"/>
        </w:rPr>
        <w:t>：当地同类建筑单位面积平均造价；S</w:t>
      </w:r>
      <w:r>
        <w:rPr>
          <w:sz w:val="24"/>
          <w:vertAlign w:val="subscript"/>
        </w:rPr>
        <w:t>nb</w:t>
      </w:r>
      <w:r>
        <w:rPr>
          <w:sz w:val="24"/>
        </w:rPr>
        <w:t>：楼房总建筑面积；I：开发商利润；T：其他各种投资和税费；B：开发资金利息；S：项目土地面积。</w:t>
      </w:r>
    </w:p>
    <w:p>
      <w:pPr>
        <w:spacing w:line="360" w:lineRule="auto"/>
        <w:ind w:firstLine="480" w:firstLineChars="200"/>
        <w:rPr>
          <w:sz w:val="24"/>
          <w:lang w:val="zh-CN"/>
        </w:rPr>
      </w:pPr>
      <w:r>
        <w:rPr>
          <w:sz w:val="24"/>
          <w:lang w:val="zh-CN"/>
        </w:rPr>
        <w:t>2、地价计算中的有关指标值及参数的确定</w:t>
      </w:r>
    </w:p>
    <w:p>
      <w:pPr>
        <w:spacing w:line="360" w:lineRule="auto"/>
        <w:ind w:firstLine="480" w:firstLineChars="200"/>
        <w:rPr>
          <w:sz w:val="24"/>
          <w:lang w:val="zh-CN"/>
        </w:rPr>
      </w:pPr>
      <w:r>
        <w:rPr>
          <w:sz w:val="24"/>
          <w:lang w:val="zh-CN"/>
        </w:rPr>
        <w:t>a、当地同类建筑面积平均造价的确定 (参见长沙县房屋重置价格标准)</w:t>
      </w:r>
    </w:p>
    <w:p>
      <w:pPr>
        <w:spacing w:line="360" w:lineRule="auto"/>
        <w:ind w:firstLine="480" w:firstLineChars="200"/>
        <w:rPr>
          <w:sz w:val="24"/>
          <w:lang w:val="zh-CN"/>
        </w:rPr>
      </w:pPr>
      <w:r>
        <w:rPr>
          <w:sz w:val="24"/>
          <w:lang w:val="zh-CN"/>
        </w:rPr>
        <w:t>b、商品房销售税费的确定 (参见长沙县房屋交易相关税费标准)</w:t>
      </w:r>
    </w:p>
    <w:p>
      <w:pPr>
        <w:spacing w:line="360" w:lineRule="auto"/>
        <w:ind w:firstLine="480" w:firstLineChars="200"/>
        <w:rPr>
          <w:sz w:val="24"/>
          <w:lang w:val="zh-CN"/>
        </w:rPr>
      </w:pPr>
      <w:r>
        <w:rPr>
          <w:sz w:val="24"/>
          <w:lang w:val="zh-CN"/>
        </w:rPr>
        <w:t>c、利息的确定</w:t>
      </w:r>
    </w:p>
    <w:p>
      <w:pPr>
        <w:spacing w:beforeLines="50" w:line="360" w:lineRule="auto"/>
        <w:ind w:firstLine="480" w:firstLineChars="200"/>
        <w:rPr>
          <w:sz w:val="24"/>
        </w:rPr>
      </w:pPr>
      <w:r>
        <w:rPr>
          <w:sz w:val="24"/>
          <w:lang w:val="zh-CN"/>
        </w:rPr>
        <w:t>根据长沙县实际情况，商品房开发周期为二年，地价款在取得土地时一次性支付，开发费用在开发期内平均投入，故地价款计息周期为2年，商品房开发计</w:t>
      </w:r>
      <w:r>
        <w:rPr>
          <w:sz w:val="24"/>
        </w:rPr>
        <w:t>息周期为1年，因而，支付的利息为：B=P</w:t>
      </w:r>
      <w:r>
        <w:rPr>
          <w:sz w:val="24"/>
          <w:vertAlign w:val="subscript"/>
        </w:rPr>
        <w:t>is</w:t>
      </w:r>
      <w:r>
        <w:rPr>
          <w:sz w:val="24"/>
        </w:rPr>
        <w:t>×S×[(1+5.56%)</w:t>
      </w:r>
      <w:r>
        <w:rPr>
          <w:sz w:val="24"/>
          <w:vertAlign w:val="superscript"/>
        </w:rPr>
        <w:t>2</w:t>
      </w:r>
      <w:r>
        <w:rPr>
          <w:sz w:val="24"/>
        </w:rPr>
        <w:t>-1]+P</w:t>
      </w:r>
      <w:r>
        <w:rPr>
          <w:sz w:val="24"/>
          <w:vertAlign w:val="subscript"/>
        </w:rPr>
        <w:t>bm</w:t>
      </w:r>
      <w:r>
        <w:rPr>
          <w:sz w:val="24"/>
        </w:rPr>
        <w:t>×S</w:t>
      </w:r>
      <w:r>
        <w:rPr>
          <w:sz w:val="24"/>
          <w:vertAlign w:val="subscript"/>
        </w:rPr>
        <w:t>nb</w:t>
      </w:r>
      <w:r>
        <w:rPr>
          <w:sz w:val="24"/>
        </w:rPr>
        <w:t>×5.56%。</w:t>
      </w:r>
    </w:p>
    <w:p>
      <w:pPr>
        <w:spacing w:line="360" w:lineRule="auto"/>
        <w:ind w:firstLine="482" w:firstLineChars="200"/>
        <w:rPr>
          <w:b/>
          <w:sz w:val="24"/>
          <w:lang w:val="zh-CN"/>
        </w:rPr>
      </w:pPr>
      <w:r>
        <w:rPr>
          <w:b/>
          <w:sz w:val="24"/>
          <w:lang w:val="zh-CN"/>
        </w:rPr>
        <w:t>（三）房屋买卖资料计算地价</w:t>
      </w:r>
    </w:p>
    <w:p>
      <w:pPr>
        <w:spacing w:line="360" w:lineRule="auto"/>
        <w:jc w:val="center"/>
        <w:rPr>
          <w:sz w:val="24"/>
        </w:rPr>
      </w:pPr>
      <w:r>
        <w:rPr>
          <w:sz w:val="24"/>
        </w:rPr>
        <w:t>V=（V</w:t>
      </w:r>
      <w:r>
        <w:rPr>
          <w:sz w:val="24"/>
          <w:vertAlign w:val="subscript"/>
        </w:rPr>
        <w:t>r</w:t>
      </w:r>
      <w:r>
        <w:rPr>
          <w:sz w:val="24"/>
        </w:rPr>
        <w:t>-P</w:t>
      </w:r>
      <w:r>
        <w:rPr>
          <w:sz w:val="24"/>
          <w:vertAlign w:val="subscript"/>
        </w:rPr>
        <w:t>h</w:t>
      </w:r>
      <w:r>
        <w:rPr>
          <w:sz w:val="24"/>
        </w:rPr>
        <w:t>-T）/S</w:t>
      </w:r>
    </w:p>
    <w:p>
      <w:pPr>
        <w:spacing w:line="360" w:lineRule="auto"/>
        <w:ind w:firstLine="480" w:firstLineChars="200"/>
        <w:rPr>
          <w:sz w:val="24"/>
        </w:rPr>
      </w:pPr>
      <w:r>
        <w:rPr>
          <w:sz w:val="24"/>
        </w:rPr>
        <w:t>式中：V：单位面积地价；V</w:t>
      </w:r>
      <w:r>
        <w:rPr>
          <w:sz w:val="24"/>
          <w:vertAlign w:val="subscript"/>
        </w:rPr>
        <w:t>r</w:t>
      </w:r>
      <w:r>
        <w:rPr>
          <w:sz w:val="24"/>
        </w:rPr>
        <w:t>：房地交易价格；P</w:t>
      </w:r>
      <w:r>
        <w:rPr>
          <w:sz w:val="24"/>
          <w:vertAlign w:val="subscript"/>
        </w:rPr>
        <w:t>h</w:t>
      </w:r>
      <w:r>
        <w:rPr>
          <w:sz w:val="24"/>
        </w:rPr>
        <w:t>：房屋现值价格；T：房屋交易过程税费。</w:t>
      </w:r>
    </w:p>
    <w:p>
      <w:pPr>
        <w:spacing w:line="360" w:lineRule="auto"/>
        <w:jc w:val="center"/>
        <w:rPr>
          <w:sz w:val="24"/>
          <w:szCs w:val="22"/>
          <w:lang/>
        </w:rPr>
      </w:pPr>
      <w:r>
        <w:rPr>
          <w:sz w:val="24"/>
          <w:szCs w:val="22"/>
          <w:lang/>
        </w:rPr>
        <w:t>Ph=Phk×Dn=Phk-E</w:t>
      </w:r>
    </w:p>
    <w:p>
      <w:pPr>
        <w:spacing w:line="360" w:lineRule="auto"/>
        <w:jc w:val="center"/>
        <w:rPr>
          <w:sz w:val="24"/>
          <w:lang/>
        </w:rPr>
      </w:pPr>
      <w:r>
        <w:rPr>
          <w:sz w:val="24"/>
          <w:lang/>
        </w:rPr>
        <w:t>E=(P</w:t>
      </w:r>
      <w:r>
        <w:rPr>
          <w:sz w:val="24"/>
          <w:vertAlign w:val="subscript"/>
          <w:lang/>
        </w:rPr>
        <w:t>hk</w:t>
      </w:r>
      <w:r>
        <w:rPr>
          <w:sz w:val="24"/>
          <w:lang/>
        </w:rPr>
        <w:t>-P</w:t>
      </w:r>
      <w:r>
        <w:rPr>
          <w:sz w:val="24"/>
          <w:vertAlign w:val="subscript"/>
          <w:lang/>
        </w:rPr>
        <w:t>hd</w:t>
      </w:r>
      <w:r>
        <w:rPr>
          <w:sz w:val="24"/>
          <w:lang/>
        </w:rPr>
        <w:t>) ×(N</w:t>
      </w:r>
      <w:r>
        <w:rPr>
          <w:sz w:val="24"/>
          <w:vertAlign w:val="subscript"/>
          <w:lang/>
        </w:rPr>
        <w:t>1</w:t>
      </w:r>
      <w:r>
        <w:rPr>
          <w:sz w:val="24"/>
          <w:lang/>
        </w:rPr>
        <w:t>/N</w:t>
      </w:r>
      <w:r>
        <w:rPr>
          <w:sz w:val="24"/>
          <w:vertAlign w:val="subscript"/>
          <w:lang/>
        </w:rPr>
        <w:t>2</w:t>
      </w:r>
      <w:r>
        <w:rPr>
          <w:sz w:val="24"/>
          <w:lang/>
        </w:rPr>
        <w:t>)</w:t>
      </w:r>
    </w:p>
    <w:p>
      <w:pPr>
        <w:spacing w:line="360" w:lineRule="auto"/>
        <w:ind w:firstLine="480" w:firstLineChars="200"/>
        <w:rPr>
          <w:sz w:val="24"/>
          <w:lang/>
        </w:rPr>
      </w:pPr>
      <w:r>
        <w:rPr>
          <w:sz w:val="24"/>
        </w:rPr>
        <w:t>式中</w:t>
      </w:r>
      <w:r>
        <w:rPr>
          <w:sz w:val="24"/>
          <w:lang/>
        </w:rPr>
        <w:t>：P</w:t>
      </w:r>
      <w:r>
        <w:rPr>
          <w:sz w:val="24"/>
          <w:vertAlign w:val="subscript"/>
          <w:lang/>
        </w:rPr>
        <w:t>hk</w:t>
      </w:r>
      <w:r>
        <w:rPr>
          <w:sz w:val="24"/>
          <w:lang/>
        </w:rPr>
        <w:t>：</w:t>
      </w:r>
      <w:r>
        <w:rPr>
          <w:sz w:val="24"/>
        </w:rPr>
        <w:t>房屋重置价</w:t>
      </w:r>
      <w:r>
        <w:rPr>
          <w:sz w:val="24"/>
          <w:lang/>
        </w:rPr>
        <w:t>；D</w:t>
      </w:r>
      <w:r>
        <w:rPr>
          <w:sz w:val="24"/>
          <w:vertAlign w:val="subscript"/>
          <w:lang/>
        </w:rPr>
        <w:t>n</w:t>
      </w:r>
      <w:r>
        <w:rPr>
          <w:sz w:val="24"/>
          <w:lang/>
        </w:rPr>
        <w:t>：</w:t>
      </w:r>
      <w:r>
        <w:rPr>
          <w:sz w:val="24"/>
        </w:rPr>
        <w:t>房屋成新度</w:t>
      </w:r>
      <w:r>
        <w:rPr>
          <w:sz w:val="24"/>
          <w:lang/>
        </w:rPr>
        <w:t>；P</w:t>
      </w:r>
      <w:r>
        <w:rPr>
          <w:sz w:val="24"/>
          <w:vertAlign w:val="subscript"/>
          <w:lang/>
        </w:rPr>
        <w:t>hd</w:t>
      </w:r>
      <w:r>
        <w:rPr>
          <w:sz w:val="24"/>
          <w:lang/>
        </w:rPr>
        <w:t>：</w:t>
      </w:r>
      <w:r>
        <w:rPr>
          <w:sz w:val="24"/>
        </w:rPr>
        <w:t>房屋残值</w:t>
      </w:r>
      <w:r>
        <w:rPr>
          <w:sz w:val="24"/>
          <w:lang/>
        </w:rPr>
        <w:t>；N</w:t>
      </w:r>
      <w:r>
        <w:rPr>
          <w:sz w:val="24"/>
          <w:vertAlign w:val="subscript"/>
          <w:lang/>
        </w:rPr>
        <w:t>1</w:t>
      </w:r>
      <w:r>
        <w:rPr>
          <w:sz w:val="24"/>
          <w:lang/>
        </w:rPr>
        <w:t>：</w:t>
      </w:r>
      <w:r>
        <w:rPr>
          <w:sz w:val="24"/>
        </w:rPr>
        <w:t>房屋已使用年限</w:t>
      </w:r>
      <w:r>
        <w:rPr>
          <w:sz w:val="24"/>
          <w:lang/>
        </w:rPr>
        <w:t>；N</w:t>
      </w:r>
      <w:r>
        <w:rPr>
          <w:sz w:val="24"/>
          <w:vertAlign w:val="subscript"/>
          <w:lang/>
        </w:rPr>
        <w:t>2</w:t>
      </w:r>
      <w:r>
        <w:rPr>
          <w:sz w:val="24"/>
          <w:lang/>
        </w:rPr>
        <w:t>：</w:t>
      </w:r>
      <w:r>
        <w:rPr>
          <w:sz w:val="24"/>
        </w:rPr>
        <w:t>房屋耐用年限。</w:t>
      </w:r>
    </w:p>
    <w:p>
      <w:pPr>
        <w:spacing w:line="360" w:lineRule="auto"/>
        <w:ind w:firstLine="482" w:firstLineChars="200"/>
        <w:rPr>
          <w:b/>
          <w:sz w:val="24"/>
        </w:rPr>
      </w:pPr>
      <w:r>
        <w:rPr>
          <w:b/>
          <w:sz w:val="24"/>
        </w:rPr>
        <w:t>（四）</w:t>
      </w:r>
      <w:r>
        <w:rPr>
          <w:b/>
          <w:sz w:val="24"/>
          <w:lang w:val="zh-CN"/>
        </w:rPr>
        <w:t>土地出让</w:t>
      </w:r>
      <w:r>
        <w:rPr>
          <w:b/>
          <w:sz w:val="24"/>
        </w:rPr>
        <w:t>（</w:t>
      </w:r>
      <w:r>
        <w:rPr>
          <w:b/>
          <w:sz w:val="24"/>
          <w:lang w:val="zh-CN"/>
        </w:rPr>
        <w:t>转让</w:t>
      </w:r>
      <w:r>
        <w:rPr>
          <w:b/>
          <w:sz w:val="24"/>
        </w:rPr>
        <w:t>）</w:t>
      </w:r>
    </w:p>
    <w:p>
      <w:pPr>
        <w:spacing w:line="360" w:lineRule="auto"/>
        <w:jc w:val="center"/>
        <w:rPr>
          <w:sz w:val="24"/>
        </w:rPr>
      </w:pPr>
      <w:r>
        <w:rPr>
          <w:sz w:val="24"/>
        </w:rPr>
        <w:t>P</w:t>
      </w:r>
      <w:r>
        <w:rPr>
          <w:sz w:val="24"/>
          <w:vertAlign w:val="subscript"/>
        </w:rPr>
        <w:t>is</w:t>
      </w:r>
      <w:r>
        <w:rPr>
          <w:sz w:val="24"/>
        </w:rPr>
        <w:t>=P</w:t>
      </w:r>
      <w:r>
        <w:rPr>
          <w:sz w:val="24"/>
          <w:vertAlign w:val="subscript"/>
        </w:rPr>
        <w:t>ig</w:t>
      </w:r>
      <w:r>
        <w:rPr>
          <w:sz w:val="24"/>
        </w:rPr>
        <w:t>/S</w:t>
      </w:r>
    </w:p>
    <w:p>
      <w:pPr>
        <w:spacing w:line="360" w:lineRule="auto"/>
        <w:ind w:firstLine="480" w:firstLineChars="200"/>
        <w:rPr>
          <w:sz w:val="24"/>
        </w:rPr>
      </w:pPr>
      <w:r>
        <w:rPr>
          <w:sz w:val="24"/>
        </w:rPr>
        <w:t>式中：P</w:t>
      </w:r>
      <w:r>
        <w:rPr>
          <w:sz w:val="24"/>
          <w:vertAlign w:val="subscript"/>
        </w:rPr>
        <w:t>is</w:t>
      </w:r>
      <w:r>
        <w:rPr>
          <w:sz w:val="24"/>
        </w:rPr>
        <w:t>：转让（出让）宗地单位面积地价；P</w:t>
      </w:r>
      <w:r>
        <w:rPr>
          <w:sz w:val="24"/>
          <w:vertAlign w:val="subscript"/>
        </w:rPr>
        <w:t>ig</w:t>
      </w:r>
      <w:r>
        <w:rPr>
          <w:sz w:val="24"/>
        </w:rPr>
        <w:t>：土地转让（出让）方获得的净收益；S：转让（出让）宗地面积。</w:t>
      </w:r>
    </w:p>
    <w:p>
      <w:pPr>
        <w:spacing w:line="360" w:lineRule="auto"/>
        <w:ind w:firstLine="482" w:firstLineChars="200"/>
        <w:rPr>
          <w:b/>
          <w:sz w:val="24"/>
        </w:rPr>
      </w:pPr>
      <w:r>
        <w:rPr>
          <w:b/>
          <w:sz w:val="24"/>
        </w:rPr>
        <w:t>（五）征地、拆迁样点地价测算</w:t>
      </w:r>
    </w:p>
    <w:p>
      <w:pPr>
        <w:spacing w:line="360" w:lineRule="auto"/>
        <w:ind w:firstLine="480" w:firstLineChars="200"/>
        <w:rPr>
          <w:sz w:val="24"/>
        </w:rPr>
      </w:pPr>
      <w:r>
        <w:rPr>
          <w:sz w:val="24"/>
        </w:rPr>
        <w:t>1、征地拆迁样点资料计算方法</w:t>
      </w:r>
    </w:p>
    <w:p>
      <w:pPr>
        <w:spacing w:line="360" w:lineRule="auto"/>
        <w:ind w:firstLine="480" w:firstLineChars="200"/>
        <w:rPr>
          <w:sz w:val="24"/>
        </w:rPr>
      </w:pPr>
      <w:r>
        <w:rPr>
          <w:sz w:val="24"/>
        </w:rPr>
        <w:t>此次基准地价评估中针对征地拆迁样点采用成本逼近法：以开发土地所耗费的各项费用之和为主要依据，再加上一定的利润、利息、应交纳的税金和土地所有权收益来确定土地价格的方法。</w:t>
      </w:r>
    </w:p>
    <w:p>
      <w:pPr>
        <w:spacing w:line="360" w:lineRule="auto"/>
        <w:ind w:firstLine="480" w:firstLineChars="200"/>
        <w:rPr>
          <w:sz w:val="24"/>
        </w:rPr>
      </w:pPr>
      <w:r>
        <w:rPr>
          <w:sz w:val="24"/>
        </w:rPr>
        <w:t>2、征地拆迁样点资料计算公式</w:t>
      </w:r>
    </w:p>
    <w:p>
      <w:pPr>
        <w:spacing w:line="360" w:lineRule="auto"/>
        <w:ind w:firstLine="480" w:firstLineChars="200"/>
        <w:rPr>
          <w:sz w:val="24"/>
        </w:rPr>
      </w:pPr>
      <w:r>
        <w:rPr>
          <w:sz w:val="24"/>
        </w:rPr>
        <w:t>地价=土地取得费（Ea）+土地开发费（Ed）+税费（T）+利息（R1）+利润（R2）+土地增值收益（R3）</w:t>
      </w:r>
    </w:p>
    <w:p>
      <w:pPr>
        <w:spacing w:line="360" w:lineRule="auto"/>
        <w:ind w:firstLine="560" w:firstLineChars="200"/>
        <w:outlineLvl w:val="2"/>
        <w:rPr>
          <w:rFonts w:eastAsia="黑体"/>
          <w:sz w:val="28"/>
          <w:szCs w:val="28"/>
        </w:rPr>
      </w:pPr>
      <w:bookmarkStart w:id="557" w:name="_Toc467846857"/>
      <w:bookmarkStart w:id="558" w:name="_Toc469296466"/>
      <w:bookmarkStart w:id="559" w:name="_Toc4128"/>
      <w:bookmarkStart w:id="560" w:name="_Toc470721317"/>
      <w:bookmarkStart w:id="561" w:name="_Toc32521"/>
      <w:r>
        <w:rPr>
          <w:rFonts w:eastAsia="黑体"/>
          <w:sz w:val="28"/>
          <w:szCs w:val="28"/>
        </w:rPr>
        <w:t>三、样点地价修正</w:t>
      </w:r>
      <w:bookmarkEnd w:id="557"/>
      <w:bookmarkEnd w:id="558"/>
      <w:bookmarkEnd w:id="559"/>
      <w:bookmarkEnd w:id="560"/>
      <w:bookmarkEnd w:id="561"/>
    </w:p>
    <w:p>
      <w:pPr>
        <w:spacing w:line="360" w:lineRule="auto"/>
        <w:ind w:firstLine="480" w:firstLineChars="200"/>
        <w:rPr>
          <w:sz w:val="24"/>
          <w:lang w:val="zh-CN"/>
        </w:rPr>
      </w:pPr>
      <w:r>
        <w:rPr>
          <w:sz w:val="24"/>
          <w:lang w:val="zh-CN"/>
        </w:rPr>
        <w:t>为了得到符合基准地价内涵并具有可比性的样点地价，须对采用前述方法计算的样点地价进行相应修正。修正项目因样点土地利用类型不同而有差别：商服样点需要作使用年期、交易时间、容积率、临街深度及开发程度五项修正；住宅用地样点须进行使用年期、交易时间、容积率、开发程度四项修正；工矿仓储用地用地一般只作使用年期、交易时间及开发程度三项修正。</w:t>
      </w:r>
    </w:p>
    <w:p>
      <w:pPr>
        <w:spacing w:line="360" w:lineRule="auto"/>
        <w:ind w:firstLine="482" w:firstLineChars="200"/>
        <w:rPr>
          <w:b/>
          <w:sz w:val="24"/>
          <w:lang w:val="zh-CN"/>
        </w:rPr>
      </w:pPr>
      <w:r>
        <w:rPr>
          <w:b/>
          <w:sz w:val="24"/>
          <w:lang w:val="zh-CN"/>
        </w:rPr>
        <w:t>（一）出让年期修正</w:t>
      </w:r>
    </w:p>
    <w:p>
      <w:pPr>
        <w:spacing w:line="360" w:lineRule="auto"/>
        <w:ind w:firstLine="480" w:firstLineChars="200"/>
        <w:rPr>
          <w:sz w:val="24"/>
          <w:lang w:val="zh-CN"/>
        </w:rPr>
      </w:pPr>
      <w:r>
        <w:rPr>
          <w:sz w:val="24"/>
          <w:lang w:val="zh-CN"/>
        </w:rPr>
        <w:t>基准地价评估所需的样点地价，按法律规定的各类土地的最高出让年期进行修正。根据《城镇土地估价规程》对各用途土地最高出让年限的规定：商服用地40年，工矿仓储用地、综合用地50年，住宅用地70年。</w:t>
      </w:r>
    </w:p>
    <w:p>
      <w:pPr>
        <w:numPr>
          <w:ilvl w:val="0"/>
          <w:numId w:val="6"/>
        </w:numPr>
        <w:spacing w:line="360" w:lineRule="auto"/>
        <w:ind w:firstLine="480" w:firstLineChars="200"/>
        <w:rPr>
          <w:sz w:val="24"/>
          <w:lang w:val="zh-CN"/>
        </w:rPr>
      </w:pPr>
      <w:r>
        <w:rPr>
          <w:sz w:val="24"/>
          <w:lang w:val="zh-CN"/>
        </w:rPr>
        <w:t>有限年期使用权价格修正到最高出让年期地价的计算公式为：</w:t>
      </w:r>
    </w:p>
    <w:p>
      <w:pPr>
        <w:spacing w:line="360" w:lineRule="auto"/>
        <w:jc w:val="both"/>
        <w:rPr>
          <w:sz w:val="24"/>
        </w:rPr>
      </w:pPr>
      <w:r>
        <w:rPr>
          <w:sz w:val="24"/>
        </w:rPr>
        <w:t>式</w:t>
      </w:r>
      <w:r>
        <w:rPr>
          <w:rFonts w:ascii="Times New Roman" w:hAnsi="Times New Roman" w:eastAsia="宋体" w:cs="Times New Roman"/>
          <w:kern w:val="2"/>
          <w:sz w:val="24"/>
          <w:lang w:val="en-US" w:eastAsia="zh-CN" w:bidi="ar-SA"/>
        </w:rPr>
        <w:pict>
          <v:group id="画布 1226" o:spid="_x0000_s1227" style="position:absolute;left:0;margin-left:-5.1pt;margin-top:22.6pt;height:68pt;width:176.25pt;mso-position-horizontal-relative:char;mso-position-vertical-relative:line;mso-wrap-distance-bottom:0pt;mso-wrap-distance-top:0pt;rotation:0f;z-index:251665408;" coordorigin="0,0" coordsize="3525,1360">
            <o:lock v:ext="edit" position="f" selection="f" grouping="f" rotation="f" cropping="f" text="f" aspectratio="f"/>
            <v:rect id="Rectangle 165" o:spid="_x0000_s1228" style="position:absolute;left:0;top:0;height:1360;width:3525;rotation:0f;" o:ole="f" fillcolor="#FFFFFF" filled="f" o:preferrelative="t" stroked="f" coordsize="21600,21600">
              <v:fill on="f" color2="#FFFFFF" focus="0%"/>
              <v:imagedata gain="65536f" blacklevel="0f" gamma="0"/>
              <o:lock v:ext="edit" position="f" selection="f" grouping="f" rotation="f" cropping="f" text="f" aspectratio="f"/>
            </v:rect>
            <v:rect id="矩形 1228" o:spid="_x0000_s1229" style="position:absolute;left:1353;top:267;height:392;width:107;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Symbol" w:hAnsi="Symbol" w:cs="Symbol"/>
                        <w:color w:val="000000"/>
                        <w:sz w:val="32"/>
                        <w:szCs w:val="32"/>
                      </w:rPr>
                      <w:t></w:t>
                    </w:r>
                  </w:p>
                </w:txbxContent>
              </v:textbox>
            </v:rect>
            <v:rect id="矩形 1229" o:spid="_x0000_s1230" style="position:absolute;left:1990;top:267;height:392;width:107;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Symbol" w:hAnsi="Symbol" w:cs="Symbol"/>
                        <w:color w:val="000000"/>
                        <w:sz w:val="32"/>
                        <w:szCs w:val="32"/>
                      </w:rPr>
                      <w:t></w:t>
                    </w:r>
                  </w:p>
                </w:txbxContent>
              </v:textbox>
            </v:rect>
            <v:line id="直线 1230" o:spid="_x0000_s1231" style="position:absolute;left:1346;top:322;height:1;width:935;rotation:0f;" o:ole="f" fillcolor="#FFFFFF" filled="f" o:preferrelative="t" stroked="t" coordsize="21600,21600">
              <v:fill on="f" color2="#FFFFFF" focus="0%"/>
              <v:stroke weight="0.3pt" color="#000000" color2="#FFFFFF" joinstyle="round"/>
              <v:imagedata gain="65536f" blacklevel="0f" gamma="0"/>
              <o:lock v:ext="edit" position="f" selection="f" grouping="f" rotation="f" cropping="f" text="f" aspectratio="f"/>
            </v:line>
            <v:rect id="矩形 1231" o:spid="_x0000_s1232" style="position:absolute;left:1314;top:919;height:392;width:107;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Symbol" w:hAnsi="Symbol" w:cs="Symbol"/>
                        <w:color w:val="000000"/>
                        <w:sz w:val="32"/>
                        <w:szCs w:val="32"/>
                      </w:rPr>
                      <w:t></w:t>
                    </w:r>
                  </w:p>
                </w:txbxContent>
              </v:textbox>
            </v:rect>
            <v:rect id="矩形 1232" o:spid="_x0000_s1233" style="position:absolute;left:1951;top:919;height:392;width:107;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Symbol" w:hAnsi="Symbol" w:cs="Symbol"/>
                        <w:color w:val="000000"/>
                        <w:sz w:val="32"/>
                        <w:szCs w:val="32"/>
                      </w:rPr>
                      <w:t></w:t>
                    </w:r>
                  </w:p>
                </w:txbxContent>
              </v:textbox>
            </v:rect>
            <v:line id="直线 1233" o:spid="_x0000_s1234" style="position:absolute;left:1307;top:974;height:1;width:1013;rotation:0f;" o:ole="f" fillcolor="#FFFFFF" filled="f" o:preferrelative="t" stroked="t" coordsize="21600,21600">
              <v:fill on="f" color2="#FFFFFF" focus="0%"/>
              <v:stroke weight="0.3pt" color="#000000" color2="#FFFFFF" joinstyle="round"/>
              <v:imagedata gain="65536f" blacklevel="0f" gamma="0"/>
              <o:lock v:ext="edit" position="f" selection="f" grouping="f" rotation="f" cropping="f" text="f" aspectratio="f"/>
            </v:line>
            <v:line id="直线 1234" o:spid="_x0000_s1235" style="position:absolute;left:1005;top:675;height:1;width:1334;rotation:0f;" o:ole="f" fillcolor="#FFFFFF" filled="f" o:preferrelative="t" stroked="t" coordsize="21600,21600">
              <v:fill on="f" color2="#FFFFFF" focus="0%"/>
              <v:stroke weight="0.6pt" color="#000000" color2="#FFFFFF" joinstyle="round"/>
              <v:imagedata gain="65536f" blacklevel="0f" gamma="0"/>
              <o:lock v:ext="edit" position="f" selection="f" grouping="f" rotation="f" cropping="f" text="f" aspectratio="f"/>
            </v:line>
            <v:rect id="矩形 1235" o:spid="_x0000_s1236" style="position:absolute;left:1754;top:23;height:276;width:121;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color w:val="000000"/>
                        <w:sz w:val="24"/>
                        <w:szCs w:val="24"/>
                      </w:rPr>
                      <w:t>1</w:t>
                    </w:r>
                  </w:p>
                </w:txbxContent>
              </v:textbox>
            </v:rect>
            <v:rect id="矩形 1236" o:spid="_x0000_s1237" style="position:absolute;left:1033;top:170;height:276;width:121;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color w:val="000000"/>
                        <w:sz w:val="24"/>
                        <w:szCs w:val="24"/>
                      </w:rPr>
                      <w:t>1</w:t>
                    </w:r>
                  </w:p>
                </w:txbxContent>
              </v:textbox>
            </v:rect>
            <v:rect id="矩形 1237" o:spid="_x0000_s1238" style="position:absolute;left:1426;top:352;height:276;width:121;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color w:val="000000"/>
                        <w:sz w:val="24"/>
                        <w:szCs w:val="24"/>
                      </w:rPr>
                      <w:t>1</w:t>
                    </w:r>
                  </w:p>
                </w:txbxContent>
              </v:textbox>
            </v:rect>
            <v:rect id="矩形 1238" o:spid="_x0000_s1239" style="position:absolute;left:1754;top:675;height:276;width:121;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color w:val="000000"/>
                        <w:sz w:val="24"/>
                        <w:szCs w:val="24"/>
                      </w:rPr>
                      <w:t>1</w:t>
                    </w:r>
                  </w:p>
                </w:txbxContent>
              </v:textbox>
            </v:rect>
            <v:rect id="矩形 1239" o:spid="_x0000_s1240" style="position:absolute;left:994;top:822;height:276;width:121;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color w:val="000000"/>
                        <w:sz w:val="24"/>
                        <w:szCs w:val="24"/>
                      </w:rPr>
                      <w:t>1</w:t>
                    </w:r>
                  </w:p>
                </w:txbxContent>
              </v:textbox>
            </v:rect>
            <v:rect id="矩形 1240" o:spid="_x0000_s1241" style="position:absolute;left:1387;top:1004;height:276;width:232;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color w:val="000000"/>
                        <w:sz w:val="24"/>
                        <w:szCs w:val="24"/>
                      </w:rPr>
                      <w:t>11</w:t>
                    </w:r>
                  </w:p>
                </w:txbxContent>
              </v:textbox>
            </v:rect>
            <v:rect id="矩形 1241" o:spid="_x0000_s1242" style="position:absolute;left:152;top:673;height:161;width:102;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i/>
                        <w:iCs/>
                        <w:color w:val="000000"/>
                        <w:sz w:val="14"/>
                        <w:szCs w:val="14"/>
                      </w:rPr>
                      <w:t>m</w:t>
                    </w:r>
                  </w:p>
                </w:txbxContent>
              </v:textbox>
            </v:rect>
            <v:rect id="矩形 1242" o:spid="_x0000_s1243" style="position:absolute;left:1739;top:352;height:276;width:542;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i/>
                        <w:iCs/>
                        <w:color w:val="000000"/>
                        <w:sz w:val="24"/>
                        <w:szCs w:val="24"/>
                      </w:rPr>
                      <w:t>Rd</w:t>
                    </w:r>
                    <w:r>
                      <w:rPr>
                        <w:rFonts w:hint="eastAsia"/>
                        <w:i/>
                        <w:iCs/>
                        <w:color w:val="000000"/>
                        <w:sz w:val="24"/>
                        <w:szCs w:val="24"/>
                      </w:rPr>
                      <w:t xml:space="preserve"> </w:t>
                    </w:r>
                    <w:r>
                      <w:rPr>
                        <w:rFonts w:hint="eastAsia"/>
                        <w:i/>
                        <w:iCs/>
                        <w:color w:val="000000"/>
                        <w:sz w:val="24"/>
                        <w:szCs w:val="24"/>
                        <w:vertAlign w:val="superscript"/>
                      </w:rPr>
                      <w:t>m</w:t>
                    </w:r>
                  </w:p>
                </w:txbxContent>
              </v:textbox>
            </v:rect>
            <v:rect id="矩形 1243" o:spid="_x0000_s1244" style="position:absolute;left:43;top:523;height:276;width:150;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i/>
                        <w:iCs/>
                        <w:color w:val="000000"/>
                        <w:sz w:val="24"/>
                        <w:szCs w:val="24"/>
                      </w:rPr>
                      <w:t>P</w:t>
                    </w:r>
                  </w:p>
                </w:txbxContent>
              </v:textbox>
            </v:rect>
            <v:rect id="矩形 1244" o:spid="_x0000_s1245" style="position:absolute;left:1700;top:1004;height:276;width:516;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i/>
                        <w:iCs/>
                        <w:color w:val="000000"/>
                        <w:sz w:val="24"/>
                        <w:szCs w:val="24"/>
                      </w:rPr>
                      <w:t>Rd</w:t>
                    </w:r>
                    <w:r>
                      <w:rPr>
                        <w:rFonts w:hint="eastAsia"/>
                        <w:i/>
                        <w:iCs/>
                        <w:color w:val="000000"/>
                        <w:sz w:val="24"/>
                        <w:szCs w:val="24"/>
                      </w:rPr>
                      <w:t xml:space="preserve"> </w:t>
                    </w:r>
                    <w:r>
                      <w:rPr>
                        <w:rFonts w:hint="eastAsia"/>
                        <w:i/>
                        <w:iCs/>
                        <w:color w:val="000000"/>
                        <w:sz w:val="24"/>
                        <w:szCs w:val="24"/>
                        <w:vertAlign w:val="superscript"/>
                      </w:rPr>
                      <w:t>m1</w:t>
                    </w:r>
                  </w:p>
                </w:txbxContent>
              </v:textbox>
            </v:rect>
            <v:rect id="矩形 1245" o:spid="_x0000_s1246" style="position:absolute;left:1171;top:143;height:294;width:132;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Symbol" w:hAnsi="Symbol" w:cs="Symbol"/>
                        <w:color w:val="000000"/>
                        <w:sz w:val="24"/>
                        <w:szCs w:val="24"/>
                      </w:rPr>
                      <w:t></w:t>
                    </w:r>
                  </w:p>
                </w:txbxContent>
              </v:textbox>
            </v:rect>
            <v:rect id="矩形 1246" o:spid="_x0000_s1247" style="position:absolute;left:1564;top:325;height:294;width:132;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Symbol" w:hAnsi="Symbol" w:cs="Symbol"/>
                        <w:color w:val="000000"/>
                        <w:sz w:val="24"/>
                        <w:szCs w:val="24"/>
                      </w:rPr>
                      <w:t></w:t>
                    </w:r>
                  </w:p>
                </w:txbxContent>
              </v:textbox>
            </v:rect>
            <v:rect id="矩形 1247" o:spid="_x0000_s1248" style="position:absolute;left:354;top:523;height:294;width:910;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Symbol" w:hAnsi="Symbol" w:cs="Symbol"/>
                        <w:color w:val="000000"/>
                        <w:sz w:val="24"/>
                        <w:szCs w:val="24"/>
                      </w:rPr>
                      <w:t></w:t>
                    </w:r>
                    <w:r>
                      <w:rPr>
                        <w:i/>
                        <w:iCs/>
                        <w:color w:val="000000"/>
                        <w:sz w:val="24"/>
                        <w:szCs w:val="24"/>
                      </w:rPr>
                      <w:t xml:space="preserve"> P</w:t>
                    </w:r>
                    <w:r>
                      <w:rPr>
                        <w:rFonts w:hint="eastAsia"/>
                        <w:i/>
                        <w:iCs/>
                        <w:color w:val="000000"/>
                        <w:sz w:val="24"/>
                        <w:szCs w:val="24"/>
                        <w:vertAlign w:val="subscript"/>
                      </w:rPr>
                      <w:t>m1</w:t>
                    </w:r>
                    <w:r>
                      <w:rPr>
                        <w:rFonts w:ascii="Symbol" w:hAnsi="Symbol" w:cs="Symbol"/>
                        <w:color w:val="000000"/>
                        <w:sz w:val="24"/>
                        <w:szCs w:val="24"/>
                      </w:rPr>
                      <w:t></w:t>
                    </w:r>
                  </w:p>
                </w:txbxContent>
              </v:textbox>
            </v:rect>
            <v:rect id="矩形 1248" o:spid="_x0000_s1249" style="position:absolute;left:1132;top:795;height:294;width:132;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Symbol" w:hAnsi="Symbol" w:cs="Symbol"/>
                        <w:color w:val="000000"/>
                        <w:sz w:val="24"/>
                        <w:szCs w:val="24"/>
                      </w:rPr>
                      <w:t></w:t>
                    </w:r>
                  </w:p>
                </w:txbxContent>
              </v:textbox>
            </v:rect>
            <v:rect id="矩形 1249" o:spid="_x0000_s1250" style="position:absolute;left:1525;top:977;height:294;width:191;mso-wrap-style:none;rotation:0f;"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rPr>
                        <w:rFonts w:ascii="Symbol" w:hAnsi="Symbol" w:cs="Symbol"/>
                        <w:color w:val="000000"/>
                        <w:sz w:val="24"/>
                        <w:szCs w:val="24"/>
                      </w:rPr>
                      <w:t></w:t>
                    </w:r>
                  </w:p>
                </w:txbxContent>
              </v:textbox>
            </v:rect>
            <w10:wrap type="topAndBottom"/>
          </v:group>
        </w:pict>
      </w:r>
      <w:r>
        <w:rPr>
          <w:sz w:val="24"/>
        </w:rPr>
        <w:t>中：</w:t>
      </w:r>
      <w:r>
        <w:rPr>
          <w:rFonts w:ascii="Times New Roman" w:hAnsi="Times New Roman" w:eastAsia="宋体" w:cs="Times New Roman"/>
          <w:kern w:val="2"/>
          <w:sz w:val="21"/>
          <w:lang w:val="en-US" w:eastAsia="zh-CN" w:bidi="ar-SA"/>
        </w:rPr>
        <w:pict>
          <v:shape id="图片 106" o:spid="_x0000_s1251" type="#_x0000_t75" style="height:17.25pt;width:14.25pt;rotation:0f;" o:ole="f" fillcolor="#FFFFFF" filled="f" o:preferrelative="t" stroked="f" coordorigin="0,0" coordsize="21600,21600">
            <v:fill on="f" color2="#FFFFFF" focus="0%"/>
            <v:imagedata gain="65536f" blacklevel="0f" gamma="0" o:title="" r:id="rId65"/>
            <o:lock v:ext="edit" position="f" selection="f" grouping="f" rotation="f" cropping="f" text="f" aspectratio="t"/>
            <w10:wrap type="none"/>
            <w10:anchorlock/>
          </v:shape>
        </w:pict>
      </w:r>
      <w:r>
        <w:rPr>
          <w:sz w:val="24"/>
        </w:rPr>
        <w:t>——最高出让年限土地使用权价格；</w:t>
      </w:r>
      <w:r>
        <w:rPr>
          <w:rFonts w:ascii="Times New Roman" w:hAnsi="Times New Roman" w:eastAsia="宋体" w:cs="Times New Roman"/>
          <w:kern w:val="2"/>
          <w:sz w:val="21"/>
          <w:lang w:val="en-US" w:eastAsia="zh-CN" w:bidi="ar-SA"/>
        </w:rPr>
        <w:pict>
          <v:shape id="图片 61" o:spid="_x0000_s1252" type="#_x0000_t75" style="height:13.5pt;width:15.75pt;rotation:0f;" o:ole="f" fillcolor="#FFFFFF" filled="f" o:preferrelative="t" stroked="f" coordorigin="0,0" coordsize="21600,21600">
            <v:fill on="f" color2="#FFFFFF" focus="0%"/>
            <v:imagedata gain="65536f" blacklevel="0f" gamma="0" o:title="" r:id="rId66"/>
            <o:lock v:ext="edit" position="f" selection="f" grouping="f" rotation="f" cropping="f" text="f" aspectratio="t"/>
            <w10:wrap type="none"/>
            <w10:anchorlock/>
          </v:shape>
        </w:pict>
      </w:r>
      <w:r>
        <w:rPr>
          <w:sz w:val="24"/>
        </w:rPr>
        <w:t>——剩余使用年期；</w:t>
      </w:r>
      <w:r>
        <w:rPr>
          <w:rFonts w:ascii="Times New Roman" w:hAnsi="Times New Roman" w:eastAsia="宋体" w:cs="Times New Roman"/>
          <w:kern w:val="2"/>
          <w:sz w:val="21"/>
          <w:lang w:val="en-US" w:eastAsia="zh-CN" w:bidi="ar-SA"/>
        </w:rPr>
        <w:pict>
          <v:shape id="图片 62" o:spid="_x0000_s1253" type="#_x0000_t75" style="height:17.25pt;width:17.25pt;rotation:0f;" o:ole="f" fillcolor="#FFFFFF" filled="f" o:preferrelative="t" stroked="f" coordorigin="0,0" coordsize="21600,21600">
            <v:fill on="f" color2="#FFFFFF" focus="0%"/>
            <v:imagedata gain="65536f" blacklevel="0f" gamma="0" o:title="" r:id="rId67"/>
            <o:lock v:ext="edit" position="f" selection="f" grouping="f" rotation="f" cropping="f" text="f" aspectratio="t"/>
            <w10:wrap type="none"/>
            <w10:anchorlock/>
          </v:shape>
        </w:pict>
      </w:r>
      <w:r>
        <w:rPr>
          <w:sz w:val="24"/>
        </w:rPr>
        <w:t>—— 有限年期土地使用权价格；</w:t>
      </w:r>
      <w:r>
        <w:rPr>
          <w:rFonts w:ascii="Times New Roman" w:hAnsi="Times New Roman" w:eastAsia="宋体" w:cs="Times New Roman"/>
          <w:kern w:val="2"/>
          <w:sz w:val="21"/>
          <w:lang w:val="en-US" w:eastAsia="zh-CN" w:bidi="ar-SA"/>
        </w:rPr>
        <w:pict>
          <v:shape id="图片 63" o:spid="_x0000_s1254" type="#_x0000_t75" style="height:10.5pt;width:12.75pt;rotation:0f;" o:ole="f" fillcolor="#FFFFFF" filled="f" o:preferrelative="t" stroked="f" coordorigin="0,0" coordsize="21600,21600">
            <v:fill on="f" color2="#FFFFFF" focus="0%"/>
            <v:imagedata gain="65536f" blacklevel="0f" gamma="0" o:title="" r:id="rId68"/>
            <o:lock v:ext="edit" position="f" selection="f" grouping="f" rotation="f" cropping="f" text="f" aspectratio="t"/>
            <w10:wrap type="none"/>
            <w10:anchorlock/>
          </v:shape>
        </w:pict>
      </w:r>
      <w:r>
        <w:rPr>
          <w:sz w:val="24"/>
        </w:rPr>
        <w:t xml:space="preserve">——土地使用权法定最高年限； </w:t>
      </w:r>
      <w:r>
        <w:rPr>
          <w:rFonts w:ascii="Times New Roman" w:hAnsi="Times New Roman" w:eastAsia="宋体" w:cs="Times New Roman"/>
          <w:kern w:val="2"/>
          <w:sz w:val="21"/>
          <w:lang w:val="en-US" w:eastAsia="zh-CN" w:bidi="ar-SA"/>
        </w:rPr>
        <w:pict>
          <v:shape id="图片 64" o:spid="_x0000_s1255" type="#_x0000_t75" style="height:13.5pt;width:15.75pt;rotation:0f;" o:ole="f" fillcolor="#FFFFFF" filled="f" o:preferrelative="t" stroked="f" coordorigin="0,0" coordsize="21600,21600">
            <v:fill on="f" color2="#FFFFFF" focus="0%"/>
            <v:imagedata gain="65536f" blacklevel="0f" gamma="0" o:title="" r:id="rId69"/>
            <o:lock v:ext="edit" position="f" selection="f" grouping="f" rotation="f" cropping="f" text="f" aspectratio="t"/>
            <w10:wrap type="none"/>
            <w10:anchorlock/>
          </v:shape>
        </w:pict>
      </w:r>
      <w:r>
        <w:rPr>
          <w:sz w:val="24"/>
        </w:rPr>
        <w:t>——土地还原率，商服为8.79%，住宅为7.54%，工矿仓储为6.0% 。</w:t>
      </w:r>
    </w:p>
    <w:p>
      <w:pPr>
        <w:spacing w:line="360" w:lineRule="auto"/>
        <w:ind w:firstLine="480" w:firstLineChars="200"/>
        <w:rPr>
          <w:sz w:val="24"/>
        </w:rPr>
      </w:pPr>
      <w:r>
        <w:rPr>
          <w:sz w:val="24"/>
        </w:rPr>
        <w:t>② 无限年期地价修正到法定最高出让年期地价的计算公式为：</w:t>
      </w:r>
    </w:p>
    <w:p>
      <w:pPr>
        <w:spacing w:line="360" w:lineRule="auto"/>
        <w:rPr>
          <w:sz w:val="24"/>
        </w:rPr>
      </w:pPr>
      <w:r>
        <w:rPr>
          <w:rFonts w:ascii="Times New Roman" w:hAnsi="Times New Roman" w:eastAsia="宋体" w:cs="Times New Roman"/>
          <w:kern w:val="2"/>
          <w:sz w:val="21"/>
          <w:lang w:val="en-US" w:eastAsia="zh-CN" w:bidi="ar-SA"/>
        </w:rPr>
        <w:pict>
          <v:shape id="图片 65" o:spid="_x0000_s1256" type="#_x0000_t75" style="height:39.75pt;width:122.25pt;rotation:0f;" o:ole="f" fillcolor="#FFFFFF" filled="f" o:preferrelative="t" stroked="f" coordorigin="0,0" coordsize="21600,21600">
            <v:fill on="f" color2="#FFFFFF" focus="0%"/>
            <v:imagedata gain="65536f" blacklevel="0f" gamma="0" o:title="" r:id="rId70"/>
            <o:lock v:ext="edit" position="f" selection="f" grouping="f" rotation="f" cropping="f" text="f" aspectratio="t"/>
            <w10:wrap type="none"/>
            <w10:anchorlock/>
          </v:shape>
        </w:pict>
      </w:r>
    </w:p>
    <w:p>
      <w:pPr>
        <w:spacing w:line="360" w:lineRule="auto"/>
        <w:ind w:firstLine="480" w:firstLineChars="200"/>
        <w:rPr>
          <w:sz w:val="24"/>
        </w:rPr>
      </w:pPr>
      <w:r>
        <w:rPr>
          <w:sz w:val="24"/>
        </w:rPr>
        <w:t>式中：</w:t>
      </w:r>
      <w:r>
        <w:rPr>
          <w:rFonts w:ascii="Times New Roman" w:hAnsi="Times New Roman" w:eastAsia="宋体" w:cs="Times New Roman"/>
          <w:kern w:val="2"/>
          <w:sz w:val="21"/>
          <w:lang w:val="en-US" w:eastAsia="zh-CN" w:bidi="ar-SA"/>
        </w:rPr>
        <w:pict>
          <v:shape id="图片 66" o:spid="_x0000_s1257" type="#_x0000_t75" style="height:17.25pt;width:15.75pt;rotation:0f;" o:ole="f" fillcolor="#FFFFFF" filled="f" o:preferrelative="t" stroked="f" coordorigin="0,0" coordsize="21600,21600">
            <v:fill on="f" color2="#FFFFFF" focus="0%"/>
            <v:imagedata gain="65536f" blacklevel="0f" gamma="0" o:title="" r:id="rId71"/>
            <o:lock v:ext="edit" position="f" selection="f" grouping="f" rotation="f" cropping="f" text="f" aspectratio="t"/>
            <w10:wrap type="none"/>
            <w10:anchorlock/>
          </v:shape>
        </w:pict>
      </w:r>
      <w:r>
        <w:rPr>
          <w:sz w:val="24"/>
        </w:rPr>
        <w:t>——无限年期土地使用权价格；</w:t>
      </w:r>
      <w:r>
        <w:rPr>
          <w:rFonts w:ascii="Times New Roman" w:hAnsi="Times New Roman" w:eastAsia="宋体" w:cs="Times New Roman"/>
          <w:kern w:val="2"/>
          <w:sz w:val="21"/>
          <w:lang w:val="en-US" w:eastAsia="zh-CN" w:bidi="ar-SA"/>
        </w:rPr>
        <w:pict>
          <v:shape id="图片 67" o:spid="_x0000_s1258" type="#_x0000_t75" style="height:17.25pt;width:14.25pt;rotation:0f;" o:ole="f" fillcolor="#FFFFFF" filled="f" o:preferrelative="t" stroked="f" coordorigin="0,0" coordsize="21600,21600">
            <v:fill on="f" color2="#FFFFFF" focus="0%"/>
            <v:imagedata gain="65536f" blacklevel="0f" gamma="0" o:title="" r:id="rId72"/>
            <o:lock v:ext="edit" position="f" selection="f" grouping="f" rotation="f" cropping="f" text="f" aspectratio="t"/>
            <w10:wrap type="none"/>
            <w10:anchorlock/>
          </v:shape>
        </w:pict>
      </w:r>
      <w:r>
        <w:rPr>
          <w:sz w:val="24"/>
        </w:rPr>
        <w:t>、</w:t>
      </w:r>
      <w:r>
        <w:rPr>
          <w:rFonts w:ascii="Times New Roman" w:hAnsi="Times New Roman" w:eastAsia="宋体" w:cs="Times New Roman"/>
          <w:kern w:val="2"/>
          <w:sz w:val="21"/>
          <w:lang w:val="en-US" w:eastAsia="zh-CN" w:bidi="ar-SA"/>
        </w:rPr>
        <w:pict>
          <v:shape id="图片 68" o:spid="_x0000_s1259" type="#_x0000_t75" style="height:13.5pt;width:15.75pt;rotation:0f;" o:ole="f" fillcolor="#FFFFFF" filled="f" o:preferrelative="t" stroked="f" coordorigin="0,0" coordsize="21600,21600">
            <v:fill on="f" color2="#FFFFFF" focus="0%"/>
            <v:imagedata gain="65536f" blacklevel="0f" gamma="0" o:title="" r:id="rId73"/>
            <o:lock v:ext="edit" position="f" selection="f" grouping="f" rotation="f" cropping="f" text="f" aspectratio="t"/>
            <w10:wrap type="none"/>
            <w10:anchorlock/>
          </v:shape>
        </w:pict>
      </w:r>
      <w:r>
        <w:rPr>
          <w:sz w:val="24"/>
        </w:rPr>
        <w:t>、</w:t>
      </w:r>
      <w:r>
        <w:rPr>
          <w:rFonts w:ascii="Times New Roman" w:hAnsi="Times New Roman" w:eastAsia="宋体" w:cs="Times New Roman"/>
          <w:kern w:val="2"/>
          <w:sz w:val="21"/>
          <w:lang w:val="en-US" w:eastAsia="zh-CN" w:bidi="ar-SA"/>
        </w:rPr>
        <w:pict>
          <v:shape id="图片 69" o:spid="_x0000_s1260" type="#_x0000_t75" style="height:10.5pt;width:12.75pt;rotation:0f;" o:ole="f" fillcolor="#FFFFFF" filled="f" o:preferrelative="t" stroked="f" coordorigin="0,0" coordsize="21600,21600">
            <v:fill on="f" color2="#FFFFFF" focus="0%"/>
            <v:imagedata gain="65536f" blacklevel="0f" gamma="0" o:title="" r:id="rId74"/>
            <o:lock v:ext="edit" position="f" selection="f" grouping="f" rotation="f" cropping="f" text="f" aspectratio="t"/>
            <w10:wrap type="none"/>
            <w10:anchorlock/>
          </v:shape>
        </w:pict>
      </w:r>
      <w:r>
        <w:rPr>
          <w:sz w:val="24"/>
        </w:rPr>
        <w:t>——含义同上。</w:t>
      </w:r>
    </w:p>
    <w:p>
      <w:pPr>
        <w:spacing w:line="360" w:lineRule="auto"/>
        <w:ind w:firstLine="482" w:firstLineChars="200"/>
        <w:rPr>
          <w:b/>
          <w:sz w:val="24"/>
          <w:lang w:val="zh-CN"/>
        </w:rPr>
      </w:pPr>
      <w:r>
        <w:rPr>
          <w:b/>
          <w:sz w:val="24"/>
          <w:lang w:val="zh-CN"/>
        </w:rPr>
        <w:t>（二）交易时间修正</w:t>
      </w:r>
    </w:p>
    <w:p>
      <w:pPr>
        <w:spacing w:line="360" w:lineRule="auto"/>
        <w:ind w:firstLine="480" w:firstLineChars="200"/>
        <w:rPr>
          <w:sz w:val="24"/>
          <w:lang w:val="zh-CN"/>
        </w:rPr>
      </w:pPr>
      <w:r>
        <w:rPr>
          <w:sz w:val="24"/>
          <w:lang w:val="zh-CN"/>
        </w:rPr>
        <w:t>基准地价是针对某一具体时间而言的，但样点资料却分布在不同年份，根据估价期日原则，应当把不同时期的交易资料修正为评估期日的水平。交易时间修正系数的一般计算公式是：</w:t>
      </w:r>
    </w:p>
    <w:p>
      <w:pPr>
        <w:spacing w:line="360" w:lineRule="auto"/>
        <w:jc w:val="center"/>
        <w:rPr>
          <w:sz w:val="24"/>
        </w:rPr>
      </w:pPr>
      <w:r>
        <w:rPr>
          <w:rFonts w:eastAsia="仿宋_GB2312"/>
          <w:sz w:val="24"/>
        </w:rPr>
        <w:t>K</w:t>
      </w:r>
      <w:r>
        <w:rPr>
          <w:sz w:val="24"/>
          <w:vertAlign w:val="subscript"/>
        </w:rPr>
        <w:t>j</w:t>
      </w:r>
      <w:r>
        <w:rPr>
          <w:rFonts w:eastAsia="仿宋_GB2312"/>
          <w:sz w:val="24"/>
        </w:rPr>
        <w:t>=</w:t>
      </w:r>
      <w:r>
        <w:rPr>
          <w:rFonts w:ascii="Times New Roman" w:hAnsi="Times New Roman" w:eastAsia="宋体" w:cs="Times New Roman"/>
          <w:kern w:val="2"/>
          <w:position w:val="-28"/>
          <w:sz w:val="24"/>
          <w:lang w:val="en-US" w:eastAsia="zh-CN" w:bidi="ar-SA"/>
        </w:rPr>
        <w:object>
          <v:shape id="Picture 6" type="#_x0000_t75" style="height:32.65pt;width:30.1pt;rotation:0f;" o:ole="t" fillcolor="#FFFFFF" filled="f" o:preferrelative="t" stroked="f" coordorigin="0,0" coordsize="21600,21600">
            <v:fill on="f" color2="#FFFFFF" focus="0%"/>
            <v:imagedata gain="65536f" blacklevel="0f" gamma="0" o:title="" r:id="rId76"/>
            <o:lock v:ext="edit" position="f" selection="f" grouping="f" rotation="f" cropping="f" text="f" aspectratio="t"/>
            <w10:wrap type="none"/>
            <w10:anchorlock/>
          </v:shape>
          <o:OLEObject Type="Embed" ProgID="" ShapeID="Picture 6" DrawAspect="Content" ObjectID="_235" r:id="rId75"/>
        </w:object>
      </w:r>
    </w:p>
    <w:p>
      <w:pPr>
        <w:adjustRightInd w:val="0"/>
        <w:spacing w:line="360" w:lineRule="auto"/>
        <w:ind w:firstLine="480" w:firstLineChars="200"/>
        <w:rPr>
          <w:sz w:val="24"/>
        </w:rPr>
      </w:pPr>
      <w:r>
        <w:rPr>
          <w:sz w:val="24"/>
        </w:rPr>
        <w:t>式中: K</w:t>
      </w:r>
      <w:r>
        <w:rPr>
          <w:sz w:val="24"/>
          <w:vertAlign w:val="subscript"/>
        </w:rPr>
        <w:t>j</w:t>
      </w:r>
      <w:r>
        <w:rPr>
          <w:sz w:val="24"/>
        </w:rPr>
        <w:t>——某类土地用途第j年数据修正到评估年的系数；P</w:t>
      </w:r>
      <w:r>
        <w:rPr>
          <w:sz w:val="24"/>
          <w:vertAlign w:val="subscript"/>
        </w:rPr>
        <w:t>s</w:t>
      </w:r>
      <w:r>
        <w:rPr>
          <w:sz w:val="24"/>
        </w:rPr>
        <w:t>——某类土地用途评估年该类土地交易平均价；P</w:t>
      </w:r>
      <w:r>
        <w:rPr>
          <w:sz w:val="24"/>
          <w:vertAlign w:val="subscript"/>
        </w:rPr>
        <w:t>j</w:t>
      </w:r>
      <w:r>
        <w:rPr>
          <w:sz w:val="24"/>
        </w:rPr>
        <w:t xml:space="preserve">——某类土地用途第j年该类土地交易平均价。    </w:t>
      </w:r>
    </w:p>
    <w:p>
      <w:pPr>
        <w:adjustRightInd w:val="0"/>
        <w:spacing w:line="360" w:lineRule="auto"/>
        <w:ind w:firstLine="480" w:firstLineChars="200"/>
        <w:rPr>
          <w:sz w:val="24"/>
        </w:rPr>
      </w:pPr>
      <w:r>
        <w:rPr>
          <w:sz w:val="24"/>
        </w:rPr>
        <w:t>对不同年份发生交易的地价，修正到评估年份的计算公式为：</w:t>
      </w:r>
    </w:p>
    <w:p>
      <w:pPr>
        <w:spacing w:line="360" w:lineRule="auto"/>
        <w:jc w:val="center"/>
        <w:rPr>
          <w:sz w:val="24"/>
        </w:rPr>
      </w:pPr>
      <w:r>
        <w:rPr>
          <w:sz w:val="24"/>
        </w:rPr>
        <w:t>P</w:t>
      </w:r>
      <w:r>
        <w:rPr>
          <w:sz w:val="24"/>
          <w:vertAlign w:val="subscript"/>
        </w:rPr>
        <w:t>s</w:t>
      </w:r>
      <w:r>
        <w:rPr>
          <w:sz w:val="24"/>
        </w:rPr>
        <w:t>=K</w:t>
      </w:r>
      <w:r>
        <w:rPr>
          <w:sz w:val="24"/>
          <w:vertAlign w:val="subscript"/>
        </w:rPr>
        <w:t>j</w:t>
      </w:r>
      <w:r>
        <w:rPr>
          <w:sz w:val="24"/>
        </w:rPr>
        <w:t>×P</w:t>
      </w:r>
      <w:r>
        <w:rPr>
          <w:sz w:val="24"/>
          <w:vertAlign w:val="subscript"/>
        </w:rPr>
        <w:t>j</w:t>
      </w:r>
    </w:p>
    <w:p>
      <w:pPr>
        <w:adjustRightInd w:val="0"/>
        <w:spacing w:line="360" w:lineRule="auto"/>
        <w:ind w:firstLine="480" w:firstLineChars="200"/>
        <w:rPr>
          <w:sz w:val="24"/>
        </w:rPr>
      </w:pPr>
      <w:r>
        <w:rPr>
          <w:sz w:val="24"/>
        </w:rPr>
        <w:t>式中：P</w:t>
      </w:r>
      <w:r>
        <w:rPr>
          <w:sz w:val="24"/>
          <w:vertAlign w:val="subscript"/>
        </w:rPr>
        <w:t>s</w:t>
      </w:r>
      <w:r>
        <w:rPr>
          <w:sz w:val="24"/>
        </w:rPr>
        <w:t>——修正评估期日的宗地价格；P</w:t>
      </w:r>
      <w:r>
        <w:rPr>
          <w:sz w:val="24"/>
          <w:vertAlign w:val="subscript"/>
        </w:rPr>
        <w:t>j</w:t>
      </w:r>
      <w:r>
        <w:rPr>
          <w:sz w:val="24"/>
        </w:rPr>
        <w:t>——第j年某宗地的实际成交地价。</w:t>
      </w:r>
    </w:p>
    <w:p>
      <w:pPr>
        <w:adjustRightInd w:val="0"/>
        <w:spacing w:beforeLines="50" w:line="360" w:lineRule="auto"/>
        <w:ind w:firstLine="482" w:firstLineChars="200"/>
        <w:jc w:val="left"/>
        <w:rPr>
          <w:b/>
          <w:sz w:val="24"/>
          <w:lang w:val="zh-CN"/>
        </w:rPr>
      </w:pPr>
      <w:r>
        <w:rPr>
          <w:b/>
          <w:sz w:val="24"/>
          <w:lang w:val="zh-CN"/>
        </w:rPr>
        <w:t>（三）容积率修正</w:t>
      </w:r>
    </w:p>
    <w:p>
      <w:pPr>
        <w:spacing w:line="360" w:lineRule="auto"/>
        <w:ind w:firstLine="480" w:firstLineChars="200"/>
        <w:rPr>
          <w:sz w:val="24"/>
          <w:lang w:val="zh-CN"/>
        </w:rPr>
      </w:pPr>
      <w:r>
        <w:rPr>
          <w:sz w:val="24"/>
          <w:lang w:val="zh-CN"/>
        </w:rPr>
        <w:t>容积率是城市用地的宗地上允许修建的总建筑面积与宗地面积之比值，不同容积率下的样点地价，只有修正到基准地价评估所设定的平均容积率下的地价，才能用于基准地价的评估。工矿仓储用地用地的现状容积率一般都低于1，首先我们通过对地价随容积率变化机制的研究来建立容积率修正系数体系。由于容积率对工矿仓储用地地价影响不明显，故本次基准地价评估不对工矿仓储用地进行容积率修正，只对商服和住宅两种用地分用途按级别进行容积率修正。容积率修正系数的确定具体见本报告后面的修正体系表。</w:t>
      </w:r>
    </w:p>
    <w:p>
      <w:pPr>
        <w:spacing w:line="360" w:lineRule="auto"/>
        <w:ind w:firstLine="480" w:firstLineChars="200"/>
        <w:rPr>
          <w:sz w:val="24"/>
          <w:lang w:val="zh-CN"/>
        </w:rPr>
      </w:pPr>
      <w:r>
        <w:rPr>
          <w:sz w:val="24"/>
          <w:lang w:val="zh-CN"/>
        </w:rPr>
        <w:t>容积率修正系数计算公式为：</w:t>
      </w:r>
    </w:p>
    <w:p>
      <w:pPr>
        <w:spacing w:line="360" w:lineRule="auto"/>
        <w:jc w:val="center"/>
        <w:rPr>
          <w:sz w:val="24"/>
          <w:vertAlign w:val="subscript"/>
        </w:rPr>
      </w:pPr>
      <w:r>
        <w:rPr>
          <w:sz w:val="24"/>
        </w:rPr>
        <w:t>K</w:t>
      </w:r>
      <w:r>
        <w:rPr>
          <w:sz w:val="24"/>
          <w:vertAlign w:val="subscript"/>
        </w:rPr>
        <w:t>i</w:t>
      </w:r>
      <w:r>
        <w:rPr>
          <w:sz w:val="24"/>
        </w:rPr>
        <w:t>=P</w:t>
      </w:r>
      <w:r>
        <w:rPr>
          <w:sz w:val="24"/>
          <w:vertAlign w:val="subscript"/>
        </w:rPr>
        <w:t>i</w:t>
      </w:r>
      <w:r>
        <w:rPr>
          <w:sz w:val="24"/>
        </w:rPr>
        <w:t>/P</w:t>
      </w:r>
      <w:r>
        <w:rPr>
          <w:sz w:val="24"/>
          <w:vertAlign w:val="subscript"/>
        </w:rPr>
        <w:t>s</w:t>
      </w:r>
    </w:p>
    <w:p>
      <w:pPr>
        <w:spacing w:line="360" w:lineRule="auto"/>
        <w:ind w:firstLine="480" w:firstLineChars="200"/>
        <w:rPr>
          <w:sz w:val="24"/>
        </w:rPr>
      </w:pPr>
      <w:r>
        <w:rPr>
          <w:sz w:val="24"/>
        </w:rPr>
        <w:t>式中：K</w:t>
      </w:r>
      <w:r>
        <w:rPr>
          <w:sz w:val="24"/>
          <w:vertAlign w:val="subscript"/>
        </w:rPr>
        <w:t>i</w:t>
      </w:r>
      <w:r>
        <w:rPr>
          <w:sz w:val="24"/>
        </w:rPr>
        <w:t>—容积率为i时的修正系数；P</w:t>
      </w:r>
      <w:r>
        <w:rPr>
          <w:sz w:val="24"/>
          <w:vertAlign w:val="subscript"/>
        </w:rPr>
        <w:t>i</w:t>
      </w:r>
      <w:r>
        <w:rPr>
          <w:sz w:val="24"/>
        </w:rPr>
        <w:t>—容积率为i时的样点平均地价；P</w:t>
      </w:r>
      <w:r>
        <w:rPr>
          <w:sz w:val="24"/>
          <w:vertAlign w:val="subscript"/>
        </w:rPr>
        <w:t>s</w:t>
      </w:r>
      <w:r>
        <w:rPr>
          <w:sz w:val="24"/>
        </w:rPr>
        <w:t>—某级别平均容积率下的地价。</w:t>
      </w:r>
    </w:p>
    <w:p>
      <w:pPr>
        <w:spacing w:line="360" w:lineRule="auto"/>
        <w:ind w:firstLine="480" w:firstLineChars="200"/>
        <w:rPr>
          <w:sz w:val="24"/>
        </w:rPr>
      </w:pPr>
      <w:r>
        <w:rPr>
          <w:sz w:val="24"/>
        </w:rPr>
        <w:t>不同容积率情况下发生的交易样点地价，按下式修正到平均容积率下的地价</w:t>
      </w:r>
    </w:p>
    <w:p>
      <w:pPr>
        <w:spacing w:line="360" w:lineRule="auto"/>
        <w:jc w:val="center"/>
        <w:rPr>
          <w:sz w:val="24"/>
        </w:rPr>
      </w:pPr>
      <w:r>
        <w:rPr>
          <w:sz w:val="24"/>
        </w:rPr>
        <w:t>P</w:t>
      </w:r>
      <w:r>
        <w:rPr>
          <w:sz w:val="24"/>
          <w:vertAlign w:val="subscript"/>
        </w:rPr>
        <w:t>s</w:t>
      </w:r>
      <w:r>
        <w:rPr>
          <w:sz w:val="24"/>
        </w:rPr>
        <w:t>=P</w:t>
      </w:r>
      <w:r>
        <w:rPr>
          <w:sz w:val="24"/>
          <w:vertAlign w:val="subscript"/>
        </w:rPr>
        <w:t>i</w:t>
      </w:r>
      <w:r>
        <w:rPr>
          <w:sz w:val="24"/>
        </w:rPr>
        <w:t>/K</w:t>
      </w:r>
      <w:r>
        <w:rPr>
          <w:sz w:val="24"/>
          <w:vertAlign w:val="subscript"/>
        </w:rPr>
        <w:t>i</w:t>
      </w:r>
    </w:p>
    <w:p>
      <w:pPr>
        <w:adjustRightInd w:val="0"/>
        <w:spacing w:line="360" w:lineRule="auto"/>
        <w:ind w:firstLine="480" w:firstLineChars="200"/>
        <w:rPr>
          <w:sz w:val="24"/>
        </w:rPr>
      </w:pPr>
      <w:r>
        <w:rPr>
          <w:sz w:val="24"/>
        </w:rPr>
        <w:t>式中：P</w:t>
      </w:r>
      <w:r>
        <w:rPr>
          <w:sz w:val="24"/>
          <w:vertAlign w:val="subscript"/>
        </w:rPr>
        <w:t>s</w:t>
      </w:r>
      <w:r>
        <w:rPr>
          <w:sz w:val="24"/>
        </w:rPr>
        <w:t>——容积率为S（平均容积率）的地价；P</w:t>
      </w:r>
      <w:r>
        <w:rPr>
          <w:sz w:val="24"/>
          <w:vertAlign w:val="subscript"/>
        </w:rPr>
        <w:t>i</w:t>
      </w:r>
      <w:r>
        <w:rPr>
          <w:sz w:val="24"/>
        </w:rPr>
        <w:t>——容积率为i的样点地价K</w:t>
      </w:r>
      <w:r>
        <w:rPr>
          <w:sz w:val="24"/>
          <w:vertAlign w:val="subscript"/>
        </w:rPr>
        <w:t>i</w:t>
      </w:r>
      <w:r>
        <w:rPr>
          <w:sz w:val="24"/>
        </w:rPr>
        <w:t>——容积率为i时的修正系数。</w:t>
      </w:r>
    </w:p>
    <w:p>
      <w:pPr>
        <w:spacing w:line="360" w:lineRule="auto"/>
        <w:ind w:firstLine="482" w:firstLineChars="200"/>
        <w:rPr>
          <w:b/>
          <w:sz w:val="24"/>
          <w:lang w:val="zh-CN"/>
        </w:rPr>
      </w:pPr>
      <w:r>
        <w:rPr>
          <w:b/>
          <w:sz w:val="24"/>
          <w:lang w:val="zh-CN"/>
        </w:rPr>
        <w:t>（四）开发程度修正</w:t>
      </w:r>
    </w:p>
    <w:p>
      <w:pPr>
        <w:spacing w:line="360" w:lineRule="auto"/>
        <w:ind w:firstLine="480" w:firstLineChars="200"/>
        <w:rPr>
          <w:sz w:val="24"/>
          <w:lang w:val="zh-CN"/>
        </w:rPr>
      </w:pPr>
      <w:r>
        <w:rPr>
          <w:sz w:val="24"/>
          <w:lang w:val="zh-CN"/>
        </w:rPr>
        <w:t>土地开发费用主要是指宗地红线内外通路、供水、排水、通电和通讯等方面的费用和场地平整费用。本次评估设定了各级别的平均土地开发程度为“五通一平”，而各宗地的实际开发程度可能与平均开发程度一致，也可能与平均开发程度不一致，对于与平均开发程度不一致的宗地，必须将其实际开发程度修正到所在级别平均开发程度。</w:t>
      </w:r>
    </w:p>
    <w:p>
      <w:pPr>
        <w:spacing w:line="360" w:lineRule="auto"/>
        <w:ind w:firstLine="480" w:firstLineChars="200"/>
        <w:rPr>
          <w:sz w:val="24"/>
          <w:lang w:val="zh-CN"/>
        </w:rPr>
      </w:pPr>
      <w:r>
        <w:rPr>
          <w:sz w:val="24"/>
          <w:lang w:val="zh-CN"/>
        </w:rPr>
        <w:t>据外业调查和有关部门提供的资料，各项费用的分摊见表3-2-19。</w:t>
      </w:r>
    </w:p>
    <w:p>
      <w:pPr>
        <w:spacing w:line="480" w:lineRule="exact"/>
        <w:jc w:val="center"/>
        <w:rPr>
          <w:b/>
          <w:bCs/>
          <w:sz w:val="24"/>
          <w:szCs w:val="22"/>
        </w:rPr>
      </w:pPr>
      <w:r>
        <w:rPr>
          <w:b/>
          <w:bCs/>
          <w:sz w:val="24"/>
          <w:szCs w:val="22"/>
        </w:rPr>
        <w:t>表3-2-19  土地开发费用分项一览表</w:t>
      </w:r>
    </w:p>
    <w:p>
      <w:pPr>
        <w:pStyle w:val="19"/>
        <w:spacing w:beforeLines="50" w:afterLines="50"/>
        <w:ind w:firstLine="480" w:firstLineChars="200"/>
        <w:jc w:val="right"/>
        <w:rPr>
          <w:rFonts w:ascii="Times New Roman" w:hAnsi="Times New Roman" w:eastAsia="黑体"/>
          <w:bCs/>
          <w:sz w:val="24"/>
          <w:szCs w:val="24"/>
        </w:rPr>
      </w:pPr>
      <w:r>
        <w:rPr>
          <w:rFonts w:ascii="Times New Roman" w:hAnsi="Times New Roman" w:eastAsia="黑体"/>
          <w:bCs/>
          <w:sz w:val="24"/>
          <w:szCs w:val="24"/>
        </w:rPr>
        <w:t>单位：</w:t>
      </w:r>
      <w:r>
        <w:rPr>
          <w:rFonts w:ascii="Times New Roman" w:hAnsi="Times New Roman" w:eastAsia="黑体"/>
          <w:bCs/>
          <w:sz w:val="24"/>
        </w:rPr>
        <w:t>元/m</w:t>
      </w:r>
      <w:r>
        <w:rPr>
          <w:rFonts w:ascii="Times New Roman" w:hAnsi="Times New Roman" w:eastAsia="黑体"/>
          <w:bCs/>
          <w:sz w:val="24"/>
          <w:vertAlign w:val="superscript"/>
        </w:rPr>
        <w:t>2</w:t>
      </w:r>
    </w:p>
    <w:tbl>
      <w:tblPr>
        <w:tblW w:w="90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20"/>
        <w:gridCol w:w="1320"/>
        <w:gridCol w:w="1319"/>
        <w:gridCol w:w="1319"/>
        <w:gridCol w:w="1319"/>
        <w:gridCol w:w="1319"/>
        <w:gridCol w:w="11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exac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道路设施</w:t>
            </w:r>
          </w:p>
        </w:tc>
        <w:tc>
          <w:tcPr>
            <w:tcW w:w="1320" w:type="dxa"/>
            <w:tcBorders>
              <w:top w:val="single" w:color="auto" w:sz="4" w:space="0"/>
              <w:left w:val="nil"/>
              <w:bottom w:val="single" w:color="auto" w:sz="4" w:space="0"/>
              <w:right w:val="single" w:color="auto" w:sz="4" w:space="0"/>
            </w:tcBorders>
            <w:vAlign w:val="center"/>
          </w:tcPr>
          <w:p>
            <w:pPr>
              <w:widowControl/>
              <w:jc w:val="center"/>
              <w:rPr>
                <w:kern w:val="0"/>
                <w:szCs w:val="21"/>
              </w:rPr>
            </w:pPr>
            <w:r>
              <w:rPr>
                <w:kern w:val="0"/>
                <w:szCs w:val="21"/>
              </w:rPr>
              <w:t>供水设施</w:t>
            </w:r>
          </w:p>
        </w:tc>
        <w:tc>
          <w:tcPr>
            <w:tcW w:w="1319" w:type="dxa"/>
            <w:tcBorders>
              <w:top w:val="single" w:color="auto" w:sz="4" w:space="0"/>
              <w:left w:val="nil"/>
              <w:bottom w:val="single" w:color="auto" w:sz="4" w:space="0"/>
              <w:right w:val="single" w:color="auto" w:sz="4" w:space="0"/>
            </w:tcBorders>
            <w:vAlign w:val="center"/>
          </w:tcPr>
          <w:p>
            <w:pPr>
              <w:widowControl/>
              <w:jc w:val="center"/>
              <w:rPr>
                <w:kern w:val="0"/>
                <w:szCs w:val="21"/>
              </w:rPr>
            </w:pPr>
            <w:r>
              <w:rPr>
                <w:kern w:val="0"/>
                <w:szCs w:val="21"/>
              </w:rPr>
              <w:t>排水设施</w:t>
            </w:r>
          </w:p>
        </w:tc>
        <w:tc>
          <w:tcPr>
            <w:tcW w:w="1319" w:type="dxa"/>
            <w:tcBorders>
              <w:top w:val="single" w:color="auto" w:sz="4" w:space="0"/>
              <w:left w:val="nil"/>
              <w:bottom w:val="single" w:color="auto" w:sz="4" w:space="0"/>
              <w:right w:val="single" w:color="auto" w:sz="4" w:space="0"/>
            </w:tcBorders>
            <w:vAlign w:val="center"/>
          </w:tcPr>
          <w:p>
            <w:pPr>
              <w:widowControl/>
              <w:jc w:val="center"/>
              <w:rPr>
                <w:kern w:val="0"/>
                <w:szCs w:val="21"/>
              </w:rPr>
            </w:pPr>
            <w:r>
              <w:rPr>
                <w:kern w:val="0"/>
                <w:szCs w:val="21"/>
              </w:rPr>
              <w:t>电力设施</w:t>
            </w:r>
          </w:p>
        </w:tc>
        <w:tc>
          <w:tcPr>
            <w:tcW w:w="1319" w:type="dxa"/>
            <w:tcBorders>
              <w:top w:val="single" w:color="auto" w:sz="4" w:space="0"/>
              <w:left w:val="nil"/>
              <w:bottom w:val="single" w:color="auto" w:sz="4" w:space="0"/>
              <w:right w:val="single" w:color="auto" w:sz="4" w:space="0"/>
            </w:tcBorders>
            <w:vAlign w:val="center"/>
          </w:tcPr>
          <w:p>
            <w:pPr>
              <w:widowControl/>
              <w:jc w:val="center"/>
              <w:rPr>
                <w:kern w:val="0"/>
                <w:szCs w:val="21"/>
              </w:rPr>
            </w:pPr>
            <w:r>
              <w:rPr>
                <w:kern w:val="0"/>
                <w:szCs w:val="21"/>
              </w:rPr>
              <w:t>通讯设施</w:t>
            </w:r>
          </w:p>
        </w:tc>
        <w:tc>
          <w:tcPr>
            <w:tcW w:w="1319" w:type="dxa"/>
            <w:tcBorders>
              <w:top w:val="single" w:color="auto" w:sz="4" w:space="0"/>
              <w:left w:val="nil"/>
              <w:bottom w:val="single" w:color="auto" w:sz="4" w:space="0"/>
              <w:right w:val="single" w:color="auto" w:sz="4" w:space="0"/>
            </w:tcBorders>
            <w:vAlign w:val="center"/>
          </w:tcPr>
          <w:p>
            <w:pPr>
              <w:widowControl/>
              <w:jc w:val="center"/>
              <w:rPr>
                <w:kern w:val="0"/>
                <w:szCs w:val="21"/>
              </w:rPr>
            </w:pPr>
            <w:r>
              <w:rPr>
                <w:kern w:val="0"/>
                <w:szCs w:val="21"/>
              </w:rPr>
              <w:t>场地平整</w:t>
            </w:r>
          </w:p>
        </w:tc>
        <w:tc>
          <w:tcPr>
            <w:tcW w:w="1145" w:type="dxa"/>
            <w:tcBorders>
              <w:top w:val="single" w:color="auto" w:sz="4" w:space="0"/>
              <w:left w:val="nil"/>
              <w:bottom w:val="single" w:color="auto" w:sz="4" w:space="0"/>
              <w:right w:val="single" w:color="auto" w:sz="4" w:space="0"/>
            </w:tcBorders>
            <w:vAlign w:val="center"/>
          </w:tcPr>
          <w:p>
            <w:pPr>
              <w:widowControl/>
              <w:jc w:val="center"/>
              <w:rPr>
                <w:kern w:val="0"/>
                <w:szCs w:val="21"/>
              </w:rPr>
            </w:pPr>
            <w:r>
              <w:rPr>
                <w:kern w:val="0"/>
                <w:szCs w:val="21"/>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exact"/>
          <w:jc w:val="center"/>
        </w:trPr>
        <w:tc>
          <w:tcPr>
            <w:tcW w:w="1320"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40-60</w:t>
            </w:r>
          </w:p>
        </w:tc>
        <w:tc>
          <w:tcPr>
            <w:tcW w:w="1320"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25-45</w:t>
            </w:r>
          </w:p>
        </w:tc>
        <w:tc>
          <w:tcPr>
            <w:tcW w:w="1319"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20-35</w:t>
            </w:r>
          </w:p>
        </w:tc>
        <w:tc>
          <w:tcPr>
            <w:tcW w:w="1319"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25-45</w:t>
            </w:r>
          </w:p>
        </w:tc>
        <w:tc>
          <w:tcPr>
            <w:tcW w:w="1319"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15-25</w:t>
            </w:r>
          </w:p>
        </w:tc>
        <w:tc>
          <w:tcPr>
            <w:tcW w:w="1319"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25-35</w:t>
            </w:r>
          </w:p>
        </w:tc>
        <w:tc>
          <w:tcPr>
            <w:tcW w:w="1145"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1</w:t>
            </w:r>
            <w:r>
              <w:rPr>
                <w:rFonts w:hint="eastAsia"/>
                <w:kern w:val="0"/>
                <w:szCs w:val="21"/>
                <w:lang w:val="en-US" w:eastAsia="zh-CN"/>
              </w:rPr>
              <w:t>5</w:t>
            </w:r>
            <w:r>
              <w:rPr>
                <w:kern w:val="0"/>
                <w:szCs w:val="21"/>
              </w:rPr>
              <w:t>0-2</w:t>
            </w:r>
            <w:r>
              <w:rPr>
                <w:rFonts w:hint="eastAsia"/>
                <w:kern w:val="0"/>
                <w:szCs w:val="21"/>
                <w:lang w:val="en-US" w:eastAsia="zh-CN"/>
              </w:rPr>
              <w:t>4</w:t>
            </w:r>
            <w:r>
              <w:rPr>
                <w:kern w:val="0"/>
                <w:szCs w:val="21"/>
              </w:rPr>
              <w:t>5</w:t>
            </w:r>
          </w:p>
        </w:tc>
      </w:tr>
    </w:tbl>
    <w:p>
      <w:pPr>
        <w:pStyle w:val="19"/>
        <w:spacing w:line="360" w:lineRule="auto"/>
        <w:ind w:firstLine="480" w:firstLineChars="200"/>
        <w:jc w:val="center"/>
        <w:rPr>
          <w:rFonts w:ascii="Times New Roman" w:hAnsi="Times New Roman"/>
          <w:sz w:val="24"/>
          <w:lang w:val="zh-CN"/>
        </w:rPr>
      </w:pPr>
      <w:r>
        <w:rPr>
          <w:rFonts w:ascii="Times New Roman" w:hAnsi="Times New Roman"/>
          <w:sz w:val="24"/>
          <w:lang w:val="zh-CN"/>
        </w:rPr>
        <w:t>在评估级别或区段基准地价时，如地价样点的实际开发程度与级别或区段平均开发程度一致时，不作修正；如不一致，则需进行修正，即在样点地价基础上加上（指地价样点开发程度低于级别或区段平均开发程度）或减去（指地价样点开发程度高于</w:t>
      </w:r>
    </w:p>
    <w:p>
      <w:pPr>
        <w:pStyle w:val="19"/>
        <w:spacing w:line="360" w:lineRule="auto"/>
        <w:ind w:firstLine="480" w:firstLineChars="200"/>
        <w:rPr>
          <w:rFonts w:ascii="Times New Roman" w:hAnsi="Times New Roman"/>
          <w:sz w:val="24"/>
          <w:lang w:val="zh-CN"/>
        </w:rPr>
      </w:pPr>
      <w:r>
        <w:rPr>
          <w:rFonts w:ascii="Times New Roman" w:hAnsi="Times New Roman"/>
          <w:sz w:val="24"/>
          <w:lang w:val="zh-CN"/>
        </w:rPr>
        <w:t>级别或区段平均开发程度）相应项目的费用。</w:t>
      </w:r>
    </w:p>
    <w:p>
      <w:pPr>
        <w:spacing w:line="360" w:lineRule="auto"/>
        <w:ind w:firstLine="482" w:firstLineChars="200"/>
        <w:rPr>
          <w:b/>
          <w:sz w:val="24"/>
          <w:lang w:val="zh-CN"/>
        </w:rPr>
      </w:pPr>
      <w:r>
        <w:rPr>
          <w:b/>
          <w:sz w:val="24"/>
          <w:lang w:val="zh-CN"/>
        </w:rPr>
        <w:t>（五）土地使用权出让方式修正</w:t>
      </w:r>
    </w:p>
    <w:p>
      <w:pPr>
        <w:spacing w:line="360" w:lineRule="auto"/>
        <w:ind w:firstLine="480" w:firstLineChars="200"/>
        <w:rPr>
          <w:sz w:val="24"/>
          <w:lang w:val="zh-CN"/>
        </w:rPr>
      </w:pPr>
      <w:r>
        <w:rPr>
          <w:sz w:val="24"/>
          <w:lang w:val="zh-CN"/>
        </w:rPr>
        <w:t>根据对长沙县大量出让资料进行分析处理，确定修正系数见表3-2-20。</w:t>
      </w:r>
    </w:p>
    <w:p>
      <w:pPr>
        <w:spacing w:line="480" w:lineRule="exact"/>
        <w:jc w:val="center"/>
        <w:rPr>
          <w:b/>
          <w:bCs/>
          <w:sz w:val="24"/>
          <w:szCs w:val="22"/>
        </w:rPr>
      </w:pPr>
      <w:r>
        <w:rPr>
          <w:b/>
          <w:bCs/>
          <w:sz w:val="24"/>
          <w:szCs w:val="22"/>
        </w:rPr>
        <w:t>表3-2-20 土地使用权出让方式修正系数表</w:t>
      </w:r>
    </w:p>
    <w:tbl>
      <w:tblPr>
        <w:tblW w:w="88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958"/>
        <w:gridCol w:w="2959"/>
        <w:gridCol w:w="29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协议出让</w:t>
            </w:r>
          </w:p>
        </w:tc>
        <w:tc>
          <w:tcPr>
            <w:tcW w:w="2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拍卖出让</w:t>
            </w:r>
          </w:p>
        </w:tc>
        <w:tc>
          <w:tcPr>
            <w:tcW w:w="2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招标出让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 xml:space="preserve">1.10 </w:t>
            </w:r>
          </w:p>
        </w:tc>
        <w:tc>
          <w:tcPr>
            <w:tcW w:w="2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0.95</w:t>
            </w:r>
          </w:p>
        </w:tc>
        <w:tc>
          <w:tcPr>
            <w:tcW w:w="2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 xml:space="preserve">1.00 </w:t>
            </w:r>
          </w:p>
        </w:tc>
      </w:tr>
    </w:tbl>
    <w:p>
      <w:pPr>
        <w:spacing w:beforeLines="50" w:line="360" w:lineRule="auto"/>
        <w:ind w:firstLine="482" w:firstLineChars="200"/>
        <w:rPr>
          <w:b/>
          <w:sz w:val="24"/>
          <w:lang w:val="zh-CN"/>
        </w:rPr>
      </w:pPr>
      <w:r>
        <w:rPr>
          <w:b/>
          <w:sz w:val="24"/>
          <w:lang w:val="zh-CN"/>
        </w:rPr>
        <w:t>（六）装修水平修正</w:t>
      </w:r>
    </w:p>
    <w:p>
      <w:pPr>
        <w:spacing w:line="360" w:lineRule="auto"/>
        <w:ind w:firstLine="480" w:firstLineChars="200"/>
        <w:rPr>
          <w:sz w:val="24"/>
          <w:lang w:val="zh-CN"/>
        </w:rPr>
      </w:pPr>
      <w:r>
        <w:rPr>
          <w:sz w:val="24"/>
          <w:lang w:val="zh-CN"/>
        </w:rPr>
        <w:t>通过样点分析发现房屋装修水平与房屋租金也有很大关系，因此，将房屋装修水平统一修正到一般装修标准，对租金进行装修水平修正，修正系数见表3-2-21。</w:t>
      </w:r>
    </w:p>
    <w:p>
      <w:pPr>
        <w:spacing w:line="480" w:lineRule="exact"/>
        <w:jc w:val="center"/>
        <w:rPr>
          <w:b/>
          <w:bCs/>
          <w:sz w:val="24"/>
          <w:szCs w:val="22"/>
        </w:rPr>
      </w:pPr>
      <w:r>
        <w:rPr>
          <w:b/>
          <w:bCs/>
          <w:sz w:val="24"/>
          <w:szCs w:val="22"/>
        </w:rPr>
        <w:t>表3-2-21 装修水平修正系数表</w:t>
      </w:r>
    </w:p>
    <w:tbl>
      <w:tblPr>
        <w:tblW w:w="88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219"/>
        <w:gridCol w:w="2219"/>
        <w:gridCol w:w="2218"/>
        <w:gridCol w:w="2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2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装修水平</w:t>
            </w:r>
          </w:p>
        </w:tc>
        <w:tc>
          <w:tcPr>
            <w:tcW w:w="22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高档</w:t>
            </w:r>
          </w:p>
        </w:tc>
        <w:tc>
          <w:tcPr>
            <w:tcW w:w="22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中档</w:t>
            </w:r>
          </w:p>
        </w:tc>
        <w:tc>
          <w:tcPr>
            <w:tcW w:w="22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一般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2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color w:val="000000"/>
                <w:szCs w:val="21"/>
              </w:rPr>
            </w:pPr>
            <w:r>
              <w:rPr>
                <w:b/>
                <w:color w:val="000000"/>
                <w:kern w:val="0"/>
                <w:szCs w:val="21"/>
                <w:lang/>
              </w:rPr>
              <w:t>修正系数</w:t>
            </w:r>
          </w:p>
        </w:tc>
        <w:tc>
          <w:tcPr>
            <w:tcW w:w="22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0.76</w:t>
            </w:r>
          </w:p>
        </w:tc>
        <w:tc>
          <w:tcPr>
            <w:tcW w:w="22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0.85</w:t>
            </w:r>
          </w:p>
        </w:tc>
        <w:tc>
          <w:tcPr>
            <w:tcW w:w="22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rPr>
              <w:t>1</w:t>
            </w:r>
          </w:p>
        </w:tc>
      </w:tr>
    </w:tbl>
    <w:p>
      <w:pPr>
        <w:spacing w:beforeLines="50" w:line="360" w:lineRule="auto"/>
        <w:ind w:firstLine="482" w:firstLineChars="200"/>
        <w:rPr>
          <w:b/>
          <w:sz w:val="24"/>
          <w:szCs w:val="22"/>
          <w:lang w:val="zh-CN"/>
        </w:rPr>
      </w:pPr>
      <w:r>
        <w:rPr>
          <w:b/>
          <w:sz w:val="24"/>
          <w:szCs w:val="22"/>
          <w:lang w:val="zh-CN"/>
        </w:rPr>
        <w:t>（七）商服样点地价特殊因素修正</w:t>
      </w:r>
    </w:p>
    <w:p>
      <w:pPr>
        <w:adjustRightInd w:val="0"/>
        <w:snapToGrid w:val="0"/>
        <w:spacing w:line="360" w:lineRule="auto"/>
        <w:ind w:firstLine="480" w:firstLineChars="200"/>
        <w:rPr>
          <w:sz w:val="24"/>
          <w:lang w:val="zh-CN"/>
        </w:rPr>
      </w:pPr>
      <w:r>
        <w:rPr>
          <w:sz w:val="24"/>
          <w:lang w:val="zh-CN"/>
        </w:rPr>
        <w:t>本次基准地价评估的商服用地，对于临街的某一地价区片内，存在临街路线样点和地价区片内平均状况（消除临街因素对地价的影响）下的样点，两种类型的样点地价相差较大；即使临接同一街道的各样点，因其深度、面积、形状等不同，其地价也有一定的差别。因此，对于商服用地的临街路线样点地价，我们进行两次修正，首先将样点地价修正到设定的标准深度上的路线样点地价，然后将标准深度上的路线样点地价修正为地价区片内平均状况（消除临街因素对地价的影响）下的地价。</w:t>
      </w:r>
    </w:p>
    <w:p>
      <w:pPr>
        <w:adjustRightInd w:val="0"/>
        <w:snapToGrid w:val="0"/>
        <w:spacing w:line="360" w:lineRule="auto"/>
        <w:ind w:firstLine="480" w:firstLineChars="200"/>
        <w:rPr>
          <w:sz w:val="24"/>
          <w:lang w:val="zh-CN"/>
        </w:rPr>
      </w:pPr>
      <w:r>
        <w:rPr>
          <w:sz w:val="24"/>
          <w:lang w:val="zh-CN"/>
        </w:rPr>
        <w:t>1、街角地修正</w:t>
      </w:r>
    </w:p>
    <w:p>
      <w:pPr>
        <w:adjustRightInd w:val="0"/>
        <w:snapToGrid w:val="0"/>
        <w:spacing w:line="360" w:lineRule="auto"/>
        <w:ind w:firstLine="480" w:firstLineChars="200"/>
        <w:rPr>
          <w:sz w:val="24"/>
          <w:lang w:val="zh-CN"/>
        </w:rPr>
      </w:pPr>
      <w:r>
        <w:rPr>
          <w:sz w:val="24"/>
          <w:lang w:val="zh-CN"/>
        </w:rPr>
        <w:t>街角地是指同时临两条相互交叉路段的宗地，街角条件是影响商服用地地价最重要的微观区域因素之一。街角地交通便利、车流量、人流量大，单位面积的商服用地效益远高于其它地段，地价水平也相应较高。在调查长沙县主要街道街角地价与同一区片普通宗地地价比例关系的基础上，并借鉴省内其它城市的经验，编制了长沙县商服用地街角地修正系数表</w:t>
      </w:r>
      <w:r>
        <w:rPr>
          <w:sz w:val="24"/>
        </w:rPr>
        <w:t>3-2-22</w:t>
      </w:r>
      <w:r>
        <w:rPr>
          <w:sz w:val="24"/>
          <w:lang w:val="zh-CN"/>
        </w:rPr>
        <w:t>。</w:t>
      </w:r>
    </w:p>
    <w:p>
      <w:pPr>
        <w:spacing w:line="360" w:lineRule="auto"/>
        <w:jc w:val="center"/>
        <w:rPr>
          <w:sz w:val="24"/>
        </w:rPr>
      </w:pPr>
      <w:r>
        <w:rPr>
          <w:b/>
          <w:bCs/>
          <w:sz w:val="24"/>
          <w:szCs w:val="22"/>
        </w:rPr>
        <w:t>表3-2-22 长沙县城镇商服用地街角地修正系数</w:t>
      </w:r>
    </w:p>
    <w:tbl>
      <w:tblPr>
        <w:tblW w:w="7061" w:type="dxa"/>
        <w:jc w:val="center"/>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2480"/>
        <w:gridCol w:w="1685"/>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347" w:type="dxa"/>
            <w:vAlign w:val="center"/>
          </w:tcPr>
          <w:p>
            <w:pPr>
              <w:pStyle w:val="49"/>
              <w:spacing w:line="440" w:lineRule="exact"/>
              <w:ind w:firstLine="0" w:firstLineChars="0"/>
              <w:jc w:val="center"/>
              <w:rPr>
                <w:sz w:val="21"/>
                <w:szCs w:val="21"/>
              </w:rPr>
            </w:pPr>
            <w:r>
              <w:rPr>
                <w:sz w:val="21"/>
                <w:szCs w:val="21"/>
              </w:rPr>
              <w:t>道路等级比</w:t>
            </w:r>
          </w:p>
        </w:tc>
        <w:tc>
          <w:tcPr>
            <w:tcW w:w="2480" w:type="dxa"/>
            <w:vAlign w:val="center"/>
          </w:tcPr>
          <w:p>
            <w:pPr>
              <w:spacing w:line="300" w:lineRule="exact"/>
              <w:ind w:left="-105" w:leftChars="-50" w:right="-105" w:rightChars="-50"/>
              <w:jc w:val="center"/>
            </w:pPr>
            <w:r>
              <w:t>主：主，次：次、支：支</w:t>
            </w:r>
          </w:p>
        </w:tc>
        <w:tc>
          <w:tcPr>
            <w:tcW w:w="1685" w:type="dxa"/>
            <w:vAlign w:val="center"/>
          </w:tcPr>
          <w:p>
            <w:pPr>
              <w:spacing w:line="300" w:lineRule="exact"/>
              <w:ind w:left="-105" w:leftChars="-50" w:right="-105" w:rightChars="-50"/>
              <w:jc w:val="center"/>
            </w:pPr>
            <w:r>
              <w:t>主：次，次：支</w:t>
            </w:r>
          </w:p>
        </w:tc>
        <w:tc>
          <w:tcPr>
            <w:tcW w:w="1549" w:type="dxa"/>
            <w:vAlign w:val="center"/>
          </w:tcPr>
          <w:p>
            <w:pPr>
              <w:spacing w:line="300" w:lineRule="exact"/>
              <w:ind w:left="-105" w:leftChars="-50" w:right="-105" w:rightChars="-50"/>
              <w:jc w:val="center"/>
            </w:pPr>
            <w:r>
              <w:t>主：支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347" w:type="dxa"/>
            <w:vAlign w:val="center"/>
          </w:tcPr>
          <w:p>
            <w:pPr>
              <w:pStyle w:val="49"/>
              <w:spacing w:line="440" w:lineRule="exact"/>
              <w:ind w:firstLine="0" w:firstLineChars="0"/>
              <w:jc w:val="center"/>
              <w:rPr>
                <w:sz w:val="21"/>
                <w:szCs w:val="21"/>
              </w:rPr>
            </w:pPr>
            <w:r>
              <w:rPr>
                <w:sz w:val="21"/>
                <w:szCs w:val="21"/>
              </w:rPr>
              <w:t>修正系数</w:t>
            </w:r>
          </w:p>
        </w:tc>
        <w:tc>
          <w:tcPr>
            <w:tcW w:w="2480" w:type="dxa"/>
            <w:vAlign w:val="center"/>
          </w:tcPr>
          <w:p>
            <w:pPr>
              <w:jc w:val="center"/>
            </w:pPr>
            <w:r>
              <w:t>0.76</w:t>
            </w:r>
          </w:p>
        </w:tc>
        <w:tc>
          <w:tcPr>
            <w:tcW w:w="1685" w:type="dxa"/>
            <w:vAlign w:val="center"/>
          </w:tcPr>
          <w:p>
            <w:pPr>
              <w:jc w:val="center"/>
            </w:pPr>
            <w:r>
              <w:t>0.80</w:t>
            </w:r>
          </w:p>
        </w:tc>
        <w:tc>
          <w:tcPr>
            <w:tcW w:w="1549" w:type="dxa"/>
            <w:vAlign w:val="center"/>
          </w:tcPr>
          <w:p>
            <w:pPr>
              <w:jc w:val="center"/>
            </w:pPr>
            <w:r>
              <w:t>0.91</w:t>
            </w:r>
          </w:p>
        </w:tc>
      </w:tr>
    </w:tbl>
    <w:p>
      <w:pPr>
        <w:spacing w:line="360" w:lineRule="auto"/>
        <w:ind w:firstLine="360" w:firstLineChars="200"/>
        <w:rPr>
          <w:sz w:val="18"/>
          <w:szCs w:val="18"/>
          <w:lang w:val="zh-CN"/>
        </w:rPr>
      </w:pPr>
      <w:r>
        <w:rPr>
          <w:bCs/>
          <w:sz w:val="18"/>
          <w:szCs w:val="18"/>
        </w:rPr>
        <w:t>备注：“主”为主干道、“次”为次干道、“支”为支路，道路等级划分见前文中表3-3-3。</w:t>
      </w:r>
    </w:p>
    <w:p>
      <w:pPr>
        <w:adjustRightInd w:val="0"/>
        <w:snapToGrid w:val="0"/>
        <w:spacing w:line="360" w:lineRule="auto"/>
        <w:ind w:firstLine="480" w:firstLineChars="200"/>
        <w:rPr>
          <w:sz w:val="24"/>
          <w:lang w:val="zh-CN"/>
        </w:rPr>
      </w:pPr>
      <w:r>
        <w:rPr>
          <w:sz w:val="24"/>
          <w:lang w:val="zh-CN"/>
        </w:rPr>
        <w:t>2、土地深度修正</w:t>
      </w:r>
    </w:p>
    <w:p>
      <w:pPr>
        <w:adjustRightInd w:val="0"/>
        <w:snapToGrid w:val="0"/>
        <w:spacing w:line="360" w:lineRule="auto"/>
        <w:ind w:firstLine="480" w:firstLineChars="200"/>
        <w:rPr>
          <w:sz w:val="24"/>
          <w:lang w:val="zh-CN"/>
        </w:rPr>
      </w:pPr>
      <w:r>
        <w:rPr>
          <w:sz w:val="24"/>
          <w:lang w:val="zh-CN"/>
        </w:rPr>
        <w:t>城市内各宗土地价格的高低，随其离开街道距离的增加呈指数递减，换句话说，一宗临街地，其接近街道部分的利用价值高于远离街道部分的利用价值，越接近街道利用价值越大，价格越高，距离街道越远利用价值越小，价格越低。但道路对土地利用的影响是有限度的，即当土地达到一定的深度时，土地价格的变化接近于零，这一道路对土地利用价值影响的零点称为标准深度。针对长沙县的实际情况，我们按长沙县城市规划道路的标准设定三种标准深度：主干道为20米，次干道为16米，支路为12米。样点地价须修正到基准地价内涵所对应的标准深度。样点地价修正到标准深度地价的计算公式为：</w:t>
      </w:r>
    </w:p>
    <w:p>
      <w:pPr>
        <w:adjustRightInd w:val="0"/>
        <w:snapToGrid w:val="0"/>
        <w:spacing w:line="360" w:lineRule="auto"/>
        <w:ind w:firstLine="480" w:firstLineChars="200"/>
        <w:rPr>
          <w:sz w:val="24"/>
        </w:rPr>
      </w:pPr>
      <w:r>
        <w:rPr>
          <w:sz w:val="24"/>
        </w:rPr>
        <w:t>P</w:t>
      </w:r>
      <w:r>
        <w:rPr>
          <w:sz w:val="24"/>
          <w:vertAlign w:val="subscript"/>
        </w:rPr>
        <w:t>s</w:t>
      </w:r>
      <w:r>
        <w:rPr>
          <w:sz w:val="24"/>
        </w:rPr>
        <w:t>=P</w:t>
      </w:r>
      <w:r>
        <w:rPr>
          <w:sz w:val="24"/>
          <w:vertAlign w:val="subscript"/>
        </w:rPr>
        <w:t>i</w:t>
      </w:r>
      <w:r>
        <w:rPr>
          <w:sz w:val="24"/>
        </w:rPr>
        <w:t>×k</w:t>
      </w:r>
      <w:r>
        <w:rPr>
          <w:sz w:val="24"/>
          <w:vertAlign w:val="subscript"/>
        </w:rPr>
        <w:t>i</w:t>
      </w:r>
    </w:p>
    <w:p>
      <w:pPr>
        <w:adjustRightInd w:val="0"/>
        <w:snapToGrid w:val="0"/>
        <w:spacing w:line="360" w:lineRule="auto"/>
        <w:ind w:firstLine="480" w:firstLineChars="200"/>
        <w:rPr>
          <w:sz w:val="24"/>
        </w:rPr>
      </w:pPr>
      <w:r>
        <w:rPr>
          <w:sz w:val="24"/>
        </w:rPr>
        <w:t>式中：P</w:t>
      </w:r>
      <w:r>
        <w:rPr>
          <w:sz w:val="24"/>
          <w:vertAlign w:val="subscript"/>
        </w:rPr>
        <w:t>s</w:t>
      </w:r>
      <w:r>
        <w:rPr>
          <w:sz w:val="24"/>
        </w:rPr>
        <w:t xml:space="preserve"> —— 标准深度上的地价</w:t>
      </w:r>
    </w:p>
    <w:p>
      <w:pPr>
        <w:adjustRightInd w:val="0"/>
        <w:snapToGrid w:val="0"/>
        <w:spacing w:line="360" w:lineRule="auto"/>
        <w:ind w:firstLine="480" w:firstLineChars="200"/>
        <w:rPr>
          <w:sz w:val="24"/>
        </w:rPr>
      </w:pPr>
      <w:r>
        <w:rPr>
          <w:sz w:val="24"/>
        </w:rPr>
        <w:t>P</w:t>
      </w:r>
      <w:r>
        <w:rPr>
          <w:sz w:val="24"/>
          <w:vertAlign w:val="subscript"/>
        </w:rPr>
        <w:t>i</w:t>
      </w:r>
      <w:r>
        <w:rPr>
          <w:sz w:val="24"/>
        </w:rPr>
        <w:t xml:space="preserve"> ——某土地深度样点地价</w:t>
      </w:r>
    </w:p>
    <w:p>
      <w:pPr>
        <w:adjustRightInd w:val="0"/>
        <w:snapToGrid w:val="0"/>
        <w:spacing w:line="360" w:lineRule="auto"/>
        <w:ind w:firstLine="480" w:firstLineChars="200"/>
        <w:rPr>
          <w:sz w:val="24"/>
        </w:rPr>
      </w:pPr>
      <w:r>
        <w:rPr>
          <w:sz w:val="24"/>
        </w:rPr>
        <w:t>k</w:t>
      </w:r>
      <w:r>
        <w:rPr>
          <w:sz w:val="24"/>
          <w:vertAlign w:val="subscript"/>
        </w:rPr>
        <w:t>i</w:t>
      </w:r>
      <w:r>
        <w:rPr>
          <w:sz w:val="24"/>
        </w:rPr>
        <w:t>——某土地深度上的修正系数</w:t>
      </w:r>
    </w:p>
    <w:p>
      <w:pPr>
        <w:adjustRightInd w:val="0"/>
        <w:snapToGrid w:val="0"/>
        <w:spacing w:line="360" w:lineRule="auto"/>
        <w:ind w:firstLine="464" w:firstLineChars="200"/>
        <w:rPr>
          <w:spacing w:val="-4"/>
          <w:sz w:val="24"/>
          <w:lang w:val="zh-CN"/>
        </w:rPr>
      </w:pPr>
      <w:r>
        <w:rPr>
          <w:spacing w:val="-4"/>
          <w:sz w:val="24"/>
          <w:lang w:val="zh-CN"/>
        </w:rPr>
        <w:t>根据样点资料及其它城市的经验，长沙县土地深度修正系数如表</w:t>
      </w:r>
      <w:r>
        <w:rPr>
          <w:spacing w:val="-4"/>
          <w:sz w:val="24"/>
        </w:rPr>
        <w:t>3-2</w:t>
      </w:r>
      <w:r>
        <w:rPr>
          <w:spacing w:val="-4"/>
          <w:sz w:val="24"/>
          <w:lang w:val="zh-CN"/>
        </w:rPr>
        <w:t>-23所示。</w:t>
      </w:r>
    </w:p>
    <w:p>
      <w:pPr>
        <w:spacing w:line="360" w:lineRule="auto"/>
        <w:jc w:val="center"/>
        <w:rPr>
          <w:b/>
          <w:bCs/>
          <w:sz w:val="24"/>
          <w:szCs w:val="22"/>
        </w:rPr>
      </w:pPr>
      <w:r>
        <w:rPr>
          <w:b/>
          <w:bCs/>
          <w:sz w:val="24"/>
          <w:szCs w:val="22"/>
        </w:rPr>
        <w:t>表3-2-23  商服用地样点地价临街深度修正系数表</w:t>
      </w:r>
    </w:p>
    <w:tbl>
      <w:tblPr>
        <w:tblW w:w="7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226"/>
        <w:gridCol w:w="1510"/>
        <w:gridCol w:w="1107"/>
        <w:gridCol w:w="1089"/>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jc w:val="center"/>
        </w:trPr>
        <w:tc>
          <w:tcPr>
            <w:tcW w:w="1510" w:type="dxa"/>
            <w:vAlign w:val="center"/>
          </w:tcPr>
          <w:p>
            <w:pPr>
              <w:spacing w:line="360" w:lineRule="auto"/>
              <w:ind w:left="-105" w:leftChars="-50" w:right="-105" w:rightChars="-50" w:firstLine="420" w:firstLineChars="200"/>
              <w:jc w:val="center"/>
              <w:rPr>
                <w:szCs w:val="21"/>
              </w:rPr>
            </w:pPr>
            <w:r>
              <w:rPr>
                <w:rFonts w:ascii="Times New Roman" w:hAnsi="Times New Roman" w:eastAsia="宋体" w:cs="Times New Roman"/>
                <w:kern w:val="2"/>
                <w:sz w:val="21"/>
                <w:lang w:val="en-US" w:eastAsia="zh-CN" w:bidi="ar-SA"/>
              </w:rPr>
              <w:pict>
                <v:line id="Line 1822" o:spid="_x0000_s1262" style="position:absolute;left:0;margin-left:-6.6pt;margin-top:0.1pt;height:35.45pt;width:75.6pt;rotation:0f;z-index:251696128;"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w:pict>
            </w:r>
            <w:r>
              <w:rPr>
                <w:szCs w:val="21"/>
              </w:rPr>
              <w:t>道路深度</w:t>
            </w:r>
          </w:p>
          <w:p>
            <w:pPr>
              <w:ind w:right="-105" w:rightChars="-50"/>
              <w:rPr>
                <w:szCs w:val="21"/>
              </w:rPr>
            </w:pPr>
            <w:r>
              <w:rPr>
                <w:szCs w:val="21"/>
              </w:rPr>
              <w:t>道路等级</w:t>
            </w:r>
          </w:p>
        </w:tc>
        <w:tc>
          <w:tcPr>
            <w:tcW w:w="1226" w:type="dxa"/>
            <w:vAlign w:val="center"/>
          </w:tcPr>
          <w:p>
            <w:pPr>
              <w:spacing w:line="360" w:lineRule="auto"/>
              <w:ind w:left="-105" w:leftChars="-50" w:right="-105" w:rightChars="-50"/>
              <w:jc w:val="center"/>
              <w:rPr>
                <w:szCs w:val="21"/>
              </w:rPr>
            </w:pPr>
            <w:r>
              <w:rPr>
                <w:szCs w:val="21"/>
              </w:rPr>
              <w:t>&lt; 5</w:t>
            </w:r>
          </w:p>
        </w:tc>
        <w:tc>
          <w:tcPr>
            <w:tcW w:w="1510" w:type="dxa"/>
            <w:vAlign w:val="center"/>
          </w:tcPr>
          <w:p>
            <w:pPr>
              <w:spacing w:line="360" w:lineRule="auto"/>
              <w:ind w:left="-105" w:leftChars="-50" w:right="-105" w:rightChars="-50"/>
              <w:jc w:val="center"/>
              <w:rPr>
                <w:szCs w:val="21"/>
              </w:rPr>
            </w:pPr>
            <w:r>
              <w:rPr>
                <w:szCs w:val="21"/>
              </w:rPr>
              <w:t>5-10</w:t>
            </w:r>
          </w:p>
        </w:tc>
        <w:tc>
          <w:tcPr>
            <w:tcW w:w="1107" w:type="dxa"/>
            <w:vAlign w:val="center"/>
          </w:tcPr>
          <w:p>
            <w:pPr>
              <w:spacing w:line="360" w:lineRule="auto"/>
              <w:ind w:left="-105" w:leftChars="-50" w:right="-105" w:rightChars="-50"/>
              <w:jc w:val="center"/>
              <w:rPr>
                <w:szCs w:val="21"/>
              </w:rPr>
            </w:pPr>
            <w:r>
              <w:rPr>
                <w:szCs w:val="21"/>
              </w:rPr>
              <w:t>10-15</w:t>
            </w:r>
          </w:p>
        </w:tc>
        <w:tc>
          <w:tcPr>
            <w:tcW w:w="1089" w:type="dxa"/>
            <w:vAlign w:val="center"/>
          </w:tcPr>
          <w:p>
            <w:pPr>
              <w:spacing w:line="360" w:lineRule="auto"/>
              <w:ind w:left="-105" w:leftChars="-50" w:right="-105" w:rightChars="-50"/>
              <w:jc w:val="center"/>
              <w:rPr>
                <w:szCs w:val="21"/>
              </w:rPr>
            </w:pPr>
            <w:r>
              <w:rPr>
                <w:szCs w:val="21"/>
              </w:rPr>
              <w:t>15-20</w:t>
            </w:r>
          </w:p>
        </w:tc>
        <w:tc>
          <w:tcPr>
            <w:tcW w:w="1068" w:type="dxa"/>
            <w:vAlign w:val="center"/>
          </w:tcPr>
          <w:p>
            <w:pPr>
              <w:spacing w:line="360" w:lineRule="auto"/>
              <w:ind w:right="-105" w:rightChars="-50"/>
              <w:jc w:val="center"/>
              <w:rPr>
                <w:szCs w:val="21"/>
              </w:rPr>
            </w:pPr>
            <w:r>
              <w:rPr>
                <w:szCs w:val="21"/>
              </w:rPr>
              <w:t>&gt;20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10" w:type="dxa"/>
            <w:vAlign w:val="center"/>
          </w:tcPr>
          <w:p>
            <w:pPr>
              <w:spacing w:line="360" w:lineRule="auto"/>
              <w:ind w:left="-105" w:leftChars="-50" w:right="-105" w:rightChars="-50"/>
              <w:jc w:val="center"/>
              <w:rPr>
                <w:szCs w:val="21"/>
              </w:rPr>
            </w:pPr>
            <w:r>
              <w:rPr>
                <w:szCs w:val="21"/>
              </w:rPr>
              <w:t>主干道</w:t>
            </w:r>
          </w:p>
        </w:tc>
        <w:tc>
          <w:tcPr>
            <w:tcW w:w="1226" w:type="dxa"/>
            <w:vAlign w:val="center"/>
          </w:tcPr>
          <w:p>
            <w:pPr>
              <w:spacing w:line="360" w:lineRule="auto"/>
              <w:jc w:val="center"/>
              <w:rPr>
                <w:color w:val="000000"/>
                <w:sz w:val="22"/>
                <w:szCs w:val="22"/>
              </w:rPr>
            </w:pPr>
            <w:r>
              <w:rPr>
                <w:color w:val="000000"/>
                <w:sz w:val="22"/>
                <w:szCs w:val="22"/>
              </w:rPr>
              <w:t>0.78</w:t>
            </w:r>
          </w:p>
        </w:tc>
        <w:tc>
          <w:tcPr>
            <w:tcW w:w="1510" w:type="dxa"/>
            <w:vAlign w:val="center"/>
          </w:tcPr>
          <w:p>
            <w:pPr>
              <w:spacing w:line="360" w:lineRule="auto"/>
              <w:jc w:val="center"/>
              <w:rPr>
                <w:color w:val="000000"/>
                <w:sz w:val="22"/>
                <w:szCs w:val="22"/>
              </w:rPr>
            </w:pPr>
            <w:r>
              <w:rPr>
                <w:color w:val="000000"/>
                <w:sz w:val="22"/>
                <w:szCs w:val="22"/>
              </w:rPr>
              <w:t>0.85</w:t>
            </w:r>
          </w:p>
        </w:tc>
        <w:tc>
          <w:tcPr>
            <w:tcW w:w="1107" w:type="dxa"/>
            <w:vAlign w:val="center"/>
          </w:tcPr>
          <w:p>
            <w:pPr>
              <w:spacing w:line="360" w:lineRule="auto"/>
              <w:jc w:val="center"/>
              <w:rPr>
                <w:color w:val="000000"/>
                <w:sz w:val="22"/>
                <w:szCs w:val="22"/>
              </w:rPr>
            </w:pPr>
            <w:r>
              <w:rPr>
                <w:color w:val="000000"/>
                <w:sz w:val="22"/>
                <w:szCs w:val="22"/>
              </w:rPr>
              <w:t>0.90</w:t>
            </w:r>
          </w:p>
        </w:tc>
        <w:tc>
          <w:tcPr>
            <w:tcW w:w="1089" w:type="dxa"/>
            <w:vAlign w:val="center"/>
          </w:tcPr>
          <w:p>
            <w:pPr>
              <w:spacing w:line="360" w:lineRule="auto"/>
              <w:jc w:val="center"/>
              <w:rPr>
                <w:color w:val="000000"/>
                <w:sz w:val="22"/>
                <w:szCs w:val="22"/>
              </w:rPr>
            </w:pPr>
            <w:r>
              <w:rPr>
                <w:color w:val="000000"/>
                <w:sz w:val="22"/>
                <w:szCs w:val="22"/>
              </w:rPr>
              <w:t>0.95</w:t>
            </w:r>
          </w:p>
        </w:tc>
        <w:tc>
          <w:tcPr>
            <w:tcW w:w="1068" w:type="dxa"/>
            <w:vAlign w:val="center"/>
          </w:tcPr>
          <w:p>
            <w:pPr>
              <w:spacing w:line="360" w:lineRule="auto"/>
              <w:jc w:val="center"/>
              <w:rPr>
                <w:color w:val="000000"/>
                <w:sz w:val="22"/>
                <w:szCs w:val="22"/>
              </w:rPr>
            </w:pPr>
            <w:r>
              <w:rPr>
                <w:color w:val="00000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10" w:type="dxa"/>
            <w:vAlign w:val="center"/>
          </w:tcPr>
          <w:p>
            <w:pPr>
              <w:spacing w:line="360" w:lineRule="auto"/>
              <w:ind w:left="-105" w:leftChars="-50" w:right="-105" w:rightChars="-50"/>
              <w:jc w:val="center"/>
              <w:rPr>
                <w:szCs w:val="21"/>
              </w:rPr>
            </w:pPr>
            <w:r>
              <w:rPr>
                <w:szCs w:val="21"/>
              </w:rPr>
              <w:t>次干道</w:t>
            </w:r>
          </w:p>
        </w:tc>
        <w:tc>
          <w:tcPr>
            <w:tcW w:w="1226" w:type="dxa"/>
            <w:vAlign w:val="center"/>
          </w:tcPr>
          <w:p>
            <w:pPr>
              <w:spacing w:line="360" w:lineRule="auto"/>
              <w:jc w:val="center"/>
              <w:rPr>
                <w:color w:val="000000"/>
                <w:sz w:val="22"/>
                <w:szCs w:val="22"/>
              </w:rPr>
            </w:pPr>
            <w:r>
              <w:rPr>
                <w:color w:val="000000"/>
                <w:sz w:val="22"/>
                <w:szCs w:val="22"/>
              </w:rPr>
              <w:t>0.81</w:t>
            </w:r>
          </w:p>
        </w:tc>
        <w:tc>
          <w:tcPr>
            <w:tcW w:w="1510" w:type="dxa"/>
            <w:vAlign w:val="center"/>
          </w:tcPr>
          <w:p>
            <w:pPr>
              <w:spacing w:line="360" w:lineRule="auto"/>
              <w:jc w:val="center"/>
              <w:rPr>
                <w:color w:val="000000"/>
                <w:sz w:val="22"/>
                <w:szCs w:val="22"/>
              </w:rPr>
            </w:pPr>
            <w:r>
              <w:rPr>
                <w:color w:val="000000"/>
                <w:sz w:val="22"/>
                <w:szCs w:val="22"/>
              </w:rPr>
              <w:t>0.87</w:t>
            </w:r>
          </w:p>
        </w:tc>
        <w:tc>
          <w:tcPr>
            <w:tcW w:w="1107" w:type="dxa"/>
            <w:vAlign w:val="center"/>
          </w:tcPr>
          <w:p>
            <w:pPr>
              <w:spacing w:line="360" w:lineRule="auto"/>
              <w:jc w:val="center"/>
              <w:rPr>
                <w:color w:val="000000"/>
                <w:sz w:val="22"/>
                <w:szCs w:val="22"/>
              </w:rPr>
            </w:pPr>
            <w:r>
              <w:rPr>
                <w:color w:val="000000"/>
                <w:sz w:val="22"/>
                <w:szCs w:val="22"/>
              </w:rPr>
              <w:t>0.94</w:t>
            </w:r>
          </w:p>
        </w:tc>
        <w:tc>
          <w:tcPr>
            <w:tcW w:w="1089" w:type="dxa"/>
            <w:vAlign w:val="center"/>
          </w:tcPr>
          <w:p>
            <w:pPr>
              <w:spacing w:line="360" w:lineRule="auto"/>
              <w:jc w:val="center"/>
              <w:rPr>
                <w:color w:val="000000"/>
                <w:sz w:val="22"/>
                <w:szCs w:val="22"/>
              </w:rPr>
            </w:pPr>
            <w:r>
              <w:rPr>
                <w:color w:val="000000"/>
                <w:sz w:val="22"/>
                <w:szCs w:val="22"/>
              </w:rPr>
              <w:t>1.00</w:t>
            </w:r>
          </w:p>
        </w:tc>
        <w:tc>
          <w:tcPr>
            <w:tcW w:w="1068" w:type="dxa"/>
            <w:vAlign w:val="center"/>
          </w:tcPr>
          <w:p>
            <w:pPr>
              <w:spacing w:line="360" w:lineRule="auto"/>
              <w:jc w:val="center"/>
              <w:rPr>
                <w:color w:val="000000"/>
                <w:sz w:val="22"/>
                <w:szCs w:val="22"/>
              </w:rPr>
            </w:pPr>
            <w:r>
              <w:rPr>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10" w:type="dxa"/>
            <w:vAlign w:val="center"/>
          </w:tcPr>
          <w:p>
            <w:pPr>
              <w:spacing w:line="360" w:lineRule="auto"/>
              <w:ind w:left="-105" w:leftChars="-50" w:right="-105" w:rightChars="-50"/>
              <w:jc w:val="center"/>
              <w:rPr>
                <w:szCs w:val="21"/>
              </w:rPr>
            </w:pPr>
            <w:r>
              <w:rPr>
                <w:szCs w:val="21"/>
              </w:rPr>
              <w:t>支路</w:t>
            </w:r>
          </w:p>
        </w:tc>
        <w:tc>
          <w:tcPr>
            <w:tcW w:w="1226" w:type="dxa"/>
            <w:vAlign w:val="center"/>
          </w:tcPr>
          <w:p>
            <w:pPr>
              <w:spacing w:line="360" w:lineRule="auto"/>
              <w:jc w:val="center"/>
              <w:rPr>
                <w:color w:val="000000"/>
                <w:sz w:val="22"/>
                <w:szCs w:val="22"/>
              </w:rPr>
            </w:pPr>
            <w:r>
              <w:rPr>
                <w:color w:val="000000"/>
                <w:sz w:val="22"/>
                <w:szCs w:val="22"/>
              </w:rPr>
              <w:t>0.83</w:t>
            </w:r>
          </w:p>
        </w:tc>
        <w:tc>
          <w:tcPr>
            <w:tcW w:w="1510" w:type="dxa"/>
            <w:vAlign w:val="center"/>
          </w:tcPr>
          <w:p>
            <w:pPr>
              <w:spacing w:line="360" w:lineRule="auto"/>
              <w:jc w:val="center"/>
              <w:rPr>
                <w:color w:val="000000"/>
                <w:sz w:val="22"/>
                <w:szCs w:val="22"/>
              </w:rPr>
            </w:pPr>
            <w:r>
              <w:rPr>
                <w:color w:val="000000"/>
                <w:sz w:val="22"/>
                <w:szCs w:val="22"/>
              </w:rPr>
              <w:t>0.89</w:t>
            </w:r>
          </w:p>
        </w:tc>
        <w:tc>
          <w:tcPr>
            <w:tcW w:w="1107" w:type="dxa"/>
            <w:vAlign w:val="center"/>
          </w:tcPr>
          <w:p>
            <w:pPr>
              <w:spacing w:line="360" w:lineRule="auto"/>
              <w:jc w:val="center"/>
              <w:rPr>
                <w:color w:val="000000"/>
                <w:sz w:val="22"/>
                <w:szCs w:val="22"/>
              </w:rPr>
            </w:pPr>
            <w:r>
              <w:rPr>
                <w:color w:val="000000"/>
                <w:sz w:val="22"/>
                <w:szCs w:val="22"/>
              </w:rPr>
              <w:t>1.00</w:t>
            </w:r>
          </w:p>
        </w:tc>
        <w:tc>
          <w:tcPr>
            <w:tcW w:w="1089" w:type="dxa"/>
            <w:vAlign w:val="center"/>
          </w:tcPr>
          <w:p>
            <w:pPr>
              <w:spacing w:line="360" w:lineRule="auto"/>
              <w:jc w:val="center"/>
              <w:rPr>
                <w:color w:val="000000"/>
                <w:sz w:val="22"/>
                <w:szCs w:val="22"/>
              </w:rPr>
            </w:pPr>
            <w:r>
              <w:rPr>
                <w:color w:val="000000"/>
                <w:sz w:val="22"/>
                <w:szCs w:val="22"/>
              </w:rPr>
              <w:t>/</w:t>
            </w:r>
          </w:p>
        </w:tc>
        <w:tc>
          <w:tcPr>
            <w:tcW w:w="1068" w:type="dxa"/>
            <w:vAlign w:val="center"/>
          </w:tcPr>
          <w:p>
            <w:pPr>
              <w:spacing w:line="360" w:lineRule="auto"/>
              <w:jc w:val="center"/>
              <w:rPr>
                <w:color w:val="000000"/>
                <w:sz w:val="22"/>
                <w:szCs w:val="22"/>
              </w:rPr>
            </w:pPr>
            <w:r>
              <w:rPr>
                <w:color w:val="000000"/>
                <w:sz w:val="22"/>
                <w:szCs w:val="22"/>
              </w:rPr>
              <w:t>/</w:t>
            </w:r>
          </w:p>
        </w:tc>
      </w:tr>
    </w:tbl>
    <w:p>
      <w:pPr>
        <w:adjustRightInd w:val="0"/>
        <w:snapToGrid w:val="0"/>
        <w:spacing w:line="360" w:lineRule="auto"/>
        <w:ind w:firstLine="480" w:firstLineChars="200"/>
        <w:rPr>
          <w:sz w:val="24"/>
          <w:lang w:val="zh-CN"/>
        </w:rPr>
      </w:pPr>
      <w:r>
        <w:rPr>
          <w:sz w:val="24"/>
          <w:lang w:val="zh-CN"/>
        </w:rPr>
        <w:t>3、路线样点地价临街修正</w:t>
      </w:r>
    </w:p>
    <w:p>
      <w:pPr>
        <w:adjustRightInd w:val="0"/>
        <w:snapToGrid w:val="0"/>
        <w:spacing w:line="360" w:lineRule="auto"/>
        <w:ind w:firstLine="480" w:firstLineChars="200"/>
        <w:rPr>
          <w:sz w:val="24"/>
          <w:lang w:val="zh-CN"/>
        </w:rPr>
      </w:pPr>
      <w:r>
        <w:rPr>
          <w:sz w:val="24"/>
          <w:lang w:val="zh-CN"/>
        </w:rPr>
        <w:t>根据临街路线样点资料计算的地价并将其修正为标准深度上的地价与相连区片内平均状况下的地价存在着一定的差别。由于临街的影响，标准深度上的路线地价要比相连区片内平均状况下的样点地价要高得多，而我们需要的是区片平均状况下的地价（即消除临街因素对地价的影响），因此我们在临街样点标准深度地价的基础上进行再次修正。</w:t>
      </w:r>
    </w:p>
    <w:p>
      <w:pPr>
        <w:adjustRightInd w:val="0"/>
        <w:snapToGrid w:val="0"/>
        <w:spacing w:line="360" w:lineRule="auto"/>
        <w:ind w:firstLine="480" w:firstLineChars="200"/>
        <w:rPr>
          <w:sz w:val="24"/>
          <w:lang w:val="zh-CN"/>
        </w:rPr>
      </w:pPr>
      <w:r>
        <w:rPr>
          <w:sz w:val="24"/>
          <w:lang w:val="zh-CN"/>
        </w:rPr>
        <w:t>通过分析发现：临街样点地价一般受街道的繁华度、街道网分布、街道类型、级别标准、人流量、车流量等因素影响，因此，我们依据街道的上述指标因素，并参照街道所在的区段内样点地价情况，结合长沙县的实际情况，将长沙县街道分为三个等级（一级、二级、三级）（表</w:t>
      </w:r>
      <w:r>
        <w:rPr>
          <w:rFonts w:hint="eastAsia"/>
          <w:sz w:val="24"/>
        </w:rPr>
        <w:t>3</w:t>
      </w:r>
      <w:r>
        <w:rPr>
          <w:sz w:val="24"/>
          <w:lang w:val="zh-CN"/>
        </w:rPr>
        <w:t>-</w:t>
      </w:r>
      <w:r>
        <w:rPr>
          <w:rFonts w:hint="eastAsia"/>
          <w:sz w:val="24"/>
        </w:rPr>
        <w:t>2</w:t>
      </w:r>
      <w:r>
        <w:rPr>
          <w:sz w:val="24"/>
          <w:lang w:val="zh-CN"/>
        </w:rPr>
        <w:t>-24）。通过对各个土地级别、各街道等级上的临街样点地价与相连区片内平均状况下的地价的计算与分析，参照其他城市的修正系数体系，并结合长沙县的实际情况，推算出长沙县临街路线样点地价的临街修正系数体系。</w:t>
      </w:r>
    </w:p>
    <w:p>
      <w:pPr>
        <w:spacing w:line="360" w:lineRule="auto"/>
        <w:jc w:val="center"/>
        <w:rPr>
          <w:b/>
          <w:bCs/>
          <w:sz w:val="24"/>
          <w:szCs w:val="22"/>
        </w:rPr>
      </w:pPr>
      <w:r>
        <w:rPr>
          <w:b/>
          <w:bCs/>
          <w:sz w:val="24"/>
          <w:szCs w:val="22"/>
        </w:rPr>
        <w:t>表3-2-24  长沙县路线等级划分表</w:t>
      </w:r>
    </w:p>
    <w:tbl>
      <w:tblPr>
        <w:tblW w:w="7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6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5" w:hRule="atLeast"/>
          <w:jc w:val="center"/>
        </w:trPr>
        <w:tc>
          <w:tcPr>
            <w:tcW w:w="896" w:type="dxa"/>
            <w:vAlign w:val="center"/>
          </w:tcPr>
          <w:p>
            <w:pPr>
              <w:spacing w:line="360" w:lineRule="auto"/>
              <w:ind w:left="-105" w:leftChars="-50" w:right="-105" w:rightChars="-50"/>
              <w:jc w:val="center"/>
            </w:pPr>
            <w:r>
              <w:t>道路等级</w:t>
            </w:r>
          </w:p>
        </w:tc>
        <w:tc>
          <w:tcPr>
            <w:tcW w:w="6785" w:type="dxa"/>
            <w:vAlign w:val="center"/>
          </w:tcPr>
          <w:p>
            <w:pPr>
              <w:spacing w:line="360" w:lineRule="auto"/>
              <w:ind w:left="-105" w:leftChars="-50" w:right="-105" w:rightChars="-50"/>
              <w:jc w:val="center"/>
            </w:pPr>
            <w:r>
              <w:t>道路路段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0" w:hRule="atLeast"/>
          <w:jc w:val="center"/>
        </w:trPr>
        <w:tc>
          <w:tcPr>
            <w:tcW w:w="896" w:type="dxa"/>
            <w:vAlign w:val="center"/>
          </w:tcPr>
          <w:p>
            <w:pPr>
              <w:spacing w:line="360" w:lineRule="auto"/>
              <w:jc w:val="center"/>
              <w:textAlignment w:val="baseline"/>
              <w:rPr>
                <w:szCs w:val="21"/>
              </w:rPr>
            </w:pPr>
            <w:r>
              <w:rPr>
                <w:szCs w:val="21"/>
              </w:rPr>
              <w:t>一级</w:t>
            </w:r>
          </w:p>
        </w:tc>
        <w:tc>
          <w:tcPr>
            <w:tcW w:w="6785" w:type="dxa"/>
            <w:vAlign w:val="center"/>
          </w:tcPr>
          <w:p>
            <w:pPr>
              <w:spacing w:line="360" w:lineRule="auto"/>
              <w:jc w:val="center"/>
              <w:textAlignment w:val="baseline"/>
              <w:rPr>
                <w:szCs w:val="21"/>
              </w:rPr>
            </w:pPr>
            <w:r>
              <w:rPr>
                <w:szCs w:val="21"/>
              </w:rPr>
              <w:t>星沙大道、天华路、板仓中路、东一线、东二线、东三线、开元路、</w:t>
            </w:r>
          </w:p>
          <w:p>
            <w:pPr>
              <w:spacing w:line="360" w:lineRule="auto"/>
              <w:jc w:val="center"/>
              <w:textAlignment w:val="baseline"/>
              <w:rPr>
                <w:szCs w:val="21"/>
              </w:rPr>
            </w:pPr>
            <w:r>
              <w:rPr>
                <w:szCs w:val="21"/>
              </w:rPr>
              <w:t>望仙路、棠坡路、凉塘路、三一路、金茂路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2" w:hRule="atLeast"/>
          <w:jc w:val="center"/>
        </w:trPr>
        <w:tc>
          <w:tcPr>
            <w:tcW w:w="896" w:type="dxa"/>
            <w:vAlign w:val="center"/>
          </w:tcPr>
          <w:p>
            <w:pPr>
              <w:spacing w:line="360" w:lineRule="auto"/>
              <w:jc w:val="center"/>
              <w:textAlignment w:val="baseline"/>
              <w:rPr>
                <w:szCs w:val="21"/>
              </w:rPr>
            </w:pPr>
            <w:r>
              <w:rPr>
                <w:szCs w:val="21"/>
              </w:rPr>
              <w:t>二级</w:t>
            </w:r>
          </w:p>
        </w:tc>
        <w:tc>
          <w:tcPr>
            <w:tcW w:w="6785" w:type="dxa"/>
            <w:vAlign w:val="center"/>
          </w:tcPr>
          <w:p>
            <w:pPr>
              <w:spacing w:line="360" w:lineRule="auto"/>
              <w:jc w:val="center"/>
              <w:textAlignment w:val="baseline"/>
              <w:rPr>
                <w:szCs w:val="21"/>
              </w:rPr>
            </w:pPr>
            <w:r>
              <w:rPr>
                <w:szCs w:val="21"/>
              </w:rPr>
              <w:t>东四线、东五线、东六线、东七线、黄兴大道、西霞路、漓湘西路、</w:t>
            </w:r>
          </w:p>
          <w:p>
            <w:pPr>
              <w:spacing w:line="360" w:lineRule="auto"/>
              <w:jc w:val="center"/>
              <w:textAlignment w:val="baseline"/>
              <w:rPr>
                <w:szCs w:val="21"/>
              </w:rPr>
            </w:pPr>
            <w:r>
              <w:rPr>
                <w:szCs w:val="21"/>
              </w:rPr>
              <w:t>漓湘路、特立路、滨湖路、万家丽北路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jc w:val="center"/>
        </w:trPr>
        <w:tc>
          <w:tcPr>
            <w:tcW w:w="896" w:type="dxa"/>
            <w:vAlign w:val="center"/>
          </w:tcPr>
          <w:p>
            <w:pPr>
              <w:spacing w:line="360" w:lineRule="auto"/>
              <w:jc w:val="center"/>
              <w:textAlignment w:val="baseline"/>
              <w:rPr>
                <w:szCs w:val="21"/>
              </w:rPr>
            </w:pPr>
            <w:r>
              <w:rPr>
                <w:szCs w:val="21"/>
              </w:rPr>
              <w:t>三级</w:t>
            </w:r>
          </w:p>
        </w:tc>
        <w:tc>
          <w:tcPr>
            <w:tcW w:w="6785" w:type="dxa"/>
            <w:vAlign w:val="center"/>
          </w:tcPr>
          <w:p>
            <w:pPr>
              <w:spacing w:line="360" w:lineRule="auto"/>
              <w:jc w:val="center"/>
              <w:textAlignment w:val="baseline"/>
              <w:rPr>
                <w:szCs w:val="21"/>
              </w:rPr>
            </w:pPr>
            <w:r>
              <w:rPr>
                <w:szCs w:val="21"/>
              </w:rPr>
              <w:t>其他城区已建道路</w:t>
            </w:r>
          </w:p>
        </w:tc>
      </w:tr>
    </w:tbl>
    <w:p>
      <w:pPr>
        <w:spacing w:line="360" w:lineRule="auto"/>
        <w:jc w:val="center"/>
        <w:rPr>
          <w:rFonts w:eastAsia="黑体"/>
          <w:b/>
          <w:bCs/>
          <w:sz w:val="24"/>
          <w:szCs w:val="24"/>
        </w:rPr>
      </w:pPr>
      <w:r>
        <w:rPr>
          <w:rFonts w:eastAsia="黑体"/>
          <w:b/>
          <w:bCs/>
          <w:sz w:val="24"/>
          <w:szCs w:val="24"/>
        </w:rPr>
        <w:br w:type="page"/>
      </w:r>
      <w:r>
        <w:rPr>
          <w:b/>
          <w:bCs/>
          <w:sz w:val="24"/>
          <w:szCs w:val="24"/>
        </w:rPr>
        <w:t>表3-2-25   长沙县临街路线样点地价临街修正系数表</w:t>
      </w:r>
    </w:p>
    <w:tbl>
      <w:tblPr>
        <w:tblW w:w="7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392"/>
        <w:gridCol w:w="1417"/>
        <w:gridCol w:w="1431"/>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7" w:hRule="atLeast"/>
          <w:jc w:val="center"/>
        </w:trPr>
        <w:tc>
          <w:tcPr>
            <w:tcW w:w="1592" w:type="dxa"/>
            <w:vAlign w:val="center"/>
          </w:tcPr>
          <w:p>
            <w:pPr>
              <w:spacing w:line="360" w:lineRule="auto"/>
              <w:ind w:left="-105" w:leftChars="-50" w:right="-105" w:rightChars="-50"/>
              <w:jc w:val="center"/>
              <w:rPr>
                <w:szCs w:val="21"/>
                <w:lang/>
              </w:rPr>
            </w:pPr>
            <w:r>
              <w:rPr>
                <w:szCs w:val="21"/>
              </w:rPr>
              <w:t>土地级别</w:t>
            </w:r>
          </w:p>
          <w:p>
            <w:pPr>
              <w:spacing w:line="360" w:lineRule="auto"/>
              <w:ind w:left="-105" w:leftChars="-50" w:right="-105" w:rightChars="-50"/>
              <w:jc w:val="center"/>
              <w:rPr>
                <w:szCs w:val="21"/>
              </w:rPr>
            </w:pPr>
            <w:r>
              <w:rPr>
                <w:szCs w:val="21"/>
              </w:rPr>
              <w:t>道路等级</w:t>
            </w:r>
          </w:p>
        </w:tc>
        <w:tc>
          <w:tcPr>
            <w:tcW w:w="1392" w:type="dxa"/>
            <w:vAlign w:val="center"/>
          </w:tcPr>
          <w:p>
            <w:pPr>
              <w:spacing w:line="360" w:lineRule="auto"/>
              <w:ind w:left="-105" w:leftChars="-50" w:right="-105" w:rightChars="-50"/>
              <w:jc w:val="center"/>
              <w:rPr>
                <w:szCs w:val="21"/>
              </w:rPr>
            </w:pPr>
            <w:r>
              <w:rPr>
                <w:szCs w:val="21"/>
              </w:rPr>
              <w:t>一</w:t>
            </w:r>
          </w:p>
        </w:tc>
        <w:tc>
          <w:tcPr>
            <w:tcW w:w="1417" w:type="dxa"/>
            <w:vAlign w:val="center"/>
          </w:tcPr>
          <w:p>
            <w:pPr>
              <w:spacing w:line="360" w:lineRule="auto"/>
              <w:ind w:left="-105" w:leftChars="-50" w:right="-105" w:rightChars="-50"/>
              <w:jc w:val="center"/>
              <w:rPr>
                <w:szCs w:val="21"/>
              </w:rPr>
            </w:pPr>
            <w:r>
              <w:rPr>
                <w:szCs w:val="21"/>
              </w:rPr>
              <w:t>二</w:t>
            </w:r>
          </w:p>
        </w:tc>
        <w:tc>
          <w:tcPr>
            <w:tcW w:w="1431" w:type="dxa"/>
            <w:vAlign w:val="center"/>
          </w:tcPr>
          <w:p>
            <w:pPr>
              <w:spacing w:line="360" w:lineRule="auto"/>
              <w:ind w:left="-105" w:leftChars="-50" w:right="-105" w:rightChars="-50"/>
              <w:jc w:val="center"/>
              <w:rPr>
                <w:szCs w:val="21"/>
              </w:rPr>
            </w:pPr>
            <w:r>
              <w:rPr>
                <w:szCs w:val="21"/>
              </w:rPr>
              <w:t>三</w:t>
            </w:r>
          </w:p>
        </w:tc>
        <w:tc>
          <w:tcPr>
            <w:tcW w:w="1438" w:type="dxa"/>
            <w:vAlign w:val="center"/>
          </w:tcPr>
          <w:p>
            <w:pPr>
              <w:spacing w:line="360" w:lineRule="auto"/>
              <w:ind w:left="-105" w:leftChars="-50" w:right="-105" w:rightChars="-50"/>
              <w:jc w:val="center"/>
              <w:rPr>
                <w:szCs w:val="21"/>
              </w:rPr>
            </w:pPr>
            <w:r>
              <w:rPr>
                <w:szCs w:val="21"/>
              </w:rPr>
              <w:t>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8" w:hRule="atLeast"/>
          <w:jc w:val="center"/>
        </w:trPr>
        <w:tc>
          <w:tcPr>
            <w:tcW w:w="1592" w:type="dxa"/>
            <w:vAlign w:val="center"/>
          </w:tcPr>
          <w:p>
            <w:pPr>
              <w:spacing w:line="360" w:lineRule="auto"/>
              <w:ind w:left="-105" w:leftChars="-50" w:right="-105" w:rightChars="-50"/>
              <w:jc w:val="center"/>
              <w:rPr>
                <w:szCs w:val="21"/>
              </w:rPr>
            </w:pPr>
            <w:r>
              <w:rPr>
                <w:szCs w:val="21"/>
              </w:rPr>
              <w:t>一级</w:t>
            </w:r>
          </w:p>
        </w:tc>
        <w:tc>
          <w:tcPr>
            <w:tcW w:w="1392" w:type="dxa"/>
            <w:vAlign w:val="center"/>
          </w:tcPr>
          <w:p>
            <w:pPr>
              <w:spacing w:line="360" w:lineRule="auto"/>
              <w:jc w:val="center"/>
              <w:rPr>
                <w:color w:val="000000"/>
                <w:szCs w:val="21"/>
              </w:rPr>
            </w:pPr>
            <w:r>
              <w:rPr>
                <w:color w:val="000000"/>
                <w:szCs w:val="21"/>
              </w:rPr>
              <w:t>0.68</w:t>
            </w:r>
          </w:p>
        </w:tc>
        <w:tc>
          <w:tcPr>
            <w:tcW w:w="1417" w:type="dxa"/>
            <w:vAlign w:val="center"/>
          </w:tcPr>
          <w:p>
            <w:pPr>
              <w:spacing w:line="360" w:lineRule="auto"/>
              <w:jc w:val="center"/>
              <w:rPr>
                <w:color w:val="000000"/>
                <w:szCs w:val="21"/>
              </w:rPr>
            </w:pPr>
            <w:r>
              <w:rPr>
                <w:color w:val="000000"/>
                <w:szCs w:val="21"/>
              </w:rPr>
              <w:t>0.73</w:t>
            </w:r>
          </w:p>
        </w:tc>
        <w:tc>
          <w:tcPr>
            <w:tcW w:w="1431" w:type="dxa"/>
            <w:vAlign w:val="center"/>
          </w:tcPr>
          <w:p>
            <w:pPr>
              <w:spacing w:line="360" w:lineRule="auto"/>
              <w:jc w:val="center"/>
              <w:rPr>
                <w:color w:val="000000"/>
                <w:szCs w:val="21"/>
              </w:rPr>
            </w:pPr>
            <w:r>
              <w:rPr>
                <w:color w:val="000000"/>
                <w:szCs w:val="21"/>
              </w:rPr>
              <w:t>0.78</w:t>
            </w:r>
          </w:p>
        </w:tc>
        <w:tc>
          <w:tcPr>
            <w:tcW w:w="1438" w:type="dxa"/>
            <w:vAlign w:val="center"/>
          </w:tcPr>
          <w:p>
            <w:pPr>
              <w:spacing w:line="360" w:lineRule="auto"/>
              <w:jc w:val="center"/>
              <w:rPr>
                <w:color w:val="000000"/>
                <w:szCs w:val="21"/>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2" w:hRule="atLeast"/>
          <w:jc w:val="center"/>
        </w:trPr>
        <w:tc>
          <w:tcPr>
            <w:tcW w:w="1592" w:type="dxa"/>
            <w:vAlign w:val="center"/>
          </w:tcPr>
          <w:p>
            <w:pPr>
              <w:spacing w:line="360" w:lineRule="auto"/>
              <w:ind w:left="-105" w:leftChars="-50" w:right="-105" w:rightChars="-50"/>
              <w:jc w:val="center"/>
              <w:rPr>
                <w:szCs w:val="21"/>
              </w:rPr>
            </w:pPr>
            <w:r>
              <w:rPr>
                <w:szCs w:val="21"/>
              </w:rPr>
              <w:t>二级</w:t>
            </w:r>
          </w:p>
        </w:tc>
        <w:tc>
          <w:tcPr>
            <w:tcW w:w="1392" w:type="dxa"/>
            <w:vAlign w:val="center"/>
          </w:tcPr>
          <w:p>
            <w:pPr>
              <w:spacing w:line="360" w:lineRule="auto"/>
              <w:jc w:val="center"/>
              <w:rPr>
                <w:color w:val="000000"/>
                <w:szCs w:val="21"/>
              </w:rPr>
            </w:pPr>
            <w:r>
              <w:rPr>
                <w:color w:val="000000"/>
                <w:szCs w:val="21"/>
              </w:rPr>
              <w:t>0.69</w:t>
            </w:r>
          </w:p>
        </w:tc>
        <w:tc>
          <w:tcPr>
            <w:tcW w:w="1417" w:type="dxa"/>
            <w:vAlign w:val="center"/>
          </w:tcPr>
          <w:p>
            <w:pPr>
              <w:spacing w:line="360" w:lineRule="auto"/>
              <w:jc w:val="center"/>
              <w:rPr>
                <w:color w:val="000000"/>
                <w:szCs w:val="21"/>
              </w:rPr>
            </w:pPr>
            <w:r>
              <w:rPr>
                <w:color w:val="000000"/>
                <w:szCs w:val="21"/>
              </w:rPr>
              <w:t>0.75</w:t>
            </w:r>
          </w:p>
        </w:tc>
        <w:tc>
          <w:tcPr>
            <w:tcW w:w="1431" w:type="dxa"/>
            <w:vAlign w:val="center"/>
          </w:tcPr>
          <w:p>
            <w:pPr>
              <w:spacing w:line="360" w:lineRule="auto"/>
              <w:jc w:val="center"/>
              <w:rPr>
                <w:color w:val="000000"/>
                <w:szCs w:val="21"/>
              </w:rPr>
            </w:pPr>
            <w:r>
              <w:rPr>
                <w:color w:val="000000"/>
                <w:szCs w:val="21"/>
              </w:rPr>
              <w:t>0.81</w:t>
            </w:r>
          </w:p>
        </w:tc>
        <w:tc>
          <w:tcPr>
            <w:tcW w:w="1438" w:type="dxa"/>
            <w:vAlign w:val="center"/>
          </w:tcPr>
          <w:p>
            <w:pPr>
              <w:spacing w:line="360" w:lineRule="auto"/>
              <w:jc w:val="center"/>
              <w:rPr>
                <w:color w:val="000000"/>
                <w:szCs w:val="21"/>
              </w:rPr>
            </w:pPr>
            <w:r>
              <w:rPr>
                <w:color w:val="000000"/>
                <w:szCs w:val="21"/>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6" w:hRule="atLeast"/>
          <w:jc w:val="center"/>
        </w:trPr>
        <w:tc>
          <w:tcPr>
            <w:tcW w:w="1592" w:type="dxa"/>
            <w:vAlign w:val="center"/>
          </w:tcPr>
          <w:p>
            <w:pPr>
              <w:spacing w:line="360" w:lineRule="auto"/>
              <w:ind w:left="-105" w:leftChars="-50" w:right="-105" w:rightChars="-50"/>
              <w:jc w:val="center"/>
              <w:rPr>
                <w:szCs w:val="21"/>
              </w:rPr>
            </w:pPr>
            <w:r>
              <w:rPr>
                <w:szCs w:val="21"/>
              </w:rPr>
              <w:t>三级</w:t>
            </w:r>
          </w:p>
        </w:tc>
        <w:tc>
          <w:tcPr>
            <w:tcW w:w="1392" w:type="dxa"/>
            <w:vAlign w:val="center"/>
          </w:tcPr>
          <w:p>
            <w:pPr>
              <w:spacing w:line="360" w:lineRule="auto"/>
              <w:jc w:val="center"/>
              <w:rPr>
                <w:color w:val="000000"/>
                <w:szCs w:val="21"/>
              </w:rPr>
            </w:pPr>
            <w:r>
              <w:rPr>
                <w:color w:val="000000"/>
                <w:szCs w:val="21"/>
              </w:rPr>
              <w:t>/</w:t>
            </w:r>
          </w:p>
        </w:tc>
        <w:tc>
          <w:tcPr>
            <w:tcW w:w="1417" w:type="dxa"/>
            <w:vAlign w:val="center"/>
          </w:tcPr>
          <w:p>
            <w:pPr>
              <w:spacing w:line="360" w:lineRule="auto"/>
              <w:jc w:val="center"/>
              <w:rPr>
                <w:color w:val="000000"/>
                <w:szCs w:val="21"/>
              </w:rPr>
            </w:pPr>
            <w:r>
              <w:rPr>
                <w:color w:val="000000"/>
                <w:szCs w:val="21"/>
              </w:rPr>
              <w:t>0.79</w:t>
            </w:r>
          </w:p>
        </w:tc>
        <w:tc>
          <w:tcPr>
            <w:tcW w:w="1431" w:type="dxa"/>
            <w:vAlign w:val="center"/>
          </w:tcPr>
          <w:p>
            <w:pPr>
              <w:spacing w:line="360" w:lineRule="auto"/>
              <w:jc w:val="center"/>
              <w:rPr>
                <w:color w:val="000000"/>
                <w:szCs w:val="21"/>
              </w:rPr>
            </w:pPr>
            <w:r>
              <w:rPr>
                <w:color w:val="000000"/>
                <w:szCs w:val="21"/>
              </w:rPr>
              <w:t>0.85</w:t>
            </w:r>
          </w:p>
        </w:tc>
        <w:tc>
          <w:tcPr>
            <w:tcW w:w="1438" w:type="dxa"/>
            <w:vAlign w:val="center"/>
          </w:tcPr>
          <w:p>
            <w:pPr>
              <w:spacing w:line="360" w:lineRule="auto"/>
              <w:jc w:val="center"/>
              <w:rPr>
                <w:color w:val="000000"/>
                <w:szCs w:val="21"/>
              </w:rPr>
            </w:pPr>
            <w:r>
              <w:rPr>
                <w:color w:val="000000"/>
                <w:szCs w:val="21"/>
              </w:rPr>
              <w:t>0.92</w:t>
            </w:r>
          </w:p>
        </w:tc>
      </w:tr>
    </w:tbl>
    <w:p>
      <w:pPr>
        <w:adjustRightInd w:val="0"/>
        <w:snapToGrid w:val="0"/>
        <w:spacing w:line="360" w:lineRule="auto"/>
        <w:ind w:firstLine="480" w:firstLineChars="200"/>
        <w:rPr>
          <w:sz w:val="24"/>
          <w:lang w:val="zh-CN"/>
        </w:rPr>
      </w:pPr>
      <w:r>
        <w:rPr>
          <w:sz w:val="24"/>
          <w:lang w:val="zh-CN"/>
        </w:rPr>
        <w:t>临街样点地价按下式修正到区片内平均状况下的地价。</w:t>
      </w:r>
    </w:p>
    <w:p>
      <w:pPr>
        <w:adjustRightInd w:val="0"/>
        <w:snapToGrid w:val="0"/>
        <w:spacing w:line="360" w:lineRule="auto"/>
        <w:ind w:firstLine="480" w:firstLineChars="200"/>
        <w:rPr>
          <w:sz w:val="24"/>
        </w:rPr>
      </w:pPr>
      <w:r>
        <w:rPr>
          <w:sz w:val="24"/>
        </w:rPr>
        <w:t>P</w:t>
      </w:r>
      <w:r>
        <w:rPr>
          <w:sz w:val="24"/>
          <w:vertAlign w:val="subscript"/>
        </w:rPr>
        <w:t>s</w:t>
      </w:r>
      <w:r>
        <w:rPr>
          <w:sz w:val="24"/>
        </w:rPr>
        <w:t>=K</w:t>
      </w:r>
      <w:r>
        <w:rPr>
          <w:sz w:val="24"/>
          <w:vertAlign w:val="subscript"/>
        </w:rPr>
        <w:t>d</w:t>
      </w:r>
      <w:r>
        <w:rPr>
          <w:sz w:val="24"/>
        </w:rPr>
        <w:t>P</w:t>
      </w:r>
      <w:r>
        <w:rPr>
          <w:sz w:val="24"/>
          <w:vertAlign w:val="subscript"/>
        </w:rPr>
        <w:t>i</w:t>
      </w:r>
    </w:p>
    <w:p>
      <w:pPr>
        <w:adjustRightInd w:val="0"/>
        <w:snapToGrid w:val="0"/>
        <w:spacing w:line="360" w:lineRule="auto"/>
        <w:ind w:firstLine="480" w:firstLineChars="200"/>
        <w:rPr>
          <w:sz w:val="24"/>
        </w:rPr>
      </w:pPr>
      <w:r>
        <w:rPr>
          <w:sz w:val="24"/>
        </w:rPr>
        <w:t>式中：P</w:t>
      </w:r>
      <w:r>
        <w:rPr>
          <w:sz w:val="24"/>
          <w:vertAlign w:val="subscript"/>
        </w:rPr>
        <w:t>s</w:t>
      </w:r>
      <w:r>
        <w:rPr>
          <w:sz w:val="24"/>
        </w:rPr>
        <w:t>——均质区片平均状况下的地价</w:t>
      </w:r>
    </w:p>
    <w:p>
      <w:pPr>
        <w:adjustRightInd w:val="0"/>
        <w:snapToGrid w:val="0"/>
        <w:spacing w:line="360" w:lineRule="auto"/>
        <w:ind w:firstLine="480" w:firstLineChars="200"/>
        <w:rPr>
          <w:sz w:val="24"/>
          <w:lang/>
        </w:rPr>
      </w:pPr>
      <w:r>
        <w:rPr>
          <w:sz w:val="24"/>
          <w:lang/>
        </w:rPr>
        <w:t>P</w:t>
      </w:r>
      <w:r>
        <w:rPr>
          <w:sz w:val="24"/>
          <w:vertAlign w:val="subscript"/>
          <w:lang/>
        </w:rPr>
        <w:t>i</w:t>
      </w:r>
      <w:r>
        <w:rPr>
          <w:sz w:val="24"/>
          <w:lang/>
        </w:rPr>
        <w:t>——临街样点标准深度上地价</w:t>
      </w:r>
    </w:p>
    <w:p>
      <w:pPr>
        <w:adjustRightInd w:val="0"/>
        <w:snapToGrid w:val="0"/>
        <w:spacing w:line="360" w:lineRule="auto"/>
        <w:ind w:firstLine="480" w:firstLineChars="200"/>
        <w:rPr>
          <w:sz w:val="24"/>
          <w:lang/>
        </w:rPr>
      </w:pPr>
      <w:r>
        <w:rPr>
          <w:sz w:val="24"/>
          <w:lang/>
        </w:rPr>
        <w:t>K</w:t>
      </w:r>
      <w:r>
        <w:rPr>
          <w:sz w:val="24"/>
          <w:vertAlign w:val="subscript"/>
          <w:lang/>
        </w:rPr>
        <w:t>d</w:t>
      </w:r>
      <w:r>
        <w:rPr>
          <w:sz w:val="24"/>
          <w:lang/>
        </w:rPr>
        <w:t>——临街修正系数</w:t>
      </w:r>
    </w:p>
    <w:p>
      <w:pPr>
        <w:spacing w:line="360" w:lineRule="auto"/>
        <w:ind w:firstLine="560" w:firstLineChars="200"/>
        <w:outlineLvl w:val="2"/>
        <w:rPr>
          <w:rFonts w:eastAsia="黑体"/>
          <w:sz w:val="28"/>
          <w:szCs w:val="28"/>
        </w:rPr>
      </w:pPr>
      <w:bookmarkStart w:id="562" w:name="_Toc469296467"/>
      <w:bookmarkStart w:id="563" w:name="_Toc271529451"/>
      <w:bookmarkStart w:id="564" w:name="_Toc13775"/>
      <w:bookmarkStart w:id="565" w:name="_Toc467846858"/>
      <w:bookmarkStart w:id="566" w:name="_Toc22119"/>
      <w:bookmarkStart w:id="567" w:name="_Toc470721318"/>
      <w:r>
        <w:rPr>
          <w:rFonts w:eastAsia="黑体"/>
          <w:sz w:val="28"/>
          <w:szCs w:val="28"/>
        </w:rPr>
        <w:t>四、样点地价的检验</w:t>
      </w:r>
      <w:bookmarkEnd w:id="562"/>
      <w:bookmarkEnd w:id="563"/>
      <w:bookmarkEnd w:id="564"/>
      <w:bookmarkEnd w:id="565"/>
      <w:bookmarkEnd w:id="566"/>
      <w:bookmarkEnd w:id="567"/>
    </w:p>
    <w:p>
      <w:pPr>
        <w:spacing w:line="360" w:lineRule="auto"/>
        <w:ind w:firstLine="480" w:firstLineChars="200"/>
        <w:rPr>
          <w:sz w:val="24"/>
          <w:lang w:val="zh-CN"/>
        </w:rPr>
      </w:pPr>
      <w:r>
        <w:rPr>
          <w:sz w:val="24"/>
          <w:lang w:val="zh-CN"/>
        </w:rPr>
        <w:t>基准地价评估中的样点地价资料来源多种多样，地价计算方法可变参数较多，可能造成估价中的系统误差，需要进行样点地价数理统计检验后方能用于基准地价测算。一般要进行总体同一性检验、总体分布类型检验和精度检验。</w:t>
      </w:r>
    </w:p>
    <w:p>
      <w:pPr>
        <w:spacing w:line="360" w:lineRule="auto"/>
        <w:ind w:firstLine="482" w:firstLineChars="200"/>
        <w:rPr>
          <w:b/>
          <w:sz w:val="24"/>
          <w:lang w:val="zh-CN"/>
        </w:rPr>
      </w:pPr>
      <w:r>
        <w:rPr>
          <w:b/>
          <w:sz w:val="24"/>
          <w:lang w:val="zh-CN"/>
        </w:rPr>
        <w:t>1、总体同一性检验</w:t>
      </w:r>
    </w:p>
    <w:p>
      <w:pPr>
        <w:spacing w:line="360" w:lineRule="auto"/>
        <w:ind w:firstLine="480" w:firstLineChars="200"/>
        <w:rPr>
          <w:sz w:val="24"/>
          <w:lang w:val="zh-CN"/>
        </w:rPr>
      </w:pPr>
      <w:r>
        <w:rPr>
          <w:sz w:val="24"/>
          <w:lang w:val="zh-CN"/>
        </w:rPr>
        <w:t>即在同一个区域中，不同处理方法处理的样点地价结果，应服从样本来自同一总体的检验。按数理统计检验的要求，检验方法主要采用秩和检验法。检验步骤如下：</w:t>
      </w:r>
    </w:p>
    <w:p>
      <w:pPr>
        <w:spacing w:line="360" w:lineRule="auto"/>
        <w:ind w:firstLine="480" w:firstLineChars="200"/>
        <w:rPr>
          <w:sz w:val="24"/>
          <w:lang w:val="zh-CN"/>
        </w:rPr>
      </w:pPr>
      <w:r>
        <w:rPr>
          <w:sz w:val="24"/>
          <w:lang w:val="zh-CN"/>
        </w:rPr>
        <w:t>（1）将所有样点地价按所在土地级别分商服、住宅、工矿仓储三种用途、两种方式（租赁样点、交易样点）分类；</w:t>
      </w:r>
    </w:p>
    <w:p>
      <w:pPr>
        <w:spacing w:line="360" w:lineRule="auto"/>
        <w:ind w:firstLine="480" w:firstLineChars="200"/>
        <w:rPr>
          <w:sz w:val="24"/>
          <w:lang w:val="zh-CN"/>
        </w:rPr>
      </w:pPr>
      <w:r>
        <w:rPr>
          <w:sz w:val="24"/>
          <w:lang w:val="zh-CN"/>
        </w:rPr>
        <w:t>（2）将同一级别内的地价，从小到大顺序编号作为秩数。如果一地价有多个样点时，则以其秩数和的平均值作为相同地价样点的秩数；</w:t>
      </w:r>
    </w:p>
    <w:p>
      <w:pPr>
        <w:spacing w:beforeLines="50" w:line="360" w:lineRule="auto"/>
        <w:ind w:firstLine="480" w:firstLineChars="200"/>
        <w:rPr>
          <w:sz w:val="24"/>
        </w:rPr>
      </w:pPr>
      <w:r>
        <w:rPr>
          <w:sz w:val="24"/>
        </w:rPr>
        <w:t>（3）计算统计量</w:t>
      </w:r>
      <w:r>
        <w:rPr>
          <w:rFonts w:ascii="Times New Roman" w:hAnsi="Times New Roman" w:eastAsia="宋体" w:cs="Times New Roman"/>
          <w:kern w:val="2"/>
          <w:sz w:val="24"/>
          <w:lang w:val="en-US" w:eastAsia="zh-CN" w:bidi="ar-SA"/>
        </w:rPr>
        <w:object>
          <v:shape id="Picture 7" type="#_x0000_t75" style="height:20.95pt;width:21.75pt;rotation:0f;" o:ole="t" fillcolor="#000005" filled="f" o:preferrelative="t" stroked="f" coordorigin="0,0" coordsize="21600,21600">
            <v:fill on="f" color2="#FFFFFF" focus="0%"/>
            <v:imagedata gain="65536f" blacklevel="0f" gamma="0" o:title="" r:id="rId78"/>
            <o:lock v:ext="edit" position="f" selection="f" grouping="f" rotation="f" cropping="f" text="f" aspectratio="t"/>
            <w10:wrap type="none"/>
            <w10:anchorlock/>
          </v:shape>
          <o:OLEObject Type="Embed" ProgID="" ShapeID="Picture 7" DrawAspect="Content" ObjectID="_237" r:id="rId77"/>
        </w:object>
      </w:r>
      <w:r>
        <w:rPr>
          <w:sz w:val="24"/>
        </w:rPr>
        <w:t>、</w:t>
      </w:r>
      <w:r>
        <w:rPr>
          <w:rFonts w:ascii="Times New Roman" w:hAnsi="Times New Roman" w:eastAsia="宋体" w:cs="Times New Roman"/>
          <w:kern w:val="2"/>
          <w:sz w:val="24"/>
          <w:lang w:val="en-US" w:eastAsia="zh-CN" w:bidi="ar-SA"/>
        </w:rPr>
        <w:object>
          <v:shape id="Picture 8" type="#_x0000_t75" style="height:25.1pt;width:17.6pt;rotation:0f;" o:ole="t" fillcolor="#000005" filled="f" o:preferrelative="t" stroked="f" coordorigin="0,0" coordsize="21600,21600">
            <v:fill on="f" color2="#FFFFFF" focus="0%"/>
            <v:imagedata gain="65536f" blacklevel="0f" gamma="0" o:title="" r:id="rId80"/>
            <o:lock v:ext="edit" position="f" selection="f" grouping="f" rotation="f" cropping="f" text="f" aspectratio="t"/>
            <w10:wrap type="none"/>
            <w10:anchorlock/>
          </v:shape>
          <o:OLEObject Type="Embed" ProgID="" ShapeID="Picture 8" DrawAspect="Content" ObjectID="_238" r:id="rId79"/>
        </w:object>
      </w:r>
      <w:r>
        <w:rPr>
          <w:sz w:val="24"/>
        </w:rPr>
        <w:t>；</w:t>
      </w:r>
    </w:p>
    <w:p>
      <w:pPr>
        <w:spacing w:line="360" w:lineRule="auto"/>
        <w:ind w:firstLine="480" w:firstLineChars="200"/>
        <w:rPr>
          <w:sz w:val="24"/>
        </w:rPr>
      </w:pPr>
      <w:r>
        <w:rPr>
          <w:rFonts w:ascii="Times New Roman" w:hAnsi="Times New Roman" w:eastAsia="宋体" w:cs="Times New Roman"/>
          <w:kern w:val="2"/>
          <w:sz w:val="24"/>
          <w:szCs w:val="24"/>
          <w:lang w:val="en-US" w:eastAsia="zh-CN" w:bidi="ar-SA"/>
        </w:rPr>
        <w:object>
          <v:shape id="Picture 9" type="#_x0000_t75" style="height:39.35pt;width:146.55pt;rotation:0f;" o:ole="t" fillcolor="#FFFFFF" filled="f" o:preferrelative="t" stroked="f" coordorigin="0,0" coordsize="21600,21600">
            <v:fill on="f" color2="#FFFFFF" focus="0%"/>
            <v:imagedata gain="65536f" blacklevel="0f" gamma="0" o:title="" r:id="rId82"/>
            <o:lock v:ext="edit" position="f" selection="f" grouping="f" rotation="f" cropping="f" text="f" aspectratio="t"/>
            <w10:wrap type="none"/>
            <w10:anchorlock/>
          </v:shape>
          <o:OLEObject Type="Embed" ProgID="" ShapeID="Picture 9" DrawAspect="Content" ObjectID="_239" r:id="rId81"/>
        </w:object>
      </w:r>
    </w:p>
    <w:p>
      <w:pPr>
        <w:spacing w:line="360" w:lineRule="auto"/>
        <w:ind w:firstLine="480" w:firstLineChars="200"/>
        <w:rPr>
          <w:sz w:val="24"/>
        </w:rPr>
      </w:pPr>
      <w:r>
        <w:rPr>
          <w:rFonts w:ascii="Times New Roman" w:hAnsi="Times New Roman" w:eastAsia="宋体" w:cs="Times New Roman"/>
          <w:kern w:val="2"/>
          <w:sz w:val="24"/>
          <w:szCs w:val="24"/>
          <w:lang w:val="en-US" w:eastAsia="zh-CN" w:bidi="ar-SA"/>
        </w:rPr>
        <w:object>
          <v:shape id="Picture 10" type="#_x0000_t75" style="height:39.35pt;width:164.9pt;rotation:0f;" o:ole="t" fillcolor="#FFFFFF" filled="f" o:preferrelative="t" stroked="f" coordorigin="0,0" coordsize="21600,21600">
            <v:fill on="f" color2="#FFFFFF" focus="0%"/>
            <v:imagedata gain="65536f" blacklevel="0f" gamma="0" o:title="" r:id="rId84"/>
            <o:lock v:ext="edit" position="f" selection="f" grouping="f" rotation="f" cropping="f" text="f" aspectratio="t"/>
            <w10:wrap type="none"/>
            <w10:anchorlock/>
          </v:shape>
          <o:OLEObject Type="Embed" ProgID="" ShapeID="Picture 10" DrawAspect="Content" ObjectID="_240" r:id="rId83"/>
        </w:object>
      </w:r>
    </w:p>
    <w:p>
      <w:pPr>
        <w:spacing w:line="360" w:lineRule="auto"/>
        <w:ind w:firstLine="480" w:firstLineChars="200"/>
        <w:rPr>
          <w:sz w:val="24"/>
        </w:rPr>
      </w:pPr>
      <w:r>
        <w:rPr>
          <w:rFonts w:ascii="Times New Roman" w:hAnsi="Times New Roman" w:eastAsia="宋体" w:cs="Times New Roman"/>
          <w:kern w:val="2"/>
          <w:sz w:val="24"/>
          <w:szCs w:val="24"/>
          <w:lang w:val="en-US" w:eastAsia="zh-CN" w:bidi="ar-SA"/>
        </w:rPr>
        <w:object>
          <v:shape id="Picture 11" type="#_x0000_t75" style="height:42.7pt;width:74.45pt;rotation:0f;" o:ole="t" fillcolor="#FFFFFF" filled="f" o:preferrelative="t" stroked="f" coordorigin="0,0" coordsize="21600,21600">
            <v:fill on="f" color2="#FFFFFF" focus="0%"/>
            <v:imagedata gain="65536f" blacklevel="0f" gamma="0" o:title="" r:id="rId86"/>
            <o:lock v:ext="edit" position="f" selection="f" grouping="f" rotation="f" cropping="f" text="f" aspectratio="t"/>
            <w10:wrap type="none"/>
            <w10:anchorlock/>
          </v:shape>
          <o:OLEObject Type="Embed" ProgID="" ShapeID="Picture 11" DrawAspect="Content" ObjectID="_241" r:id="rId85"/>
        </w:object>
      </w:r>
    </w:p>
    <w:p>
      <w:pPr>
        <w:spacing w:line="360" w:lineRule="auto"/>
        <w:ind w:firstLine="480" w:firstLineChars="200"/>
        <w:rPr>
          <w:sz w:val="24"/>
        </w:rPr>
      </w:pPr>
      <w:r>
        <w:rPr>
          <w:sz w:val="24"/>
        </w:rPr>
        <w:t>(Syn：第二类样点的秩数总和)</w:t>
      </w:r>
    </w:p>
    <w:p>
      <w:pPr>
        <w:spacing w:beforeLines="50" w:line="360" w:lineRule="auto"/>
        <w:ind w:firstLine="480" w:firstLineChars="200"/>
        <w:rPr>
          <w:sz w:val="24"/>
        </w:rPr>
      </w:pPr>
      <w:r>
        <w:rPr>
          <w:sz w:val="24"/>
        </w:rPr>
        <w:t>（4）统计判断；</w:t>
      </w:r>
    </w:p>
    <w:p>
      <w:pPr>
        <w:spacing w:beforeLines="50" w:line="360" w:lineRule="auto"/>
        <w:ind w:firstLine="480" w:firstLineChars="200"/>
        <w:rPr>
          <w:sz w:val="24"/>
        </w:rPr>
      </w:pPr>
      <w:r>
        <w:rPr>
          <w:sz w:val="24"/>
        </w:rPr>
        <w:t>查标准</w:t>
      </w:r>
      <w:r>
        <w:rPr>
          <w:rFonts w:ascii="Times New Roman" w:hAnsi="Times New Roman" w:eastAsia="宋体" w:cs="Times New Roman"/>
          <w:kern w:val="2"/>
          <w:sz w:val="24"/>
          <w:lang w:val="en-US" w:eastAsia="zh-CN" w:bidi="ar-SA"/>
        </w:rPr>
        <w:object>
          <v:shape id="Picture 12" type="#_x0000_t75" style="height:27.65pt;width:36.85pt;rotation:0f;" o:ole="t" fillcolor="#000005" filled="f" o:preferrelative="t" stroked="f" coordorigin="0,0" coordsize="21600,21600">
            <v:fill on="f" color2="#FFFFFF" focus="0%"/>
            <v:imagedata gain="65536f" blacklevel="0f" gamma="0" o:title="" r:id="rId88"/>
            <o:lock v:ext="edit" position="f" selection="f" grouping="f" rotation="f" cropping="f" text="f" aspectratio="t"/>
            <w10:wrap type="none"/>
            <w10:anchorlock/>
          </v:shape>
          <o:OLEObject Type="Embed" ProgID="" ShapeID="Picture 12" DrawAspect="Content" ObjectID="_242" r:id="rId87"/>
        </w:object>
      </w:r>
      <w:r>
        <w:rPr>
          <w:sz w:val="24"/>
        </w:rPr>
        <w:t>、</w:t>
      </w:r>
      <w:r>
        <w:rPr>
          <w:rFonts w:ascii="Times New Roman" w:hAnsi="Times New Roman" w:eastAsia="宋体" w:cs="Times New Roman"/>
          <w:kern w:val="2"/>
          <w:sz w:val="24"/>
          <w:lang w:val="en-US" w:eastAsia="zh-CN" w:bidi="ar-SA"/>
        </w:rPr>
        <w:object>
          <v:shape id="Picture 13" type="#_x0000_t75" style="height:26.8pt;width:36.85pt;rotation:0f;" o:ole="t" fillcolor="#000005" filled="f" o:preferrelative="t" stroked="f" coordorigin="0,0" coordsize="21600,21600">
            <v:fill on="f" color2="#FFFFFF" focus="0%"/>
            <v:imagedata gain="65536f" blacklevel="0f" gamma="0" o:title="" r:id="rId90"/>
            <o:lock v:ext="edit" position="f" selection="f" grouping="f" rotation="f" cropping="f" text="f" aspectratio="t"/>
            <w10:wrap type="none"/>
            <w10:anchorlock/>
          </v:shape>
          <o:OLEObject Type="Embed" ProgID="" ShapeID="Picture 13" DrawAspect="Content" ObjectID="_243" r:id="rId89"/>
        </w:object>
      </w:r>
      <w:r>
        <w:rPr>
          <w:sz w:val="24"/>
        </w:rPr>
        <w:t>，若</w:t>
      </w:r>
      <w:r>
        <w:rPr>
          <w:rFonts w:ascii="Times New Roman" w:hAnsi="Times New Roman" w:eastAsia="宋体" w:cs="Times New Roman"/>
          <w:kern w:val="2"/>
          <w:sz w:val="24"/>
          <w:lang w:val="en-US" w:eastAsia="zh-CN" w:bidi="ar-SA"/>
        </w:rPr>
        <w:object>
          <v:shape id="Picture 14" type="#_x0000_t75" style="height:26.8pt;width:36.85pt;rotation:0f;" o:ole="t" fillcolor="#000005" filled="f" o:preferrelative="t" stroked="f" coordorigin="0,0" coordsize="21600,21600">
            <v:fill on="f" color2="#FFFFFF" focus="0%"/>
            <v:imagedata gain="65536f" blacklevel="0f" gamma="0" o:title="" r:id="rId92"/>
            <o:lock v:ext="edit" position="f" selection="f" grouping="f" rotation="f" cropping="f" text="f" aspectratio="t"/>
            <w10:wrap type="none"/>
            <w10:anchorlock/>
          </v:shape>
          <o:OLEObject Type="Embed" ProgID="" ShapeID="Picture 14" DrawAspect="Content" ObjectID="_244" r:id="rId91"/>
        </w:object>
      </w:r>
      <w:r>
        <w:rPr>
          <w:sz w:val="24"/>
        </w:rPr>
        <w:t>&lt;Syn&lt;</w:t>
      </w:r>
      <w:r>
        <w:rPr>
          <w:rFonts w:ascii="Times New Roman" w:hAnsi="Times New Roman" w:eastAsia="宋体" w:cs="Times New Roman"/>
          <w:kern w:val="2"/>
          <w:sz w:val="24"/>
          <w:lang w:val="en-US" w:eastAsia="zh-CN" w:bidi="ar-SA"/>
        </w:rPr>
        <w:object>
          <v:shape id="Picture 15" type="#_x0000_t75" style="height:27.65pt;width:36.85pt;rotation:0f;" o:ole="t" fillcolor="#000005" filled="f" o:preferrelative="t" stroked="f" coordorigin="0,0" coordsize="21600,21600">
            <v:fill on="f" color2="#FFFFFF" focus="0%"/>
            <v:imagedata gain="65536f" blacklevel="0f" gamma="0" o:title="" r:id="rId88"/>
            <o:lock v:ext="edit" position="f" selection="f" grouping="f" rotation="f" cropping="f" text="f" aspectratio="t"/>
            <w10:wrap type="none"/>
            <w10:anchorlock/>
          </v:shape>
          <o:OLEObject Type="Embed" ProgID="" ShapeID="Picture 15" DrawAspect="Content" ObjectID="_245" r:id="rId93"/>
        </w:object>
      </w:r>
      <w:r>
        <w:rPr>
          <w:sz w:val="24"/>
        </w:rPr>
        <w:t>，(Syn:第二类样点的秩数总和)</w:t>
      </w:r>
    </w:p>
    <w:p>
      <w:pPr>
        <w:spacing w:line="460" w:lineRule="exact"/>
        <w:ind w:firstLine="480" w:firstLineChars="200"/>
        <w:rPr>
          <w:sz w:val="24"/>
        </w:rPr>
      </w:pPr>
      <w:r>
        <w:rPr>
          <w:sz w:val="24"/>
        </w:rPr>
        <w:t>则总体同一性检验通过，否则总体非同一性，则需检查不同地价计算方法可能产生的系统误差，重新进行检验，直到符合要求。</w:t>
      </w:r>
    </w:p>
    <w:p>
      <w:pPr>
        <w:spacing w:line="460" w:lineRule="exact"/>
        <w:ind w:firstLine="482" w:firstLineChars="200"/>
        <w:rPr>
          <w:b/>
          <w:sz w:val="24"/>
        </w:rPr>
      </w:pPr>
      <w:r>
        <w:rPr>
          <w:b/>
          <w:sz w:val="24"/>
        </w:rPr>
        <w:t>2、总体分布类型检验</w:t>
      </w:r>
    </w:p>
    <w:p>
      <w:pPr>
        <w:spacing w:line="460" w:lineRule="exact"/>
        <w:ind w:firstLine="480" w:firstLineChars="200"/>
        <w:rPr>
          <w:sz w:val="24"/>
        </w:rPr>
      </w:pPr>
      <w:r>
        <w:rPr>
          <w:sz w:val="24"/>
        </w:rPr>
        <w:t>检验总体分布的方法较多，但最常用的是X2检验法，不仅适用于连续分布函数，而且适合于总体是离散型的分布函数。它可用来检验总体是否服从正态分布，也可用来检验总体是否服从任何一个预先给定的分布。检验的具体步骤为：</w:t>
      </w:r>
    </w:p>
    <w:p>
      <w:pPr>
        <w:spacing w:line="460" w:lineRule="exact"/>
        <w:ind w:firstLine="480" w:firstLineChars="200"/>
        <w:rPr>
          <w:sz w:val="24"/>
        </w:rPr>
      </w:pPr>
      <w:r>
        <w:rPr>
          <w:sz w:val="24"/>
        </w:rPr>
        <w:t>（1） 数据分组。根据样点地价数值的范围划分为K组；</w:t>
      </w:r>
    </w:p>
    <w:p>
      <w:pPr>
        <w:spacing w:line="460" w:lineRule="exact"/>
        <w:ind w:firstLine="480" w:firstLineChars="200"/>
        <w:rPr>
          <w:sz w:val="24"/>
        </w:rPr>
      </w:pPr>
      <w:r>
        <w:rPr>
          <w:sz w:val="24"/>
        </w:rPr>
        <w:t>（2） 求X落在各组的频数fi和频率fi/n;</w:t>
      </w:r>
    </w:p>
    <w:p>
      <w:pPr>
        <w:spacing w:line="460" w:lineRule="exact"/>
        <w:ind w:firstLine="480" w:firstLineChars="200"/>
        <w:rPr>
          <w:sz w:val="24"/>
          <w:vertAlign w:val="subscript"/>
        </w:rPr>
      </w:pPr>
      <w:r>
        <w:rPr>
          <w:sz w:val="24"/>
        </w:rPr>
        <w:t>（3） 求理论概率P</w:t>
      </w:r>
      <w:r>
        <w:rPr>
          <w:sz w:val="24"/>
          <w:vertAlign w:val="subscript"/>
        </w:rPr>
        <w:t>i</w:t>
      </w:r>
    </w:p>
    <w:p>
      <w:pPr>
        <w:spacing w:line="460" w:lineRule="exact"/>
        <w:ind w:firstLine="480" w:firstLineChars="200"/>
        <w:rPr>
          <w:sz w:val="24"/>
        </w:rPr>
      </w:pPr>
      <w:r>
        <w:rPr>
          <w:sz w:val="24"/>
        </w:rPr>
        <w:t>Pi={Bi-1&lt;bi&gt;}=F(bi)-F(bi-1)</w:t>
      </w:r>
    </w:p>
    <w:p>
      <w:pPr>
        <w:spacing w:line="460" w:lineRule="exact"/>
        <w:ind w:firstLine="480" w:firstLineChars="200"/>
        <w:rPr>
          <w:sz w:val="24"/>
        </w:rPr>
      </w:pPr>
      <w:r>
        <w:rPr>
          <w:sz w:val="24"/>
        </w:rPr>
        <w:t>bi-1.bi为地价分组区间的上下限。</w:t>
      </w:r>
    </w:p>
    <w:p>
      <w:pPr>
        <w:spacing w:line="460" w:lineRule="exact"/>
        <w:ind w:firstLine="480" w:firstLineChars="200"/>
        <w:rPr>
          <w:sz w:val="24"/>
          <w:vertAlign w:val="superscript"/>
        </w:rPr>
      </w:pPr>
      <w:r>
        <w:rPr>
          <w:sz w:val="24"/>
        </w:rPr>
        <w:t>（4）  计算统计量X</w:t>
      </w:r>
      <w:r>
        <w:rPr>
          <w:sz w:val="24"/>
          <w:vertAlign w:val="superscript"/>
        </w:rPr>
        <w:t>2</w:t>
      </w:r>
    </w:p>
    <w:p>
      <w:pPr>
        <w:spacing w:line="360" w:lineRule="auto"/>
        <w:ind w:firstLine="480" w:firstLineChars="200"/>
        <w:rPr>
          <w:sz w:val="24"/>
        </w:rPr>
      </w:pPr>
      <w:r>
        <w:rPr>
          <w:rFonts w:ascii="Times New Roman" w:hAnsi="Times New Roman" w:eastAsia="宋体" w:cs="Times New Roman"/>
          <w:kern w:val="2"/>
          <w:sz w:val="24"/>
          <w:szCs w:val="24"/>
          <w:lang w:val="en-US" w:eastAsia="zh-CN" w:bidi="ar-SA"/>
        </w:rPr>
        <w:object>
          <v:shape id="Picture 16" type="#_x0000_t75" style="height:43.55pt;width:129pt;rotation:0f;" o:ole="t" fillcolor="#FFFFFF" filled="f" o:preferrelative="t" stroked="f" coordorigin="0,0" coordsize="21600,21600">
            <v:fill on="f" color2="#FFFFFF" focus="0%"/>
            <v:imagedata gain="65536f" blacklevel="0f" gamma="0" o:title="" r:id="rId95"/>
            <o:lock v:ext="edit" position="f" selection="f" grouping="f" rotation="f" cropping="f" text="f" aspectratio="t"/>
            <w10:wrap type="none"/>
            <w10:anchorlock/>
          </v:shape>
          <o:OLEObject Type="Embed" ProgID="" ShapeID="Picture 16" DrawAspect="Content" ObjectID="_246" r:id="rId94"/>
        </w:object>
      </w:r>
    </w:p>
    <w:p>
      <w:pPr>
        <w:spacing w:beforeLines="50" w:line="360" w:lineRule="auto"/>
        <w:ind w:firstLine="480" w:firstLineChars="200"/>
        <w:rPr>
          <w:sz w:val="24"/>
        </w:rPr>
      </w:pPr>
      <w:r>
        <w:rPr>
          <w:sz w:val="24"/>
        </w:rPr>
        <w:t>（5）查标准的</w:t>
      </w:r>
      <w:r>
        <w:rPr>
          <w:rFonts w:ascii="Times New Roman" w:hAnsi="Times New Roman" w:eastAsia="宋体" w:cs="Times New Roman"/>
          <w:kern w:val="2"/>
          <w:position w:val="-10"/>
          <w:sz w:val="24"/>
          <w:szCs w:val="24"/>
          <w:lang w:val="en-US" w:eastAsia="zh-CN" w:bidi="ar-SA"/>
        </w:rPr>
        <w:object>
          <v:shape id="Picture 17" type="#_x0000_t75" style="height:23.45pt;width:51.05pt;rotation:0f;" o:ole="t" fillcolor="#FFFFFF" filled="f" o:preferrelative="t" stroked="f" coordorigin="0,0" coordsize="21600,21600">
            <v:fill on="f" color2="#FFFFFF" focus="0%"/>
            <v:imagedata gain="65536f" blacklevel="0f" gamma="0" o:title="" r:id="rId97"/>
            <o:lock v:ext="edit" position="f" selection="f" grouping="f" rotation="f" cropping="f" text="f" aspectratio="t"/>
            <w10:wrap type="none"/>
            <w10:anchorlock/>
          </v:shape>
          <o:OLEObject Type="Embed" ProgID="" ShapeID="Picture 17" DrawAspect="Content" ObjectID="_247" r:id="rId96"/>
        </w:object>
      </w:r>
      <w:r>
        <w:rPr>
          <w:sz w:val="24"/>
        </w:rPr>
        <w:t xml:space="preserve">值； </w:t>
      </w:r>
    </w:p>
    <w:p>
      <w:pPr>
        <w:spacing w:beforeLines="50" w:line="360" w:lineRule="auto"/>
        <w:ind w:firstLine="480" w:firstLineChars="200"/>
        <w:rPr>
          <w:sz w:val="24"/>
        </w:rPr>
      </w:pPr>
      <w:r>
        <w:rPr>
          <w:sz w:val="24"/>
        </w:rPr>
        <w:t>（6）判断：若</w:t>
      </w:r>
      <w:r>
        <w:rPr>
          <w:rFonts w:ascii="Times New Roman" w:hAnsi="Times New Roman" w:eastAsia="宋体" w:cs="Times New Roman"/>
          <w:kern w:val="2"/>
          <w:position w:val="-10"/>
          <w:sz w:val="24"/>
          <w:szCs w:val="24"/>
          <w:lang w:val="en-US" w:eastAsia="zh-CN" w:bidi="ar-SA"/>
        </w:rPr>
        <w:object>
          <v:shape id="Picture 18" type="#_x0000_t75" style="height:15.9pt;width:60.3pt;rotation:0f;" o:ole="t" fillcolor="#FFFFFF" filled="f" o:preferrelative="t" stroked="f" coordorigin="0,0" coordsize="21600,21600">
            <v:fill on="f" color2="#FFFFFF" focus="0%"/>
            <v:imagedata gain="65536f" blacklevel="0f" gamma="0" o:title="" r:id="rId99"/>
            <o:lock v:ext="edit" position="f" selection="f" grouping="f" rotation="f" cropping="f" text="f" aspectratio="t"/>
            <w10:wrap type="none"/>
            <w10:anchorlock/>
          </v:shape>
          <o:OLEObject Type="Embed" ProgID="" ShapeID="Picture 18" DrawAspect="Content" ObjectID="_248" r:id="rId98"/>
        </w:object>
      </w:r>
      <w:r>
        <w:rPr>
          <w:sz w:val="24"/>
        </w:rPr>
        <w:t>，则抽样总体为正态分布；若</w:t>
      </w:r>
      <w:r>
        <w:rPr>
          <w:rFonts w:ascii="Times New Roman" w:hAnsi="Times New Roman" w:eastAsia="宋体" w:cs="Times New Roman"/>
          <w:kern w:val="2"/>
          <w:position w:val="-10"/>
          <w:sz w:val="24"/>
          <w:szCs w:val="24"/>
          <w:lang w:val="en-US" w:eastAsia="zh-CN" w:bidi="ar-SA"/>
        </w:rPr>
        <w:object>
          <v:shape id="Picture 19" type="#_x0000_t75" style="height:18.4pt;width:73.65pt;rotation:0f;" o:ole="t" fillcolor="#FFFFFF" filled="f" o:preferrelative="t" stroked="f" coordorigin="0,0" coordsize="21600,21600">
            <v:fill on="f" color2="#FFFFFF" focus="0%"/>
            <v:imagedata gain="65536f" blacklevel="0f" gamma="0" o:title="" r:id="rId101"/>
            <o:lock v:ext="edit" position="f" selection="f" grouping="f" rotation="f" cropping="f" text="f" aspectratio="t"/>
            <w10:wrap type="none"/>
            <w10:anchorlock/>
          </v:shape>
          <o:OLEObject Type="Embed" ProgID="" ShapeID="Picture 19" DrawAspect="Content" ObjectID="_249" r:id="rId100"/>
        </w:object>
      </w:r>
      <w:r>
        <w:rPr>
          <w:sz w:val="24"/>
        </w:rPr>
        <w:t>，则抽样总体为非正态分布。</w:t>
      </w:r>
    </w:p>
    <w:p>
      <w:pPr>
        <w:spacing w:line="360" w:lineRule="auto"/>
        <w:jc w:val="center"/>
        <w:rPr>
          <w:b/>
          <w:bCs/>
          <w:sz w:val="24"/>
          <w:szCs w:val="24"/>
        </w:rPr>
      </w:pPr>
      <w:r>
        <w:rPr>
          <w:rFonts w:eastAsia="黑体"/>
          <w:b/>
          <w:bCs/>
          <w:sz w:val="24"/>
          <w:highlight w:val="yellow"/>
        </w:rPr>
        <w:br w:type="page"/>
      </w:r>
      <w:r>
        <w:rPr>
          <w:b/>
          <w:bCs/>
          <w:sz w:val="24"/>
          <w:szCs w:val="24"/>
        </w:rPr>
        <w:t>表3-2-26 商服用地调查样点总体分布类型检验表</w:t>
      </w:r>
    </w:p>
    <w:tbl>
      <w:tblPr>
        <w:tblW w:w="9452" w:type="dxa"/>
        <w:jc w:val="center"/>
        <w:tblInd w:w="-3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750"/>
        <w:gridCol w:w="871"/>
        <w:gridCol w:w="815"/>
        <w:gridCol w:w="1217"/>
        <w:gridCol w:w="826"/>
        <w:gridCol w:w="741"/>
        <w:gridCol w:w="975"/>
        <w:gridCol w:w="850"/>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935" w:type="dxa"/>
            <w:vAlign w:val="center"/>
          </w:tcPr>
          <w:p>
            <w:pPr>
              <w:widowControl/>
              <w:spacing w:line="400" w:lineRule="exact"/>
              <w:jc w:val="center"/>
              <w:rPr>
                <w:bCs/>
                <w:color w:val="000000"/>
                <w:kern w:val="0"/>
                <w:sz w:val="20"/>
              </w:rPr>
            </w:pPr>
            <w:r>
              <w:rPr>
                <w:bCs/>
                <w:color w:val="000000"/>
                <w:kern w:val="0"/>
                <w:sz w:val="20"/>
              </w:rPr>
              <w:t>均值区域号</w:t>
            </w:r>
          </w:p>
        </w:tc>
        <w:tc>
          <w:tcPr>
            <w:tcW w:w="750" w:type="dxa"/>
            <w:vAlign w:val="center"/>
          </w:tcPr>
          <w:p>
            <w:pPr>
              <w:widowControl/>
              <w:spacing w:line="400" w:lineRule="exact"/>
              <w:jc w:val="center"/>
              <w:rPr>
                <w:bCs/>
                <w:color w:val="000000"/>
                <w:kern w:val="0"/>
                <w:sz w:val="20"/>
              </w:rPr>
            </w:pPr>
            <w:r>
              <w:rPr>
                <w:bCs/>
                <w:color w:val="000000"/>
                <w:kern w:val="0"/>
                <w:sz w:val="20"/>
              </w:rPr>
              <w:t>所属级别</w:t>
            </w:r>
          </w:p>
        </w:tc>
        <w:tc>
          <w:tcPr>
            <w:tcW w:w="871" w:type="dxa"/>
            <w:vAlign w:val="center"/>
          </w:tcPr>
          <w:p>
            <w:pPr>
              <w:widowControl/>
              <w:spacing w:line="400" w:lineRule="exact"/>
              <w:jc w:val="center"/>
              <w:rPr>
                <w:bCs/>
                <w:color w:val="000000"/>
                <w:kern w:val="0"/>
                <w:sz w:val="20"/>
              </w:rPr>
            </w:pPr>
            <w:r>
              <w:rPr>
                <w:bCs/>
                <w:color w:val="000000"/>
                <w:kern w:val="0"/>
                <w:sz w:val="20"/>
              </w:rPr>
              <w:t>有效样点数量</w:t>
            </w:r>
          </w:p>
        </w:tc>
        <w:tc>
          <w:tcPr>
            <w:tcW w:w="815" w:type="dxa"/>
            <w:vAlign w:val="center"/>
          </w:tcPr>
          <w:p>
            <w:pPr>
              <w:widowControl/>
              <w:spacing w:line="400" w:lineRule="exact"/>
              <w:jc w:val="center"/>
              <w:rPr>
                <w:bCs/>
                <w:color w:val="000000"/>
                <w:kern w:val="0"/>
                <w:sz w:val="20"/>
              </w:rPr>
            </w:pPr>
            <w:r>
              <w:rPr>
                <w:bCs/>
                <w:color w:val="000000"/>
                <w:kern w:val="0"/>
                <w:sz w:val="20"/>
              </w:rPr>
              <w:t>偏度</w:t>
            </w:r>
          </w:p>
        </w:tc>
        <w:tc>
          <w:tcPr>
            <w:tcW w:w="1217" w:type="dxa"/>
            <w:vAlign w:val="center"/>
          </w:tcPr>
          <w:p>
            <w:pPr>
              <w:widowControl/>
              <w:spacing w:line="400" w:lineRule="exact"/>
              <w:jc w:val="center"/>
              <w:rPr>
                <w:bCs/>
                <w:color w:val="000000"/>
                <w:kern w:val="0"/>
                <w:sz w:val="20"/>
              </w:rPr>
            </w:pPr>
            <w:r>
              <w:rPr>
                <w:bCs/>
                <w:color w:val="000000"/>
                <w:kern w:val="0"/>
                <w:sz w:val="20"/>
              </w:rPr>
              <w:t>分布类型</w:t>
            </w:r>
          </w:p>
        </w:tc>
        <w:tc>
          <w:tcPr>
            <w:tcW w:w="826" w:type="dxa"/>
            <w:vAlign w:val="center"/>
          </w:tcPr>
          <w:p>
            <w:pPr>
              <w:widowControl/>
              <w:spacing w:line="400" w:lineRule="exact"/>
              <w:jc w:val="center"/>
              <w:rPr>
                <w:bCs/>
                <w:color w:val="000000"/>
                <w:kern w:val="0"/>
                <w:sz w:val="20"/>
              </w:rPr>
            </w:pPr>
            <w:r>
              <w:rPr>
                <w:bCs/>
                <w:color w:val="000000"/>
                <w:kern w:val="0"/>
                <w:sz w:val="20"/>
              </w:rPr>
              <w:t>均值区域号</w:t>
            </w:r>
          </w:p>
        </w:tc>
        <w:tc>
          <w:tcPr>
            <w:tcW w:w="741" w:type="dxa"/>
            <w:vAlign w:val="center"/>
          </w:tcPr>
          <w:p>
            <w:pPr>
              <w:widowControl/>
              <w:spacing w:line="400" w:lineRule="exact"/>
              <w:jc w:val="center"/>
              <w:rPr>
                <w:bCs/>
                <w:color w:val="000000"/>
                <w:kern w:val="0"/>
                <w:sz w:val="20"/>
              </w:rPr>
            </w:pPr>
            <w:r>
              <w:rPr>
                <w:bCs/>
                <w:color w:val="000000"/>
                <w:kern w:val="0"/>
                <w:sz w:val="20"/>
              </w:rPr>
              <w:t>所属级别</w:t>
            </w:r>
          </w:p>
        </w:tc>
        <w:tc>
          <w:tcPr>
            <w:tcW w:w="975" w:type="dxa"/>
            <w:vAlign w:val="center"/>
          </w:tcPr>
          <w:p>
            <w:pPr>
              <w:widowControl/>
              <w:spacing w:line="400" w:lineRule="exact"/>
              <w:jc w:val="center"/>
              <w:rPr>
                <w:bCs/>
                <w:color w:val="000000"/>
                <w:kern w:val="0"/>
                <w:sz w:val="20"/>
              </w:rPr>
            </w:pPr>
            <w:r>
              <w:rPr>
                <w:bCs/>
                <w:color w:val="000000"/>
                <w:kern w:val="0"/>
                <w:sz w:val="20"/>
              </w:rPr>
              <w:t>有效样点数量</w:t>
            </w:r>
          </w:p>
        </w:tc>
        <w:tc>
          <w:tcPr>
            <w:tcW w:w="850" w:type="dxa"/>
            <w:vAlign w:val="center"/>
          </w:tcPr>
          <w:p>
            <w:pPr>
              <w:widowControl/>
              <w:spacing w:line="400" w:lineRule="exact"/>
              <w:jc w:val="center"/>
              <w:rPr>
                <w:bCs/>
                <w:color w:val="000000"/>
                <w:kern w:val="0"/>
                <w:sz w:val="20"/>
              </w:rPr>
            </w:pPr>
            <w:r>
              <w:rPr>
                <w:bCs/>
                <w:color w:val="000000"/>
                <w:kern w:val="0"/>
                <w:sz w:val="20"/>
              </w:rPr>
              <w:t>偏度</w:t>
            </w:r>
          </w:p>
        </w:tc>
        <w:tc>
          <w:tcPr>
            <w:tcW w:w="1472" w:type="dxa"/>
            <w:vAlign w:val="center"/>
          </w:tcPr>
          <w:p>
            <w:pPr>
              <w:widowControl/>
              <w:spacing w:line="400" w:lineRule="exact"/>
              <w:jc w:val="center"/>
              <w:rPr>
                <w:bCs/>
                <w:color w:val="000000"/>
                <w:kern w:val="0"/>
                <w:sz w:val="20"/>
              </w:rPr>
            </w:pPr>
            <w:r>
              <w:rPr>
                <w:bCs/>
                <w:color w:val="000000"/>
                <w:kern w:val="0"/>
                <w:sz w:val="20"/>
              </w:rPr>
              <w:t>分布类型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5" w:type="dxa"/>
            <w:vAlign w:val="center"/>
          </w:tcPr>
          <w:p>
            <w:pPr>
              <w:widowControl/>
              <w:spacing w:line="400" w:lineRule="exact"/>
              <w:jc w:val="center"/>
              <w:textAlignment w:val="center"/>
              <w:rPr>
                <w:color w:val="000000"/>
                <w:kern w:val="0"/>
                <w:sz w:val="22"/>
                <w:szCs w:val="22"/>
              </w:rPr>
            </w:pPr>
            <w:r>
              <w:rPr>
                <w:color w:val="000000"/>
                <w:kern w:val="0"/>
                <w:sz w:val="22"/>
                <w:szCs w:val="22"/>
                <w:lang/>
              </w:rPr>
              <w:t>J018</w:t>
            </w:r>
          </w:p>
        </w:tc>
        <w:tc>
          <w:tcPr>
            <w:tcW w:w="750" w:type="dxa"/>
            <w:vAlign w:val="center"/>
          </w:tcPr>
          <w:p>
            <w:pPr>
              <w:widowControl/>
              <w:spacing w:line="400" w:lineRule="exact"/>
              <w:jc w:val="center"/>
              <w:rPr>
                <w:color w:val="000000"/>
                <w:kern w:val="0"/>
                <w:sz w:val="20"/>
              </w:rPr>
            </w:pPr>
            <w:r>
              <w:rPr>
                <w:color w:val="000000"/>
                <w:kern w:val="0"/>
                <w:sz w:val="20"/>
              </w:rPr>
              <w:t>一级</w:t>
            </w:r>
          </w:p>
        </w:tc>
        <w:tc>
          <w:tcPr>
            <w:tcW w:w="871" w:type="dxa"/>
            <w:vAlign w:val="center"/>
          </w:tcPr>
          <w:p>
            <w:pPr>
              <w:widowControl/>
              <w:spacing w:line="400" w:lineRule="exact"/>
              <w:jc w:val="center"/>
              <w:rPr>
                <w:color w:val="000000"/>
                <w:kern w:val="0"/>
                <w:sz w:val="20"/>
              </w:rPr>
            </w:pPr>
            <w:r>
              <w:rPr>
                <w:color w:val="000000"/>
                <w:kern w:val="0"/>
                <w:sz w:val="20"/>
              </w:rPr>
              <w:t>23</w:t>
            </w:r>
          </w:p>
        </w:tc>
        <w:tc>
          <w:tcPr>
            <w:tcW w:w="815" w:type="dxa"/>
            <w:vAlign w:val="center"/>
          </w:tcPr>
          <w:p>
            <w:pPr>
              <w:widowControl/>
              <w:spacing w:line="400" w:lineRule="exact"/>
              <w:jc w:val="center"/>
              <w:rPr>
                <w:color w:val="000000"/>
                <w:kern w:val="0"/>
                <w:sz w:val="20"/>
              </w:rPr>
            </w:pPr>
            <w:r>
              <w:rPr>
                <w:color w:val="000000"/>
                <w:kern w:val="0"/>
                <w:sz w:val="20"/>
              </w:rPr>
              <w:t>0.753</w:t>
            </w:r>
          </w:p>
        </w:tc>
        <w:tc>
          <w:tcPr>
            <w:tcW w:w="1217" w:type="dxa"/>
            <w:vAlign w:val="center"/>
          </w:tcPr>
          <w:p>
            <w:pPr>
              <w:widowControl/>
              <w:spacing w:line="400" w:lineRule="exact"/>
              <w:jc w:val="center"/>
              <w:rPr>
                <w:color w:val="000000"/>
                <w:kern w:val="0"/>
                <w:sz w:val="20"/>
              </w:rPr>
            </w:pPr>
            <w:r>
              <w:rPr>
                <w:color w:val="000000"/>
                <w:kern w:val="0"/>
                <w:sz w:val="20"/>
              </w:rPr>
              <w:t>正态分布</w:t>
            </w:r>
          </w:p>
        </w:tc>
        <w:tc>
          <w:tcPr>
            <w:tcW w:w="826" w:type="dxa"/>
            <w:vAlign w:val="center"/>
          </w:tcPr>
          <w:p>
            <w:pPr>
              <w:widowControl/>
              <w:spacing w:line="400" w:lineRule="exact"/>
              <w:jc w:val="center"/>
              <w:textAlignment w:val="center"/>
              <w:rPr>
                <w:color w:val="000000"/>
                <w:kern w:val="0"/>
                <w:sz w:val="22"/>
                <w:szCs w:val="22"/>
              </w:rPr>
            </w:pPr>
            <w:r>
              <w:rPr>
                <w:color w:val="000000"/>
                <w:kern w:val="0"/>
                <w:sz w:val="22"/>
                <w:szCs w:val="22"/>
                <w:lang/>
              </w:rPr>
              <w:t>J010</w:t>
            </w:r>
          </w:p>
        </w:tc>
        <w:tc>
          <w:tcPr>
            <w:tcW w:w="741" w:type="dxa"/>
            <w:vAlign w:val="center"/>
          </w:tcPr>
          <w:p>
            <w:pPr>
              <w:widowControl/>
              <w:spacing w:line="400" w:lineRule="exact"/>
              <w:jc w:val="center"/>
              <w:rPr>
                <w:color w:val="000000"/>
                <w:kern w:val="0"/>
                <w:sz w:val="20"/>
              </w:rPr>
            </w:pPr>
            <w:r>
              <w:rPr>
                <w:color w:val="000000"/>
                <w:kern w:val="0"/>
                <w:sz w:val="20"/>
              </w:rPr>
              <w:t>二级</w:t>
            </w:r>
          </w:p>
        </w:tc>
        <w:tc>
          <w:tcPr>
            <w:tcW w:w="975" w:type="dxa"/>
            <w:vAlign w:val="center"/>
          </w:tcPr>
          <w:p>
            <w:pPr>
              <w:widowControl/>
              <w:spacing w:line="400" w:lineRule="exact"/>
              <w:jc w:val="center"/>
              <w:rPr>
                <w:color w:val="000000"/>
                <w:kern w:val="0"/>
                <w:sz w:val="20"/>
              </w:rPr>
            </w:pPr>
            <w:r>
              <w:rPr>
                <w:color w:val="000000"/>
                <w:kern w:val="0"/>
                <w:sz w:val="20"/>
              </w:rPr>
              <w:t>24</w:t>
            </w:r>
          </w:p>
        </w:tc>
        <w:tc>
          <w:tcPr>
            <w:tcW w:w="850" w:type="dxa"/>
            <w:vAlign w:val="center"/>
          </w:tcPr>
          <w:p>
            <w:pPr>
              <w:widowControl/>
              <w:spacing w:line="400" w:lineRule="exact"/>
              <w:jc w:val="center"/>
              <w:rPr>
                <w:color w:val="000000"/>
                <w:kern w:val="0"/>
                <w:sz w:val="20"/>
              </w:rPr>
            </w:pPr>
            <w:r>
              <w:rPr>
                <w:color w:val="000000"/>
                <w:kern w:val="0"/>
                <w:sz w:val="20"/>
              </w:rPr>
              <w:t>2.782</w:t>
            </w:r>
          </w:p>
        </w:tc>
        <w:tc>
          <w:tcPr>
            <w:tcW w:w="1472" w:type="dxa"/>
            <w:vAlign w:val="center"/>
          </w:tcPr>
          <w:p>
            <w:pPr>
              <w:widowControl/>
              <w:spacing w:line="400" w:lineRule="exact"/>
              <w:jc w:val="center"/>
              <w:rPr>
                <w:color w:val="000000"/>
                <w:kern w:val="0"/>
                <w:sz w:val="20"/>
              </w:rPr>
            </w:pPr>
            <w:r>
              <w:rPr>
                <w:color w:val="000000"/>
                <w:kern w:val="0"/>
                <w:sz w:val="20"/>
              </w:rPr>
              <w:t>非正态分布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5" w:type="dxa"/>
            <w:vAlign w:val="center"/>
          </w:tcPr>
          <w:p>
            <w:pPr>
              <w:widowControl/>
              <w:spacing w:line="400" w:lineRule="exact"/>
              <w:jc w:val="center"/>
              <w:textAlignment w:val="center"/>
              <w:rPr>
                <w:color w:val="000000"/>
                <w:kern w:val="0"/>
                <w:sz w:val="22"/>
                <w:szCs w:val="22"/>
              </w:rPr>
            </w:pPr>
            <w:r>
              <w:rPr>
                <w:color w:val="000000"/>
                <w:kern w:val="0"/>
                <w:sz w:val="22"/>
                <w:szCs w:val="22"/>
                <w:lang/>
              </w:rPr>
              <w:t>J012</w:t>
            </w:r>
          </w:p>
        </w:tc>
        <w:tc>
          <w:tcPr>
            <w:tcW w:w="750" w:type="dxa"/>
            <w:vAlign w:val="center"/>
          </w:tcPr>
          <w:p>
            <w:pPr>
              <w:widowControl/>
              <w:spacing w:line="400" w:lineRule="exact"/>
              <w:jc w:val="center"/>
              <w:rPr>
                <w:color w:val="000000"/>
                <w:kern w:val="0"/>
                <w:sz w:val="20"/>
              </w:rPr>
            </w:pPr>
            <w:r>
              <w:rPr>
                <w:color w:val="000000"/>
                <w:kern w:val="0"/>
                <w:sz w:val="20"/>
              </w:rPr>
              <w:t>一级</w:t>
            </w:r>
          </w:p>
        </w:tc>
        <w:tc>
          <w:tcPr>
            <w:tcW w:w="871" w:type="dxa"/>
            <w:vAlign w:val="center"/>
          </w:tcPr>
          <w:p>
            <w:pPr>
              <w:widowControl/>
              <w:spacing w:line="400" w:lineRule="exact"/>
              <w:jc w:val="center"/>
              <w:rPr>
                <w:color w:val="000000"/>
                <w:kern w:val="0"/>
                <w:sz w:val="20"/>
              </w:rPr>
            </w:pPr>
            <w:r>
              <w:rPr>
                <w:color w:val="000000"/>
                <w:kern w:val="0"/>
                <w:sz w:val="20"/>
              </w:rPr>
              <w:t>21</w:t>
            </w:r>
          </w:p>
        </w:tc>
        <w:tc>
          <w:tcPr>
            <w:tcW w:w="815" w:type="dxa"/>
            <w:vAlign w:val="center"/>
          </w:tcPr>
          <w:p>
            <w:pPr>
              <w:widowControl/>
              <w:spacing w:line="400" w:lineRule="exact"/>
              <w:jc w:val="center"/>
              <w:rPr>
                <w:color w:val="000000"/>
                <w:kern w:val="0"/>
                <w:sz w:val="20"/>
              </w:rPr>
            </w:pPr>
            <w:r>
              <w:rPr>
                <w:color w:val="000000"/>
                <w:kern w:val="0"/>
                <w:sz w:val="20"/>
              </w:rPr>
              <w:t>1.475</w:t>
            </w:r>
          </w:p>
        </w:tc>
        <w:tc>
          <w:tcPr>
            <w:tcW w:w="1217" w:type="dxa"/>
            <w:vAlign w:val="center"/>
          </w:tcPr>
          <w:p>
            <w:pPr>
              <w:widowControl/>
              <w:spacing w:line="400" w:lineRule="exact"/>
              <w:jc w:val="center"/>
              <w:rPr>
                <w:color w:val="000000"/>
                <w:kern w:val="0"/>
                <w:sz w:val="20"/>
              </w:rPr>
            </w:pPr>
            <w:r>
              <w:rPr>
                <w:color w:val="000000"/>
                <w:kern w:val="0"/>
                <w:sz w:val="20"/>
              </w:rPr>
              <w:t>非正态分布</w:t>
            </w:r>
          </w:p>
        </w:tc>
        <w:tc>
          <w:tcPr>
            <w:tcW w:w="826" w:type="dxa"/>
            <w:vAlign w:val="center"/>
          </w:tcPr>
          <w:p>
            <w:pPr>
              <w:widowControl/>
              <w:spacing w:line="400" w:lineRule="exact"/>
              <w:jc w:val="center"/>
              <w:textAlignment w:val="center"/>
              <w:rPr>
                <w:color w:val="000000"/>
                <w:kern w:val="0"/>
                <w:sz w:val="22"/>
                <w:szCs w:val="22"/>
              </w:rPr>
            </w:pPr>
            <w:r>
              <w:rPr>
                <w:color w:val="000000"/>
                <w:kern w:val="0"/>
                <w:sz w:val="22"/>
                <w:szCs w:val="22"/>
                <w:lang/>
              </w:rPr>
              <w:t>J017</w:t>
            </w:r>
          </w:p>
        </w:tc>
        <w:tc>
          <w:tcPr>
            <w:tcW w:w="741" w:type="dxa"/>
            <w:vAlign w:val="center"/>
          </w:tcPr>
          <w:p>
            <w:pPr>
              <w:widowControl/>
              <w:spacing w:line="400" w:lineRule="exact"/>
              <w:jc w:val="center"/>
              <w:rPr>
                <w:color w:val="000000"/>
                <w:kern w:val="0"/>
                <w:sz w:val="20"/>
              </w:rPr>
            </w:pPr>
            <w:r>
              <w:rPr>
                <w:color w:val="000000"/>
                <w:kern w:val="0"/>
                <w:sz w:val="20"/>
              </w:rPr>
              <w:t>二级</w:t>
            </w:r>
          </w:p>
        </w:tc>
        <w:tc>
          <w:tcPr>
            <w:tcW w:w="975" w:type="dxa"/>
            <w:vAlign w:val="center"/>
          </w:tcPr>
          <w:p>
            <w:pPr>
              <w:widowControl/>
              <w:spacing w:line="400" w:lineRule="exact"/>
              <w:jc w:val="center"/>
              <w:rPr>
                <w:color w:val="000000"/>
                <w:kern w:val="0"/>
                <w:sz w:val="20"/>
              </w:rPr>
            </w:pPr>
            <w:r>
              <w:rPr>
                <w:color w:val="000000"/>
                <w:kern w:val="0"/>
                <w:sz w:val="20"/>
              </w:rPr>
              <w:t>23</w:t>
            </w:r>
          </w:p>
        </w:tc>
        <w:tc>
          <w:tcPr>
            <w:tcW w:w="850" w:type="dxa"/>
            <w:vAlign w:val="center"/>
          </w:tcPr>
          <w:p>
            <w:pPr>
              <w:widowControl/>
              <w:spacing w:line="400" w:lineRule="exact"/>
              <w:jc w:val="center"/>
              <w:rPr>
                <w:color w:val="000000"/>
                <w:kern w:val="0"/>
                <w:sz w:val="20"/>
              </w:rPr>
            </w:pPr>
            <w:r>
              <w:rPr>
                <w:color w:val="000000"/>
                <w:kern w:val="0"/>
                <w:sz w:val="20"/>
              </w:rPr>
              <w:t>0.87</w:t>
            </w:r>
          </w:p>
        </w:tc>
        <w:tc>
          <w:tcPr>
            <w:tcW w:w="1472" w:type="dxa"/>
            <w:vAlign w:val="center"/>
          </w:tcPr>
          <w:p>
            <w:pPr>
              <w:widowControl/>
              <w:spacing w:line="400" w:lineRule="exact"/>
              <w:jc w:val="center"/>
              <w:rPr>
                <w:color w:val="000000"/>
                <w:kern w:val="0"/>
                <w:sz w:val="20"/>
              </w:rPr>
            </w:pPr>
            <w:r>
              <w:rPr>
                <w:color w:val="000000"/>
                <w:kern w:val="0"/>
                <w:sz w:val="20"/>
              </w:rPr>
              <w:t>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5" w:type="dxa"/>
            <w:vAlign w:val="center"/>
          </w:tcPr>
          <w:p>
            <w:pPr>
              <w:widowControl/>
              <w:spacing w:line="400" w:lineRule="exact"/>
              <w:jc w:val="center"/>
              <w:textAlignment w:val="center"/>
              <w:rPr>
                <w:color w:val="000000"/>
                <w:kern w:val="0"/>
                <w:sz w:val="22"/>
                <w:szCs w:val="22"/>
              </w:rPr>
            </w:pPr>
            <w:r>
              <w:rPr>
                <w:color w:val="000000"/>
                <w:kern w:val="0"/>
                <w:sz w:val="22"/>
                <w:szCs w:val="22"/>
                <w:lang/>
              </w:rPr>
              <w:t>J013</w:t>
            </w:r>
          </w:p>
        </w:tc>
        <w:tc>
          <w:tcPr>
            <w:tcW w:w="750" w:type="dxa"/>
            <w:vAlign w:val="center"/>
          </w:tcPr>
          <w:p>
            <w:pPr>
              <w:widowControl/>
              <w:spacing w:line="400" w:lineRule="exact"/>
              <w:jc w:val="center"/>
              <w:rPr>
                <w:color w:val="000000"/>
                <w:kern w:val="0"/>
                <w:sz w:val="20"/>
              </w:rPr>
            </w:pPr>
            <w:r>
              <w:rPr>
                <w:color w:val="000000"/>
                <w:kern w:val="0"/>
                <w:sz w:val="20"/>
              </w:rPr>
              <w:t>一级</w:t>
            </w:r>
          </w:p>
        </w:tc>
        <w:tc>
          <w:tcPr>
            <w:tcW w:w="871" w:type="dxa"/>
            <w:vAlign w:val="center"/>
          </w:tcPr>
          <w:p>
            <w:pPr>
              <w:widowControl/>
              <w:spacing w:line="400" w:lineRule="exact"/>
              <w:jc w:val="center"/>
              <w:rPr>
                <w:color w:val="000000"/>
                <w:kern w:val="0"/>
                <w:sz w:val="20"/>
              </w:rPr>
            </w:pPr>
            <w:r>
              <w:rPr>
                <w:color w:val="000000"/>
                <w:kern w:val="0"/>
                <w:sz w:val="20"/>
              </w:rPr>
              <w:t>34</w:t>
            </w:r>
          </w:p>
        </w:tc>
        <w:tc>
          <w:tcPr>
            <w:tcW w:w="815" w:type="dxa"/>
            <w:vAlign w:val="center"/>
          </w:tcPr>
          <w:p>
            <w:pPr>
              <w:widowControl/>
              <w:spacing w:line="400" w:lineRule="exact"/>
              <w:jc w:val="center"/>
              <w:rPr>
                <w:color w:val="000000"/>
                <w:kern w:val="0"/>
                <w:sz w:val="20"/>
              </w:rPr>
            </w:pPr>
            <w:r>
              <w:rPr>
                <w:color w:val="000000"/>
                <w:kern w:val="0"/>
                <w:sz w:val="20"/>
              </w:rPr>
              <w:t>-0.414</w:t>
            </w:r>
          </w:p>
        </w:tc>
        <w:tc>
          <w:tcPr>
            <w:tcW w:w="1217" w:type="dxa"/>
            <w:vAlign w:val="center"/>
          </w:tcPr>
          <w:p>
            <w:pPr>
              <w:widowControl/>
              <w:spacing w:line="400" w:lineRule="exact"/>
              <w:jc w:val="center"/>
              <w:rPr>
                <w:color w:val="000000"/>
                <w:kern w:val="0"/>
                <w:sz w:val="20"/>
              </w:rPr>
            </w:pPr>
            <w:r>
              <w:rPr>
                <w:color w:val="000000"/>
                <w:kern w:val="0"/>
                <w:sz w:val="20"/>
              </w:rPr>
              <w:t>正态分布</w:t>
            </w:r>
          </w:p>
        </w:tc>
        <w:tc>
          <w:tcPr>
            <w:tcW w:w="826" w:type="dxa"/>
            <w:vAlign w:val="center"/>
          </w:tcPr>
          <w:p>
            <w:pPr>
              <w:widowControl/>
              <w:spacing w:line="400" w:lineRule="exact"/>
              <w:jc w:val="center"/>
              <w:textAlignment w:val="center"/>
              <w:rPr>
                <w:color w:val="000000"/>
                <w:kern w:val="0"/>
                <w:sz w:val="22"/>
                <w:szCs w:val="22"/>
              </w:rPr>
            </w:pPr>
            <w:r>
              <w:rPr>
                <w:color w:val="000000"/>
                <w:kern w:val="0"/>
                <w:sz w:val="22"/>
                <w:szCs w:val="22"/>
                <w:lang/>
              </w:rPr>
              <w:t>J009</w:t>
            </w:r>
          </w:p>
        </w:tc>
        <w:tc>
          <w:tcPr>
            <w:tcW w:w="741" w:type="dxa"/>
            <w:vAlign w:val="center"/>
          </w:tcPr>
          <w:p>
            <w:pPr>
              <w:widowControl/>
              <w:spacing w:line="400" w:lineRule="exact"/>
              <w:jc w:val="center"/>
              <w:rPr>
                <w:color w:val="000000"/>
                <w:kern w:val="0"/>
                <w:sz w:val="20"/>
              </w:rPr>
            </w:pPr>
            <w:r>
              <w:rPr>
                <w:color w:val="000000"/>
                <w:kern w:val="0"/>
                <w:sz w:val="20"/>
              </w:rPr>
              <w:t>二级</w:t>
            </w:r>
          </w:p>
        </w:tc>
        <w:tc>
          <w:tcPr>
            <w:tcW w:w="975" w:type="dxa"/>
            <w:vAlign w:val="center"/>
          </w:tcPr>
          <w:p>
            <w:pPr>
              <w:widowControl/>
              <w:spacing w:line="400" w:lineRule="exact"/>
              <w:jc w:val="center"/>
              <w:rPr>
                <w:color w:val="000000"/>
                <w:kern w:val="0"/>
                <w:sz w:val="20"/>
              </w:rPr>
            </w:pPr>
            <w:r>
              <w:rPr>
                <w:color w:val="000000"/>
                <w:kern w:val="0"/>
                <w:sz w:val="20"/>
              </w:rPr>
              <w:t>21</w:t>
            </w:r>
          </w:p>
        </w:tc>
        <w:tc>
          <w:tcPr>
            <w:tcW w:w="850" w:type="dxa"/>
            <w:vAlign w:val="center"/>
          </w:tcPr>
          <w:p>
            <w:pPr>
              <w:widowControl/>
              <w:spacing w:line="400" w:lineRule="exact"/>
              <w:jc w:val="center"/>
              <w:rPr>
                <w:color w:val="000000"/>
                <w:kern w:val="0"/>
                <w:sz w:val="20"/>
              </w:rPr>
            </w:pPr>
            <w:r>
              <w:rPr>
                <w:color w:val="000000"/>
                <w:kern w:val="0"/>
                <w:sz w:val="20"/>
              </w:rPr>
              <w:t>0.509</w:t>
            </w:r>
          </w:p>
        </w:tc>
        <w:tc>
          <w:tcPr>
            <w:tcW w:w="1472" w:type="dxa"/>
            <w:vAlign w:val="center"/>
          </w:tcPr>
          <w:p>
            <w:pPr>
              <w:widowControl/>
              <w:spacing w:line="400" w:lineRule="exact"/>
              <w:jc w:val="center"/>
              <w:rPr>
                <w:color w:val="000000"/>
                <w:kern w:val="0"/>
                <w:sz w:val="20"/>
              </w:rPr>
            </w:pPr>
            <w:r>
              <w:rPr>
                <w:color w:val="000000"/>
                <w:kern w:val="0"/>
                <w:sz w:val="20"/>
              </w:rPr>
              <w:t>非正态分布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5" w:type="dxa"/>
            <w:vAlign w:val="center"/>
          </w:tcPr>
          <w:p>
            <w:pPr>
              <w:widowControl/>
              <w:spacing w:line="400" w:lineRule="exact"/>
              <w:jc w:val="center"/>
              <w:textAlignment w:val="center"/>
              <w:rPr>
                <w:color w:val="000000"/>
                <w:kern w:val="0"/>
                <w:sz w:val="22"/>
                <w:szCs w:val="22"/>
              </w:rPr>
            </w:pPr>
            <w:r>
              <w:rPr>
                <w:color w:val="000000"/>
                <w:kern w:val="0"/>
                <w:sz w:val="22"/>
                <w:szCs w:val="22"/>
                <w:lang/>
              </w:rPr>
              <w:t>J014</w:t>
            </w:r>
          </w:p>
        </w:tc>
        <w:tc>
          <w:tcPr>
            <w:tcW w:w="750" w:type="dxa"/>
            <w:vAlign w:val="center"/>
          </w:tcPr>
          <w:p>
            <w:pPr>
              <w:widowControl/>
              <w:spacing w:line="400" w:lineRule="exact"/>
              <w:jc w:val="center"/>
              <w:rPr>
                <w:color w:val="000000"/>
                <w:kern w:val="0"/>
                <w:sz w:val="20"/>
              </w:rPr>
            </w:pPr>
            <w:r>
              <w:rPr>
                <w:color w:val="000000"/>
                <w:kern w:val="0"/>
                <w:sz w:val="20"/>
              </w:rPr>
              <w:t>一级</w:t>
            </w:r>
          </w:p>
        </w:tc>
        <w:tc>
          <w:tcPr>
            <w:tcW w:w="871" w:type="dxa"/>
            <w:vAlign w:val="center"/>
          </w:tcPr>
          <w:p>
            <w:pPr>
              <w:widowControl/>
              <w:spacing w:line="400" w:lineRule="exact"/>
              <w:jc w:val="center"/>
              <w:rPr>
                <w:color w:val="000000"/>
                <w:kern w:val="0"/>
                <w:sz w:val="20"/>
              </w:rPr>
            </w:pPr>
            <w:r>
              <w:rPr>
                <w:color w:val="000000"/>
                <w:kern w:val="0"/>
                <w:sz w:val="20"/>
              </w:rPr>
              <w:t>32</w:t>
            </w:r>
          </w:p>
        </w:tc>
        <w:tc>
          <w:tcPr>
            <w:tcW w:w="815" w:type="dxa"/>
            <w:vAlign w:val="center"/>
          </w:tcPr>
          <w:p>
            <w:pPr>
              <w:widowControl/>
              <w:spacing w:line="400" w:lineRule="exact"/>
              <w:jc w:val="center"/>
              <w:rPr>
                <w:color w:val="000000"/>
                <w:kern w:val="0"/>
                <w:sz w:val="20"/>
              </w:rPr>
            </w:pPr>
            <w:r>
              <w:rPr>
                <w:color w:val="000000"/>
                <w:kern w:val="0"/>
                <w:sz w:val="20"/>
              </w:rPr>
              <w:t>1.526</w:t>
            </w:r>
          </w:p>
        </w:tc>
        <w:tc>
          <w:tcPr>
            <w:tcW w:w="1217" w:type="dxa"/>
            <w:vAlign w:val="center"/>
          </w:tcPr>
          <w:p>
            <w:pPr>
              <w:widowControl/>
              <w:spacing w:line="400" w:lineRule="exact"/>
              <w:jc w:val="center"/>
              <w:rPr>
                <w:color w:val="000000"/>
                <w:kern w:val="0"/>
                <w:sz w:val="20"/>
              </w:rPr>
            </w:pPr>
            <w:r>
              <w:rPr>
                <w:color w:val="000000"/>
                <w:kern w:val="0"/>
                <w:sz w:val="20"/>
              </w:rPr>
              <w:t>正态分布</w:t>
            </w:r>
          </w:p>
        </w:tc>
        <w:tc>
          <w:tcPr>
            <w:tcW w:w="826" w:type="dxa"/>
            <w:vAlign w:val="center"/>
          </w:tcPr>
          <w:p>
            <w:pPr>
              <w:widowControl/>
              <w:spacing w:line="400" w:lineRule="exact"/>
              <w:jc w:val="center"/>
              <w:textAlignment w:val="center"/>
              <w:rPr>
                <w:color w:val="000000"/>
                <w:kern w:val="0"/>
                <w:sz w:val="22"/>
                <w:szCs w:val="22"/>
              </w:rPr>
            </w:pPr>
            <w:r>
              <w:rPr>
                <w:color w:val="000000"/>
                <w:kern w:val="0"/>
                <w:sz w:val="22"/>
                <w:szCs w:val="22"/>
                <w:lang/>
              </w:rPr>
              <w:t>J004</w:t>
            </w:r>
          </w:p>
        </w:tc>
        <w:tc>
          <w:tcPr>
            <w:tcW w:w="741" w:type="dxa"/>
            <w:vAlign w:val="center"/>
          </w:tcPr>
          <w:p>
            <w:pPr>
              <w:widowControl/>
              <w:spacing w:line="400" w:lineRule="exact"/>
              <w:jc w:val="center"/>
              <w:rPr>
                <w:color w:val="000000"/>
                <w:kern w:val="0"/>
                <w:sz w:val="20"/>
              </w:rPr>
            </w:pPr>
            <w:r>
              <w:rPr>
                <w:color w:val="000000"/>
                <w:kern w:val="0"/>
                <w:sz w:val="20"/>
              </w:rPr>
              <w:t>二级</w:t>
            </w:r>
          </w:p>
        </w:tc>
        <w:tc>
          <w:tcPr>
            <w:tcW w:w="975" w:type="dxa"/>
            <w:vAlign w:val="center"/>
          </w:tcPr>
          <w:p>
            <w:pPr>
              <w:widowControl/>
              <w:spacing w:line="400" w:lineRule="exact"/>
              <w:jc w:val="center"/>
              <w:rPr>
                <w:color w:val="000000"/>
                <w:kern w:val="0"/>
                <w:sz w:val="20"/>
              </w:rPr>
            </w:pPr>
            <w:r>
              <w:rPr>
                <w:color w:val="000000"/>
                <w:kern w:val="0"/>
                <w:sz w:val="20"/>
              </w:rPr>
              <w:t>33</w:t>
            </w:r>
          </w:p>
        </w:tc>
        <w:tc>
          <w:tcPr>
            <w:tcW w:w="850" w:type="dxa"/>
            <w:vAlign w:val="center"/>
          </w:tcPr>
          <w:p>
            <w:pPr>
              <w:widowControl/>
              <w:spacing w:line="400" w:lineRule="exact"/>
              <w:jc w:val="center"/>
              <w:rPr>
                <w:color w:val="000000"/>
                <w:kern w:val="0"/>
                <w:sz w:val="20"/>
              </w:rPr>
            </w:pPr>
            <w:r>
              <w:rPr>
                <w:color w:val="000000"/>
                <w:kern w:val="0"/>
                <w:sz w:val="20"/>
              </w:rPr>
              <w:t>0.785</w:t>
            </w:r>
          </w:p>
        </w:tc>
        <w:tc>
          <w:tcPr>
            <w:tcW w:w="1472" w:type="dxa"/>
            <w:vAlign w:val="center"/>
          </w:tcPr>
          <w:p>
            <w:pPr>
              <w:widowControl/>
              <w:spacing w:line="400" w:lineRule="exact"/>
              <w:jc w:val="center"/>
              <w:rPr>
                <w:color w:val="000000"/>
                <w:kern w:val="0"/>
                <w:sz w:val="20"/>
              </w:rPr>
            </w:pPr>
            <w:r>
              <w:rPr>
                <w:color w:val="000000"/>
                <w:kern w:val="0"/>
                <w:sz w:val="20"/>
              </w:rPr>
              <w:t>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5" w:type="dxa"/>
            <w:vAlign w:val="center"/>
          </w:tcPr>
          <w:p>
            <w:pPr>
              <w:widowControl/>
              <w:spacing w:line="400" w:lineRule="exact"/>
              <w:jc w:val="center"/>
              <w:textAlignment w:val="center"/>
              <w:rPr>
                <w:color w:val="000000"/>
                <w:kern w:val="0"/>
                <w:sz w:val="22"/>
                <w:szCs w:val="22"/>
              </w:rPr>
            </w:pPr>
            <w:r>
              <w:rPr>
                <w:color w:val="000000"/>
                <w:kern w:val="0"/>
                <w:sz w:val="22"/>
                <w:szCs w:val="22"/>
                <w:lang/>
              </w:rPr>
              <w:t>J019</w:t>
            </w:r>
          </w:p>
        </w:tc>
        <w:tc>
          <w:tcPr>
            <w:tcW w:w="750" w:type="dxa"/>
            <w:vAlign w:val="center"/>
          </w:tcPr>
          <w:p>
            <w:pPr>
              <w:widowControl/>
              <w:spacing w:line="400" w:lineRule="exact"/>
              <w:jc w:val="center"/>
              <w:rPr>
                <w:color w:val="000000"/>
                <w:kern w:val="0"/>
                <w:sz w:val="20"/>
              </w:rPr>
            </w:pPr>
            <w:r>
              <w:rPr>
                <w:color w:val="000000"/>
                <w:kern w:val="0"/>
                <w:sz w:val="20"/>
              </w:rPr>
              <w:t>一级</w:t>
            </w:r>
          </w:p>
        </w:tc>
        <w:tc>
          <w:tcPr>
            <w:tcW w:w="871" w:type="dxa"/>
            <w:vAlign w:val="center"/>
          </w:tcPr>
          <w:p>
            <w:pPr>
              <w:widowControl/>
              <w:spacing w:line="400" w:lineRule="exact"/>
              <w:jc w:val="center"/>
              <w:rPr>
                <w:color w:val="000000"/>
                <w:kern w:val="0"/>
                <w:sz w:val="20"/>
              </w:rPr>
            </w:pPr>
            <w:r>
              <w:rPr>
                <w:color w:val="000000"/>
                <w:kern w:val="0"/>
                <w:sz w:val="20"/>
              </w:rPr>
              <w:t>21</w:t>
            </w:r>
          </w:p>
        </w:tc>
        <w:tc>
          <w:tcPr>
            <w:tcW w:w="815" w:type="dxa"/>
            <w:vAlign w:val="center"/>
          </w:tcPr>
          <w:p>
            <w:pPr>
              <w:widowControl/>
              <w:spacing w:line="400" w:lineRule="exact"/>
              <w:jc w:val="center"/>
              <w:rPr>
                <w:color w:val="000000"/>
                <w:kern w:val="0"/>
                <w:sz w:val="20"/>
              </w:rPr>
            </w:pPr>
            <w:r>
              <w:rPr>
                <w:color w:val="000000"/>
                <w:kern w:val="0"/>
                <w:sz w:val="20"/>
              </w:rPr>
              <w:t>-2.025</w:t>
            </w:r>
          </w:p>
        </w:tc>
        <w:tc>
          <w:tcPr>
            <w:tcW w:w="1217" w:type="dxa"/>
            <w:vAlign w:val="center"/>
          </w:tcPr>
          <w:p>
            <w:pPr>
              <w:widowControl/>
              <w:spacing w:line="400" w:lineRule="exact"/>
              <w:jc w:val="center"/>
              <w:rPr>
                <w:color w:val="000000"/>
                <w:kern w:val="0"/>
                <w:sz w:val="20"/>
              </w:rPr>
            </w:pPr>
            <w:r>
              <w:rPr>
                <w:color w:val="000000"/>
                <w:kern w:val="0"/>
                <w:sz w:val="20"/>
              </w:rPr>
              <w:t>非正态分布</w:t>
            </w:r>
          </w:p>
        </w:tc>
        <w:tc>
          <w:tcPr>
            <w:tcW w:w="826" w:type="dxa"/>
            <w:vAlign w:val="center"/>
          </w:tcPr>
          <w:p>
            <w:pPr>
              <w:widowControl/>
              <w:spacing w:line="400" w:lineRule="exact"/>
              <w:jc w:val="center"/>
              <w:textAlignment w:val="center"/>
              <w:rPr>
                <w:color w:val="000000"/>
                <w:kern w:val="0"/>
                <w:sz w:val="22"/>
                <w:szCs w:val="22"/>
              </w:rPr>
            </w:pPr>
            <w:r>
              <w:rPr>
                <w:color w:val="000000"/>
                <w:kern w:val="0"/>
                <w:sz w:val="22"/>
                <w:szCs w:val="22"/>
                <w:lang/>
              </w:rPr>
              <w:t>J005</w:t>
            </w:r>
          </w:p>
        </w:tc>
        <w:tc>
          <w:tcPr>
            <w:tcW w:w="741" w:type="dxa"/>
            <w:vAlign w:val="center"/>
          </w:tcPr>
          <w:p>
            <w:pPr>
              <w:widowControl/>
              <w:spacing w:line="400" w:lineRule="exact"/>
              <w:jc w:val="center"/>
              <w:rPr>
                <w:color w:val="000000"/>
                <w:kern w:val="0"/>
                <w:sz w:val="20"/>
              </w:rPr>
            </w:pPr>
            <w:r>
              <w:rPr>
                <w:color w:val="000000"/>
                <w:kern w:val="0"/>
                <w:sz w:val="20"/>
              </w:rPr>
              <w:t>二级</w:t>
            </w:r>
          </w:p>
        </w:tc>
        <w:tc>
          <w:tcPr>
            <w:tcW w:w="975" w:type="dxa"/>
            <w:vAlign w:val="center"/>
          </w:tcPr>
          <w:p>
            <w:pPr>
              <w:widowControl/>
              <w:spacing w:line="400" w:lineRule="exact"/>
              <w:jc w:val="center"/>
              <w:rPr>
                <w:color w:val="000000"/>
                <w:kern w:val="0"/>
                <w:sz w:val="20"/>
              </w:rPr>
            </w:pPr>
            <w:r>
              <w:rPr>
                <w:color w:val="000000"/>
                <w:kern w:val="0"/>
                <w:sz w:val="20"/>
              </w:rPr>
              <w:t>27</w:t>
            </w:r>
          </w:p>
        </w:tc>
        <w:tc>
          <w:tcPr>
            <w:tcW w:w="850" w:type="dxa"/>
            <w:vAlign w:val="center"/>
          </w:tcPr>
          <w:p>
            <w:pPr>
              <w:widowControl/>
              <w:spacing w:line="400" w:lineRule="exact"/>
              <w:jc w:val="center"/>
              <w:rPr>
                <w:color w:val="000000"/>
                <w:kern w:val="0"/>
                <w:sz w:val="20"/>
              </w:rPr>
            </w:pPr>
            <w:r>
              <w:rPr>
                <w:color w:val="000000"/>
                <w:kern w:val="0"/>
                <w:sz w:val="20"/>
              </w:rPr>
              <w:t>0.546</w:t>
            </w:r>
          </w:p>
        </w:tc>
        <w:tc>
          <w:tcPr>
            <w:tcW w:w="1472" w:type="dxa"/>
            <w:vAlign w:val="center"/>
          </w:tcPr>
          <w:p>
            <w:pPr>
              <w:widowControl/>
              <w:spacing w:line="400" w:lineRule="exact"/>
              <w:jc w:val="center"/>
              <w:rPr>
                <w:color w:val="000000"/>
                <w:kern w:val="0"/>
                <w:sz w:val="20"/>
              </w:rPr>
            </w:pPr>
            <w:r>
              <w:rPr>
                <w:color w:val="000000"/>
                <w:kern w:val="0"/>
                <w:sz w:val="20"/>
              </w:rPr>
              <w:t>非正态分布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5" w:type="dxa"/>
            <w:vAlign w:val="center"/>
          </w:tcPr>
          <w:p>
            <w:pPr>
              <w:widowControl/>
              <w:spacing w:line="400" w:lineRule="exact"/>
              <w:jc w:val="center"/>
              <w:textAlignment w:val="center"/>
              <w:rPr>
                <w:color w:val="000000"/>
                <w:kern w:val="0"/>
                <w:sz w:val="22"/>
                <w:szCs w:val="22"/>
              </w:rPr>
            </w:pPr>
            <w:r>
              <w:rPr>
                <w:color w:val="000000"/>
                <w:kern w:val="0"/>
                <w:sz w:val="22"/>
                <w:szCs w:val="22"/>
                <w:lang/>
              </w:rPr>
              <w:t>J011</w:t>
            </w:r>
          </w:p>
        </w:tc>
        <w:tc>
          <w:tcPr>
            <w:tcW w:w="750" w:type="dxa"/>
            <w:vAlign w:val="center"/>
          </w:tcPr>
          <w:p>
            <w:pPr>
              <w:widowControl/>
              <w:spacing w:line="400" w:lineRule="exact"/>
              <w:jc w:val="center"/>
              <w:rPr>
                <w:color w:val="000000"/>
                <w:kern w:val="0"/>
                <w:sz w:val="20"/>
              </w:rPr>
            </w:pPr>
            <w:r>
              <w:rPr>
                <w:color w:val="000000"/>
                <w:kern w:val="0"/>
                <w:sz w:val="20"/>
              </w:rPr>
              <w:t>二级</w:t>
            </w:r>
          </w:p>
        </w:tc>
        <w:tc>
          <w:tcPr>
            <w:tcW w:w="871" w:type="dxa"/>
            <w:vAlign w:val="center"/>
          </w:tcPr>
          <w:p>
            <w:pPr>
              <w:widowControl/>
              <w:spacing w:line="400" w:lineRule="exact"/>
              <w:jc w:val="center"/>
              <w:rPr>
                <w:color w:val="000000"/>
                <w:kern w:val="0"/>
                <w:sz w:val="20"/>
              </w:rPr>
            </w:pPr>
            <w:r>
              <w:rPr>
                <w:color w:val="000000"/>
                <w:kern w:val="0"/>
                <w:sz w:val="20"/>
              </w:rPr>
              <w:t>28</w:t>
            </w:r>
          </w:p>
        </w:tc>
        <w:tc>
          <w:tcPr>
            <w:tcW w:w="815" w:type="dxa"/>
            <w:vAlign w:val="center"/>
          </w:tcPr>
          <w:p>
            <w:pPr>
              <w:widowControl/>
              <w:spacing w:line="400" w:lineRule="exact"/>
              <w:jc w:val="center"/>
              <w:rPr>
                <w:color w:val="000000"/>
                <w:kern w:val="0"/>
                <w:sz w:val="20"/>
              </w:rPr>
            </w:pPr>
            <w:r>
              <w:rPr>
                <w:color w:val="000000"/>
                <w:kern w:val="0"/>
                <w:sz w:val="20"/>
              </w:rPr>
              <w:t>1.035</w:t>
            </w:r>
          </w:p>
        </w:tc>
        <w:tc>
          <w:tcPr>
            <w:tcW w:w="1217" w:type="dxa"/>
            <w:vAlign w:val="center"/>
          </w:tcPr>
          <w:p>
            <w:pPr>
              <w:widowControl/>
              <w:spacing w:line="400" w:lineRule="exact"/>
              <w:jc w:val="center"/>
              <w:rPr>
                <w:color w:val="000000"/>
                <w:kern w:val="0"/>
                <w:sz w:val="20"/>
              </w:rPr>
            </w:pPr>
            <w:r>
              <w:rPr>
                <w:color w:val="000000"/>
                <w:kern w:val="0"/>
                <w:sz w:val="20"/>
              </w:rPr>
              <w:t>正态分布</w:t>
            </w:r>
          </w:p>
        </w:tc>
        <w:tc>
          <w:tcPr>
            <w:tcW w:w="826" w:type="dxa"/>
            <w:vAlign w:val="center"/>
          </w:tcPr>
          <w:p>
            <w:pPr>
              <w:widowControl/>
              <w:spacing w:line="400" w:lineRule="exact"/>
              <w:jc w:val="center"/>
              <w:textAlignment w:val="center"/>
              <w:rPr>
                <w:color w:val="000000"/>
                <w:kern w:val="0"/>
                <w:sz w:val="22"/>
                <w:szCs w:val="22"/>
              </w:rPr>
            </w:pPr>
            <w:r>
              <w:rPr>
                <w:color w:val="000000"/>
                <w:kern w:val="0"/>
                <w:sz w:val="22"/>
                <w:szCs w:val="22"/>
                <w:lang/>
              </w:rPr>
              <w:t>J003</w:t>
            </w:r>
          </w:p>
        </w:tc>
        <w:tc>
          <w:tcPr>
            <w:tcW w:w="741" w:type="dxa"/>
            <w:vAlign w:val="center"/>
          </w:tcPr>
          <w:p>
            <w:pPr>
              <w:widowControl/>
              <w:spacing w:line="400" w:lineRule="exact"/>
              <w:jc w:val="center"/>
              <w:rPr>
                <w:color w:val="000000"/>
                <w:kern w:val="0"/>
                <w:sz w:val="20"/>
              </w:rPr>
            </w:pPr>
            <w:r>
              <w:rPr>
                <w:color w:val="000000"/>
                <w:kern w:val="0"/>
                <w:sz w:val="20"/>
              </w:rPr>
              <w:t>二级</w:t>
            </w:r>
          </w:p>
        </w:tc>
        <w:tc>
          <w:tcPr>
            <w:tcW w:w="975" w:type="dxa"/>
            <w:vAlign w:val="center"/>
          </w:tcPr>
          <w:p>
            <w:pPr>
              <w:widowControl/>
              <w:spacing w:line="400" w:lineRule="exact"/>
              <w:jc w:val="center"/>
              <w:rPr>
                <w:color w:val="000000"/>
                <w:kern w:val="0"/>
                <w:sz w:val="20"/>
              </w:rPr>
            </w:pPr>
            <w:r>
              <w:rPr>
                <w:color w:val="000000"/>
                <w:kern w:val="0"/>
                <w:sz w:val="20"/>
              </w:rPr>
              <w:t>24</w:t>
            </w:r>
          </w:p>
        </w:tc>
        <w:tc>
          <w:tcPr>
            <w:tcW w:w="850" w:type="dxa"/>
            <w:vAlign w:val="center"/>
          </w:tcPr>
          <w:p>
            <w:pPr>
              <w:widowControl/>
              <w:spacing w:line="400" w:lineRule="exact"/>
              <w:jc w:val="center"/>
              <w:rPr>
                <w:color w:val="000000"/>
                <w:kern w:val="0"/>
                <w:sz w:val="20"/>
              </w:rPr>
            </w:pPr>
            <w:r>
              <w:rPr>
                <w:color w:val="000000"/>
                <w:kern w:val="0"/>
                <w:sz w:val="20"/>
              </w:rPr>
              <w:t>0.583</w:t>
            </w:r>
          </w:p>
        </w:tc>
        <w:tc>
          <w:tcPr>
            <w:tcW w:w="1472" w:type="dxa"/>
            <w:vAlign w:val="center"/>
          </w:tcPr>
          <w:p>
            <w:pPr>
              <w:widowControl/>
              <w:spacing w:line="400" w:lineRule="exact"/>
              <w:jc w:val="center"/>
              <w:rPr>
                <w:color w:val="000000"/>
                <w:kern w:val="0"/>
                <w:sz w:val="20"/>
              </w:rPr>
            </w:pPr>
            <w:r>
              <w:rPr>
                <w:color w:val="000000"/>
                <w:kern w:val="0"/>
                <w:sz w:val="20"/>
              </w:rPr>
              <w:t>非正态分布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5" w:type="dxa"/>
            <w:vAlign w:val="center"/>
          </w:tcPr>
          <w:p>
            <w:pPr>
              <w:widowControl/>
              <w:spacing w:line="400" w:lineRule="exact"/>
              <w:jc w:val="center"/>
              <w:textAlignment w:val="center"/>
              <w:rPr>
                <w:color w:val="000000"/>
                <w:kern w:val="0"/>
                <w:sz w:val="22"/>
                <w:szCs w:val="22"/>
              </w:rPr>
            </w:pPr>
            <w:r>
              <w:rPr>
                <w:color w:val="000000"/>
                <w:kern w:val="0"/>
                <w:sz w:val="22"/>
                <w:szCs w:val="22"/>
                <w:lang/>
              </w:rPr>
              <w:t>J020</w:t>
            </w:r>
          </w:p>
        </w:tc>
        <w:tc>
          <w:tcPr>
            <w:tcW w:w="750" w:type="dxa"/>
            <w:vAlign w:val="center"/>
          </w:tcPr>
          <w:p>
            <w:pPr>
              <w:widowControl/>
              <w:spacing w:line="400" w:lineRule="exact"/>
              <w:jc w:val="center"/>
              <w:rPr>
                <w:color w:val="000000"/>
                <w:kern w:val="0"/>
                <w:sz w:val="20"/>
              </w:rPr>
            </w:pPr>
            <w:r>
              <w:rPr>
                <w:color w:val="000000"/>
                <w:kern w:val="0"/>
                <w:sz w:val="20"/>
              </w:rPr>
              <w:t>二级</w:t>
            </w:r>
          </w:p>
        </w:tc>
        <w:tc>
          <w:tcPr>
            <w:tcW w:w="871" w:type="dxa"/>
            <w:vAlign w:val="center"/>
          </w:tcPr>
          <w:p>
            <w:pPr>
              <w:widowControl/>
              <w:spacing w:line="400" w:lineRule="exact"/>
              <w:jc w:val="center"/>
              <w:rPr>
                <w:color w:val="000000"/>
                <w:kern w:val="0"/>
                <w:sz w:val="20"/>
              </w:rPr>
            </w:pPr>
            <w:r>
              <w:rPr>
                <w:color w:val="000000"/>
                <w:kern w:val="0"/>
                <w:sz w:val="20"/>
              </w:rPr>
              <w:t>22</w:t>
            </w:r>
          </w:p>
        </w:tc>
        <w:tc>
          <w:tcPr>
            <w:tcW w:w="815" w:type="dxa"/>
            <w:vAlign w:val="center"/>
          </w:tcPr>
          <w:p>
            <w:pPr>
              <w:widowControl/>
              <w:spacing w:line="400" w:lineRule="exact"/>
              <w:jc w:val="center"/>
              <w:rPr>
                <w:color w:val="000000"/>
                <w:kern w:val="0"/>
                <w:sz w:val="20"/>
              </w:rPr>
            </w:pPr>
            <w:r>
              <w:rPr>
                <w:color w:val="000000"/>
                <w:kern w:val="0"/>
                <w:sz w:val="20"/>
              </w:rPr>
              <w:t>4.24</w:t>
            </w:r>
          </w:p>
        </w:tc>
        <w:tc>
          <w:tcPr>
            <w:tcW w:w="1217" w:type="dxa"/>
            <w:vAlign w:val="center"/>
          </w:tcPr>
          <w:p>
            <w:pPr>
              <w:widowControl/>
              <w:spacing w:line="400" w:lineRule="exact"/>
              <w:jc w:val="center"/>
              <w:rPr>
                <w:color w:val="000000"/>
                <w:kern w:val="0"/>
                <w:sz w:val="20"/>
              </w:rPr>
            </w:pPr>
            <w:r>
              <w:rPr>
                <w:color w:val="000000"/>
                <w:kern w:val="0"/>
                <w:sz w:val="20"/>
              </w:rPr>
              <w:t>非正态分布</w:t>
            </w:r>
          </w:p>
        </w:tc>
        <w:tc>
          <w:tcPr>
            <w:tcW w:w="826" w:type="dxa"/>
            <w:vAlign w:val="center"/>
          </w:tcPr>
          <w:p>
            <w:pPr>
              <w:widowControl/>
              <w:spacing w:line="400" w:lineRule="exact"/>
              <w:jc w:val="center"/>
              <w:textAlignment w:val="center"/>
              <w:rPr>
                <w:color w:val="000000"/>
                <w:kern w:val="0"/>
                <w:sz w:val="22"/>
                <w:szCs w:val="22"/>
              </w:rPr>
            </w:pPr>
            <w:r>
              <w:rPr>
                <w:color w:val="000000"/>
                <w:kern w:val="0"/>
                <w:sz w:val="22"/>
                <w:szCs w:val="22"/>
                <w:lang/>
              </w:rPr>
              <w:t>J027</w:t>
            </w:r>
          </w:p>
        </w:tc>
        <w:tc>
          <w:tcPr>
            <w:tcW w:w="741" w:type="dxa"/>
            <w:vAlign w:val="center"/>
          </w:tcPr>
          <w:p>
            <w:pPr>
              <w:widowControl/>
              <w:spacing w:line="400" w:lineRule="exact"/>
              <w:jc w:val="center"/>
              <w:rPr>
                <w:color w:val="000000"/>
                <w:kern w:val="0"/>
                <w:sz w:val="20"/>
              </w:rPr>
            </w:pPr>
            <w:r>
              <w:rPr>
                <w:color w:val="000000"/>
                <w:kern w:val="0"/>
                <w:sz w:val="20"/>
              </w:rPr>
              <w:t>三级</w:t>
            </w:r>
          </w:p>
        </w:tc>
        <w:tc>
          <w:tcPr>
            <w:tcW w:w="975" w:type="dxa"/>
            <w:vAlign w:val="center"/>
          </w:tcPr>
          <w:p>
            <w:pPr>
              <w:widowControl/>
              <w:spacing w:line="400" w:lineRule="exact"/>
              <w:jc w:val="center"/>
              <w:rPr>
                <w:color w:val="000000"/>
                <w:kern w:val="0"/>
                <w:sz w:val="20"/>
              </w:rPr>
            </w:pPr>
            <w:r>
              <w:rPr>
                <w:color w:val="000000"/>
                <w:kern w:val="0"/>
                <w:sz w:val="20"/>
              </w:rPr>
              <w:t>27</w:t>
            </w:r>
          </w:p>
        </w:tc>
        <w:tc>
          <w:tcPr>
            <w:tcW w:w="850" w:type="dxa"/>
            <w:vAlign w:val="center"/>
          </w:tcPr>
          <w:p>
            <w:pPr>
              <w:widowControl/>
              <w:spacing w:line="400" w:lineRule="exact"/>
              <w:jc w:val="center"/>
              <w:rPr>
                <w:color w:val="000000"/>
                <w:kern w:val="0"/>
                <w:sz w:val="20"/>
              </w:rPr>
            </w:pPr>
            <w:r>
              <w:rPr>
                <w:color w:val="000000"/>
                <w:kern w:val="0"/>
                <w:sz w:val="20"/>
              </w:rPr>
              <w:t>-0.651</w:t>
            </w:r>
          </w:p>
        </w:tc>
        <w:tc>
          <w:tcPr>
            <w:tcW w:w="1472" w:type="dxa"/>
            <w:vAlign w:val="center"/>
          </w:tcPr>
          <w:p>
            <w:pPr>
              <w:widowControl/>
              <w:spacing w:line="400" w:lineRule="exact"/>
              <w:jc w:val="center"/>
              <w:rPr>
                <w:color w:val="000000"/>
                <w:kern w:val="0"/>
                <w:sz w:val="20"/>
              </w:rPr>
            </w:pPr>
            <w:r>
              <w:rPr>
                <w:color w:val="000000"/>
                <w:kern w:val="0"/>
                <w:sz w:val="20"/>
              </w:rPr>
              <w:t>非正态分布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5" w:type="dxa"/>
            <w:vAlign w:val="center"/>
          </w:tcPr>
          <w:p>
            <w:pPr>
              <w:widowControl/>
              <w:spacing w:line="400" w:lineRule="exact"/>
              <w:jc w:val="center"/>
              <w:textAlignment w:val="center"/>
              <w:rPr>
                <w:color w:val="000000"/>
                <w:kern w:val="0"/>
                <w:sz w:val="22"/>
                <w:szCs w:val="22"/>
              </w:rPr>
            </w:pPr>
            <w:r>
              <w:rPr>
                <w:color w:val="000000"/>
                <w:kern w:val="0"/>
                <w:sz w:val="22"/>
                <w:szCs w:val="22"/>
                <w:lang/>
              </w:rPr>
              <w:t>J015</w:t>
            </w:r>
          </w:p>
        </w:tc>
        <w:tc>
          <w:tcPr>
            <w:tcW w:w="750" w:type="dxa"/>
            <w:vAlign w:val="center"/>
          </w:tcPr>
          <w:p>
            <w:pPr>
              <w:widowControl/>
              <w:spacing w:line="400" w:lineRule="exact"/>
              <w:jc w:val="center"/>
              <w:rPr>
                <w:color w:val="000000"/>
                <w:kern w:val="0"/>
                <w:sz w:val="20"/>
              </w:rPr>
            </w:pPr>
            <w:r>
              <w:rPr>
                <w:color w:val="000000"/>
                <w:kern w:val="0"/>
                <w:sz w:val="20"/>
              </w:rPr>
              <w:t>二级</w:t>
            </w:r>
          </w:p>
        </w:tc>
        <w:tc>
          <w:tcPr>
            <w:tcW w:w="871" w:type="dxa"/>
            <w:vAlign w:val="center"/>
          </w:tcPr>
          <w:p>
            <w:pPr>
              <w:widowControl/>
              <w:spacing w:line="400" w:lineRule="exact"/>
              <w:jc w:val="center"/>
              <w:rPr>
                <w:color w:val="000000"/>
                <w:kern w:val="0"/>
                <w:sz w:val="20"/>
              </w:rPr>
            </w:pPr>
            <w:r>
              <w:rPr>
                <w:color w:val="000000"/>
                <w:kern w:val="0"/>
                <w:sz w:val="20"/>
              </w:rPr>
              <w:t>25</w:t>
            </w:r>
          </w:p>
        </w:tc>
        <w:tc>
          <w:tcPr>
            <w:tcW w:w="815" w:type="dxa"/>
            <w:vAlign w:val="center"/>
          </w:tcPr>
          <w:p>
            <w:pPr>
              <w:widowControl/>
              <w:spacing w:line="400" w:lineRule="exact"/>
              <w:jc w:val="center"/>
              <w:rPr>
                <w:color w:val="000000"/>
                <w:kern w:val="0"/>
                <w:sz w:val="20"/>
              </w:rPr>
            </w:pPr>
            <w:r>
              <w:rPr>
                <w:color w:val="000000"/>
                <w:kern w:val="0"/>
                <w:sz w:val="20"/>
              </w:rPr>
              <w:t>1.013</w:t>
            </w:r>
          </w:p>
        </w:tc>
        <w:tc>
          <w:tcPr>
            <w:tcW w:w="1217" w:type="dxa"/>
            <w:vAlign w:val="center"/>
          </w:tcPr>
          <w:p>
            <w:pPr>
              <w:widowControl/>
              <w:spacing w:line="400" w:lineRule="exact"/>
              <w:jc w:val="center"/>
              <w:rPr>
                <w:color w:val="000000"/>
                <w:kern w:val="0"/>
                <w:sz w:val="20"/>
              </w:rPr>
            </w:pPr>
            <w:r>
              <w:rPr>
                <w:color w:val="000000"/>
                <w:kern w:val="0"/>
                <w:sz w:val="20"/>
              </w:rPr>
              <w:t>正态分布</w:t>
            </w:r>
          </w:p>
        </w:tc>
        <w:tc>
          <w:tcPr>
            <w:tcW w:w="826" w:type="dxa"/>
            <w:vAlign w:val="center"/>
          </w:tcPr>
          <w:p>
            <w:pPr>
              <w:widowControl/>
              <w:spacing w:line="400" w:lineRule="exact"/>
              <w:jc w:val="center"/>
              <w:textAlignment w:val="center"/>
              <w:rPr>
                <w:color w:val="000000"/>
                <w:kern w:val="0"/>
                <w:sz w:val="22"/>
                <w:szCs w:val="22"/>
              </w:rPr>
            </w:pPr>
            <w:r>
              <w:rPr>
                <w:color w:val="000000"/>
                <w:kern w:val="0"/>
                <w:sz w:val="22"/>
                <w:szCs w:val="22"/>
                <w:lang/>
              </w:rPr>
              <w:t>J028</w:t>
            </w:r>
          </w:p>
        </w:tc>
        <w:tc>
          <w:tcPr>
            <w:tcW w:w="741" w:type="dxa"/>
            <w:vAlign w:val="center"/>
          </w:tcPr>
          <w:p>
            <w:pPr>
              <w:widowControl/>
              <w:spacing w:line="400" w:lineRule="exact"/>
              <w:jc w:val="center"/>
              <w:rPr>
                <w:color w:val="000000"/>
                <w:kern w:val="0"/>
                <w:sz w:val="20"/>
              </w:rPr>
            </w:pPr>
            <w:r>
              <w:rPr>
                <w:color w:val="000000"/>
                <w:kern w:val="0"/>
                <w:sz w:val="20"/>
              </w:rPr>
              <w:t>三级</w:t>
            </w:r>
          </w:p>
        </w:tc>
        <w:tc>
          <w:tcPr>
            <w:tcW w:w="975" w:type="dxa"/>
            <w:vAlign w:val="center"/>
          </w:tcPr>
          <w:p>
            <w:pPr>
              <w:widowControl/>
              <w:spacing w:line="400" w:lineRule="exact"/>
              <w:jc w:val="center"/>
              <w:rPr>
                <w:color w:val="000000"/>
                <w:kern w:val="0"/>
                <w:sz w:val="20"/>
              </w:rPr>
            </w:pPr>
            <w:r>
              <w:rPr>
                <w:color w:val="000000"/>
                <w:kern w:val="0"/>
                <w:sz w:val="20"/>
              </w:rPr>
              <w:t>13</w:t>
            </w:r>
          </w:p>
        </w:tc>
        <w:tc>
          <w:tcPr>
            <w:tcW w:w="850" w:type="dxa"/>
            <w:vAlign w:val="center"/>
          </w:tcPr>
          <w:p>
            <w:pPr>
              <w:widowControl/>
              <w:spacing w:line="400" w:lineRule="exact"/>
              <w:jc w:val="center"/>
              <w:rPr>
                <w:color w:val="000000"/>
                <w:kern w:val="0"/>
                <w:sz w:val="20"/>
              </w:rPr>
            </w:pPr>
            <w:r>
              <w:rPr>
                <w:color w:val="000000"/>
                <w:kern w:val="0"/>
                <w:sz w:val="20"/>
              </w:rPr>
              <w:t>-0.439</w:t>
            </w:r>
          </w:p>
        </w:tc>
        <w:tc>
          <w:tcPr>
            <w:tcW w:w="1472" w:type="dxa"/>
            <w:vAlign w:val="center"/>
          </w:tcPr>
          <w:p>
            <w:pPr>
              <w:widowControl/>
              <w:spacing w:line="400" w:lineRule="exact"/>
              <w:jc w:val="center"/>
              <w:rPr>
                <w:color w:val="000000"/>
                <w:kern w:val="0"/>
                <w:sz w:val="20"/>
              </w:rPr>
            </w:pPr>
            <w:r>
              <w:rPr>
                <w:color w:val="000000"/>
                <w:kern w:val="0"/>
                <w:sz w:val="20"/>
              </w:rPr>
              <w:t>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5" w:type="dxa"/>
            <w:vAlign w:val="center"/>
          </w:tcPr>
          <w:p>
            <w:pPr>
              <w:widowControl/>
              <w:spacing w:line="400" w:lineRule="exact"/>
              <w:jc w:val="center"/>
              <w:textAlignment w:val="center"/>
              <w:rPr>
                <w:color w:val="000000"/>
                <w:kern w:val="0"/>
                <w:sz w:val="22"/>
                <w:szCs w:val="22"/>
              </w:rPr>
            </w:pPr>
            <w:r>
              <w:rPr>
                <w:color w:val="000000"/>
                <w:kern w:val="0"/>
                <w:sz w:val="22"/>
                <w:szCs w:val="22"/>
                <w:lang/>
              </w:rPr>
              <w:t>J023</w:t>
            </w:r>
          </w:p>
        </w:tc>
        <w:tc>
          <w:tcPr>
            <w:tcW w:w="750" w:type="dxa"/>
            <w:vAlign w:val="center"/>
          </w:tcPr>
          <w:p>
            <w:pPr>
              <w:widowControl/>
              <w:spacing w:line="400" w:lineRule="exact"/>
              <w:jc w:val="center"/>
              <w:rPr>
                <w:color w:val="000000"/>
                <w:kern w:val="0"/>
                <w:sz w:val="20"/>
              </w:rPr>
            </w:pPr>
            <w:r>
              <w:rPr>
                <w:color w:val="000000"/>
                <w:kern w:val="0"/>
                <w:sz w:val="20"/>
              </w:rPr>
              <w:t>二级</w:t>
            </w:r>
          </w:p>
        </w:tc>
        <w:tc>
          <w:tcPr>
            <w:tcW w:w="871" w:type="dxa"/>
            <w:vAlign w:val="center"/>
          </w:tcPr>
          <w:p>
            <w:pPr>
              <w:widowControl/>
              <w:spacing w:line="400" w:lineRule="exact"/>
              <w:jc w:val="center"/>
              <w:rPr>
                <w:color w:val="000000"/>
                <w:kern w:val="0"/>
                <w:sz w:val="20"/>
              </w:rPr>
            </w:pPr>
            <w:r>
              <w:rPr>
                <w:color w:val="000000"/>
                <w:kern w:val="0"/>
                <w:sz w:val="20"/>
              </w:rPr>
              <w:t>24</w:t>
            </w:r>
          </w:p>
        </w:tc>
        <w:tc>
          <w:tcPr>
            <w:tcW w:w="815" w:type="dxa"/>
            <w:vAlign w:val="center"/>
          </w:tcPr>
          <w:p>
            <w:pPr>
              <w:widowControl/>
              <w:spacing w:line="400" w:lineRule="exact"/>
              <w:jc w:val="center"/>
              <w:rPr>
                <w:color w:val="000000"/>
                <w:kern w:val="0"/>
                <w:sz w:val="20"/>
              </w:rPr>
            </w:pPr>
            <w:r>
              <w:rPr>
                <w:color w:val="000000"/>
                <w:kern w:val="0"/>
                <w:sz w:val="20"/>
              </w:rPr>
              <w:t>-1.458</w:t>
            </w:r>
          </w:p>
        </w:tc>
        <w:tc>
          <w:tcPr>
            <w:tcW w:w="1217" w:type="dxa"/>
            <w:vAlign w:val="center"/>
          </w:tcPr>
          <w:p>
            <w:pPr>
              <w:widowControl/>
              <w:spacing w:line="400" w:lineRule="exact"/>
              <w:jc w:val="center"/>
              <w:rPr>
                <w:color w:val="000000"/>
                <w:kern w:val="0"/>
                <w:sz w:val="20"/>
              </w:rPr>
            </w:pPr>
            <w:r>
              <w:rPr>
                <w:color w:val="000000"/>
                <w:kern w:val="0"/>
                <w:sz w:val="20"/>
              </w:rPr>
              <w:t>非正态分布</w:t>
            </w:r>
          </w:p>
        </w:tc>
        <w:tc>
          <w:tcPr>
            <w:tcW w:w="826" w:type="dxa"/>
            <w:vAlign w:val="center"/>
          </w:tcPr>
          <w:p>
            <w:pPr>
              <w:widowControl/>
              <w:spacing w:line="400" w:lineRule="exact"/>
              <w:jc w:val="center"/>
              <w:textAlignment w:val="center"/>
              <w:rPr>
                <w:color w:val="000000"/>
                <w:kern w:val="0"/>
                <w:sz w:val="22"/>
                <w:szCs w:val="22"/>
              </w:rPr>
            </w:pPr>
            <w:r>
              <w:rPr>
                <w:color w:val="000000"/>
                <w:kern w:val="0"/>
                <w:sz w:val="22"/>
                <w:szCs w:val="22"/>
                <w:lang/>
              </w:rPr>
              <w:t>J029</w:t>
            </w:r>
          </w:p>
        </w:tc>
        <w:tc>
          <w:tcPr>
            <w:tcW w:w="741" w:type="dxa"/>
            <w:vAlign w:val="center"/>
          </w:tcPr>
          <w:p>
            <w:pPr>
              <w:widowControl/>
              <w:spacing w:line="400" w:lineRule="exact"/>
              <w:jc w:val="center"/>
              <w:rPr>
                <w:color w:val="000000"/>
                <w:kern w:val="0"/>
                <w:sz w:val="20"/>
              </w:rPr>
            </w:pPr>
            <w:r>
              <w:rPr>
                <w:color w:val="000000"/>
                <w:kern w:val="0"/>
                <w:sz w:val="20"/>
              </w:rPr>
              <w:t>三级</w:t>
            </w:r>
          </w:p>
        </w:tc>
        <w:tc>
          <w:tcPr>
            <w:tcW w:w="975" w:type="dxa"/>
            <w:vAlign w:val="center"/>
          </w:tcPr>
          <w:p>
            <w:pPr>
              <w:widowControl/>
              <w:spacing w:line="400" w:lineRule="exact"/>
              <w:jc w:val="center"/>
              <w:rPr>
                <w:color w:val="000000"/>
                <w:kern w:val="0"/>
                <w:sz w:val="20"/>
              </w:rPr>
            </w:pPr>
            <w:r>
              <w:rPr>
                <w:color w:val="000000"/>
                <w:kern w:val="0"/>
                <w:sz w:val="20"/>
              </w:rPr>
              <w:t>16</w:t>
            </w:r>
          </w:p>
        </w:tc>
        <w:tc>
          <w:tcPr>
            <w:tcW w:w="850" w:type="dxa"/>
            <w:vAlign w:val="center"/>
          </w:tcPr>
          <w:p>
            <w:pPr>
              <w:widowControl/>
              <w:spacing w:line="400" w:lineRule="exact"/>
              <w:jc w:val="center"/>
              <w:rPr>
                <w:color w:val="000000"/>
                <w:kern w:val="0"/>
                <w:sz w:val="20"/>
              </w:rPr>
            </w:pPr>
            <w:r>
              <w:rPr>
                <w:color w:val="000000"/>
                <w:kern w:val="0"/>
                <w:sz w:val="20"/>
              </w:rPr>
              <w:t>0.755</w:t>
            </w:r>
          </w:p>
        </w:tc>
        <w:tc>
          <w:tcPr>
            <w:tcW w:w="1472" w:type="dxa"/>
            <w:vAlign w:val="center"/>
          </w:tcPr>
          <w:p>
            <w:pPr>
              <w:widowControl/>
              <w:spacing w:line="400" w:lineRule="exact"/>
              <w:jc w:val="center"/>
              <w:rPr>
                <w:color w:val="000000"/>
                <w:kern w:val="0"/>
                <w:sz w:val="20"/>
              </w:rPr>
            </w:pPr>
            <w:r>
              <w:rPr>
                <w:color w:val="000000"/>
                <w:kern w:val="0"/>
                <w:sz w:val="20"/>
              </w:rPr>
              <w:t>非正态分布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5" w:type="dxa"/>
            <w:vAlign w:val="center"/>
          </w:tcPr>
          <w:p>
            <w:pPr>
              <w:widowControl/>
              <w:spacing w:line="400" w:lineRule="exact"/>
              <w:jc w:val="center"/>
              <w:textAlignment w:val="center"/>
              <w:rPr>
                <w:color w:val="000000"/>
                <w:kern w:val="0"/>
                <w:sz w:val="22"/>
                <w:szCs w:val="22"/>
              </w:rPr>
            </w:pPr>
            <w:r>
              <w:rPr>
                <w:color w:val="000000"/>
                <w:kern w:val="0"/>
                <w:sz w:val="22"/>
                <w:szCs w:val="22"/>
                <w:lang/>
              </w:rPr>
              <w:t>J021</w:t>
            </w:r>
          </w:p>
        </w:tc>
        <w:tc>
          <w:tcPr>
            <w:tcW w:w="750" w:type="dxa"/>
            <w:vAlign w:val="center"/>
          </w:tcPr>
          <w:p>
            <w:pPr>
              <w:widowControl/>
              <w:spacing w:line="400" w:lineRule="exact"/>
              <w:jc w:val="center"/>
              <w:rPr>
                <w:color w:val="000000"/>
                <w:kern w:val="0"/>
                <w:sz w:val="20"/>
              </w:rPr>
            </w:pPr>
            <w:r>
              <w:rPr>
                <w:color w:val="000000"/>
                <w:kern w:val="0"/>
                <w:sz w:val="20"/>
              </w:rPr>
              <w:t>二级</w:t>
            </w:r>
          </w:p>
        </w:tc>
        <w:tc>
          <w:tcPr>
            <w:tcW w:w="871" w:type="dxa"/>
            <w:vAlign w:val="center"/>
          </w:tcPr>
          <w:p>
            <w:pPr>
              <w:widowControl/>
              <w:spacing w:line="400" w:lineRule="exact"/>
              <w:jc w:val="center"/>
              <w:rPr>
                <w:color w:val="000000"/>
                <w:kern w:val="0"/>
                <w:sz w:val="20"/>
              </w:rPr>
            </w:pPr>
            <w:r>
              <w:rPr>
                <w:color w:val="000000"/>
                <w:kern w:val="0"/>
                <w:sz w:val="20"/>
              </w:rPr>
              <w:t>27</w:t>
            </w:r>
          </w:p>
        </w:tc>
        <w:tc>
          <w:tcPr>
            <w:tcW w:w="815" w:type="dxa"/>
            <w:vAlign w:val="center"/>
          </w:tcPr>
          <w:p>
            <w:pPr>
              <w:widowControl/>
              <w:spacing w:line="400" w:lineRule="exact"/>
              <w:jc w:val="center"/>
              <w:rPr>
                <w:color w:val="000000"/>
                <w:kern w:val="0"/>
                <w:sz w:val="20"/>
              </w:rPr>
            </w:pPr>
            <w:r>
              <w:rPr>
                <w:color w:val="000000"/>
                <w:kern w:val="0"/>
                <w:sz w:val="20"/>
              </w:rPr>
              <w:t>-0.418</w:t>
            </w:r>
          </w:p>
        </w:tc>
        <w:tc>
          <w:tcPr>
            <w:tcW w:w="1217" w:type="dxa"/>
            <w:vAlign w:val="center"/>
          </w:tcPr>
          <w:p>
            <w:pPr>
              <w:widowControl/>
              <w:spacing w:line="400" w:lineRule="exact"/>
              <w:jc w:val="center"/>
              <w:rPr>
                <w:color w:val="000000"/>
                <w:kern w:val="0"/>
                <w:sz w:val="20"/>
              </w:rPr>
            </w:pPr>
            <w:r>
              <w:rPr>
                <w:color w:val="000000"/>
                <w:kern w:val="0"/>
                <w:sz w:val="20"/>
              </w:rPr>
              <w:t>正态分布</w:t>
            </w:r>
          </w:p>
        </w:tc>
        <w:tc>
          <w:tcPr>
            <w:tcW w:w="826" w:type="dxa"/>
            <w:vAlign w:val="center"/>
          </w:tcPr>
          <w:p>
            <w:pPr>
              <w:widowControl/>
              <w:spacing w:line="400" w:lineRule="exact"/>
              <w:jc w:val="center"/>
              <w:textAlignment w:val="center"/>
              <w:rPr>
                <w:color w:val="000000"/>
                <w:kern w:val="0"/>
                <w:sz w:val="22"/>
                <w:szCs w:val="22"/>
              </w:rPr>
            </w:pPr>
            <w:r>
              <w:rPr>
                <w:color w:val="000000"/>
                <w:kern w:val="0"/>
                <w:sz w:val="22"/>
                <w:szCs w:val="22"/>
                <w:lang/>
              </w:rPr>
              <w:t>J032</w:t>
            </w:r>
          </w:p>
        </w:tc>
        <w:tc>
          <w:tcPr>
            <w:tcW w:w="741" w:type="dxa"/>
            <w:vAlign w:val="center"/>
          </w:tcPr>
          <w:p>
            <w:pPr>
              <w:widowControl/>
              <w:spacing w:line="400" w:lineRule="exact"/>
              <w:jc w:val="center"/>
              <w:rPr>
                <w:color w:val="000000"/>
                <w:kern w:val="0"/>
                <w:sz w:val="20"/>
              </w:rPr>
            </w:pPr>
            <w:r>
              <w:rPr>
                <w:color w:val="000000"/>
                <w:kern w:val="0"/>
                <w:sz w:val="20"/>
              </w:rPr>
              <w:t>三级</w:t>
            </w:r>
          </w:p>
        </w:tc>
        <w:tc>
          <w:tcPr>
            <w:tcW w:w="975" w:type="dxa"/>
            <w:vAlign w:val="center"/>
          </w:tcPr>
          <w:p>
            <w:pPr>
              <w:widowControl/>
              <w:spacing w:line="400" w:lineRule="exact"/>
              <w:jc w:val="center"/>
              <w:rPr>
                <w:color w:val="000000"/>
                <w:kern w:val="0"/>
                <w:sz w:val="20"/>
              </w:rPr>
            </w:pPr>
            <w:r>
              <w:rPr>
                <w:rFonts w:hint="eastAsia"/>
                <w:color w:val="000000"/>
                <w:kern w:val="0"/>
                <w:sz w:val="20"/>
              </w:rPr>
              <w:t>10</w:t>
            </w:r>
          </w:p>
        </w:tc>
        <w:tc>
          <w:tcPr>
            <w:tcW w:w="850" w:type="dxa"/>
            <w:vAlign w:val="center"/>
          </w:tcPr>
          <w:p>
            <w:pPr>
              <w:widowControl/>
              <w:spacing w:line="400" w:lineRule="exact"/>
              <w:jc w:val="center"/>
              <w:rPr>
                <w:color w:val="000000"/>
                <w:kern w:val="0"/>
                <w:sz w:val="20"/>
              </w:rPr>
            </w:pPr>
            <w:r>
              <w:rPr>
                <w:color w:val="000000"/>
                <w:kern w:val="0"/>
                <w:sz w:val="20"/>
              </w:rPr>
              <w:t>0.89</w:t>
            </w:r>
          </w:p>
        </w:tc>
        <w:tc>
          <w:tcPr>
            <w:tcW w:w="1472" w:type="dxa"/>
            <w:vAlign w:val="center"/>
          </w:tcPr>
          <w:p>
            <w:pPr>
              <w:widowControl/>
              <w:spacing w:line="400" w:lineRule="exact"/>
              <w:jc w:val="center"/>
              <w:rPr>
                <w:color w:val="000000"/>
                <w:kern w:val="0"/>
                <w:sz w:val="20"/>
              </w:rPr>
            </w:pPr>
            <w:r>
              <w:rPr>
                <w:color w:val="000000"/>
                <w:kern w:val="0"/>
                <w:sz w:val="20"/>
              </w:rPr>
              <w:t>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5" w:type="dxa"/>
            <w:vAlign w:val="center"/>
          </w:tcPr>
          <w:p>
            <w:pPr>
              <w:widowControl/>
              <w:spacing w:line="400" w:lineRule="exact"/>
              <w:jc w:val="center"/>
              <w:textAlignment w:val="center"/>
              <w:rPr>
                <w:color w:val="000000"/>
                <w:kern w:val="0"/>
                <w:sz w:val="22"/>
                <w:szCs w:val="22"/>
              </w:rPr>
            </w:pPr>
            <w:r>
              <w:rPr>
                <w:color w:val="000000"/>
                <w:kern w:val="0"/>
                <w:sz w:val="22"/>
                <w:szCs w:val="22"/>
                <w:lang/>
              </w:rPr>
              <w:t>J022</w:t>
            </w:r>
          </w:p>
        </w:tc>
        <w:tc>
          <w:tcPr>
            <w:tcW w:w="750" w:type="dxa"/>
            <w:vAlign w:val="center"/>
          </w:tcPr>
          <w:p>
            <w:pPr>
              <w:widowControl/>
              <w:spacing w:line="400" w:lineRule="exact"/>
              <w:jc w:val="center"/>
              <w:rPr>
                <w:color w:val="000000"/>
                <w:kern w:val="0"/>
                <w:sz w:val="20"/>
              </w:rPr>
            </w:pPr>
            <w:r>
              <w:rPr>
                <w:color w:val="000000"/>
                <w:kern w:val="0"/>
                <w:sz w:val="20"/>
              </w:rPr>
              <w:t>二级</w:t>
            </w:r>
          </w:p>
        </w:tc>
        <w:tc>
          <w:tcPr>
            <w:tcW w:w="871" w:type="dxa"/>
            <w:vAlign w:val="center"/>
          </w:tcPr>
          <w:p>
            <w:pPr>
              <w:widowControl/>
              <w:spacing w:line="400" w:lineRule="exact"/>
              <w:jc w:val="center"/>
              <w:rPr>
                <w:color w:val="000000"/>
                <w:kern w:val="0"/>
                <w:sz w:val="20"/>
              </w:rPr>
            </w:pPr>
            <w:r>
              <w:rPr>
                <w:color w:val="000000"/>
                <w:kern w:val="0"/>
                <w:sz w:val="20"/>
              </w:rPr>
              <w:t>25</w:t>
            </w:r>
          </w:p>
        </w:tc>
        <w:tc>
          <w:tcPr>
            <w:tcW w:w="815" w:type="dxa"/>
            <w:vAlign w:val="center"/>
          </w:tcPr>
          <w:p>
            <w:pPr>
              <w:widowControl/>
              <w:spacing w:line="400" w:lineRule="exact"/>
              <w:jc w:val="center"/>
              <w:rPr>
                <w:color w:val="000000"/>
                <w:kern w:val="0"/>
                <w:sz w:val="20"/>
              </w:rPr>
            </w:pPr>
            <w:r>
              <w:rPr>
                <w:color w:val="000000"/>
                <w:kern w:val="0"/>
                <w:sz w:val="20"/>
              </w:rPr>
              <w:t>2.517</w:t>
            </w:r>
          </w:p>
        </w:tc>
        <w:tc>
          <w:tcPr>
            <w:tcW w:w="1217" w:type="dxa"/>
            <w:vAlign w:val="center"/>
          </w:tcPr>
          <w:p>
            <w:pPr>
              <w:widowControl/>
              <w:spacing w:line="400" w:lineRule="exact"/>
              <w:jc w:val="center"/>
              <w:rPr>
                <w:color w:val="000000"/>
                <w:kern w:val="0"/>
                <w:sz w:val="20"/>
              </w:rPr>
            </w:pPr>
            <w:r>
              <w:rPr>
                <w:color w:val="000000"/>
                <w:kern w:val="0"/>
                <w:sz w:val="20"/>
              </w:rPr>
              <w:t>非正态分布</w:t>
            </w:r>
          </w:p>
        </w:tc>
        <w:tc>
          <w:tcPr>
            <w:tcW w:w="826" w:type="dxa"/>
            <w:vAlign w:val="center"/>
          </w:tcPr>
          <w:p>
            <w:pPr>
              <w:widowControl/>
              <w:spacing w:line="400" w:lineRule="exact"/>
              <w:jc w:val="center"/>
              <w:textAlignment w:val="center"/>
              <w:rPr>
                <w:color w:val="000000"/>
                <w:kern w:val="0"/>
                <w:sz w:val="22"/>
                <w:szCs w:val="22"/>
              </w:rPr>
            </w:pPr>
            <w:r>
              <w:rPr>
                <w:color w:val="000000"/>
                <w:kern w:val="0"/>
                <w:sz w:val="22"/>
                <w:szCs w:val="22"/>
                <w:lang/>
              </w:rPr>
              <w:t>J033</w:t>
            </w:r>
          </w:p>
        </w:tc>
        <w:tc>
          <w:tcPr>
            <w:tcW w:w="741" w:type="dxa"/>
            <w:vAlign w:val="center"/>
          </w:tcPr>
          <w:p>
            <w:pPr>
              <w:widowControl/>
              <w:spacing w:line="400" w:lineRule="exact"/>
              <w:jc w:val="center"/>
              <w:rPr>
                <w:color w:val="000000"/>
                <w:kern w:val="0"/>
                <w:sz w:val="20"/>
              </w:rPr>
            </w:pPr>
            <w:r>
              <w:rPr>
                <w:color w:val="000000"/>
                <w:kern w:val="0"/>
                <w:sz w:val="20"/>
              </w:rPr>
              <w:t>三级</w:t>
            </w:r>
          </w:p>
        </w:tc>
        <w:tc>
          <w:tcPr>
            <w:tcW w:w="975" w:type="dxa"/>
            <w:vAlign w:val="center"/>
          </w:tcPr>
          <w:p>
            <w:pPr>
              <w:widowControl/>
              <w:spacing w:line="400" w:lineRule="exact"/>
              <w:jc w:val="center"/>
              <w:rPr>
                <w:color w:val="000000"/>
                <w:kern w:val="0"/>
                <w:sz w:val="20"/>
              </w:rPr>
            </w:pPr>
            <w:r>
              <w:rPr>
                <w:color w:val="000000"/>
                <w:kern w:val="0"/>
                <w:sz w:val="20"/>
              </w:rPr>
              <w:t>14</w:t>
            </w:r>
          </w:p>
        </w:tc>
        <w:tc>
          <w:tcPr>
            <w:tcW w:w="850" w:type="dxa"/>
            <w:vAlign w:val="center"/>
          </w:tcPr>
          <w:p>
            <w:pPr>
              <w:widowControl/>
              <w:spacing w:line="400" w:lineRule="exact"/>
              <w:jc w:val="center"/>
              <w:rPr>
                <w:color w:val="000000"/>
                <w:kern w:val="0"/>
                <w:sz w:val="20"/>
              </w:rPr>
            </w:pPr>
            <w:r>
              <w:rPr>
                <w:color w:val="000000"/>
                <w:kern w:val="0"/>
                <w:sz w:val="20"/>
              </w:rPr>
              <w:t>-2.105</w:t>
            </w:r>
          </w:p>
        </w:tc>
        <w:tc>
          <w:tcPr>
            <w:tcW w:w="1472" w:type="dxa"/>
            <w:vAlign w:val="center"/>
          </w:tcPr>
          <w:p>
            <w:pPr>
              <w:widowControl/>
              <w:spacing w:line="400" w:lineRule="exact"/>
              <w:jc w:val="center"/>
              <w:rPr>
                <w:color w:val="000000"/>
                <w:kern w:val="0"/>
                <w:sz w:val="20"/>
              </w:rPr>
            </w:pPr>
            <w:r>
              <w:rPr>
                <w:color w:val="000000"/>
                <w:kern w:val="0"/>
                <w:sz w:val="20"/>
              </w:rPr>
              <w:t>非正态分布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5" w:type="dxa"/>
            <w:vAlign w:val="center"/>
          </w:tcPr>
          <w:p>
            <w:pPr>
              <w:widowControl/>
              <w:spacing w:line="400" w:lineRule="exact"/>
              <w:jc w:val="center"/>
              <w:textAlignment w:val="center"/>
              <w:rPr>
                <w:color w:val="000000"/>
                <w:kern w:val="0"/>
                <w:sz w:val="22"/>
                <w:szCs w:val="22"/>
              </w:rPr>
            </w:pPr>
            <w:r>
              <w:rPr>
                <w:color w:val="000000"/>
                <w:kern w:val="0"/>
                <w:sz w:val="22"/>
                <w:szCs w:val="22"/>
                <w:lang/>
              </w:rPr>
              <w:t>J025</w:t>
            </w:r>
          </w:p>
        </w:tc>
        <w:tc>
          <w:tcPr>
            <w:tcW w:w="750" w:type="dxa"/>
            <w:vAlign w:val="center"/>
          </w:tcPr>
          <w:p>
            <w:pPr>
              <w:widowControl/>
              <w:spacing w:line="400" w:lineRule="exact"/>
              <w:jc w:val="center"/>
              <w:rPr>
                <w:color w:val="000000"/>
                <w:kern w:val="0"/>
                <w:sz w:val="20"/>
              </w:rPr>
            </w:pPr>
            <w:r>
              <w:rPr>
                <w:color w:val="000000"/>
                <w:kern w:val="0"/>
                <w:sz w:val="20"/>
              </w:rPr>
              <w:t>二级</w:t>
            </w:r>
          </w:p>
        </w:tc>
        <w:tc>
          <w:tcPr>
            <w:tcW w:w="871" w:type="dxa"/>
            <w:vAlign w:val="center"/>
          </w:tcPr>
          <w:p>
            <w:pPr>
              <w:widowControl/>
              <w:spacing w:line="400" w:lineRule="exact"/>
              <w:jc w:val="center"/>
              <w:rPr>
                <w:color w:val="000000"/>
                <w:kern w:val="0"/>
                <w:sz w:val="20"/>
              </w:rPr>
            </w:pPr>
            <w:r>
              <w:rPr>
                <w:color w:val="000000"/>
                <w:kern w:val="0"/>
                <w:sz w:val="20"/>
              </w:rPr>
              <w:t>26</w:t>
            </w:r>
          </w:p>
        </w:tc>
        <w:tc>
          <w:tcPr>
            <w:tcW w:w="815" w:type="dxa"/>
            <w:vAlign w:val="center"/>
          </w:tcPr>
          <w:p>
            <w:pPr>
              <w:widowControl/>
              <w:spacing w:line="400" w:lineRule="exact"/>
              <w:jc w:val="center"/>
              <w:rPr>
                <w:color w:val="000000"/>
                <w:kern w:val="0"/>
                <w:sz w:val="20"/>
              </w:rPr>
            </w:pPr>
            <w:r>
              <w:rPr>
                <w:color w:val="000000"/>
                <w:kern w:val="0"/>
                <w:sz w:val="20"/>
              </w:rPr>
              <w:t>3.28</w:t>
            </w:r>
          </w:p>
        </w:tc>
        <w:tc>
          <w:tcPr>
            <w:tcW w:w="1217" w:type="dxa"/>
            <w:vAlign w:val="center"/>
          </w:tcPr>
          <w:p>
            <w:pPr>
              <w:widowControl/>
              <w:spacing w:line="400" w:lineRule="exact"/>
              <w:jc w:val="center"/>
              <w:rPr>
                <w:color w:val="000000"/>
                <w:kern w:val="0"/>
                <w:sz w:val="20"/>
              </w:rPr>
            </w:pPr>
            <w:r>
              <w:rPr>
                <w:color w:val="000000"/>
                <w:kern w:val="0"/>
                <w:sz w:val="20"/>
              </w:rPr>
              <w:t>非正态分布</w:t>
            </w:r>
          </w:p>
        </w:tc>
        <w:tc>
          <w:tcPr>
            <w:tcW w:w="826" w:type="dxa"/>
            <w:vAlign w:val="center"/>
          </w:tcPr>
          <w:p>
            <w:pPr>
              <w:widowControl/>
              <w:spacing w:line="400" w:lineRule="exact"/>
              <w:jc w:val="center"/>
              <w:textAlignment w:val="center"/>
              <w:rPr>
                <w:color w:val="000000"/>
                <w:kern w:val="0"/>
                <w:sz w:val="22"/>
                <w:szCs w:val="22"/>
              </w:rPr>
            </w:pPr>
            <w:r>
              <w:rPr>
                <w:color w:val="000000"/>
                <w:kern w:val="0"/>
                <w:sz w:val="22"/>
                <w:szCs w:val="22"/>
                <w:lang/>
              </w:rPr>
              <w:t>J030</w:t>
            </w:r>
          </w:p>
        </w:tc>
        <w:tc>
          <w:tcPr>
            <w:tcW w:w="741" w:type="dxa"/>
            <w:vAlign w:val="center"/>
          </w:tcPr>
          <w:p>
            <w:pPr>
              <w:widowControl/>
              <w:spacing w:line="400" w:lineRule="exact"/>
              <w:jc w:val="center"/>
              <w:rPr>
                <w:color w:val="000000"/>
                <w:kern w:val="0"/>
                <w:sz w:val="20"/>
              </w:rPr>
            </w:pPr>
            <w:r>
              <w:rPr>
                <w:color w:val="000000"/>
                <w:kern w:val="0"/>
                <w:sz w:val="20"/>
              </w:rPr>
              <w:t>三级</w:t>
            </w:r>
          </w:p>
        </w:tc>
        <w:tc>
          <w:tcPr>
            <w:tcW w:w="975" w:type="dxa"/>
            <w:vAlign w:val="center"/>
          </w:tcPr>
          <w:p>
            <w:pPr>
              <w:widowControl/>
              <w:spacing w:line="400" w:lineRule="exact"/>
              <w:jc w:val="center"/>
              <w:rPr>
                <w:color w:val="000000"/>
                <w:kern w:val="0"/>
                <w:sz w:val="20"/>
              </w:rPr>
            </w:pPr>
            <w:r>
              <w:rPr>
                <w:color w:val="000000"/>
                <w:kern w:val="0"/>
                <w:sz w:val="20"/>
              </w:rPr>
              <w:t>16</w:t>
            </w:r>
          </w:p>
        </w:tc>
        <w:tc>
          <w:tcPr>
            <w:tcW w:w="850" w:type="dxa"/>
            <w:vAlign w:val="center"/>
          </w:tcPr>
          <w:p>
            <w:pPr>
              <w:widowControl/>
              <w:spacing w:line="400" w:lineRule="exact"/>
              <w:jc w:val="center"/>
              <w:rPr>
                <w:color w:val="000000"/>
                <w:kern w:val="0"/>
                <w:sz w:val="20"/>
              </w:rPr>
            </w:pPr>
            <w:r>
              <w:rPr>
                <w:color w:val="000000"/>
                <w:kern w:val="0"/>
                <w:sz w:val="20"/>
              </w:rPr>
              <w:t>-2.845</w:t>
            </w:r>
          </w:p>
        </w:tc>
        <w:tc>
          <w:tcPr>
            <w:tcW w:w="1472" w:type="dxa"/>
            <w:vAlign w:val="center"/>
          </w:tcPr>
          <w:p>
            <w:pPr>
              <w:widowControl/>
              <w:spacing w:line="400" w:lineRule="exact"/>
              <w:jc w:val="center"/>
              <w:rPr>
                <w:color w:val="000000"/>
                <w:kern w:val="0"/>
                <w:sz w:val="20"/>
              </w:rPr>
            </w:pPr>
            <w:r>
              <w:rPr>
                <w:color w:val="000000"/>
                <w:kern w:val="0"/>
                <w:sz w:val="20"/>
              </w:rPr>
              <w:t>非正态分布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5" w:type="dxa"/>
            <w:vAlign w:val="center"/>
          </w:tcPr>
          <w:p>
            <w:pPr>
              <w:widowControl/>
              <w:spacing w:line="400" w:lineRule="exact"/>
              <w:jc w:val="center"/>
              <w:textAlignment w:val="center"/>
              <w:rPr>
                <w:color w:val="000000"/>
                <w:kern w:val="0"/>
                <w:sz w:val="22"/>
                <w:szCs w:val="22"/>
              </w:rPr>
            </w:pPr>
            <w:r>
              <w:rPr>
                <w:color w:val="000000"/>
                <w:kern w:val="0"/>
                <w:sz w:val="22"/>
                <w:szCs w:val="22"/>
                <w:lang/>
              </w:rPr>
              <w:t>J026</w:t>
            </w:r>
          </w:p>
        </w:tc>
        <w:tc>
          <w:tcPr>
            <w:tcW w:w="750" w:type="dxa"/>
            <w:vAlign w:val="center"/>
          </w:tcPr>
          <w:p>
            <w:pPr>
              <w:widowControl/>
              <w:spacing w:line="400" w:lineRule="exact"/>
              <w:jc w:val="center"/>
              <w:rPr>
                <w:color w:val="000000"/>
                <w:kern w:val="0"/>
                <w:sz w:val="20"/>
              </w:rPr>
            </w:pPr>
            <w:r>
              <w:rPr>
                <w:color w:val="000000"/>
                <w:kern w:val="0"/>
                <w:sz w:val="20"/>
              </w:rPr>
              <w:t>二级</w:t>
            </w:r>
          </w:p>
        </w:tc>
        <w:tc>
          <w:tcPr>
            <w:tcW w:w="871" w:type="dxa"/>
            <w:vAlign w:val="center"/>
          </w:tcPr>
          <w:p>
            <w:pPr>
              <w:widowControl/>
              <w:spacing w:line="400" w:lineRule="exact"/>
              <w:jc w:val="center"/>
              <w:rPr>
                <w:color w:val="000000"/>
                <w:kern w:val="0"/>
                <w:sz w:val="20"/>
              </w:rPr>
            </w:pPr>
            <w:r>
              <w:rPr>
                <w:color w:val="000000"/>
                <w:kern w:val="0"/>
                <w:sz w:val="20"/>
              </w:rPr>
              <w:t>22</w:t>
            </w:r>
          </w:p>
        </w:tc>
        <w:tc>
          <w:tcPr>
            <w:tcW w:w="815" w:type="dxa"/>
            <w:vAlign w:val="center"/>
          </w:tcPr>
          <w:p>
            <w:pPr>
              <w:widowControl/>
              <w:spacing w:line="400" w:lineRule="exact"/>
              <w:jc w:val="center"/>
              <w:rPr>
                <w:color w:val="000000"/>
                <w:kern w:val="0"/>
                <w:sz w:val="20"/>
              </w:rPr>
            </w:pPr>
            <w:r>
              <w:rPr>
                <w:color w:val="000000"/>
                <w:kern w:val="0"/>
                <w:sz w:val="20"/>
              </w:rPr>
              <w:t>2.124</w:t>
            </w:r>
          </w:p>
        </w:tc>
        <w:tc>
          <w:tcPr>
            <w:tcW w:w="1217" w:type="dxa"/>
            <w:vAlign w:val="center"/>
          </w:tcPr>
          <w:p>
            <w:pPr>
              <w:widowControl/>
              <w:spacing w:line="400" w:lineRule="exact"/>
              <w:jc w:val="center"/>
              <w:rPr>
                <w:color w:val="000000"/>
                <w:kern w:val="0"/>
                <w:sz w:val="20"/>
              </w:rPr>
            </w:pPr>
            <w:r>
              <w:rPr>
                <w:color w:val="000000"/>
                <w:kern w:val="0"/>
                <w:sz w:val="20"/>
              </w:rPr>
              <w:t>正态分布</w:t>
            </w:r>
          </w:p>
        </w:tc>
        <w:tc>
          <w:tcPr>
            <w:tcW w:w="826" w:type="dxa"/>
            <w:vAlign w:val="center"/>
          </w:tcPr>
          <w:p>
            <w:pPr>
              <w:widowControl/>
              <w:spacing w:line="400" w:lineRule="exact"/>
              <w:jc w:val="center"/>
              <w:textAlignment w:val="center"/>
              <w:rPr>
                <w:color w:val="000000"/>
                <w:kern w:val="0"/>
                <w:sz w:val="22"/>
                <w:szCs w:val="22"/>
              </w:rPr>
            </w:pPr>
            <w:r>
              <w:rPr>
                <w:color w:val="000000"/>
                <w:kern w:val="0"/>
                <w:sz w:val="22"/>
                <w:szCs w:val="22"/>
                <w:lang/>
              </w:rPr>
              <w:t>J034</w:t>
            </w:r>
          </w:p>
        </w:tc>
        <w:tc>
          <w:tcPr>
            <w:tcW w:w="741" w:type="dxa"/>
            <w:vAlign w:val="center"/>
          </w:tcPr>
          <w:p>
            <w:pPr>
              <w:widowControl/>
              <w:spacing w:line="400" w:lineRule="exact"/>
              <w:jc w:val="center"/>
              <w:rPr>
                <w:color w:val="000000"/>
                <w:kern w:val="0"/>
                <w:sz w:val="20"/>
              </w:rPr>
            </w:pPr>
            <w:r>
              <w:rPr>
                <w:color w:val="000000"/>
                <w:kern w:val="0"/>
                <w:sz w:val="20"/>
              </w:rPr>
              <w:t>四级</w:t>
            </w:r>
          </w:p>
        </w:tc>
        <w:tc>
          <w:tcPr>
            <w:tcW w:w="975" w:type="dxa"/>
            <w:vAlign w:val="center"/>
          </w:tcPr>
          <w:p>
            <w:pPr>
              <w:widowControl/>
              <w:spacing w:line="400" w:lineRule="exact"/>
              <w:jc w:val="center"/>
              <w:rPr>
                <w:color w:val="000000"/>
                <w:kern w:val="0"/>
                <w:sz w:val="20"/>
              </w:rPr>
            </w:pPr>
            <w:r>
              <w:rPr>
                <w:rFonts w:hint="eastAsia"/>
                <w:color w:val="000000"/>
                <w:kern w:val="0"/>
                <w:sz w:val="20"/>
              </w:rPr>
              <w:t>10</w:t>
            </w:r>
          </w:p>
        </w:tc>
        <w:tc>
          <w:tcPr>
            <w:tcW w:w="850" w:type="dxa"/>
            <w:vAlign w:val="center"/>
          </w:tcPr>
          <w:p>
            <w:pPr>
              <w:widowControl/>
              <w:spacing w:line="400" w:lineRule="exact"/>
              <w:jc w:val="center"/>
              <w:rPr>
                <w:color w:val="000000"/>
                <w:kern w:val="0"/>
                <w:sz w:val="20"/>
              </w:rPr>
            </w:pPr>
            <w:r>
              <w:rPr>
                <w:color w:val="000000"/>
                <w:kern w:val="0"/>
                <w:sz w:val="20"/>
              </w:rPr>
              <w:t>1.772</w:t>
            </w:r>
          </w:p>
        </w:tc>
        <w:tc>
          <w:tcPr>
            <w:tcW w:w="1472" w:type="dxa"/>
            <w:vAlign w:val="center"/>
          </w:tcPr>
          <w:p>
            <w:pPr>
              <w:widowControl/>
              <w:spacing w:line="400" w:lineRule="exact"/>
              <w:jc w:val="center"/>
              <w:rPr>
                <w:color w:val="000000"/>
                <w:kern w:val="0"/>
                <w:sz w:val="20"/>
              </w:rPr>
            </w:pPr>
            <w:r>
              <w:rPr>
                <w:color w:val="000000"/>
                <w:kern w:val="0"/>
                <w:sz w:val="20"/>
              </w:rPr>
              <w:t>非正态分布</w:t>
            </w:r>
          </w:p>
        </w:tc>
      </w:tr>
    </w:tbl>
    <w:p>
      <w:pPr>
        <w:spacing w:line="480" w:lineRule="exact"/>
        <w:jc w:val="center"/>
        <w:rPr>
          <w:b/>
          <w:bCs/>
          <w:sz w:val="24"/>
          <w:szCs w:val="24"/>
        </w:rPr>
      </w:pPr>
      <w:r>
        <w:rPr>
          <w:b/>
          <w:bCs/>
          <w:sz w:val="24"/>
          <w:szCs w:val="24"/>
        </w:rPr>
        <w:t>表3-2-27住宅用地调查样点总体分布类型检验表</w:t>
      </w:r>
    </w:p>
    <w:tbl>
      <w:tblPr>
        <w:tblW w:w="9454" w:type="dxa"/>
        <w:jc w:val="center"/>
        <w:tblInd w:w="-3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750"/>
        <w:gridCol w:w="850"/>
        <w:gridCol w:w="850"/>
        <w:gridCol w:w="1217"/>
        <w:gridCol w:w="850"/>
        <w:gridCol w:w="850"/>
        <w:gridCol w:w="917"/>
        <w:gridCol w:w="81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blHeader/>
          <w:jc w:val="center"/>
        </w:trPr>
        <w:tc>
          <w:tcPr>
            <w:tcW w:w="936" w:type="dxa"/>
            <w:vAlign w:val="center"/>
          </w:tcPr>
          <w:p>
            <w:pPr>
              <w:widowControl/>
              <w:spacing w:line="400" w:lineRule="exact"/>
              <w:jc w:val="center"/>
              <w:rPr>
                <w:bCs/>
                <w:color w:val="000000"/>
                <w:kern w:val="0"/>
                <w:sz w:val="20"/>
              </w:rPr>
            </w:pPr>
            <w:r>
              <w:rPr>
                <w:bCs/>
                <w:color w:val="000000"/>
                <w:kern w:val="0"/>
                <w:sz w:val="20"/>
              </w:rPr>
              <w:t>均值区域号</w:t>
            </w:r>
          </w:p>
        </w:tc>
        <w:tc>
          <w:tcPr>
            <w:tcW w:w="750" w:type="dxa"/>
            <w:vAlign w:val="center"/>
          </w:tcPr>
          <w:p>
            <w:pPr>
              <w:widowControl/>
              <w:spacing w:line="400" w:lineRule="exact"/>
              <w:jc w:val="center"/>
              <w:rPr>
                <w:bCs/>
                <w:color w:val="000000"/>
                <w:kern w:val="0"/>
                <w:sz w:val="20"/>
              </w:rPr>
            </w:pPr>
            <w:r>
              <w:rPr>
                <w:bCs/>
                <w:color w:val="000000"/>
                <w:kern w:val="0"/>
                <w:sz w:val="20"/>
              </w:rPr>
              <w:t>所属级别</w:t>
            </w:r>
          </w:p>
        </w:tc>
        <w:tc>
          <w:tcPr>
            <w:tcW w:w="850" w:type="dxa"/>
            <w:vAlign w:val="center"/>
          </w:tcPr>
          <w:p>
            <w:pPr>
              <w:widowControl/>
              <w:spacing w:line="400" w:lineRule="exact"/>
              <w:jc w:val="center"/>
              <w:rPr>
                <w:bCs/>
                <w:color w:val="000000"/>
                <w:kern w:val="0"/>
                <w:sz w:val="20"/>
              </w:rPr>
            </w:pPr>
            <w:r>
              <w:rPr>
                <w:bCs/>
                <w:color w:val="000000"/>
                <w:kern w:val="0"/>
                <w:sz w:val="20"/>
              </w:rPr>
              <w:t>有效样点数量</w:t>
            </w:r>
          </w:p>
        </w:tc>
        <w:tc>
          <w:tcPr>
            <w:tcW w:w="850" w:type="dxa"/>
            <w:vAlign w:val="center"/>
          </w:tcPr>
          <w:p>
            <w:pPr>
              <w:widowControl/>
              <w:spacing w:line="400" w:lineRule="exact"/>
              <w:jc w:val="center"/>
              <w:rPr>
                <w:bCs/>
                <w:color w:val="000000"/>
                <w:kern w:val="0"/>
                <w:sz w:val="20"/>
              </w:rPr>
            </w:pPr>
            <w:r>
              <w:rPr>
                <w:bCs/>
                <w:color w:val="000000"/>
                <w:kern w:val="0"/>
                <w:sz w:val="20"/>
              </w:rPr>
              <w:t>偏度</w:t>
            </w:r>
          </w:p>
        </w:tc>
        <w:tc>
          <w:tcPr>
            <w:tcW w:w="1217" w:type="dxa"/>
            <w:vAlign w:val="center"/>
          </w:tcPr>
          <w:p>
            <w:pPr>
              <w:widowControl/>
              <w:spacing w:line="400" w:lineRule="exact"/>
              <w:jc w:val="center"/>
              <w:rPr>
                <w:bCs/>
                <w:color w:val="000000"/>
                <w:kern w:val="0"/>
                <w:sz w:val="20"/>
              </w:rPr>
            </w:pPr>
            <w:r>
              <w:rPr>
                <w:bCs/>
                <w:color w:val="000000"/>
                <w:kern w:val="0"/>
                <w:sz w:val="20"/>
              </w:rPr>
              <w:t>分布类型</w:t>
            </w:r>
          </w:p>
        </w:tc>
        <w:tc>
          <w:tcPr>
            <w:tcW w:w="850" w:type="dxa"/>
            <w:vAlign w:val="center"/>
          </w:tcPr>
          <w:p>
            <w:pPr>
              <w:widowControl/>
              <w:spacing w:line="400" w:lineRule="exact"/>
              <w:jc w:val="center"/>
              <w:rPr>
                <w:bCs/>
                <w:color w:val="000000"/>
                <w:kern w:val="0"/>
                <w:sz w:val="20"/>
              </w:rPr>
            </w:pPr>
            <w:r>
              <w:rPr>
                <w:bCs/>
                <w:color w:val="000000"/>
                <w:kern w:val="0"/>
                <w:sz w:val="20"/>
              </w:rPr>
              <w:t>均值区域号</w:t>
            </w:r>
          </w:p>
        </w:tc>
        <w:tc>
          <w:tcPr>
            <w:tcW w:w="850" w:type="dxa"/>
            <w:vAlign w:val="center"/>
          </w:tcPr>
          <w:p>
            <w:pPr>
              <w:widowControl/>
              <w:spacing w:line="400" w:lineRule="exact"/>
              <w:jc w:val="center"/>
              <w:rPr>
                <w:bCs/>
                <w:color w:val="000000"/>
                <w:kern w:val="0"/>
                <w:sz w:val="20"/>
              </w:rPr>
            </w:pPr>
            <w:r>
              <w:rPr>
                <w:bCs/>
                <w:color w:val="000000"/>
                <w:kern w:val="0"/>
                <w:sz w:val="20"/>
              </w:rPr>
              <w:t>所属级别</w:t>
            </w:r>
          </w:p>
        </w:tc>
        <w:tc>
          <w:tcPr>
            <w:tcW w:w="917" w:type="dxa"/>
            <w:vAlign w:val="center"/>
          </w:tcPr>
          <w:p>
            <w:pPr>
              <w:widowControl/>
              <w:spacing w:line="400" w:lineRule="exact"/>
              <w:jc w:val="center"/>
              <w:rPr>
                <w:bCs/>
                <w:color w:val="000000"/>
                <w:kern w:val="0"/>
                <w:sz w:val="20"/>
              </w:rPr>
            </w:pPr>
            <w:r>
              <w:rPr>
                <w:bCs/>
                <w:color w:val="000000"/>
                <w:kern w:val="0"/>
                <w:sz w:val="20"/>
              </w:rPr>
              <w:t>有效样点数量</w:t>
            </w:r>
          </w:p>
        </w:tc>
        <w:tc>
          <w:tcPr>
            <w:tcW w:w="816" w:type="dxa"/>
            <w:vAlign w:val="center"/>
          </w:tcPr>
          <w:p>
            <w:pPr>
              <w:widowControl/>
              <w:spacing w:line="400" w:lineRule="exact"/>
              <w:jc w:val="center"/>
              <w:rPr>
                <w:bCs/>
                <w:color w:val="000000"/>
                <w:kern w:val="0"/>
                <w:sz w:val="20"/>
              </w:rPr>
            </w:pPr>
            <w:r>
              <w:rPr>
                <w:bCs/>
                <w:color w:val="000000"/>
                <w:kern w:val="0"/>
                <w:sz w:val="20"/>
              </w:rPr>
              <w:t>偏度</w:t>
            </w:r>
          </w:p>
        </w:tc>
        <w:tc>
          <w:tcPr>
            <w:tcW w:w="1418" w:type="dxa"/>
            <w:vAlign w:val="center"/>
          </w:tcPr>
          <w:p>
            <w:pPr>
              <w:widowControl/>
              <w:spacing w:line="400" w:lineRule="exact"/>
              <w:jc w:val="center"/>
              <w:rPr>
                <w:bCs/>
                <w:color w:val="000000"/>
                <w:kern w:val="0"/>
                <w:sz w:val="20"/>
              </w:rPr>
            </w:pPr>
            <w:r>
              <w:rPr>
                <w:bCs/>
                <w:color w:val="000000"/>
                <w:kern w:val="0"/>
                <w:sz w:val="20"/>
              </w:rPr>
              <w:t>分布类型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6" w:type="dxa"/>
            <w:vAlign w:val="center"/>
          </w:tcPr>
          <w:p>
            <w:pPr>
              <w:widowControl/>
              <w:jc w:val="center"/>
              <w:textAlignment w:val="center"/>
              <w:rPr>
                <w:color w:val="000000"/>
                <w:kern w:val="0"/>
                <w:sz w:val="22"/>
                <w:szCs w:val="22"/>
              </w:rPr>
            </w:pPr>
            <w:r>
              <w:rPr>
                <w:color w:val="000000"/>
                <w:kern w:val="0"/>
                <w:sz w:val="22"/>
                <w:szCs w:val="22"/>
                <w:lang/>
              </w:rPr>
              <w:t>J018</w:t>
            </w:r>
          </w:p>
        </w:tc>
        <w:tc>
          <w:tcPr>
            <w:tcW w:w="750" w:type="dxa"/>
            <w:vAlign w:val="center"/>
          </w:tcPr>
          <w:p>
            <w:pPr>
              <w:widowControl/>
              <w:spacing w:line="400" w:lineRule="exact"/>
              <w:jc w:val="center"/>
              <w:rPr>
                <w:color w:val="000000"/>
                <w:kern w:val="0"/>
                <w:sz w:val="20"/>
              </w:rPr>
            </w:pPr>
            <w:r>
              <w:rPr>
                <w:color w:val="000000"/>
                <w:kern w:val="0"/>
                <w:sz w:val="20"/>
              </w:rPr>
              <w:t>一级</w:t>
            </w:r>
          </w:p>
        </w:tc>
        <w:tc>
          <w:tcPr>
            <w:tcW w:w="850" w:type="dxa"/>
            <w:vAlign w:val="center"/>
          </w:tcPr>
          <w:p>
            <w:pPr>
              <w:spacing w:line="400" w:lineRule="exact"/>
              <w:jc w:val="center"/>
              <w:rPr>
                <w:color w:val="000000"/>
                <w:sz w:val="20"/>
              </w:rPr>
            </w:pPr>
            <w:r>
              <w:rPr>
                <w:color w:val="000000"/>
                <w:sz w:val="20"/>
              </w:rPr>
              <w:t>12</w:t>
            </w:r>
          </w:p>
        </w:tc>
        <w:tc>
          <w:tcPr>
            <w:tcW w:w="850" w:type="dxa"/>
            <w:vAlign w:val="center"/>
          </w:tcPr>
          <w:p>
            <w:pPr>
              <w:widowControl/>
              <w:spacing w:line="400" w:lineRule="exact"/>
              <w:jc w:val="center"/>
              <w:rPr>
                <w:color w:val="000000"/>
                <w:kern w:val="0"/>
                <w:sz w:val="20"/>
              </w:rPr>
            </w:pPr>
            <w:r>
              <w:rPr>
                <w:color w:val="000000"/>
                <w:kern w:val="0"/>
                <w:sz w:val="20"/>
              </w:rPr>
              <w:t>2.221</w:t>
            </w:r>
          </w:p>
        </w:tc>
        <w:tc>
          <w:tcPr>
            <w:tcW w:w="1217" w:type="dxa"/>
            <w:vAlign w:val="center"/>
          </w:tcPr>
          <w:p>
            <w:pPr>
              <w:widowControl/>
              <w:spacing w:line="400" w:lineRule="exact"/>
              <w:jc w:val="center"/>
              <w:rPr>
                <w:color w:val="000000"/>
                <w:kern w:val="0"/>
                <w:sz w:val="20"/>
              </w:rPr>
            </w:pPr>
            <w:r>
              <w:rPr>
                <w:color w:val="000000"/>
                <w:kern w:val="0"/>
                <w:sz w:val="20"/>
              </w:rPr>
              <w:t>非正态分布</w:t>
            </w:r>
          </w:p>
        </w:tc>
        <w:tc>
          <w:tcPr>
            <w:tcW w:w="850" w:type="dxa"/>
            <w:vAlign w:val="center"/>
          </w:tcPr>
          <w:p>
            <w:pPr>
              <w:widowControl/>
              <w:jc w:val="center"/>
              <w:textAlignment w:val="center"/>
              <w:rPr>
                <w:color w:val="000000"/>
                <w:kern w:val="0"/>
                <w:sz w:val="22"/>
                <w:szCs w:val="22"/>
              </w:rPr>
            </w:pPr>
            <w:r>
              <w:rPr>
                <w:color w:val="000000"/>
                <w:kern w:val="0"/>
                <w:sz w:val="22"/>
                <w:szCs w:val="22"/>
                <w:lang/>
              </w:rPr>
              <w:t>J010</w:t>
            </w:r>
          </w:p>
        </w:tc>
        <w:tc>
          <w:tcPr>
            <w:tcW w:w="850" w:type="dxa"/>
            <w:vAlign w:val="center"/>
          </w:tcPr>
          <w:p>
            <w:pPr>
              <w:widowControl/>
              <w:spacing w:line="400" w:lineRule="exact"/>
              <w:jc w:val="center"/>
              <w:rPr>
                <w:color w:val="000000"/>
                <w:kern w:val="0"/>
                <w:sz w:val="20"/>
              </w:rPr>
            </w:pPr>
            <w:r>
              <w:rPr>
                <w:color w:val="000000"/>
                <w:kern w:val="0"/>
                <w:sz w:val="20"/>
              </w:rPr>
              <w:t>二级</w:t>
            </w:r>
          </w:p>
        </w:tc>
        <w:tc>
          <w:tcPr>
            <w:tcW w:w="917" w:type="dxa"/>
            <w:vAlign w:val="center"/>
          </w:tcPr>
          <w:p>
            <w:pPr>
              <w:spacing w:line="400" w:lineRule="exact"/>
              <w:jc w:val="center"/>
              <w:rPr>
                <w:color w:val="000000"/>
                <w:sz w:val="20"/>
              </w:rPr>
            </w:pPr>
            <w:r>
              <w:rPr>
                <w:color w:val="000000"/>
                <w:sz w:val="20"/>
              </w:rPr>
              <w:t>13</w:t>
            </w:r>
          </w:p>
        </w:tc>
        <w:tc>
          <w:tcPr>
            <w:tcW w:w="816" w:type="dxa"/>
            <w:vAlign w:val="center"/>
          </w:tcPr>
          <w:p>
            <w:pPr>
              <w:widowControl/>
              <w:spacing w:line="400" w:lineRule="exact"/>
              <w:jc w:val="center"/>
              <w:rPr>
                <w:color w:val="000000"/>
                <w:kern w:val="0"/>
                <w:sz w:val="20"/>
              </w:rPr>
            </w:pPr>
            <w:r>
              <w:rPr>
                <w:color w:val="000000"/>
                <w:kern w:val="0"/>
                <w:sz w:val="20"/>
              </w:rPr>
              <w:t>0.921</w:t>
            </w:r>
          </w:p>
        </w:tc>
        <w:tc>
          <w:tcPr>
            <w:tcW w:w="1418" w:type="dxa"/>
            <w:vAlign w:val="center"/>
          </w:tcPr>
          <w:p>
            <w:pPr>
              <w:widowControl/>
              <w:spacing w:line="400" w:lineRule="exact"/>
              <w:jc w:val="center"/>
              <w:rPr>
                <w:color w:val="000000"/>
                <w:kern w:val="0"/>
                <w:sz w:val="20"/>
              </w:rPr>
            </w:pPr>
            <w:r>
              <w:rPr>
                <w:color w:val="000000"/>
                <w:kern w:val="0"/>
                <w:sz w:val="20"/>
              </w:rPr>
              <w:t>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6" w:type="dxa"/>
            <w:vAlign w:val="center"/>
          </w:tcPr>
          <w:p>
            <w:pPr>
              <w:widowControl/>
              <w:jc w:val="center"/>
              <w:textAlignment w:val="center"/>
              <w:rPr>
                <w:color w:val="000000"/>
                <w:kern w:val="0"/>
                <w:sz w:val="22"/>
                <w:szCs w:val="22"/>
              </w:rPr>
            </w:pPr>
            <w:r>
              <w:rPr>
                <w:color w:val="000000"/>
                <w:kern w:val="0"/>
                <w:sz w:val="22"/>
                <w:szCs w:val="22"/>
                <w:lang/>
              </w:rPr>
              <w:t>J012</w:t>
            </w:r>
          </w:p>
        </w:tc>
        <w:tc>
          <w:tcPr>
            <w:tcW w:w="750" w:type="dxa"/>
            <w:vAlign w:val="center"/>
          </w:tcPr>
          <w:p>
            <w:pPr>
              <w:widowControl/>
              <w:spacing w:line="400" w:lineRule="exact"/>
              <w:jc w:val="center"/>
              <w:rPr>
                <w:color w:val="000000"/>
                <w:kern w:val="0"/>
                <w:sz w:val="20"/>
              </w:rPr>
            </w:pPr>
            <w:r>
              <w:rPr>
                <w:color w:val="000000"/>
                <w:kern w:val="0"/>
                <w:sz w:val="20"/>
              </w:rPr>
              <w:t>一级</w:t>
            </w:r>
          </w:p>
        </w:tc>
        <w:tc>
          <w:tcPr>
            <w:tcW w:w="850" w:type="dxa"/>
            <w:vAlign w:val="center"/>
          </w:tcPr>
          <w:p>
            <w:pPr>
              <w:spacing w:line="400" w:lineRule="exact"/>
              <w:jc w:val="center"/>
              <w:rPr>
                <w:color w:val="000000"/>
                <w:sz w:val="20"/>
              </w:rPr>
            </w:pPr>
            <w:r>
              <w:rPr>
                <w:color w:val="000000"/>
                <w:sz w:val="20"/>
              </w:rPr>
              <w:t>10</w:t>
            </w:r>
          </w:p>
        </w:tc>
        <w:tc>
          <w:tcPr>
            <w:tcW w:w="850" w:type="dxa"/>
            <w:vAlign w:val="center"/>
          </w:tcPr>
          <w:p>
            <w:pPr>
              <w:widowControl/>
              <w:spacing w:line="400" w:lineRule="exact"/>
              <w:jc w:val="center"/>
              <w:rPr>
                <w:color w:val="000000"/>
                <w:kern w:val="0"/>
                <w:sz w:val="20"/>
              </w:rPr>
            </w:pPr>
            <w:r>
              <w:rPr>
                <w:color w:val="000000"/>
                <w:kern w:val="0"/>
                <w:sz w:val="20"/>
              </w:rPr>
              <w:t>-0.467</w:t>
            </w:r>
          </w:p>
        </w:tc>
        <w:tc>
          <w:tcPr>
            <w:tcW w:w="1217" w:type="dxa"/>
            <w:vAlign w:val="center"/>
          </w:tcPr>
          <w:p>
            <w:pPr>
              <w:widowControl/>
              <w:spacing w:line="400" w:lineRule="exact"/>
              <w:jc w:val="center"/>
              <w:rPr>
                <w:color w:val="000000"/>
                <w:kern w:val="0"/>
                <w:sz w:val="20"/>
              </w:rPr>
            </w:pPr>
            <w:r>
              <w:rPr>
                <w:color w:val="000000"/>
                <w:kern w:val="0"/>
                <w:sz w:val="20"/>
              </w:rPr>
              <w:t>正态分布</w:t>
            </w:r>
          </w:p>
        </w:tc>
        <w:tc>
          <w:tcPr>
            <w:tcW w:w="850" w:type="dxa"/>
            <w:vAlign w:val="center"/>
          </w:tcPr>
          <w:p>
            <w:pPr>
              <w:widowControl/>
              <w:jc w:val="center"/>
              <w:textAlignment w:val="center"/>
              <w:rPr>
                <w:color w:val="000000"/>
                <w:kern w:val="0"/>
                <w:sz w:val="22"/>
                <w:szCs w:val="22"/>
              </w:rPr>
            </w:pPr>
            <w:r>
              <w:rPr>
                <w:color w:val="000000"/>
                <w:kern w:val="0"/>
                <w:sz w:val="22"/>
                <w:szCs w:val="22"/>
                <w:lang/>
              </w:rPr>
              <w:t>J017</w:t>
            </w:r>
          </w:p>
        </w:tc>
        <w:tc>
          <w:tcPr>
            <w:tcW w:w="850" w:type="dxa"/>
            <w:vAlign w:val="center"/>
          </w:tcPr>
          <w:p>
            <w:pPr>
              <w:widowControl/>
              <w:spacing w:line="400" w:lineRule="exact"/>
              <w:jc w:val="center"/>
              <w:rPr>
                <w:color w:val="000000"/>
                <w:kern w:val="0"/>
                <w:sz w:val="20"/>
              </w:rPr>
            </w:pPr>
            <w:r>
              <w:rPr>
                <w:color w:val="000000"/>
                <w:kern w:val="0"/>
                <w:sz w:val="20"/>
              </w:rPr>
              <w:t>二级</w:t>
            </w:r>
          </w:p>
        </w:tc>
        <w:tc>
          <w:tcPr>
            <w:tcW w:w="917" w:type="dxa"/>
            <w:vAlign w:val="center"/>
          </w:tcPr>
          <w:p>
            <w:pPr>
              <w:spacing w:line="400" w:lineRule="exact"/>
              <w:jc w:val="center"/>
              <w:rPr>
                <w:color w:val="000000"/>
                <w:sz w:val="20"/>
              </w:rPr>
            </w:pPr>
            <w:r>
              <w:rPr>
                <w:color w:val="000000"/>
                <w:sz w:val="20"/>
              </w:rPr>
              <w:t>12</w:t>
            </w:r>
          </w:p>
        </w:tc>
        <w:tc>
          <w:tcPr>
            <w:tcW w:w="816" w:type="dxa"/>
            <w:vAlign w:val="center"/>
          </w:tcPr>
          <w:p>
            <w:pPr>
              <w:widowControl/>
              <w:spacing w:line="400" w:lineRule="exact"/>
              <w:jc w:val="center"/>
              <w:rPr>
                <w:color w:val="000000"/>
                <w:kern w:val="0"/>
                <w:sz w:val="20"/>
              </w:rPr>
            </w:pPr>
            <w:r>
              <w:rPr>
                <w:color w:val="000000"/>
                <w:kern w:val="0"/>
                <w:sz w:val="20"/>
              </w:rPr>
              <w:t>1.506</w:t>
            </w:r>
          </w:p>
        </w:tc>
        <w:tc>
          <w:tcPr>
            <w:tcW w:w="1418" w:type="dxa"/>
            <w:vAlign w:val="center"/>
          </w:tcPr>
          <w:p>
            <w:pPr>
              <w:widowControl/>
              <w:spacing w:line="400" w:lineRule="exact"/>
              <w:jc w:val="center"/>
              <w:rPr>
                <w:color w:val="000000"/>
                <w:kern w:val="0"/>
                <w:sz w:val="20"/>
              </w:rPr>
            </w:pPr>
            <w:r>
              <w:rPr>
                <w:color w:val="000000"/>
                <w:kern w:val="0"/>
                <w:sz w:val="20"/>
              </w:rPr>
              <w:t>非正态分布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6" w:type="dxa"/>
            <w:vAlign w:val="center"/>
          </w:tcPr>
          <w:p>
            <w:pPr>
              <w:widowControl/>
              <w:jc w:val="center"/>
              <w:textAlignment w:val="center"/>
              <w:rPr>
                <w:color w:val="000000"/>
                <w:kern w:val="0"/>
                <w:sz w:val="22"/>
                <w:szCs w:val="22"/>
              </w:rPr>
            </w:pPr>
            <w:r>
              <w:rPr>
                <w:color w:val="000000"/>
                <w:kern w:val="0"/>
                <w:sz w:val="22"/>
                <w:szCs w:val="22"/>
                <w:lang/>
              </w:rPr>
              <w:t>J013</w:t>
            </w:r>
          </w:p>
        </w:tc>
        <w:tc>
          <w:tcPr>
            <w:tcW w:w="750" w:type="dxa"/>
            <w:vAlign w:val="center"/>
          </w:tcPr>
          <w:p>
            <w:pPr>
              <w:widowControl/>
              <w:spacing w:line="400" w:lineRule="exact"/>
              <w:jc w:val="center"/>
              <w:rPr>
                <w:color w:val="000000"/>
                <w:kern w:val="0"/>
                <w:sz w:val="20"/>
              </w:rPr>
            </w:pPr>
            <w:r>
              <w:rPr>
                <w:color w:val="000000"/>
                <w:kern w:val="0"/>
                <w:sz w:val="20"/>
              </w:rPr>
              <w:t>一级</w:t>
            </w:r>
          </w:p>
        </w:tc>
        <w:tc>
          <w:tcPr>
            <w:tcW w:w="850" w:type="dxa"/>
            <w:vAlign w:val="center"/>
          </w:tcPr>
          <w:p>
            <w:pPr>
              <w:spacing w:line="400" w:lineRule="exact"/>
              <w:jc w:val="center"/>
              <w:rPr>
                <w:color w:val="000000"/>
                <w:sz w:val="20"/>
              </w:rPr>
            </w:pPr>
            <w:r>
              <w:rPr>
                <w:color w:val="000000"/>
                <w:sz w:val="20"/>
              </w:rPr>
              <w:t>16</w:t>
            </w:r>
          </w:p>
        </w:tc>
        <w:tc>
          <w:tcPr>
            <w:tcW w:w="850" w:type="dxa"/>
            <w:vAlign w:val="center"/>
          </w:tcPr>
          <w:p>
            <w:pPr>
              <w:widowControl/>
              <w:spacing w:line="400" w:lineRule="exact"/>
              <w:jc w:val="center"/>
              <w:rPr>
                <w:color w:val="000000"/>
                <w:kern w:val="0"/>
                <w:sz w:val="20"/>
              </w:rPr>
            </w:pPr>
            <w:r>
              <w:rPr>
                <w:color w:val="000000"/>
                <w:kern w:val="0"/>
                <w:sz w:val="20"/>
              </w:rPr>
              <w:t>2.213</w:t>
            </w:r>
          </w:p>
        </w:tc>
        <w:tc>
          <w:tcPr>
            <w:tcW w:w="1217" w:type="dxa"/>
            <w:vAlign w:val="center"/>
          </w:tcPr>
          <w:p>
            <w:pPr>
              <w:widowControl/>
              <w:spacing w:line="400" w:lineRule="exact"/>
              <w:jc w:val="center"/>
              <w:rPr>
                <w:color w:val="000000"/>
                <w:kern w:val="0"/>
                <w:sz w:val="20"/>
              </w:rPr>
            </w:pPr>
            <w:r>
              <w:rPr>
                <w:color w:val="000000"/>
                <w:kern w:val="0"/>
                <w:sz w:val="20"/>
              </w:rPr>
              <w:t>非正态分布</w:t>
            </w:r>
          </w:p>
        </w:tc>
        <w:tc>
          <w:tcPr>
            <w:tcW w:w="850" w:type="dxa"/>
            <w:vAlign w:val="center"/>
          </w:tcPr>
          <w:p>
            <w:pPr>
              <w:widowControl/>
              <w:jc w:val="center"/>
              <w:textAlignment w:val="center"/>
              <w:rPr>
                <w:color w:val="000000"/>
                <w:kern w:val="0"/>
                <w:sz w:val="22"/>
                <w:szCs w:val="22"/>
              </w:rPr>
            </w:pPr>
            <w:r>
              <w:rPr>
                <w:color w:val="000000"/>
                <w:kern w:val="0"/>
                <w:sz w:val="22"/>
                <w:szCs w:val="22"/>
                <w:lang/>
              </w:rPr>
              <w:t>J009</w:t>
            </w:r>
          </w:p>
        </w:tc>
        <w:tc>
          <w:tcPr>
            <w:tcW w:w="850" w:type="dxa"/>
            <w:vAlign w:val="center"/>
          </w:tcPr>
          <w:p>
            <w:pPr>
              <w:widowControl/>
              <w:spacing w:line="400" w:lineRule="exact"/>
              <w:jc w:val="center"/>
              <w:rPr>
                <w:color w:val="000000"/>
                <w:kern w:val="0"/>
                <w:sz w:val="20"/>
              </w:rPr>
            </w:pPr>
            <w:r>
              <w:rPr>
                <w:color w:val="000000"/>
                <w:kern w:val="0"/>
                <w:sz w:val="20"/>
              </w:rPr>
              <w:t>二级</w:t>
            </w:r>
          </w:p>
        </w:tc>
        <w:tc>
          <w:tcPr>
            <w:tcW w:w="917" w:type="dxa"/>
            <w:vAlign w:val="center"/>
          </w:tcPr>
          <w:p>
            <w:pPr>
              <w:spacing w:line="400" w:lineRule="exact"/>
              <w:jc w:val="center"/>
              <w:rPr>
                <w:color w:val="000000"/>
                <w:sz w:val="20"/>
              </w:rPr>
            </w:pPr>
            <w:r>
              <w:rPr>
                <w:color w:val="000000"/>
                <w:sz w:val="20"/>
              </w:rPr>
              <w:t>11</w:t>
            </w:r>
          </w:p>
        </w:tc>
        <w:tc>
          <w:tcPr>
            <w:tcW w:w="816" w:type="dxa"/>
            <w:vAlign w:val="center"/>
          </w:tcPr>
          <w:p>
            <w:pPr>
              <w:widowControl/>
              <w:spacing w:line="400" w:lineRule="exact"/>
              <w:jc w:val="center"/>
              <w:rPr>
                <w:color w:val="000000"/>
                <w:kern w:val="0"/>
                <w:sz w:val="20"/>
              </w:rPr>
            </w:pPr>
            <w:r>
              <w:rPr>
                <w:color w:val="000000"/>
                <w:kern w:val="0"/>
                <w:sz w:val="20"/>
              </w:rPr>
              <w:t>0.83</w:t>
            </w:r>
          </w:p>
        </w:tc>
        <w:tc>
          <w:tcPr>
            <w:tcW w:w="1418" w:type="dxa"/>
            <w:vAlign w:val="center"/>
          </w:tcPr>
          <w:p>
            <w:pPr>
              <w:widowControl/>
              <w:spacing w:line="400" w:lineRule="exact"/>
              <w:jc w:val="center"/>
              <w:rPr>
                <w:color w:val="000000"/>
                <w:kern w:val="0"/>
                <w:sz w:val="20"/>
              </w:rPr>
            </w:pPr>
            <w:r>
              <w:rPr>
                <w:color w:val="000000"/>
                <w:kern w:val="0"/>
                <w:sz w:val="20"/>
              </w:rPr>
              <w:t>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6" w:type="dxa"/>
            <w:vAlign w:val="center"/>
          </w:tcPr>
          <w:p>
            <w:pPr>
              <w:widowControl/>
              <w:jc w:val="center"/>
              <w:textAlignment w:val="center"/>
              <w:rPr>
                <w:color w:val="000000"/>
                <w:kern w:val="0"/>
                <w:sz w:val="22"/>
                <w:szCs w:val="22"/>
              </w:rPr>
            </w:pPr>
            <w:r>
              <w:rPr>
                <w:color w:val="000000"/>
                <w:kern w:val="0"/>
                <w:sz w:val="22"/>
                <w:szCs w:val="22"/>
                <w:lang/>
              </w:rPr>
              <w:t>J014</w:t>
            </w:r>
          </w:p>
        </w:tc>
        <w:tc>
          <w:tcPr>
            <w:tcW w:w="750" w:type="dxa"/>
            <w:vAlign w:val="center"/>
          </w:tcPr>
          <w:p>
            <w:pPr>
              <w:widowControl/>
              <w:spacing w:line="400" w:lineRule="exact"/>
              <w:jc w:val="center"/>
              <w:rPr>
                <w:color w:val="000000"/>
                <w:kern w:val="0"/>
                <w:sz w:val="20"/>
              </w:rPr>
            </w:pPr>
            <w:r>
              <w:rPr>
                <w:color w:val="000000"/>
                <w:kern w:val="0"/>
                <w:sz w:val="20"/>
              </w:rPr>
              <w:t>一级</w:t>
            </w:r>
          </w:p>
        </w:tc>
        <w:tc>
          <w:tcPr>
            <w:tcW w:w="850" w:type="dxa"/>
            <w:vAlign w:val="center"/>
          </w:tcPr>
          <w:p>
            <w:pPr>
              <w:spacing w:line="400" w:lineRule="exact"/>
              <w:jc w:val="center"/>
              <w:rPr>
                <w:color w:val="000000"/>
                <w:sz w:val="20"/>
              </w:rPr>
            </w:pPr>
            <w:r>
              <w:rPr>
                <w:color w:val="000000"/>
                <w:sz w:val="20"/>
              </w:rPr>
              <w:t>14</w:t>
            </w:r>
          </w:p>
        </w:tc>
        <w:tc>
          <w:tcPr>
            <w:tcW w:w="850" w:type="dxa"/>
            <w:vAlign w:val="center"/>
          </w:tcPr>
          <w:p>
            <w:pPr>
              <w:widowControl/>
              <w:spacing w:line="400" w:lineRule="exact"/>
              <w:jc w:val="center"/>
              <w:rPr>
                <w:color w:val="000000"/>
                <w:kern w:val="0"/>
                <w:sz w:val="20"/>
              </w:rPr>
            </w:pPr>
            <w:r>
              <w:rPr>
                <w:color w:val="000000"/>
                <w:kern w:val="0"/>
                <w:sz w:val="20"/>
              </w:rPr>
              <w:t>-1.129</w:t>
            </w:r>
          </w:p>
        </w:tc>
        <w:tc>
          <w:tcPr>
            <w:tcW w:w="1217" w:type="dxa"/>
            <w:vAlign w:val="center"/>
          </w:tcPr>
          <w:p>
            <w:pPr>
              <w:widowControl/>
              <w:spacing w:line="400" w:lineRule="exact"/>
              <w:jc w:val="center"/>
              <w:rPr>
                <w:color w:val="000000"/>
                <w:kern w:val="0"/>
                <w:sz w:val="20"/>
              </w:rPr>
            </w:pPr>
            <w:r>
              <w:rPr>
                <w:color w:val="000000"/>
                <w:kern w:val="0"/>
                <w:sz w:val="20"/>
              </w:rPr>
              <w:t>非正态分布</w:t>
            </w:r>
          </w:p>
        </w:tc>
        <w:tc>
          <w:tcPr>
            <w:tcW w:w="850" w:type="dxa"/>
            <w:vAlign w:val="center"/>
          </w:tcPr>
          <w:p>
            <w:pPr>
              <w:widowControl/>
              <w:jc w:val="center"/>
              <w:textAlignment w:val="center"/>
              <w:rPr>
                <w:color w:val="000000"/>
                <w:kern w:val="0"/>
                <w:sz w:val="22"/>
                <w:szCs w:val="22"/>
              </w:rPr>
            </w:pPr>
            <w:r>
              <w:rPr>
                <w:color w:val="000000"/>
                <w:kern w:val="0"/>
                <w:sz w:val="22"/>
                <w:szCs w:val="22"/>
                <w:lang/>
              </w:rPr>
              <w:t>J004</w:t>
            </w:r>
          </w:p>
        </w:tc>
        <w:tc>
          <w:tcPr>
            <w:tcW w:w="850" w:type="dxa"/>
            <w:vAlign w:val="center"/>
          </w:tcPr>
          <w:p>
            <w:pPr>
              <w:widowControl/>
              <w:spacing w:line="400" w:lineRule="exact"/>
              <w:jc w:val="center"/>
              <w:rPr>
                <w:color w:val="000000"/>
                <w:kern w:val="0"/>
                <w:sz w:val="20"/>
              </w:rPr>
            </w:pPr>
            <w:r>
              <w:rPr>
                <w:color w:val="000000"/>
                <w:kern w:val="0"/>
                <w:sz w:val="20"/>
              </w:rPr>
              <w:t>二级</w:t>
            </w:r>
          </w:p>
        </w:tc>
        <w:tc>
          <w:tcPr>
            <w:tcW w:w="917" w:type="dxa"/>
            <w:vAlign w:val="center"/>
          </w:tcPr>
          <w:p>
            <w:pPr>
              <w:spacing w:line="400" w:lineRule="exact"/>
              <w:jc w:val="center"/>
              <w:rPr>
                <w:color w:val="000000"/>
                <w:sz w:val="20"/>
              </w:rPr>
            </w:pPr>
            <w:r>
              <w:rPr>
                <w:color w:val="000000"/>
                <w:sz w:val="20"/>
              </w:rPr>
              <w:t>10</w:t>
            </w:r>
          </w:p>
        </w:tc>
        <w:tc>
          <w:tcPr>
            <w:tcW w:w="816" w:type="dxa"/>
            <w:vAlign w:val="center"/>
          </w:tcPr>
          <w:p>
            <w:pPr>
              <w:widowControl/>
              <w:spacing w:line="400" w:lineRule="exact"/>
              <w:jc w:val="center"/>
              <w:rPr>
                <w:color w:val="000000"/>
                <w:kern w:val="0"/>
                <w:sz w:val="20"/>
              </w:rPr>
            </w:pPr>
            <w:r>
              <w:rPr>
                <w:color w:val="000000"/>
                <w:kern w:val="0"/>
                <w:sz w:val="20"/>
              </w:rPr>
              <w:t>1.372</w:t>
            </w:r>
          </w:p>
        </w:tc>
        <w:tc>
          <w:tcPr>
            <w:tcW w:w="1418" w:type="dxa"/>
            <w:vAlign w:val="center"/>
          </w:tcPr>
          <w:p>
            <w:pPr>
              <w:widowControl/>
              <w:spacing w:line="400" w:lineRule="exact"/>
              <w:jc w:val="center"/>
              <w:rPr>
                <w:color w:val="000000"/>
                <w:kern w:val="0"/>
                <w:sz w:val="20"/>
              </w:rPr>
            </w:pPr>
            <w:r>
              <w:rPr>
                <w:color w:val="000000"/>
                <w:kern w:val="0"/>
                <w:sz w:val="20"/>
              </w:rPr>
              <w:t>非正态分布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6" w:type="dxa"/>
            <w:vAlign w:val="center"/>
          </w:tcPr>
          <w:p>
            <w:pPr>
              <w:widowControl/>
              <w:jc w:val="center"/>
              <w:textAlignment w:val="center"/>
              <w:rPr>
                <w:color w:val="000000"/>
                <w:kern w:val="0"/>
                <w:sz w:val="22"/>
                <w:szCs w:val="22"/>
              </w:rPr>
            </w:pPr>
            <w:r>
              <w:rPr>
                <w:color w:val="000000"/>
                <w:kern w:val="0"/>
                <w:sz w:val="22"/>
                <w:szCs w:val="22"/>
                <w:lang/>
              </w:rPr>
              <w:t>J019</w:t>
            </w:r>
          </w:p>
        </w:tc>
        <w:tc>
          <w:tcPr>
            <w:tcW w:w="750" w:type="dxa"/>
            <w:vAlign w:val="center"/>
          </w:tcPr>
          <w:p>
            <w:pPr>
              <w:widowControl/>
              <w:spacing w:line="400" w:lineRule="exact"/>
              <w:jc w:val="center"/>
              <w:rPr>
                <w:color w:val="000000"/>
                <w:kern w:val="0"/>
                <w:sz w:val="20"/>
              </w:rPr>
            </w:pPr>
            <w:r>
              <w:rPr>
                <w:color w:val="000000"/>
                <w:kern w:val="0"/>
                <w:sz w:val="20"/>
              </w:rPr>
              <w:t>一级</w:t>
            </w:r>
          </w:p>
        </w:tc>
        <w:tc>
          <w:tcPr>
            <w:tcW w:w="850" w:type="dxa"/>
            <w:vAlign w:val="center"/>
          </w:tcPr>
          <w:p>
            <w:pPr>
              <w:spacing w:line="400" w:lineRule="exact"/>
              <w:jc w:val="center"/>
              <w:rPr>
                <w:color w:val="000000"/>
                <w:sz w:val="20"/>
              </w:rPr>
            </w:pPr>
            <w:r>
              <w:rPr>
                <w:color w:val="000000"/>
                <w:sz w:val="20"/>
              </w:rPr>
              <w:t>15</w:t>
            </w:r>
          </w:p>
        </w:tc>
        <w:tc>
          <w:tcPr>
            <w:tcW w:w="850" w:type="dxa"/>
            <w:vAlign w:val="center"/>
          </w:tcPr>
          <w:p>
            <w:pPr>
              <w:widowControl/>
              <w:spacing w:line="400" w:lineRule="exact"/>
              <w:jc w:val="center"/>
              <w:rPr>
                <w:color w:val="000000"/>
                <w:kern w:val="0"/>
                <w:sz w:val="20"/>
              </w:rPr>
            </w:pPr>
            <w:r>
              <w:rPr>
                <w:color w:val="000000"/>
                <w:kern w:val="0"/>
                <w:sz w:val="20"/>
              </w:rPr>
              <w:t>-0.231</w:t>
            </w:r>
          </w:p>
        </w:tc>
        <w:tc>
          <w:tcPr>
            <w:tcW w:w="1217" w:type="dxa"/>
            <w:vAlign w:val="center"/>
          </w:tcPr>
          <w:p>
            <w:pPr>
              <w:widowControl/>
              <w:spacing w:line="400" w:lineRule="exact"/>
              <w:jc w:val="center"/>
              <w:rPr>
                <w:color w:val="000000"/>
                <w:kern w:val="0"/>
                <w:sz w:val="20"/>
              </w:rPr>
            </w:pPr>
            <w:r>
              <w:rPr>
                <w:color w:val="000000"/>
                <w:kern w:val="0"/>
                <w:sz w:val="20"/>
              </w:rPr>
              <w:t>正态分布</w:t>
            </w:r>
          </w:p>
        </w:tc>
        <w:tc>
          <w:tcPr>
            <w:tcW w:w="850" w:type="dxa"/>
            <w:vAlign w:val="center"/>
          </w:tcPr>
          <w:p>
            <w:pPr>
              <w:widowControl/>
              <w:jc w:val="center"/>
              <w:textAlignment w:val="center"/>
              <w:rPr>
                <w:color w:val="000000"/>
                <w:kern w:val="0"/>
                <w:sz w:val="22"/>
                <w:szCs w:val="22"/>
              </w:rPr>
            </w:pPr>
            <w:r>
              <w:rPr>
                <w:color w:val="000000"/>
                <w:kern w:val="0"/>
                <w:sz w:val="22"/>
                <w:szCs w:val="22"/>
                <w:lang/>
              </w:rPr>
              <w:t>J005</w:t>
            </w:r>
          </w:p>
        </w:tc>
        <w:tc>
          <w:tcPr>
            <w:tcW w:w="850" w:type="dxa"/>
            <w:vAlign w:val="center"/>
          </w:tcPr>
          <w:p>
            <w:pPr>
              <w:widowControl/>
              <w:spacing w:line="400" w:lineRule="exact"/>
              <w:jc w:val="center"/>
              <w:rPr>
                <w:color w:val="000000"/>
                <w:kern w:val="0"/>
                <w:sz w:val="20"/>
              </w:rPr>
            </w:pPr>
            <w:r>
              <w:rPr>
                <w:color w:val="000000"/>
                <w:kern w:val="0"/>
                <w:sz w:val="20"/>
              </w:rPr>
              <w:t>二级</w:t>
            </w:r>
          </w:p>
        </w:tc>
        <w:tc>
          <w:tcPr>
            <w:tcW w:w="917" w:type="dxa"/>
            <w:vAlign w:val="center"/>
          </w:tcPr>
          <w:p>
            <w:pPr>
              <w:spacing w:line="400" w:lineRule="exact"/>
              <w:jc w:val="center"/>
              <w:rPr>
                <w:color w:val="000000"/>
                <w:sz w:val="20"/>
              </w:rPr>
            </w:pPr>
            <w:r>
              <w:rPr>
                <w:rFonts w:hint="eastAsia"/>
                <w:color w:val="000000"/>
                <w:sz w:val="20"/>
              </w:rPr>
              <w:t>10</w:t>
            </w:r>
          </w:p>
        </w:tc>
        <w:tc>
          <w:tcPr>
            <w:tcW w:w="816" w:type="dxa"/>
            <w:vAlign w:val="center"/>
          </w:tcPr>
          <w:p>
            <w:pPr>
              <w:widowControl/>
              <w:spacing w:line="400" w:lineRule="exact"/>
              <w:jc w:val="center"/>
              <w:rPr>
                <w:color w:val="000000"/>
                <w:kern w:val="0"/>
                <w:sz w:val="20"/>
              </w:rPr>
            </w:pPr>
            <w:r>
              <w:rPr>
                <w:color w:val="000000"/>
                <w:kern w:val="0"/>
                <w:sz w:val="20"/>
              </w:rPr>
              <w:t>-1.332</w:t>
            </w:r>
          </w:p>
        </w:tc>
        <w:tc>
          <w:tcPr>
            <w:tcW w:w="1418" w:type="dxa"/>
            <w:vAlign w:val="center"/>
          </w:tcPr>
          <w:p>
            <w:pPr>
              <w:widowControl/>
              <w:spacing w:line="400" w:lineRule="exact"/>
              <w:jc w:val="center"/>
              <w:rPr>
                <w:color w:val="000000"/>
                <w:kern w:val="0"/>
                <w:sz w:val="20"/>
              </w:rPr>
            </w:pPr>
            <w:r>
              <w:rPr>
                <w:color w:val="000000"/>
                <w:kern w:val="0"/>
                <w:sz w:val="20"/>
              </w:rPr>
              <w:t>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6" w:type="dxa"/>
            <w:vAlign w:val="center"/>
          </w:tcPr>
          <w:p>
            <w:pPr>
              <w:widowControl/>
              <w:jc w:val="center"/>
              <w:textAlignment w:val="center"/>
              <w:rPr>
                <w:color w:val="000000"/>
                <w:kern w:val="0"/>
                <w:sz w:val="22"/>
                <w:szCs w:val="22"/>
              </w:rPr>
            </w:pPr>
            <w:r>
              <w:rPr>
                <w:color w:val="000000"/>
                <w:kern w:val="0"/>
                <w:sz w:val="22"/>
                <w:szCs w:val="22"/>
                <w:lang/>
              </w:rPr>
              <w:t>J011</w:t>
            </w:r>
          </w:p>
        </w:tc>
        <w:tc>
          <w:tcPr>
            <w:tcW w:w="750" w:type="dxa"/>
            <w:vAlign w:val="center"/>
          </w:tcPr>
          <w:p>
            <w:pPr>
              <w:widowControl/>
              <w:spacing w:line="400" w:lineRule="exact"/>
              <w:jc w:val="center"/>
              <w:rPr>
                <w:color w:val="000000"/>
                <w:kern w:val="0"/>
                <w:sz w:val="20"/>
              </w:rPr>
            </w:pPr>
            <w:r>
              <w:rPr>
                <w:color w:val="000000"/>
                <w:kern w:val="0"/>
                <w:sz w:val="20"/>
              </w:rPr>
              <w:t>二级</w:t>
            </w:r>
          </w:p>
        </w:tc>
        <w:tc>
          <w:tcPr>
            <w:tcW w:w="850" w:type="dxa"/>
            <w:vAlign w:val="center"/>
          </w:tcPr>
          <w:p>
            <w:pPr>
              <w:spacing w:line="400" w:lineRule="exact"/>
              <w:jc w:val="center"/>
              <w:rPr>
                <w:color w:val="000000"/>
                <w:sz w:val="20"/>
              </w:rPr>
            </w:pPr>
            <w:r>
              <w:rPr>
                <w:color w:val="000000"/>
                <w:sz w:val="20"/>
              </w:rPr>
              <w:t>12</w:t>
            </w:r>
          </w:p>
        </w:tc>
        <w:tc>
          <w:tcPr>
            <w:tcW w:w="850" w:type="dxa"/>
            <w:vAlign w:val="center"/>
          </w:tcPr>
          <w:p>
            <w:pPr>
              <w:widowControl/>
              <w:spacing w:line="400" w:lineRule="exact"/>
              <w:jc w:val="center"/>
              <w:rPr>
                <w:color w:val="000000"/>
                <w:kern w:val="0"/>
                <w:sz w:val="20"/>
              </w:rPr>
            </w:pPr>
            <w:r>
              <w:rPr>
                <w:color w:val="000000"/>
                <w:kern w:val="0"/>
                <w:sz w:val="20"/>
              </w:rPr>
              <w:t>0.683</w:t>
            </w:r>
          </w:p>
        </w:tc>
        <w:tc>
          <w:tcPr>
            <w:tcW w:w="1217" w:type="dxa"/>
            <w:vAlign w:val="center"/>
          </w:tcPr>
          <w:p>
            <w:pPr>
              <w:widowControl/>
              <w:spacing w:line="400" w:lineRule="exact"/>
              <w:jc w:val="center"/>
              <w:rPr>
                <w:color w:val="000000"/>
                <w:kern w:val="0"/>
                <w:sz w:val="20"/>
              </w:rPr>
            </w:pPr>
            <w:r>
              <w:rPr>
                <w:color w:val="000000"/>
                <w:kern w:val="0"/>
                <w:sz w:val="20"/>
              </w:rPr>
              <w:t>正态分布</w:t>
            </w:r>
          </w:p>
        </w:tc>
        <w:tc>
          <w:tcPr>
            <w:tcW w:w="850" w:type="dxa"/>
            <w:vAlign w:val="center"/>
          </w:tcPr>
          <w:p>
            <w:pPr>
              <w:widowControl/>
              <w:jc w:val="center"/>
              <w:textAlignment w:val="center"/>
              <w:rPr>
                <w:color w:val="000000"/>
                <w:kern w:val="0"/>
                <w:sz w:val="22"/>
                <w:szCs w:val="22"/>
              </w:rPr>
            </w:pPr>
            <w:r>
              <w:rPr>
                <w:color w:val="000000"/>
                <w:kern w:val="0"/>
                <w:sz w:val="22"/>
                <w:szCs w:val="22"/>
                <w:lang/>
              </w:rPr>
              <w:t>J003</w:t>
            </w:r>
          </w:p>
        </w:tc>
        <w:tc>
          <w:tcPr>
            <w:tcW w:w="850" w:type="dxa"/>
            <w:vAlign w:val="center"/>
          </w:tcPr>
          <w:p>
            <w:pPr>
              <w:widowControl/>
              <w:spacing w:line="400" w:lineRule="exact"/>
              <w:jc w:val="center"/>
              <w:rPr>
                <w:color w:val="000000"/>
                <w:kern w:val="0"/>
                <w:sz w:val="20"/>
              </w:rPr>
            </w:pPr>
            <w:r>
              <w:rPr>
                <w:color w:val="000000"/>
                <w:kern w:val="0"/>
                <w:sz w:val="20"/>
              </w:rPr>
              <w:t>二级</w:t>
            </w:r>
          </w:p>
        </w:tc>
        <w:tc>
          <w:tcPr>
            <w:tcW w:w="917" w:type="dxa"/>
            <w:vAlign w:val="center"/>
          </w:tcPr>
          <w:p>
            <w:pPr>
              <w:spacing w:line="400" w:lineRule="exact"/>
              <w:jc w:val="center"/>
              <w:rPr>
                <w:color w:val="000000"/>
                <w:sz w:val="20"/>
              </w:rPr>
            </w:pPr>
            <w:r>
              <w:rPr>
                <w:color w:val="000000"/>
                <w:sz w:val="20"/>
              </w:rPr>
              <w:t>12</w:t>
            </w:r>
          </w:p>
        </w:tc>
        <w:tc>
          <w:tcPr>
            <w:tcW w:w="816" w:type="dxa"/>
            <w:vAlign w:val="center"/>
          </w:tcPr>
          <w:p>
            <w:pPr>
              <w:widowControl/>
              <w:spacing w:line="400" w:lineRule="exact"/>
              <w:jc w:val="center"/>
              <w:rPr>
                <w:color w:val="000000"/>
                <w:kern w:val="0"/>
                <w:sz w:val="20"/>
              </w:rPr>
            </w:pPr>
            <w:r>
              <w:rPr>
                <w:color w:val="000000"/>
                <w:kern w:val="0"/>
                <w:sz w:val="20"/>
              </w:rPr>
              <w:t>0.665</w:t>
            </w:r>
          </w:p>
        </w:tc>
        <w:tc>
          <w:tcPr>
            <w:tcW w:w="1418" w:type="dxa"/>
            <w:vAlign w:val="center"/>
          </w:tcPr>
          <w:p>
            <w:pPr>
              <w:widowControl/>
              <w:spacing w:line="400" w:lineRule="exact"/>
              <w:jc w:val="center"/>
              <w:rPr>
                <w:color w:val="000000"/>
                <w:kern w:val="0"/>
                <w:sz w:val="20"/>
              </w:rPr>
            </w:pPr>
            <w:r>
              <w:rPr>
                <w:color w:val="000000"/>
                <w:kern w:val="0"/>
                <w:sz w:val="20"/>
              </w:rPr>
              <w:t>非正态分布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6" w:type="dxa"/>
            <w:vAlign w:val="center"/>
          </w:tcPr>
          <w:p>
            <w:pPr>
              <w:widowControl/>
              <w:jc w:val="center"/>
              <w:textAlignment w:val="center"/>
              <w:rPr>
                <w:color w:val="000000"/>
                <w:kern w:val="0"/>
                <w:sz w:val="22"/>
                <w:szCs w:val="22"/>
              </w:rPr>
            </w:pPr>
            <w:r>
              <w:rPr>
                <w:color w:val="000000"/>
                <w:kern w:val="0"/>
                <w:sz w:val="22"/>
                <w:szCs w:val="22"/>
                <w:lang/>
              </w:rPr>
              <w:t>J020</w:t>
            </w:r>
          </w:p>
        </w:tc>
        <w:tc>
          <w:tcPr>
            <w:tcW w:w="750" w:type="dxa"/>
            <w:vAlign w:val="center"/>
          </w:tcPr>
          <w:p>
            <w:pPr>
              <w:widowControl/>
              <w:spacing w:line="400" w:lineRule="exact"/>
              <w:jc w:val="center"/>
              <w:rPr>
                <w:color w:val="000000"/>
                <w:kern w:val="0"/>
                <w:sz w:val="20"/>
              </w:rPr>
            </w:pPr>
            <w:r>
              <w:rPr>
                <w:color w:val="000000"/>
                <w:kern w:val="0"/>
                <w:sz w:val="20"/>
              </w:rPr>
              <w:t>二级</w:t>
            </w:r>
          </w:p>
        </w:tc>
        <w:tc>
          <w:tcPr>
            <w:tcW w:w="850" w:type="dxa"/>
            <w:vAlign w:val="center"/>
          </w:tcPr>
          <w:p>
            <w:pPr>
              <w:spacing w:line="400" w:lineRule="exact"/>
              <w:jc w:val="center"/>
              <w:rPr>
                <w:color w:val="000000"/>
                <w:sz w:val="20"/>
              </w:rPr>
            </w:pPr>
            <w:r>
              <w:rPr>
                <w:color w:val="000000"/>
                <w:sz w:val="20"/>
              </w:rPr>
              <w:t>13</w:t>
            </w:r>
          </w:p>
        </w:tc>
        <w:tc>
          <w:tcPr>
            <w:tcW w:w="850" w:type="dxa"/>
            <w:vAlign w:val="center"/>
          </w:tcPr>
          <w:p>
            <w:pPr>
              <w:widowControl/>
              <w:spacing w:line="400" w:lineRule="exact"/>
              <w:jc w:val="center"/>
              <w:rPr>
                <w:color w:val="000000"/>
                <w:kern w:val="0"/>
                <w:sz w:val="20"/>
              </w:rPr>
            </w:pPr>
            <w:r>
              <w:rPr>
                <w:color w:val="000000"/>
                <w:kern w:val="0"/>
                <w:sz w:val="20"/>
              </w:rPr>
              <w:t>-1.427</w:t>
            </w:r>
          </w:p>
        </w:tc>
        <w:tc>
          <w:tcPr>
            <w:tcW w:w="1217" w:type="dxa"/>
            <w:vAlign w:val="center"/>
          </w:tcPr>
          <w:p>
            <w:pPr>
              <w:widowControl/>
              <w:spacing w:line="400" w:lineRule="exact"/>
              <w:jc w:val="center"/>
              <w:rPr>
                <w:color w:val="000000"/>
                <w:kern w:val="0"/>
                <w:sz w:val="20"/>
              </w:rPr>
            </w:pPr>
            <w:r>
              <w:rPr>
                <w:color w:val="000000"/>
                <w:kern w:val="0"/>
                <w:sz w:val="20"/>
              </w:rPr>
              <w:t>非正态分布</w:t>
            </w:r>
          </w:p>
        </w:tc>
        <w:tc>
          <w:tcPr>
            <w:tcW w:w="850" w:type="dxa"/>
            <w:vAlign w:val="center"/>
          </w:tcPr>
          <w:p>
            <w:pPr>
              <w:widowControl/>
              <w:jc w:val="center"/>
              <w:textAlignment w:val="center"/>
              <w:rPr>
                <w:color w:val="000000"/>
                <w:kern w:val="0"/>
                <w:sz w:val="22"/>
                <w:szCs w:val="22"/>
              </w:rPr>
            </w:pPr>
            <w:r>
              <w:rPr>
                <w:color w:val="000000"/>
                <w:kern w:val="0"/>
                <w:sz w:val="22"/>
                <w:szCs w:val="22"/>
                <w:lang/>
              </w:rPr>
              <w:t>J027</w:t>
            </w:r>
          </w:p>
        </w:tc>
        <w:tc>
          <w:tcPr>
            <w:tcW w:w="850" w:type="dxa"/>
            <w:vAlign w:val="center"/>
          </w:tcPr>
          <w:p>
            <w:pPr>
              <w:widowControl/>
              <w:spacing w:line="400" w:lineRule="exact"/>
              <w:jc w:val="center"/>
              <w:rPr>
                <w:color w:val="000000"/>
                <w:kern w:val="0"/>
                <w:sz w:val="20"/>
              </w:rPr>
            </w:pPr>
            <w:r>
              <w:rPr>
                <w:color w:val="000000"/>
                <w:kern w:val="0"/>
                <w:sz w:val="20"/>
              </w:rPr>
              <w:t>三级</w:t>
            </w:r>
          </w:p>
        </w:tc>
        <w:tc>
          <w:tcPr>
            <w:tcW w:w="917" w:type="dxa"/>
            <w:vAlign w:val="center"/>
          </w:tcPr>
          <w:p>
            <w:pPr>
              <w:spacing w:line="400" w:lineRule="exact"/>
              <w:jc w:val="center"/>
              <w:rPr>
                <w:color w:val="000000"/>
                <w:sz w:val="20"/>
              </w:rPr>
            </w:pPr>
            <w:r>
              <w:rPr>
                <w:color w:val="000000"/>
                <w:sz w:val="20"/>
              </w:rPr>
              <w:t>12</w:t>
            </w:r>
          </w:p>
        </w:tc>
        <w:tc>
          <w:tcPr>
            <w:tcW w:w="816" w:type="dxa"/>
            <w:vAlign w:val="center"/>
          </w:tcPr>
          <w:p>
            <w:pPr>
              <w:widowControl/>
              <w:spacing w:line="400" w:lineRule="exact"/>
              <w:jc w:val="center"/>
              <w:rPr>
                <w:color w:val="000000"/>
                <w:kern w:val="0"/>
                <w:sz w:val="20"/>
              </w:rPr>
            </w:pPr>
            <w:r>
              <w:rPr>
                <w:color w:val="000000"/>
                <w:kern w:val="0"/>
                <w:sz w:val="20"/>
              </w:rPr>
              <w:t>0.732</w:t>
            </w:r>
          </w:p>
        </w:tc>
        <w:tc>
          <w:tcPr>
            <w:tcW w:w="1418" w:type="dxa"/>
            <w:vAlign w:val="center"/>
          </w:tcPr>
          <w:p>
            <w:pPr>
              <w:widowControl/>
              <w:spacing w:line="400" w:lineRule="exact"/>
              <w:jc w:val="center"/>
              <w:rPr>
                <w:color w:val="000000"/>
                <w:kern w:val="0"/>
                <w:sz w:val="20"/>
              </w:rPr>
            </w:pPr>
            <w:r>
              <w:rPr>
                <w:color w:val="000000"/>
                <w:kern w:val="0"/>
                <w:sz w:val="20"/>
              </w:rPr>
              <w:t>非正态分布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6" w:type="dxa"/>
            <w:vAlign w:val="center"/>
          </w:tcPr>
          <w:p>
            <w:pPr>
              <w:widowControl/>
              <w:jc w:val="center"/>
              <w:textAlignment w:val="center"/>
              <w:rPr>
                <w:color w:val="000000"/>
                <w:kern w:val="0"/>
                <w:sz w:val="22"/>
                <w:szCs w:val="22"/>
              </w:rPr>
            </w:pPr>
            <w:r>
              <w:rPr>
                <w:color w:val="000000"/>
                <w:kern w:val="0"/>
                <w:sz w:val="22"/>
                <w:szCs w:val="22"/>
                <w:lang/>
              </w:rPr>
              <w:t>J015</w:t>
            </w:r>
          </w:p>
        </w:tc>
        <w:tc>
          <w:tcPr>
            <w:tcW w:w="750" w:type="dxa"/>
            <w:vAlign w:val="center"/>
          </w:tcPr>
          <w:p>
            <w:pPr>
              <w:widowControl/>
              <w:spacing w:line="400" w:lineRule="exact"/>
              <w:jc w:val="center"/>
              <w:rPr>
                <w:color w:val="000000"/>
                <w:kern w:val="0"/>
                <w:sz w:val="20"/>
              </w:rPr>
            </w:pPr>
            <w:r>
              <w:rPr>
                <w:color w:val="000000"/>
                <w:kern w:val="0"/>
                <w:sz w:val="20"/>
              </w:rPr>
              <w:t>二级</w:t>
            </w:r>
          </w:p>
        </w:tc>
        <w:tc>
          <w:tcPr>
            <w:tcW w:w="850" w:type="dxa"/>
            <w:vAlign w:val="center"/>
          </w:tcPr>
          <w:p>
            <w:pPr>
              <w:spacing w:line="400" w:lineRule="exact"/>
              <w:jc w:val="center"/>
              <w:rPr>
                <w:color w:val="000000"/>
                <w:sz w:val="20"/>
              </w:rPr>
            </w:pPr>
            <w:r>
              <w:rPr>
                <w:color w:val="000000"/>
                <w:sz w:val="20"/>
              </w:rPr>
              <w:t>12</w:t>
            </w:r>
          </w:p>
        </w:tc>
        <w:tc>
          <w:tcPr>
            <w:tcW w:w="850" w:type="dxa"/>
            <w:vAlign w:val="center"/>
          </w:tcPr>
          <w:p>
            <w:pPr>
              <w:widowControl/>
              <w:spacing w:line="400" w:lineRule="exact"/>
              <w:jc w:val="center"/>
              <w:rPr>
                <w:color w:val="000000"/>
                <w:kern w:val="0"/>
                <w:sz w:val="20"/>
              </w:rPr>
            </w:pPr>
            <w:r>
              <w:rPr>
                <w:color w:val="000000"/>
                <w:kern w:val="0"/>
                <w:sz w:val="20"/>
              </w:rPr>
              <w:t>0.716</w:t>
            </w:r>
          </w:p>
        </w:tc>
        <w:tc>
          <w:tcPr>
            <w:tcW w:w="1217" w:type="dxa"/>
            <w:vAlign w:val="center"/>
          </w:tcPr>
          <w:p>
            <w:pPr>
              <w:widowControl/>
              <w:spacing w:line="400" w:lineRule="exact"/>
              <w:jc w:val="center"/>
              <w:rPr>
                <w:color w:val="000000"/>
                <w:kern w:val="0"/>
                <w:sz w:val="20"/>
              </w:rPr>
            </w:pPr>
            <w:r>
              <w:rPr>
                <w:color w:val="000000"/>
                <w:kern w:val="0"/>
                <w:sz w:val="20"/>
              </w:rPr>
              <w:t>正态分布</w:t>
            </w:r>
          </w:p>
        </w:tc>
        <w:tc>
          <w:tcPr>
            <w:tcW w:w="850" w:type="dxa"/>
            <w:vAlign w:val="center"/>
          </w:tcPr>
          <w:p>
            <w:pPr>
              <w:widowControl/>
              <w:jc w:val="center"/>
              <w:textAlignment w:val="center"/>
              <w:rPr>
                <w:color w:val="000000"/>
                <w:kern w:val="0"/>
                <w:sz w:val="22"/>
                <w:szCs w:val="22"/>
              </w:rPr>
            </w:pPr>
            <w:r>
              <w:rPr>
                <w:color w:val="000000"/>
                <w:kern w:val="0"/>
                <w:sz w:val="22"/>
                <w:szCs w:val="22"/>
                <w:lang/>
              </w:rPr>
              <w:t>J028</w:t>
            </w:r>
          </w:p>
        </w:tc>
        <w:tc>
          <w:tcPr>
            <w:tcW w:w="850" w:type="dxa"/>
            <w:vAlign w:val="center"/>
          </w:tcPr>
          <w:p>
            <w:pPr>
              <w:widowControl/>
              <w:spacing w:line="400" w:lineRule="exact"/>
              <w:jc w:val="center"/>
              <w:rPr>
                <w:color w:val="000000"/>
                <w:kern w:val="0"/>
                <w:sz w:val="20"/>
              </w:rPr>
            </w:pPr>
            <w:r>
              <w:rPr>
                <w:color w:val="000000"/>
                <w:kern w:val="0"/>
                <w:sz w:val="20"/>
              </w:rPr>
              <w:t>三级</w:t>
            </w:r>
          </w:p>
        </w:tc>
        <w:tc>
          <w:tcPr>
            <w:tcW w:w="917" w:type="dxa"/>
            <w:vAlign w:val="center"/>
          </w:tcPr>
          <w:p>
            <w:pPr>
              <w:spacing w:line="400" w:lineRule="exact"/>
              <w:jc w:val="center"/>
              <w:rPr>
                <w:color w:val="000000"/>
                <w:sz w:val="20"/>
              </w:rPr>
            </w:pPr>
            <w:r>
              <w:rPr>
                <w:color w:val="000000"/>
                <w:sz w:val="20"/>
              </w:rPr>
              <w:t>12</w:t>
            </w:r>
          </w:p>
        </w:tc>
        <w:tc>
          <w:tcPr>
            <w:tcW w:w="816" w:type="dxa"/>
            <w:vAlign w:val="center"/>
          </w:tcPr>
          <w:p>
            <w:pPr>
              <w:widowControl/>
              <w:spacing w:line="400" w:lineRule="exact"/>
              <w:jc w:val="center"/>
              <w:rPr>
                <w:color w:val="000000"/>
                <w:kern w:val="0"/>
                <w:sz w:val="20"/>
              </w:rPr>
            </w:pPr>
            <w:r>
              <w:rPr>
                <w:color w:val="000000"/>
                <w:kern w:val="0"/>
                <w:sz w:val="20"/>
              </w:rPr>
              <w:t>-0.629</w:t>
            </w:r>
          </w:p>
        </w:tc>
        <w:tc>
          <w:tcPr>
            <w:tcW w:w="1418" w:type="dxa"/>
            <w:vAlign w:val="center"/>
          </w:tcPr>
          <w:p>
            <w:pPr>
              <w:widowControl/>
              <w:spacing w:line="400" w:lineRule="exact"/>
              <w:jc w:val="center"/>
              <w:rPr>
                <w:color w:val="000000"/>
                <w:kern w:val="0"/>
                <w:sz w:val="20"/>
              </w:rPr>
            </w:pPr>
            <w:r>
              <w:rPr>
                <w:color w:val="000000"/>
                <w:kern w:val="0"/>
                <w:sz w:val="20"/>
              </w:rPr>
              <w:t>非正态分布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6" w:type="dxa"/>
            <w:vAlign w:val="center"/>
          </w:tcPr>
          <w:p>
            <w:pPr>
              <w:widowControl/>
              <w:jc w:val="center"/>
              <w:textAlignment w:val="center"/>
              <w:rPr>
                <w:color w:val="000000"/>
                <w:kern w:val="0"/>
                <w:sz w:val="22"/>
                <w:szCs w:val="22"/>
              </w:rPr>
            </w:pPr>
            <w:r>
              <w:rPr>
                <w:color w:val="000000"/>
                <w:kern w:val="0"/>
                <w:sz w:val="22"/>
                <w:szCs w:val="22"/>
                <w:lang/>
              </w:rPr>
              <w:t>J023</w:t>
            </w:r>
          </w:p>
        </w:tc>
        <w:tc>
          <w:tcPr>
            <w:tcW w:w="750" w:type="dxa"/>
            <w:vAlign w:val="center"/>
          </w:tcPr>
          <w:p>
            <w:pPr>
              <w:widowControl/>
              <w:spacing w:line="400" w:lineRule="exact"/>
              <w:jc w:val="center"/>
              <w:rPr>
                <w:color w:val="000000"/>
                <w:kern w:val="0"/>
                <w:sz w:val="20"/>
              </w:rPr>
            </w:pPr>
            <w:r>
              <w:rPr>
                <w:color w:val="000000"/>
                <w:kern w:val="0"/>
                <w:sz w:val="20"/>
              </w:rPr>
              <w:t>二级</w:t>
            </w:r>
          </w:p>
        </w:tc>
        <w:tc>
          <w:tcPr>
            <w:tcW w:w="850" w:type="dxa"/>
            <w:vAlign w:val="center"/>
          </w:tcPr>
          <w:p>
            <w:pPr>
              <w:spacing w:line="400" w:lineRule="exact"/>
              <w:jc w:val="center"/>
              <w:rPr>
                <w:color w:val="000000"/>
                <w:sz w:val="20"/>
              </w:rPr>
            </w:pPr>
            <w:r>
              <w:rPr>
                <w:color w:val="000000"/>
                <w:sz w:val="20"/>
              </w:rPr>
              <w:t>12</w:t>
            </w:r>
          </w:p>
        </w:tc>
        <w:tc>
          <w:tcPr>
            <w:tcW w:w="850" w:type="dxa"/>
            <w:vAlign w:val="center"/>
          </w:tcPr>
          <w:p>
            <w:pPr>
              <w:widowControl/>
              <w:spacing w:line="400" w:lineRule="exact"/>
              <w:jc w:val="center"/>
              <w:rPr>
                <w:color w:val="000000"/>
                <w:kern w:val="0"/>
                <w:sz w:val="20"/>
              </w:rPr>
            </w:pPr>
            <w:r>
              <w:rPr>
                <w:color w:val="000000"/>
                <w:kern w:val="0"/>
                <w:sz w:val="20"/>
              </w:rPr>
              <w:t>1.425</w:t>
            </w:r>
          </w:p>
        </w:tc>
        <w:tc>
          <w:tcPr>
            <w:tcW w:w="1217" w:type="dxa"/>
            <w:vAlign w:val="center"/>
          </w:tcPr>
          <w:p>
            <w:pPr>
              <w:widowControl/>
              <w:spacing w:line="400" w:lineRule="exact"/>
              <w:jc w:val="center"/>
              <w:rPr>
                <w:color w:val="000000"/>
                <w:kern w:val="0"/>
                <w:sz w:val="20"/>
              </w:rPr>
            </w:pPr>
            <w:r>
              <w:rPr>
                <w:color w:val="000000"/>
                <w:kern w:val="0"/>
                <w:sz w:val="20"/>
              </w:rPr>
              <w:t>非正态分布</w:t>
            </w:r>
          </w:p>
        </w:tc>
        <w:tc>
          <w:tcPr>
            <w:tcW w:w="850" w:type="dxa"/>
            <w:vAlign w:val="center"/>
          </w:tcPr>
          <w:p>
            <w:pPr>
              <w:widowControl/>
              <w:jc w:val="center"/>
              <w:textAlignment w:val="center"/>
              <w:rPr>
                <w:color w:val="000000"/>
                <w:kern w:val="0"/>
                <w:sz w:val="22"/>
                <w:szCs w:val="22"/>
              </w:rPr>
            </w:pPr>
            <w:r>
              <w:rPr>
                <w:color w:val="000000"/>
                <w:kern w:val="0"/>
                <w:sz w:val="22"/>
                <w:szCs w:val="22"/>
                <w:lang/>
              </w:rPr>
              <w:t>J029</w:t>
            </w:r>
          </w:p>
        </w:tc>
        <w:tc>
          <w:tcPr>
            <w:tcW w:w="850" w:type="dxa"/>
            <w:vAlign w:val="center"/>
          </w:tcPr>
          <w:p>
            <w:pPr>
              <w:widowControl/>
              <w:spacing w:line="400" w:lineRule="exact"/>
              <w:jc w:val="center"/>
              <w:rPr>
                <w:color w:val="000000"/>
                <w:kern w:val="0"/>
                <w:sz w:val="20"/>
              </w:rPr>
            </w:pPr>
            <w:r>
              <w:rPr>
                <w:color w:val="000000"/>
                <w:kern w:val="0"/>
                <w:sz w:val="20"/>
              </w:rPr>
              <w:t>三级</w:t>
            </w:r>
          </w:p>
        </w:tc>
        <w:tc>
          <w:tcPr>
            <w:tcW w:w="917" w:type="dxa"/>
            <w:vAlign w:val="center"/>
          </w:tcPr>
          <w:p>
            <w:pPr>
              <w:spacing w:line="400" w:lineRule="exact"/>
              <w:jc w:val="center"/>
              <w:rPr>
                <w:color w:val="000000"/>
                <w:sz w:val="20"/>
              </w:rPr>
            </w:pPr>
            <w:r>
              <w:rPr>
                <w:rFonts w:hint="eastAsia"/>
                <w:color w:val="000000"/>
                <w:sz w:val="20"/>
              </w:rPr>
              <w:t>12</w:t>
            </w:r>
          </w:p>
        </w:tc>
        <w:tc>
          <w:tcPr>
            <w:tcW w:w="816" w:type="dxa"/>
            <w:vAlign w:val="center"/>
          </w:tcPr>
          <w:p>
            <w:pPr>
              <w:widowControl/>
              <w:spacing w:line="400" w:lineRule="exact"/>
              <w:jc w:val="center"/>
              <w:rPr>
                <w:color w:val="000000"/>
                <w:kern w:val="0"/>
                <w:sz w:val="20"/>
              </w:rPr>
            </w:pPr>
            <w:r>
              <w:rPr>
                <w:color w:val="000000"/>
                <w:kern w:val="0"/>
                <w:sz w:val="20"/>
              </w:rPr>
              <w:t>0.764</w:t>
            </w:r>
          </w:p>
        </w:tc>
        <w:tc>
          <w:tcPr>
            <w:tcW w:w="1418" w:type="dxa"/>
            <w:vAlign w:val="center"/>
          </w:tcPr>
          <w:p>
            <w:pPr>
              <w:widowControl/>
              <w:spacing w:line="400" w:lineRule="exact"/>
              <w:jc w:val="center"/>
              <w:rPr>
                <w:color w:val="000000"/>
                <w:kern w:val="0"/>
                <w:sz w:val="20"/>
              </w:rPr>
            </w:pPr>
            <w:r>
              <w:rPr>
                <w:color w:val="000000"/>
                <w:kern w:val="0"/>
                <w:sz w:val="20"/>
              </w:rPr>
              <w:t>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6" w:type="dxa"/>
            <w:vAlign w:val="center"/>
          </w:tcPr>
          <w:p>
            <w:pPr>
              <w:widowControl/>
              <w:jc w:val="center"/>
              <w:textAlignment w:val="center"/>
              <w:rPr>
                <w:color w:val="000000"/>
                <w:kern w:val="0"/>
                <w:sz w:val="22"/>
                <w:szCs w:val="22"/>
              </w:rPr>
            </w:pPr>
            <w:r>
              <w:rPr>
                <w:color w:val="000000"/>
                <w:kern w:val="0"/>
                <w:sz w:val="22"/>
                <w:szCs w:val="22"/>
                <w:lang/>
              </w:rPr>
              <w:t>J021</w:t>
            </w:r>
          </w:p>
        </w:tc>
        <w:tc>
          <w:tcPr>
            <w:tcW w:w="750" w:type="dxa"/>
            <w:vAlign w:val="center"/>
          </w:tcPr>
          <w:p>
            <w:pPr>
              <w:widowControl/>
              <w:spacing w:line="400" w:lineRule="exact"/>
              <w:jc w:val="center"/>
              <w:rPr>
                <w:color w:val="000000"/>
                <w:kern w:val="0"/>
                <w:sz w:val="20"/>
              </w:rPr>
            </w:pPr>
            <w:r>
              <w:rPr>
                <w:color w:val="000000"/>
                <w:kern w:val="0"/>
                <w:sz w:val="20"/>
              </w:rPr>
              <w:t>二级</w:t>
            </w:r>
          </w:p>
        </w:tc>
        <w:tc>
          <w:tcPr>
            <w:tcW w:w="850" w:type="dxa"/>
            <w:vAlign w:val="center"/>
          </w:tcPr>
          <w:p>
            <w:pPr>
              <w:spacing w:line="400" w:lineRule="exact"/>
              <w:jc w:val="center"/>
              <w:rPr>
                <w:color w:val="000000"/>
                <w:sz w:val="20"/>
              </w:rPr>
            </w:pPr>
            <w:r>
              <w:rPr>
                <w:color w:val="000000"/>
                <w:sz w:val="20"/>
              </w:rPr>
              <w:t>11</w:t>
            </w:r>
          </w:p>
        </w:tc>
        <w:tc>
          <w:tcPr>
            <w:tcW w:w="850" w:type="dxa"/>
            <w:vAlign w:val="center"/>
          </w:tcPr>
          <w:p>
            <w:pPr>
              <w:widowControl/>
              <w:spacing w:line="400" w:lineRule="exact"/>
              <w:jc w:val="center"/>
              <w:rPr>
                <w:color w:val="000000"/>
                <w:kern w:val="0"/>
                <w:sz w:val="20"/>
              </w:rPr>
            </w:pPr>
            <w:r>
              <w:rPr>
                <w:color w:val="000000"/>
                <w:kern w:val="0"/>
                <w:sz w:val="20"/>
              </w:rPr>
              <w:t>0.367</w:t>
            </w:r>
          </w:p>
        </w:tc>
        <w:tc>
          <w:tcPr>
            <w:tcW w:w="1217" w:type="dxa"/>
            <w:vAlign w:val="center"/>
          </w:tcPr>
          <w:p>
            <w:pPr>
              <w:widowControl/>
              <w:spacing w:line="400" w:lineRule="exact"/>
              <w:jc w:val="center"/>
              <w:rPr>
                <w:color w:val="000000"/>
                <w:kern w:val="0"/>
                <w:sz w:val="20"/>
              </w:rPr>
            </w:pPr>
            <w:r>
              <w:rPr>
                <w:color w:val="000000"/>
                <w:kern w:val="0"/>
                <w:sz w:val="20"/>
              </w:rPr>
              <w:t>正态分布</w:t>
            </w:r>
          </w:p>
        </w:tc>
        <w:tc>
          <w:tcPr>
            <w:tcW w:w="850" w:type="dxa"/>
            <w:vAlign w:val="center"/>
          </w:tcPr>
          <w:p>
            <w:pPr>
              <w:widowControl/>
              <w:jc w:val="center"/>
              <w:textAlignment w:val="center"/>
              <w:rPr>
                <w:color w:val="000000"/>
                <w:kern w:val="0"/>
                <w:sz w:val="22"/>
                <w:szCs w:val="22"/>
              </w:rPr>
            </w:pPr>
            <w:r>
              <w:rPr>
                <w:color w:val="000000"/>
                <w:kern w:val="0"/>
                <w:sz w:val="22"/>
                <w:szCs w:val="22"/>
                <w:lang/>
              </w:rPr>
              <w:t>J032</w:t>
            </w:r>
          </w:p>
        </w:tc>
        <w:tc>
          <w:tcPr>
            <w:tcW w:w="850" w:type="dxa"/>
            <w:vAlign w:val="center"/>
          </w:tcPr>
          <w:p>
            <w:pPr>
              <w:widowControl/>
              <w:spacing w:line="400" w:lineRule="exact"/>
              <w:jc w:val="center"/>
              <w:rPr>
                <w:color w:val="000000"/>
                <w:kern w:val="0"/>
                <w:sz w:val="20"/>
              </w:rPr>
            </w:pPr>
            <w:r>
              <w:rPr>
                <w:color w:val="000000"/>
                <w:kern w:val="0"/>
                <w:sz w:val="20"/>
              </w:rPr>
              <w:t>三级</w:t>
            </w:r>
          </w:p>
        </w:tc>
        <w:tc>
          <w:tcPr>
            <w:tcW w:w="917" w:type="dxa"/>
            <w:vAlign w:val="center"/>
          </w:tcPr>
          <w:p>
            <w:pPr>
              <w:spacing w:line="400" w:lineRule="exact"/>
              <w:jc w:val="center"/>
              <w:rPr>
                <w:color w:val="000000"/>
                <w:sz w:val="20"/>
              </w:rPr>
            </w:pPr>
            <w:r>
              <w:rPr>
                <w:rFonts w:hint="eastAsia"/>
                <w:color w:val="000000"/>
                <w:sz w:val="20"/>
              </w:rPr>
              <w:t>11</w:t>
            </w:r>
          </w:p>
        </w:tc>
        <w:tc>
          <w:tcPr>
            <w:tcW w:w="816" w:type="dxa"/>
            <w:vAlign w:val="center"/>
          </w:tcPr>
          <w:p>
            <w:pPr>
              <w:widowControl/>
              <w:spacing w:line="400" w:lineRule="exact"/>
              <w:jc w:val="center"/>
              <w:rPr>
                <w:color w:val="000000"/>
                <w:kern w:val="0"/>
                <w:sz w:val="20"/>
              </w:rPr>
            </w:pPr>
            <w:r>
              <w:rPr>
                <w:color w:val="000000"/>
                <w:kern w:val="0"/>
                <w:sz w:val="20"/>
              </w:rPr>
              <w:t>2.302</w:t>
            </w:r>
          </w:p>
        </w:tc>
        <w:tc>
          <w:tcPr>
            <w:tcW w:w="1418" w:type="dxa"/>
            <w:vAlign w:val="center"/>
          </w:tcPr>
          <w:p>
            <w:pPr>
              <w:widowControl/>
              <w:spacing w:line="400" w:lineRule="exact"/>
              <w:jc w:val="center"/>
              <w:rPr>
                <w:color w:val="000000"/>
                <w:kern w:val="0"/>
                <w:sz w:val="20"/>
              </w:rPr>
            </w:pPr>
            <w:r>
              <w:rPr>
                <w:color w:val="000000"/>
                <w:kern w:val="0"/>
                <w:sz w:val="20"/>
              </w:rPr>
              <w:t>非正态分布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6" w:type="dxa"/>
            <w:vAlign w:val="center"/>
          </w:tcPr>
          <w:p>
            <w:pPr>
              <w:widowControl/>
              <w:jc w:val="center"/>
              <w:textAlignment w:val="center"/>
              <w:rPr>
                <w:color w:val="000000"/>
                <w:kern w:val="0"/>
                <w:sz w:val="22"/>
                <w:szCs w:val="22"/>
              </w:rPr>
            </w:pPr>
            <w:r>
              <w:rPr>
                <w:color w:val="000000"/>
                <w:kern w:val="0"/>
                <w:sz w:val="22"/>
                <w:szCs w:val="22"/>
                <w:lang/>
              </w:rPr>
              <w:t>J022</w:t>
            </w:r>
          </w:p>
        </w:tc>
        <w:tc>
          <w:tcPr>
            <w:tcW w:w="750" w:type="dxa"/>
            <w:vAlign w:val="center"/>
          </w:tcPr>
          <w:p>
            <w:pPr>
              <w:widowControl/>
              <w:spacing w:line="400" w:lineRule="exact"/>
              <w:jc w:val="center"/>
              <w:rPr>
                <w:color w:val="000000"/>
                <w:kern w:val="0"/>
                <w:sz w:val="20"/>
              </w:rPr>
            </w:pPr>
            <w:r>
              <w:rPr>
                <w:color w:val="000000"/>
                <w:kern w:val="0"/>
                <w:sz w:val="20"/>
              </w:rPr>
              <w:t>二级</w:t>
            </w:r>
          </w:p>
        </w:tc>
        <w:tc>
          <w:tcPr>
            <w:tcW w:w="850" w:type="dxa"/>
            <w:vAlign w:val="center"/>
          </w:tcPr>
          <w:p>
            <w:pPr>
              <w:spacing w:line="400" w:lineRule="exact"/>
              <w:jc w:val="center"/>
              <w:rPr>
                <w:color w:val="000000"/>
                <w:sz w:val="20"/>
              </w:rPr>
            </w:pPr>
            <w:r>
              <w:rPr>
                <w:color w:val="000000"/>
                <w:sz w:val="20"/>
              </w:rPr>
              <w:t>11</w:t>
            </w:r>
          </w:p>
        </w:tc>
        <w:tc>
          <w:tcPr>
            <w:tcW w:w="850" w:type="dxa"/>
            <w:vAlign w:val="center"/>
          </w:tcPr>
          <w:p>
            <w:pPr>
              <w:widowControl/>
              <w:spacing w:line="400" w:lineRule="exact"/>
              <w:jc w:val="center"/>
              <w:rPr>
                <w:color w:val="000000"/>
                <w:kern w:val="0"/>
                <w:sz w:val="20"/>
              </w:rPr>
            </w:pPr>
            <w:r>
              <w:rPr>
                <w:color w:val="000000"/>
                <w:kern w:val="0"/>
                <w:sz w:val="20"/>
              </w:rPr>
              <w:t>-1.559</w:t>
            </w:r>
          </w:p>
        </w:tc>
        <w:tc>
          <w:tcPr>
            <w:tcW w:w="1217" w:type="dxa"/>
            <w:vAlign w:val="center"/>
          </w:tcPr>
          <w:p>
            <w:pPr>
              <w:widowControl/>
              <w:spacing w:line="400" w:lineRule="exact"/>
              <w:jc w:val="center"/>
              <w:rPr>
                <w:color w:val="000000"/>
                <w:kern w:val="0"/>
                <w:sz w:val="20"/>
              </w:rPr>
            </w:pPr>
            <w:r>
              <w:rPr>
                <w:color w:val="000000"/>
                <w:kern w:val="0"/>
                <w:sz w:val="20"/>
              </w:rPr>
              <w:t>非正态分布</w:t>
            </w:r>
          </w:p>
        </w:tc>
        <w:tc>
          <w:tcPr>
            <w:tcW w:w="850" w:type="dxa"/>
            <w:vAlign w:val="center"/>
          </w:tcPr>
          <w:p>
            <w:pPr>
              <w:widowControl/>
              <w:jc w:val="center"/>
              <w:textAlignment w:val="center"/>
              <w:rPr>
                <w:color w:val="000000"/>
                <w:kern w:val="0"/>
                <w:sz w:val="22"/>
                <w:szCs w:val="22"/>
              </w:rPr>
            </w:pPr>
            <w:r>
              <w:rPr>
                <w:color w:val="000000"/>
                <w:kern w:val="0"/>
                <w:sz w:val="22"/>
                <w:szCs w:val="22"/>
                <w:lang/>
              </w:rPr>
              <w:t>J033</w:t>
            </w:r>
          </w:p>
        </w:tc>
        <w:tc>
          <w:tcPr>
            <w:tcW w:w="850" w:type="dxa"/>
            <w:vAlign w:val="center"/>
          </w:tcPr>
          <w:p>
            <w:pPr>
              <w:widowControl/>
              <w:spacing w:line="400" w:lineRule="exact"/>
              <w:jc w:val="center"/>
              <w:rPr>
                <w:color w:val="000000"/>
                <w:kern w:val="0"/>
                <w:sz w:val="20"/>
              </w:rPr>
            </w:pPr>
            <w:r>
              <w:rPr>
                <w:color w:val="000000"/>
                <w:kern w:val="0"/>
                <w:sz w:val="20"/>
              </w:rPr>
              <w:t>三级</w:t>
            </w:r>
          </w:p>
        </w:tc>
        <w:tc>
          <w:tcPr>
            <w:tcW w:w="917" w:type="dxa"/>
            <w:vAlign w:val="center"/>
          </w:tcPr>
          <w:p>
            <w:pPr>
              <w:spacing w:line="400" w:lineRule="exact"/>
              <w:jc w:val="center"/>
              <w:rPr>
                <w:color w:val="000000"/>
                <w:sz w:val="20"/>
              </w:rPr>
            </w:pPr>
            <w:r>
              <w:rPr>
                <w:rFonts w:hint="eastAsia"/>
                <w:color w:val="000000"/>
                <w:sz w:val="20"/>
              </w:rPr>
              <w:t>10</w:t>
            </w:r>
          </w:p>
        </w:tc>
        <w:tc>
          <w:tcPr>
            <w:tcW w:w="816" w:type="dxa"/>
            <w:vAlign w:val="center"/>
          </w:tcPr>
          <w:p>
            <w:pPr>
              <w:widowControl/>
              <w:spacing w:line="400" w:lineRule="exact"/>
              <w:jc w:val="center"/>
              <w:rPr>
                <w:color w:val="000000"/>
                <w:kern w:val="0"/>
                <w:sz w:val="20"/>
              </w:rPr>
            </w:pPr>
            <w:r>
              <w:rPr>
                <w:color w:val="000000"/>
                <w:kern w:val="0"/>
                <w:sz w:val="20"/>
              </w:rPr>
              <w:t>1.063</w:t>
            </w:r>
          </w:p>
        </w:tc>
        <w:tc>
          <w:tcPr>
            <w:tcW w:w="1418" w:type="dxa"/>
            <w:vAlign w:val="center"/>
          </w:tcPr>
          <w:p>
            <w:pPr>
              <w:widowControl/>
              <w:spacing w:line="400" w:lineRule="exact"/>
              <w:jc w:val="center"/>
              <w:rPr>
                <w:color w:val="000000"/>
                <w:kern w:val="0"/>
                <w:sz w:val="20"/>
              </w:rPr>
            </w:pPr>
            <w:r>
              <w:rPr>
                <w:color w:val="000000"/>
                <w:kern w:val="0"/>
                <w:sz w:val="20"/>
              </w:rPr>
              <w:t>非正态分布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6" w:type="dxa"/>
            <w:vAlign w:val="center"/>
          </w:tcPr>
          <w:p>
            <w:pPr>
              <w:widowControl/>
              <w:jc w:val="center"/>
              <w:textAlignment w:val="center"/>
              <w:rPr>
                <w:color w:val="000000"/>
                <w:kern w:val="0"/>
                <w:sz w:val="22"/>
                <w:szCs w:val="22"/>
              </w:rPr>
            </w:pPr>
            <w:r>
              <w:rPr>
                <w:color w:val="000000"/>
                <w:kern w:val="0"/>
                <w:sz w:val="22"/>
                <w:szCs w:val="22"/>
                <w:lang/>
              </w:rPr>
              <w:t>J025</w:t>
            </w:r>
          </w:p>
        </w:tc>
        <w:tc>
          <w:tcPr>
            <w:tcW w:w="750" w:type="dxa"/>
            <w:vAlign w:val="center"/>
          </w:tcPr>
          <w:p>
            <w:pPr>
              <w:widowControl/>
              <w:spacing w:line="400" w:lineRule="exact"/>
              <w:jc w:val="center"/>
              <w:rPr>
                <w:color w:val="000000"/>
                <w:kern w:val="0"/>
                <w:sz w:val="20"/>
              </w:rPr>
            </w:pPr>
            <w:r>
              <w:rPr>
                <w:color w:val="000000"/>
                <w:kern w:val="0"/>
                <w:sz w:val="20"/>
              </w:rPr>
              <w:t>二级</w:t>
            </w:r>
          </w:p>
        </w:tc>
        <w:tc>
          <w:tcPr>
            <w:tcW w:w="850" w:type="dxa"/>
            <w:vAlign w:val="center"/>
          </w:tcPr>
          <w:p>
            <w:pPr>
              <w:spacing w:line="400" w:lineRule="exact"/>
              <w:jc w:val="center"/>
              <w:rPr>
                <w:color w:val="000000"/>
                <w:sz w:val="20"/>
              </w:rPr>
            </w:pPr>
            <w:r>
              <w:rPr>
                <w:color w:val="000000"/>
                <w:sz w:val="20"/>
              </w:rPr>
              <w:t>12</w:t>
            </w:r>
          </w:p>
        </w:tc>
        <w:tc>
          <w:tcPr>
            <w:tcW w:w="850" w:type="dxa"/>
            <w:vAlign w:val="center"/>
          </w:tcPr>
          <w:p>
            <w:pPr>
              <w:widowControl/>
              <w:spacing w:line="400" w:lineRule="exact"/>
              <w:jc w:val="center"/>
              <w:rPr>
                <w:color w:val="000000"/>
                <w:kern w:val="0"/>
                <w:sz w:val="20"/>
              </w:rPr>
            </w:pPr>
            <w:r>
              <w:rPr>
                <w:color w:val="000000"/>
                <w:kern w:val="0"/>
                <w:sz w:val="20"/>
              </w:rPr>
              <w:t>-1.024</w:t>
            </w:r>
          </w:p>
        </w:tc>
        <w:tc>
          <w:tcPr>
            <w:tcW w:w="1217" w:type="dxa"/>
            <w:vAlign w:val="center"/>
          </w:tcPr>
          <w:p>
            <w:pPr>
              <w:widowControl/>
              <w:spacing w:line="400" w:lineRule="exact"/>
              <w:jc w:val="center"/>
              <w:rPr>
                <w:color w:val="000000"/>
                <w:kern w:val="0"/>
                <w:sz w:val="20"/>
              </w:rPr>
            </w:pPr>
            <w:r>
              <w:rPr>
                <w:color w:val="000000"/>
                <w:kern w:val="0"/>
                <w:sz w:val="20"/>
              </w:rPr>
              <w:t>非正态分布</w:t>
            </w:r>
          </w:p>
        </w:tc>
        <w:tc>
          <w:tcPr>
            <w:tcW w:w="850" w:type="dxa"/>
            <w:vAlign w:val="center"/>
          </w:tcPr>
          <w:p>
            <w:pPr>
              <w:widowControl/>
              <w:jc w:val="center"/>
              <w:textAlignment w:val="center"/>
              <w:rPr>
                <w:color w:val="000000"/>
                <w:kern w:val="0"/>
                <w:sz w:val="22"/>
                <w:szCs w:val="22"/>
              </w:rPr>
            </w:pPr>
            <w:r>
              <w:rPr>
                <w:color w:val="000000"/>
                <w:kern w:val="0"/>
                <w:sz w:val="22"/>
                <w:szCs w:val="22"/>
                <w:lang/>
              </w:rPr>
              <w:t>J030</w:t>
            </w:r>
          </w:p>
        </w:tc>
        <w:tc>
          <w:tcPr>
            <w:tcW w:w="850" w:type="dxa"/>
            <w:vAlign w:val="center"/>
          </w:tcPr>
          <w:p>
            <w:pPr>
              <w:widowControl/>
              <w:spacing w:line="400" w:lineRule="exact"/>
              <w:jc w:val="center"/>
              <w:rPr>
                <w:color w:val="000000"/>
                <w:kern w:val="0"/>
                <w:sz w:val="20"/>
              </w:rPr>
            </w:pPr>
            <w:r>
              <w:rPr>
                <w:color w:val="000000"/>
                <w:kern w:val="0"/>
                <w:sz w:val="20"/>
              </w:rPr>
              <w:t>三级</w:t>
            </w:r>
          </w:p>
        </w:tc>
        <w:tc>
          <w:tcPr>
            <w:tcW w:w="917" w:type="dxa"/>
            <w:vAlign w:val="center"/>
          </w:tcPr>
          <w:p>
            <w:pPr>
              <w:spacing w:line="400" w:lineRule="exact"/>
              <w:jc w:val="center"/>
              <w:rPr>
                <w:color w:val="000000"/>
                <w:sz w:val="20"/>
              </w:rPr>
            </w:pPr>
            <w:r>
              <w:rPr>
                <w:rFonts w:hint="eastAsia"/>
                <w:color w:val="000000"/>
                <w:sz w:val="20"/>
              </w:rPr>
              <w:t>11</w:t>
            </w:r>
          </w:p>
        </w:tc>
        <w:tc>
          <w:tcPr>
            <w:tcW w:w="816" w:type="dxa"/>
            <w:vAlign w:val="center"/>
          </w:tcPr>
          <w:p>
            <w:pPr>
              <w:widowControl/>
              <w:spacing w:line="400" w:lineRule="exact"/>
              <w:jc w:val="center"/>
              <w:rPr>
                <w:color w:val="000000"/>
                <w:kern w:val="0"/>
                <w:sz w:val="20"/>
              </w:rPr>
            </w:pPr>
            <w:r>
              <w:rPr>
                <w:color w:val="000000"/>
                <w:kern w:val="0"/>
                <w:sz w:val="20"/>
              </w:rPr>
              <w:t>-1.022</w:t>
            </w:r>
          </w:p>
        </w:tc>
        <w:tc>
          <w:tcPr>
            <w:tcW w:w="1418" w:type="dxa"/>
            <w:vAlign w:val="center"/>
          </w:tcPr>
          <w:p>
            <w:pPr>
              <w:widowControl/>
              <w:spacing w:line="400" w:lineRule="exact"/>
              <w:jc w:val="center"/>
              <w:rPr>
                <w:color w:val="000000"/>
                <w:kern w:val="0"/>
                <w:sz w:val="20"/>
              </w:rPr>
            </w:pPr>
            <w:r>
              <w:rPr>
                <w:color w:val="000000"/>
                <w:kern w:val="0"/>
                <w:sz w:val="20"/>
              </w:rPr>
              <w:t>非正态分布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36" w:type="dxa"/>
            <w:vAlign w:val="center"/>
          </w:tcPr>
          <w:p>
            <w:pPr>
              <w:widowControl/>
              <w:jc w:val="center"/>
              <w:textAlignment w:val="center"/>
              <w:rPr>
                <w:color w:val="000000"/>
                <w:kern w:val="0"/>
                <w:sz w:val="22"/>
                <w:szCs w:val="22"/>
              </w:rPr>
            </w:pPr>
            <w:r>
              <w:rPr>
                <w:color w:val="000000"/>
                <w:kern w:val="0"/>
                <w:sz w:val="22"/>
                <w:szCs w:val="22"/>
                <w:lang/>
              </w:rPr>
              <w:t>J026</w:t>
            </w:r>
          </w:p>
        </w:tc>
        <w:tc>
          <w:tcPr>
            <w:tcW w:w="750" w:type="dxa"/>
            <w:vAlign w:val="center"/>
          </w:tcPr>
          <w:p>
            <w:pPr>
              <w:widowControl/>
              <w:spacing w:line="400" w:lineRule="exact"/>
              <w:jc w:val="center"/>
              <w:rPr>
                <w:color w:val="000000"/>
                <w:kern w:val="0"/>
                <w:sz w:val="20"/>
              </w:rPr>
            </w:pPr>
            <w:r>
              <w:rPr>
                <w:color w:val="000000"/>
                <w:kern w:val="0"/>
                <w:sz w:val="20"/>
              </w:rPr>
              <w:t>二级</w:t>
            </w:r>
          </w:p>
        </w:tc>
        <w:tc>
          <w:tcPr>
            <w:tcW w:w="850" w:type="dxa"/>
            <w:vAlign w:val="center"/>
          </w:tcPr>
          <w:p>
            <w:pPr>
              <w:spacing w:line="400" w:lineRule="exact"/>
              <w:jc w:val="center"/>
              <w:rPr>
                <w:color w:val="000000"/>
                <w:sz w:val="20"/>
              </w:rPr>
            </w:pPr>
            <w:r>
              <w:rPr>
                <w:color w:val="000000"/>
                <w:sz w:val="20"/>
              </w:rPr>
              <w:t>11</w:t>
            </w:r>
          </w:p>
        </w:tc>
        <w:tc>
          <w:tcPr>
            <w:tcW w:w="850" w:type="dxa"/>
            <w:vAlign w:val="center"/>
          </w:tcPr>
          <w:p>
            <w:pPr>
              <w:widowControl/>
              <w:spacing w:line="400" w:lineRule="exact"/>
              <w:jc w:val="center"/>
              <w:rPr>
                <w:color w:val="000000"/>
                <w:kern w:val="0"/>
                <w:sz w:val="20"/>
              </w:rPr>
            </w:pPr>
            <w:r>
              <w:rPr>
                <w:color w:val="000000"/>
                <w:kern w:val="0"/>
                <w:sz w:val="20"/>
              </w:rPr>
              <w:t>1.247</w:t>
            </w:r>
          </w:p>
        </w:tc>
        <w:tc>
          <w:tcPr>
            <w:tcW w:w="1217" w:type="dxa"/>
            <w:vAlign w:val="center"/>
          </w:tcPr>
          <w:p>
            <w:pPr>
              <w:widowControl/>
              <w:spacing w:line="400" w:lineRule="exact"/>
              <w:jc w:val="center"/>
              <w:rPr>
                <w:color w:val="000000"/>
                <w:kern w:val="0"/>
                <w:sz w:val="20"/>
              </w:rPr>
            </w:pPr>
            <w:r>
              <w:rPr>
                <w:color w:val="000000"/>
                <w:kern w:val="0"/>
                <w:sz w:val="20"/>
              </w:rPr>
              <w:t>正态分布</w:t>
            </w:r>
          </w:p>
        </w:tc>
        <w:tc>
          <w:tcPr>
            <w:tcW w:w="850" w:type="dxa"/>
            <w:vAlign w:val="center"/>
          </w:tcPr>
          <w:p>
            <w:pPr>
              <w:widowControl/>
              <w:jc w:val="center"/>
              <w:textAlignment w:val="center"/>
              <w:rPr>
                <w:color w:val="000000"/>
                <w:kern w:val="0"/>
                <w:sz w:val="22"/>
                <w:szCs w:val="22"/>
              </w:rPr>
            </w:pPr>
            <w:r>
              <w:rPr>
                <w:color w:val="000000"/>
                <w:kern w:val="0"/>
                <w:sz w:val="22"/>
                <w:szCs w:val="22"/>
                <w:lang/>
              </w:rPr>
              <w:t>J034</w:t>
            </w:r>
          </w:p>
        </w:tc>
        <w:tc>
          <w:tcPr>
            <w:tcW w:w="850" w:type="dxa"/>
            <w:vAlign w:val="center"/>
          </w:tcPr>
          <w:p>
            <w:pPr>
              <w:widowControl/>
              <w:spacing w:line="400" w:lineRule="exact"/>
              <w:jc w:val="center"/>
              <w:rPr>
                <w:color w:val="000000"/>
                <w:kern w:val="0"/>
                <w:sz w:val="20"/>
              </w:rPr>
            </w:pPr>
            <w:r>
              <w:rPr>
                <w:color w:val="000000"/>
                <w:kern w:val="0"/>
                <w:sz w:val="20"/>
              </w:rPr>
              <w:t>四级</w:t>
            </w:r>
          </w:p>
        </w:tc>
        <w:tc>
          <w:tcPr>
            <w:tcW w:w="917" w:type="dxa"/>
            <w:vAlign w:val="center"/>
          </w:tcPr>
          <w:p>
            <w:pPr>
              <w:spacing w:line="400" w:lineRule="exact"/>
              <w:jc w:val="center"/>
              <w:rPr>
                <w:color w:val="000000"/>
                <w:sz w:val="20"/>
              </w:rPr>
            </w:pPr>
            <w:r>
              <w:rPr>
                <w:rFonts w:hint="eastAsia"/>
                <w:color w:val="000000"/>
                <w:sz w:val="20"/>
              </w:rPr>
              <w:t>12</w:t>
            </w:r>
          </w:p>
        </w:tc>
        <w:tc>
          <w:tcPr>
            <w:tcW w:w="816" w:type="dxa"/>
            <w:vAlign w:val="center"/>
          </w:tcPr>
          <w:p>
            <w:pPr>
              <w:widowControl/>
              <w:spacing w:line="400" w:lineRule="exact"/>
              <w:jc w:val="center"/>
              <w:rPr>
                <w:color w:val="000000"/>
                <w:kern w:val="0"/>
                <w:sz w:val="20"/>
              </w:rPr>
            </w:pPr>
            <w:r>
              <w:rPr>
                <w:color w:val="000000"/>
                <w:kern w:val="0"/>
                <w:sz w:val="20"/>
              </w:rPr>
              <w:t>0.913</w:t>
            </w:r>
          </w:p>
        </w:tc>
        <w:tc>
          <w:tcPr>
            <w:tcW w:w="1418" w:type="dxa"/>
            <w:vAlign w:val="center"/>
          </w:tcPr>
          <w:p>
            <w:pPr>
              <w:widowControl/>
              <w:spacing w:line="400" w:lineRule="exact"/>
              <w:jc w:val="center"/>
              <w:rPr>
                <w:color w:val="000000"/>
                <w:kern w:val="0"/>
                <w:sz w:val="20"/>
              </w:rPr>
            </w:pPr>
            <w:r>
              <w:rPr>
                <w:color w:val="000000"/>
                <w:kern w:val="0"/>
                <w:sz w:val="20"/>
              </w:rPr>
              <w:t>正态分布</w:t>
            </w:r>
          </w:p>
        </w:tc>
      </w:tr>
    </w:tbl>
    <w:p>
      <w:pPr>
        <w:spacing w:line="460" w:lineRule="exact"/>
        <w:ind w:firstLine="482" w:firstLineChars="200"/>
        <w:rPr>
          <w:b/>
          <w:sz w:val="24"/>
        </w:rPr>
      </w:pPr>
      <w:r>
        <w:rPr>
          <w:b/>
          <w:sz w:val="24"/>
        </w:rPr>
        <w:br w:type="page"/>
      </w:r>
      <w:r>
        <w:rPr>
          <w:b/>
          <w:sz w:val="24"/>
        </w:rPr>
        <w:t>3、精度检验</w:t>
      </w:r>
    </w:p>
    <w:p>
      <w:pPr>
        <w:spacing w:line="360" w:lineRule="auto"/>
        <w:ind w:firstLine="480" w:firstLineChars="200"/>
        <w:rPr>
          <w:sz w:val="24"/>
        </w:rPr>
      </w:pPr>
      <w:r>
        <w:rPr>
          <w:sz w:val="24"/>
        </w:rPr>
        <w:t>数据精度检验是从总体中剔除异常值，确定保留数据。当样本总体分布属正态分布时，可用t检验法，而对非正态分布函数类型，可用均值—方差法。步骤如下：</w:t>
      </w:r>
    </w:p>
    <w:p>
      <w:pPr>
        <w:spacing w:line="360" w:lineRule="auto"/>
        <w:ind w:firstLine="480" w:firstLineChars="200"/>
        <w:rPr>
          <w:sz w:val="24"/>
        </w:rPr>
      </w:pPr>
      <w:r>
        <w:rPr>
          <w:sz w:val="24"/>
        </w:rPr>
        <w:t>3.1 如果分布类型检验确定为正态函数，t检验的步骤为：</w:t>
      </w:r>
    </w:p>
    <w:p>
      <w:pPr>
        <w:spacing w:line="360" w:lineRule="auto"/>
        <w:ind w:firstLine="480" w:firstLineChars="200"/>
        <w:rPr>
          <w:sz w:val="24"/>
        </w:rPr>
      </w:pPr>
      <w:r>
        <w:rPr>
          <w:sz w:val="24"/>
        </w:rPr>
        <w:t>（1）将同一土地级别内同用途或同一地价区段同用途的各样点，由小到大的顺序排列，得到数列X</w:t>
      </w:r>
      <w:r>
        <w:rPr>
          <w:sz w:val="24"/>
          <w:vertAlign w:val="subscript"/>
        </w:rPr>
        <w:t>n</w:t>
      </w:r>
      <w:r>
        <w:rPr>
          <w:sz w:val="24"/>
        </w:rPr>
        <w:t>，且X</w:t>
      </w:r>
      <w:r>
        <w:rPr>
          <w:sz w:val="24"/>
          <w:vertAlign w:val="subscript"/>
        </w:rPr>
        <w:t>1</w:t>
      </w:r>
      <w:r>
        <w:rPr>
          <w:sz w:val="24"/>
        </w:rPr>
        <w:t>≤X</w:t>
      </w:r>
      <w:r>
        <w:rPr>
          <w:sz w:val="24"/>
          <w:vertAlign w:val="subscript"/>
        </w:rPr>
        <w:t>2</w:t>
      </w:r>
      <w:r>
        <w:rPr>
          <w:sz w:val="24"/>
        </w:rPr>
        <w:t>……≤X</w:t>
      </w:r>
      <w:r>
        <w:rPr>
          <w:sz w:val="24"/>
          <w:vertAlign w:val="subscript"/>
        </w:rPr>
        <w:t>N</w:t>
      </w:r>
      <w:r>
        <w:rPr>
          <w:sz w:val="24"/>
        </w:rPr>
        <w:t xml:space="preserve">  </w:t>
      </w:r>
    </w:p>
    <w:p>
      <w:pPr>
        <w:spacing w:line="360" w:lineRule="auto"/>
        <w:ind w:firstLine="480" w:firstLineChars="200"/>
        <w:rPr>
          <w:sz w:val="24"/>
        </w:rPr>
      </w:pPr>
      <w:r>
        <w:rPr>
          <w:sz w:val="24"/>
        </w:rPr>
        <w:t>（2）对X</w:t>
      </w:r>
      <w:r>
        <w:rPr>
          <w:sz w:val="24"/>
          <w:vertAlign w:val="subscript"/>
        </w:rPr>
        <w:t>1</w:t>
      </w:r>
      <w:r>
        <w:rPr>
          <w:sz w:val="24"/>
        </w:rPr>
        <w:t>.X</w:t>
      </w:r>
      <w:r>
        <w:rPr>
          <w:sz w:val="24"/>
          <w:vertAlign w:val="subscript"/>
        </w:rPr>
        <w:t>n</w:t>
      </w:r>
      <w:r>
        <w:rPr>
          <w:sz w:val="24"/>
        </w:rPr>
        <w:t>进行异常数据检验</w:t>
      </w:r>
    </w:p>
    <w:p>
      <w:pPr>
        <w:spacing w:line="360" w:lineRule="auto"/>
        <w:ind w:firstLine="480" w:firstLineChars="200"/>
        <w:rPr>
          <w:sz w:val="24"/>
        </w:rPr>
      </w:pPr>
      <w:r>
        <w:rPr>
          <w:sz w:val="24"/>
        </w:rPr>
        <w:t>①检验X</w:t>
      </w:r>
      <w:r>
        <w:rPr>
          <w:sz w:val="24"/>
          <w:vertAlign w:val="subscript"/>
        </w:rPr>
        <w:t>1</w:t>
      </w:r>
      <w:r>
        <w:rPr>
          <w:sz w:val="24"/>
        </w:rPr>
        <w:t>，先计算出统计量t</w:t>
      </w:r>
      <w:r>
        <w:rPr>
          <w:sz w:val="24"/>
          <w:vertAlign w:val="subscript"/>
        </w:rPr>
        <w:t>1</w:t>
      </w:r>
    </w:p>
    <w:p>
      <w:pPr>
        <w:spacing w:line="360" w:lineRule="auto"/>
        <w:ind w:firstLine="480" w:firstLineChars="200"/>
        <w:rPr>
          <w:sz w:val="24"/>
        </w:rPr>
      </w:pPr>
      <w:r>
        <w:rPr>
          <w:sz w:val="24"/>
        </w:rPr>
        <w:t>对于给定的显著水平a(0.05)和自由度V=n-2，若t</w:t>
      </w:r>
      <w:r>
        <w:rPr>
          <w:sz w:val="24"/>
          <w:vertAlign w:val="subscript"/>
        </w:rPr>
        <w:t>1</w:t>
      </w:r>
      <w:r>
        <w:rPr>
          <w:sz w:val="24"/>
        </w:rPr>
        <w:t>＞t(a,v)，则判定X</w:t>
      </w:r>
      <w:r>
        <w:rPr>
          <w:sz w:val="24"/>
          <w:vertAlign w:val="subscript"/>
        </w:rPr>
        <w:t>1</w:t>
      </w:r>
      <w:r>
        <w:rPr>
          <w:sz w:val="24"/>
        </w:rPr>
        <w:t>为异常值；若t</w:t>
      </w:r>
      <w:r>
        <w:rPr>
          <w:sz w:val="24"/>
          <w:vertAlign w:val="subscript"/>
        </w:rPr>
        <w:t>1</w:t>
      </w:r>
      <w:r>
        <w:rPr>
          <w:sz w:val="24"/>
        </w:rPr>
        <w:t>≤t(a,v)，则X</w:t>
      </w:r>
      <w:r>
        <w:rPr>
          <w:sz w:val="24"/>
          <w:vertAlign w:val="subscript"/>
        </w:rPr>
        <w:t>1</w:t>
      </w:r>
      <w:r>
        <w:rPr>
          <w:sz w:val="24"/>
        </w:rPr>
        <w:t>不为异常值，保留。</w:t>
      </w:r>
    </w:p>
    <w:p>
      <w:pPr>
        <w:spacing w:line="360" w:lineRule="auto"/>
        <w:ind w:firstLine="480" w:firstLineChars="200"/>
        <w:rPr>
          <w:sz w:val="24"/>
        </w:rPr>
      </w:pPr>
      <w:r>
        <w:rPr>
          <w:sz w:val="24"/>
        </w:rPr>
        <w:t>②检验X</w:t>
      </w:r>
      <w:r>
        <w:rPr>
          <w:sz w:val="24"/>
          <w:vertAlign w:val="subscript"/>
        </w:rPr>
        <w:t>n</w:t>
      </w:r>
      <w:r>
        <w:rPr>
          <w:sz w:val="24"/>
        </w:rPr>
        <w:t>,先计算出统计量t</w:t>
      </w:r>
      <w:r>
        <w:rPr>
          <w:sz w:val="24"/>
          <w:vertAlign w:val="subscript"/>
        </w:rPr>
        <w:t>n</w:t>
      </w:r>
    </w:p>
    <w:p>
      <w:pPr>
        <w:spacing w:line="360" w:lineRule="auto"/>
        <w:ind w:firstLine="480" w:firstLineChars="200"/>
        <w:rPr>
          <w:sz w:val="24"/>
        </w:rPr>
      </w:pPr>
      <w:r>
        <w:rPr>
          <w:sz w:val="24"/>
        </w:rPr>
        <w:t>a、当X</w:t>
      </w:r>
      <w:r>
        <w:rPr>
          <w:sz w:val="24"/>
          <w:vertAlign w:val="subscript"/>
        </w:rPr>
        <w:t>1</w:t>
      </w:r>
      <w:r>
        <w:rPr>
          <w:sz w:val="24"/>
        </w:rPr>
        <w:t>未被判定为异常值时， t</w:t>
      </w:r>
      <w:r>
        <w:rPr>
          <w:sz w:val="24"/>
          <w:vertAlign w:val="subscript"/>
        </w:rPr>
        <w:t>n</w:t>
      </w:r>
      <w:r>
        <w:rPr>
          <w:sz w:val="24"/>
        </w:rPr>
        <w:t>＞t(a,v)，则判定X</w:t>
      </w:r>
      <w:r>
        <w:rPr>
          <w:sz w:val="24"/>
          <w:vertAlign w:val="subscript"/>
        </w:rPr>
        <w:t>n</w:t>
      </w:r>
      <w:r>
        <w:rPr>
          <w:sz w:val="24"/>
        </w:rPr>
        <w:t>为异常值；当t</w:t>
      </w:r>
      <w:r>
        <w:rPr>
          <w:sz w:val="24"/>
          <w:vertAlign w:val="subscript"/>
        </w:rPr>
        <w:t>n</w:t>
      </w:r>
      <w:r>
        <w:rPr>
          <w:sz w:val="24"/>
        </w:rPr>
        <w:t>≤t(a,v)则不是异常值。</w:t>
      </w:r>
    </w:p>
    <w:p>
      <w:pPr>
        <w:spacing w:line="360" w:lineRule="auto"/>
        <w:ind w:firstLine="480" w:firstLineChars="200"/>
        <w:rPr>
          <w:sz w:val="24"/>
        </w:rPr>
      </w:pPr>
      <w:r>
        <w:rPr>
          <w:sz w:val="24"/>
        </w:rPr>
        <w:t>b、当X</w:t>
      </w:r>
      <w:r>
        <w:rPr>
          <w:sz w:val="24"/>
          <w:vertAlign w:val="subscript"/>
        </w:rPr>
        <w:t>1</w:t>
      </w:r>
      <w:r>
        <w:rPr>
          <w:sz w:val="24"/>
        </w:rPr>
        <w:t>被判定为异常值时：若t</w:t>
      </w:r>
      <w:r>
        <w:rPr>
          <w:sz w:val="24"/>
          <w:vertAlign w:val="subscript"/>
        </w:rPr>
        <w:t>n</w:t>
      </w:r>
      <w:r>
        <w:rPr>
          <w:sz w:val="24"/>
        </w:rPr>
        <w:t>&gt;t(a,v=n-3)，则判定Xn为异常值；若t</w:t>
      </w:r>
      <w:r>
        <w:rPr>
          <w:sz w:val="24"/>
          <w:vertAlign w:val="subscript"/>
        </w:rPr>
        <w:t>n</w:t>
      </w:r>
      <w:r>
        <w:rPr>
          <w:sz w:val="24"/>
        </w:rPr>
        <w:t>≤t(a,v=n-3)         则判定Xn不为异常值。</w:t>
      </w:r>
    </w:p>
    <w:p>
      <w:pPr>
        <w:spacing w:line="360" w:lineRule="auto"/>
        <w:ind w:firstLine="480" w:firstLineChars="200"/>
        <w:rPr>
          <w:sz w:val="24"/>
        </w:rPr>
      </w:pPr>
      <w:r>
        <w:rPr>
          <w:sz w:val="24"/>
        </w:rPr>
        <w:t>c、如果X</w:t>
      </w:r>
      <w:r>
        <w:rPr>
          <w:sz w:val="24"/>
          <w:vertAlign w:val="subscript"/>
        </w:rPr>
        <w:t>1</w:t>
      </w:r>
      <w:r>
        <w:rPr>
          <w:sz w:val="24"/>
        </w:rPr>
        <w:t>.X</w:t>
      </w:r>
      <w:r>
        <w:rPr>
          <w:sz w:val="24"/>
          <w:vertAlign w:val="subscript"/>
        </w:rPr>
        <w:t>n</w:t>
      </w:r>
      <w:r>
        <w:rPr>
          <w:sz w:val="24"/>
        </w:rPr>
        <w:t>都已被检验判定为异常数据，则还须对数列内侧数X</w:t>
      </w:r>
      <w:r>
        <w:rPr>
          <w:sz w:val="24"/>
          <w:vertAlign w:val="subscript"/>
        </w:rPr>
        <w:t>2</w:t>
      </w:r>
      <w:r>
        <w:rPr>
          <w:sz w:val="24"/>
        </w:rPr>
        <w:t>.X</w:t>
      </w:r>
      <w:r>
        <w:rPr>
          <w:sz w:val="24"/>
          <w:vertAlign w:val="subscript"/>
        </w:rPr>
        <w:t>n-1</w:t>
      </w:r>
      <w:r>
        <w:rPr>
          <w:sz w:val="24"/>
        </w:rPr>
        <w:t>分别作检验，直至两侧数据不被判定为异常值为止，检验方法同上。</w:t>
      </w:r>
    </w:p>
    <w:p>
      <w:pPr>
        <w:spacing w:line="360" w:lineRule="auto"/>
        <w:ind w:firstLine="480" w:firstLineChars="200"/>
        <w:rPr>
          <w:sz w:val="24"/>
        </w:rPr>
      </w:pPr>
      <w:r>
        <w:rPr>
          <w:sz w:val="24"/>
        </w:rPr>
        <w:t>3.2 若总体分布被检验确定为非正态型分布，则用均值—方差法检验，步骤如下：</w:t>
      </w:r>
    </w:p>
    <w:p>
      <w:pPr>
        <w:spacing w:line="360" w:lineRule="auto"/>
        <w:ind w:firstLine="480" w:firstLineChars="200"/>
        <w:rPr>
          <w:sz w:val="24"/>
        </w:rPr>
      </w:pPr>
      <w:r>
        <w:rPr>
          <w:sz w:val="24"/>
        </w:rPr>
        <w:t>（1）将同一土地级内同用途或同一地价区段同用途的各样点，按小到大的顺序排列成数列X</w:t>
      </w:r>
      <w:r>
        <w:rPr>
          <w:sz w:val="24"/>
          <w:vertAlign w:val="subscript"/>
        </w:rPr>
        <w:t>n</w:t>
      </w:r>
      <w:r>
        <w:rPr>
          <w:sz w:val="24"/>
        </w:rPr>
        <w:t>：</w:t>
      </w:r>
    </w:p>
    <w:p>
      <w:pPr>
        <w:spacing w:line="360" w:lineRule="auto"/>
        <w:ind w:firstLine="480" w:firstLineChars="200"/>
        <w:rPr>
          <w:sz w:val="24"/>
        </w:rPr>
      </w:pPr>
      <w:r>
        <w:rPr>
          <w:sz w:val="24"/>
        </w:rPr>
        <w:t>X1≤X2≤………≤Xn；</w:t>
      </w:r>
    </w:p>
    <w:p>
      <w:pPr>
        <w:spacing w:line="360" w:lineRule="auto"/>
        <w:ind w:firstLine="480" w:firstLineChars="200"/>
        <w:rPr>
          <w:sz w:val="24"/>
        </w:rPr>
      </w:pPr>
      <w:r>
        <w:rPr>
          <w:sz w:val="24"/>
        </w:rPr>
        <w:t>（2）计算数列X</w:t>
      </w:r>
      <w:r>
        <w:rPr>
          <w:sz w:val="24"/>
          <w:vertAlign w:val="subscript"/>
        </w:rPr>
        <w:t>n</w:t>
      </w:r>
      <w:r>
        <w:rPr>
          <w:sz w:val="24"/>
        </w:rPr>
        <w:t>的样本均值X和标准差S；</w:t>
      </w:r>
    </w:p>
    <w:p>
      <w:pPr>
        <w:spacing w:line="360" w:lineRule="auto"/>
        <w:ind w:firstLine="480" w:firstLineChars="200"/>
        <w:rPr>
          <w:sz w:val="24"/>
        </w:rPr>
      </w:pPr>
      <w:r>
        <w:rPr>
          <w:sz w:val="24"/>
        </w:rPr>
        <w:t>（3）确定剔除的标准</w:t>
      </w:r>
      <w:r>
        <w:rPr>
          <w:rFonts w:ascii="Times New Roman" w:hAnsi="Times New Roman" w:eastAsia="宋体" w:cs="Times New Roman"/>
          <w:kern w:val="2"/>
          <w:sz w:val="24"/>
          <w:lang w:val="en-US" w:eastAsia="zh-CN" w:bidi="ar-SA"/>
        </w:rPr>
        <w:object>
          <v:shape id="Picture 20" type="#_x0000_t75" style="height:16.75pt;width:45.2pt;rotation:0f;" o:ole="t" fillcolor="#FFFFFF" filled="f" o:preferrelative="t" stroked="f" coordorigin="0,0" coordsize="21600,21600">
            <v:fill on="f" color2="#FFFFFF" focus="0%"/>
            <v:imagedata gain="65536f" blacklevel="0f" gamma="0" o:title="" r:id="rId103"/>
            <o:lock v:ext="edit" position="f" selection="f" grouping="f" rotation="f" cropping="f" text="f" aspectratio="t"/>
            <w10:wrap type="none"/>
            <w10:anchorlock/>
          </v:shape>
          <o:OLEObject Type="Embed" ProgID="" ShapeID="Picture 20" DrawAspect="Content" ObjectID="_250" r:id="rId102"/>
        </w:object>
      </w:r>
      <w:r>
        <w:rPr>
          <w:sz w:val="24"/>
        </w:rPr>
        <w:t>；</w:t>
      </w:r>
    </w:p>
    <w:p>
      <w:pPr>
        <w:spacing w:line="360" w:lineRule="auto"/>
        <w:ind w:firstLine="480" w:firstLineChars="200"/>
        <w:rPr>
          <w:sz w:val="24"/>
        </w:rPr>
      </w:pPr>
      <w:r>
        <w:rPr>
          <w:sz w:val="24"/>
        </w:rPr>
        <w:t>（4）判定X</w:t>
      </w:r>
      <w:r>
        <w:rPr>
          <w:sz w:val="24"/>
          <w:vertAlign w:val="subscript"/>
        </w:rPr>
        <w:t>1</w:t>
      </w:r>
      <w:r>
        <w:rPr>
          <w:sz w:val="24"/>
        </w:rPr>
        <w:t>，X</w:t>
      </w:r>
      <w:r>
        <w:rPr>
          <w:sz w:val="24"/>
          <w:vertAlign w:val="subscript"/>
        </w:rPr>
        <w:t>n</w:t>
      </w:r>
      <w:r>
        <w:rPr>
          <w:sz w:val="24"/>
        </w:rPr>
        <w:t>是否超过标准，如超过标准，则为需剔除的异常值；</w:t>
      </w:r>
    </w:p>
    <w:p>
      <w:pPr>
        <w:spacing w:line="360" w:lineRule="auto"/>
        <w:ind w:firstLine="480" w:firstLineChars="200"/>
        <w:rPr>
          <w:sz w:val="24"/>
        </w:rPr>
      </w:pPr>
      <w:r>
        <w:rPr>
          <w:sz w:val="24"/>
        </w:rPr>
        <w:t>（5）重新计算样本总体的</w:t>
      </w:r>
      <w:r>
        <w:rPr>
          <w:rFonts w:ascii="Times New Roman" w:hAnsi="Times New Roman" w:eastAsia="宋体" w:cs="Times New Roman"/>
          <w:kern w:val="2"/>
          <w:sz w:val="24"/>
          <w:lang w:val="en-US" w:eastAsia="zh-CN" w:bidi="ar-SA"/>
        </w:rPr>
        <w:object>
          <v:shape id="Picture 21" type="#_x0000_t75" style="height:16.75pt;width:15.05pt;rotation:0f;" o:ole="t" fillcolor="#FFFFFF" filled="f" o:preferrelative="t" stroked="f" coordorigin="0,0" coordsize="21600,21600">
            <v:fill on="f" color2="#FFFFFF" focus="0%"/>
            <v:imagedata gain="65536f" blacklevel="0f" gamma="0" o:title="" r:id="rId105"/>
            <o:lock v:ext="edit" position="f" selection="f" grouping="f" rotation="f" cropping="f" text="f" aspectratio="t"/>
            <w10:wrap type="none"/>
            <w10:anchorlock/>
          </v:shape>
          <o:OLEObject Type="Embed" ProgID="" ShapeID="Picture 21" DrawAspect="Content" ObjectID="_251" r:id="rId104"/>
        </w:object>
      </w:r>
      <w:r>
        <w:rPr>
          <w:sz w:val="24"/>
        </w:rPr>
        <w:t>和S，按同样方法剔除异常值，直到所有样本都在规定的精度范围内。</w:t>
      </w:r>
    </w:p>
    <w:p>
      <w:pPr>
        <w:spacing w:line="360" w:lineRule="auto"/>
        <w:jc w:val="center"/>
        <w:textAlignment w:val="baseline"/>
        <w:outlineLvl w:val="1"/>
        <w:rPr>
          <w:rFonts w:eastAsia="黑体"/>
          <w:sz w:val="32"/>
          <w:szCs w:val="32"/>
        </w:rPr>
      </w:pPr>
      <w:r>
        <w:rPr>
          <w:rFonts w:eastAsia="黑体"/>
          <w:sz w:val="30"/>
          <w:szCs w:val="30"/>
        </w:rPr>
        <w:br w:type="page"/>
      </w:r>
      <w:bookmarkStart w:id="568" w:name="_Toc11511"/>
      <w:bookmarkStart w:id="569" w:name="_Toc9199"/>
      <w:bookmarkStart w:id="570" w:name="_Toc16014"/>
      <w:bookmarkStart w:id="571" w:name="_Toc17227"/>
      <w:bookmarkStart w:id="572" w:name="_Toc467846859"/>
      <w:bookmarkStart w:id="573" w:name="_Toc469296468"/>
      <w:bookmarkStart w:id="574" w:name="_Toc470721319"/>
      <w:r>
        <w:rPr>
          <w:rFonts w:eastAsia="黑体"/>
          <w:sz w:val="32"/>
          <w:szCs w:val="32"/>
        </w:rPr>
        <w:t xml:space="preserve">第三章  </w:t>
      </w:r>
      <w:r>
        <w:rPr>
          <w:rFonts w:hint="eastAsia" w:eastAsia="黑体"/>
          <w:sz w:val="32"/>
          <w:szCs w:val="32"/>
        </w:rPr>
        <w:t>长沙县城区商服用地、住宅用地</w:t>
      </w:r>
      <w:r>
        <w:rPr>
          <w:rFonts w:eastAsia="黑体"/>
          <w:sz w:val="32"/>
          <w:szCs w:val="32"/>
        </w:rPr>
        <w:t>基准地价</w:t>
      </w:r>
      <w:bookmarkEnd w:id="532"/>
      <w:bookmarkEnd w:id="533"/>
      <w:bookmarkEnd w:id="534"/>
      <w:r>
        <w:rPr>
          <w:rFonts w:eastAsia="黑体"/>
          <w:sz w:val="32"/>
          <w:szCs w:val="32"/>
        </w:rPr>
        <w:t>评估</w:t>
      </w:r>
      <w:bookmarkEnd w:id="568"/>
      <w:bookmarkEnd w:id="569"/>
      <w:bookmarkEnd w:id="570"/>
      <w:bookmarkEnd w:id="571"/>
      <w:bookmarkEnd w:id="572"/>
      <w:bookmarkEnd w:id="573"/>
      <w:bookmarkEnd w:id="574"/>
    </w:p>
    <w:p>
      <w:pPr>
        <w:spacing w:line="360" w:lineRule="auto"/>
        <w:ind w:firstLine="480" w:firstLineChars="200"/>
        <w:textAlignment w:val="baseline"/>
        <w:rPr>
          <w:sz w:val="24"/>
        </w:rPr>
      </w:pPr>
      <w:bookmarkStart w:id="575" w:name="_Toc213589791"/>
      <w:bookmarkStart w:id="576" w:name="_Toc248305594"/>
      <w:bookmarkStart w:id="577" w:name="_Toc248306031"/>
      <w:bookmarkStart w:id="578" w:name="_Toc213589816"/>
      <w:r>
        <w:rPr>
          <w:sz w:val="24"/>
        </w:rPr>
        <w:t>商服用地和住宅用地级别基准地价的测算采用的方法是在划分均值区域的基础上，将定级单元格的分值按均值区域逐一汇总，再对有样点均值区域逐一测算出均质区域均价，并建立有样点均值区域均价均质区域定级分值的数学模型，以此模型推算出无样点均值区域的平均地价，再以面积加权平均求和的方法，分别测算出商住用地的级别地价。</w:t>
      </w:r>
    </w:p>
    <w:p>
      <w:pPr>
        <w:spacing w:line="600" w:lineRule="exact"/>
        <w:ind w:firstLine="560" w:firstLineChars="200"/>
        <w:outlineLvl w:val="2"/>
        <w:rPr>
          <w:rFonts w:eastAsia="黑体"/>
          <w:sz w:val="28"/>
          <w:szCs w:val="28"/>
        </w:rPr>
      </w:pPr>
      <w:bookmarkStart w:id="579" w:name="_Toc8985"/>
      <w:bookmarkStart w:id="580" w:name="_Toc467846860"/>
      <w:bookmarkStart w:id="581" w:name="_Toc470721320"/>
      <w:bookmarkStart w:id="582" w:name="_Toc469296469"/>
      <w:bookmarkStart w:id="583" w:name="_Toc271529453"/>
      <w:bookmarkStart w:id="584" w:name="_Toc20518"/>
      <w:r>
        <w:rPr>
          <w:rFonts w:eastAsia="黑体"/>
          <w:sz w:val="28"/>
          <w:szCs w:val="28"/>
        </w:rPr>
        <w:t>一、商服用地基准地价</w:t>
      </w:r>
      <w:bookmarkEnd w:id="575"/>
      <w:bookmarkEnd w:id="576"/>
      <w:bookmarkEnd w:id="577"/>
      <w:bookmarkEnd w:id="579"/>
      <w:bookmarkEnd w:id="580"/>
      <w:bookmarkEnd w:id="581"/>
      <w:bookmarkEnd w:id="582"/>
      <w:bookmarkEnd w:id="583"/>
      <w:r>
        <w:rPr>
          <w:rFonts w:hint="eastAsia" w:eastAsia="黑体"/>
          <w:sz w:val="28"/>
          <w:szCs w:val="28"/>
        </w:rPr>
        <w:t>评估</w:t>
      </w:r>
      <w:bookmarkEnd w:id="584"/>
    </w:p>
    <w:p>
      <w:pPr>
        <w:spacing w:line="360" w:lineRule="auto"/>
        <w:ind w:firstLine="562" w:firstLineChars="200"/>
        <w:rPr>
          <w:b/>
          <w:sz w:val="24"/>
        </w:rPr>
      </w:pPr>
      <w:r>
        <w:rPr>
          <w:b/>
          <w:sz w:val="28"/>
          <w:szCs w:val="28"/>
          <w:lang w:val="zh-CN"/>
        </w:rPr>
        <w:t>1、</w:t>
      </w:r>
      <w:r>
        <w:rPr>
          <w:b/>
          <w:sz w:val="24"/>
        </w:rPr>
        <w:t>有样点地价区片基准地价测算</w:t>
      </w:r>
    </w:p>
    <w:p>
      <w:pPr>
        <w:spacing w:line="360" w:lineRule="auto"/>
        <w:ind w:firstLine="480" w:firstLineChars="200"/>
        <w:rPr>
          <w:sz w:val="24"/>
        </w:rPr>
      </w:pPr>
      <w:r>
        <w:rPr>
          <w:sz w:val="24"/>
        </w:rPr>
        <w:t>通过数据检验、剔除异常值后，采用合格样本的平均值作为基本区片的单位地价。平均值可以使用算术平均值、加权算术平均值、中位数、众数等方法。本次工作中采用的是简单算术平均值。</w:t>
      </w:r>
    </w:p>
    <w:p>
      <w:pPr>
        <w:spacing w:line="360" w:lineRule="auto"/>
        <w:ind w:firstLine="480" w:firstLineChars="200"/>
        <w:rPr>
          <w:sz w:val="24"/>
        </w:rPr>
      </w:pPr>
      <w:r>
        <w:rPr>
          <w:sz w:val="24"/>
        </w:rPr>
        <w:t>P=∑P</w:t>
      </w:r>
      <w:r>
        <w:rPr>
          <w:sz w:val="24"/>
          <w:vertAlign w:val="subscript"/>
        </w:rPr>
        <w:t>i</w:t>
      </w:r>
      <w:r>
        <w:rPr>
          <w:sz w:val="24"/>
        </w:rPr>
        <w:t>/M （i=1，2，……，M）</w:t>
      </w:r>
    </w:p>
    <w:p>
      <w:pPr>
        <w:spacing w:line="360" w:lineRule="auto"/>
        <w:ind w:firstLine="480" w:firstLineChars="200"/>
        <w:rPr>
          <w:sz w:val="24"/>
        </w:rPr>
      </w:pPr>
      <w:r>
        <w:rPr>
          <w:sz w:val="24"/>
        </w:rPr>
        <w:t>式中：P：某地价区片平均地价</w:t>
      </w:r>
    </w:p>
    <w:p>
      <w:pPr>
        <w:spacing w:line="360" w:lineRule="auto"/>
        <w:ind w:firstLine="480" w:firstLineChars="200"/>
        <w:rPr>
          <w:sz w:val="24"/>
        </w:rPr>
      </w:pPr>
      <w:r>
        <w:rPr>
          <w:sz w:val="24"/>
        </w:rPr>
        <w:t>Pi：某地价区片内商服用地各样点地价</w:t>
      </w:r>
    </w:p>
    <w:p>
      <w:pPr>
        <w:spacing w:line="360" w:lineRule="auto"/>
        <w:ind w:firstLine="480" w:firstLineChars="200"/>
        <w:rPr>
          <w:sz w:val="24"/>
        </w:rPr>
      </w:pPr>
      <w:r>
        <w:rPr>
          <w:sz w:val="24"/>
        </w:rPr>
        <w:t>M：地价区片内商服用地有效样点总数</w:t>
      </w:r>
    </w:p>
    <w:p>
      <w:pPr>
        <w:spacing w:line="360" w:lineRule="auto"/>
        <w:rPr>
          <w:sz w:val="24"/>
        </w:rPr>
      </w:pPr>
      <w:r>
        <w:rPr>
          <w:sz w:val="24"/>
        </w:rPr>
        <w:t>根据长沙县基准地价外业调查和内业处理可知，本次调查，样点区片共26个，经样点地价检验后，保留的商服用地有效样点共585个，按照上述公式计算，得到商服用地均值区域地价（表3-3-1）。</w:t>
      </w:r>
    </w:p>
    <w:p>
      <w:pPr>
        <w:spacing w:line="480" w:lineRule="exact"/>
        <w:jc w:val="center"/>
        <w:rPr>
          <w:b/>
          <w:bCs/>
          <w:sz w:val="24"/>
          <w:szCs w:val="24"/>
        </w:rPr>
      </w:pPr>
      <w:r>
        <w:rPr>
          <w:b/>
          <w:bCs/>
          <w:sz w:val="24"/>
          <w:szCs w:val="24"/>
        </w:rPr>
        <w:t>表3-3-1 商服用地有样点均质区域基准地价</w:t>
      </w:r>
    </w:p>
    <w:p>
      <w:pPr>
        <w:ind w:right="359" w:firstLine="480" w:firstLineChars="200"/>
        <w:jc w:val="right"/>
        <w:rPr>
          <w:rFonts w:eastAsia="黑体"/>
          <w:sz w:val="24"/>
          <w:szCs w:val="24"/>
        </w:rPr>
      </w:pPr>
      <w:r>
        <w:rPr>
          <w:rFonts w:eastAsia="黑体"/>
          <w:sz w:val="24"/>
          <w:szCs w:val="24"/>
        </w:rPr>
        <w:t>单位：元/平方米</w:t>
      </w:r>
    </w:p>
    <w:tbl>
      <w:tblPr>
        <w:tblW w:w="9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1370"/>
        <w:gridCol w:w="1370"/>
        <w:gridCol w:w="1638"/>
        <w:gridCol w:w="1907"/>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blHeader/>
        </w:trPr>
        <w:tc>
          <w:tcPr>
            <w:tcW w:w="1370" w:type="dxa"/>
            <w:vAlign w:val="center"/>
          </w:tcPr>
          <w:p>
            <w:pPr>
              <w:widowControl/>
              <w:jc w:val="center"/>
              <w:rPr>
                <w:b/>
                <w:color w:val="000000"/>
                <w:kern w:val="0"/>
                <w:sz w:val="22"/>
                <w:szCs w:val="22"/>
              </w:rPr>
            </w:pPr>
            <w:r>
              <w:rPr>
                <w:b/>
                <w:color w:val="000000"/>
                <w:kern w:val="0"/>
                <w:sz w:val="22"/>
                <w:szCs w:val="22"/>
              </w:rPr>
              <w:t>序号</w:t>
            </w:r>
          </w:p>
        </w:tc>
        <w:tc>
          <w:tcPr>
            <w:tcW w:w="1370" w:type="dxa"/>
            <w:vAlign w:val="center"/>
          </w:tcPr>
          <w:p>
            <w:pPr>
              <w:widowControl/>
              <w:jc w:val="center"/>
              <w:rPr>
                <w:b/>
                <w:bCs/>
                <w:color w:val="000000"/>
                <w:kern w:val="0"/>
                <w:sz w:val="22"/>
                <w:szCs w:val="22"/>
              </w:rPr>
            </w:pPr>
            <w:r>
              <w:rPr>
                <w:b/>
                <w:bCs/>
                <w:color w:val="000000"/>
                <w:kern w:val="0"/>
                <w:sz w:val="22"/>
                <w:szCs w:val="22"/>
              </w:rPr>
              <w:t>均质区域</w:t>
            </w:r>
          </w:p>
        </w:tc>
        <w:tc>
          <w:tcPr>
            <w:tcW w:w="1370" w:type="dxa"/>
            <w:vAlign w:val="center"/>
          </w:tcPr>
          <w:p>
            <w:pPr>
              <w:widowControl/>
              <w:jc w:val="center"/>
              <w:rPr>
                <w:b/>
                <w:bCs/>
                <w:color w:val="000000"/>
                <w:kern w:val="0"/>
                <w:sz w:val="22"/>
                <w:szCs w:val="22"/>
              </w:rPr>
            </w:pPr>
            <w:r>
              <w:rPr>
                <w:b/>
                <w:bCs/>
                <w:color w:val="000000"/>
                <w:kern w:val="0"/>
                <w:sz w:val="22"/>
                <w:szCs w:val="22"/>
              </w:rPr>
              <w:t>所属级别</w:t>
            </w:r>
          </w:p>
        </w:tc>
        <w:tc>
          <w:tcPr>
            <w:tcW w:w="1638" w:type="dxa"/>
            <w:vAlign w:val="center"/>
          </w:tcPr>
          <w:p>
            <w:pPr>
              <w:widowControl/>
              <w:jc w:val="center"/>
              <w:rPr>
                <w:b/>
                <w:bCs/>
                <w:color w:val="000000"/>
                <w:kern w:val="0"/>
                <w:sz w:val="22"/>
                <w:szCs w:val="22"/>
              </w:rPr>
            </w:pPr>
            <w:r>
              <w:rPr>
                <w:b/>
                <w:bCs/>
                <w:color w:val="000000"/>
                <w:kern w:val="0"/>
                <w:sz w:val="22"/>
                <w:szCs w:val="22"/>
              </w:rPr>
              <w:t>有效样点数</w:t>
            </w:r>
          </w:p>
        </w:tc>
        <w:tc>
          <w:tcPr>
            <w:tcW w:w="1907" w:type="dxa"/>
            <w:vAlign w:val="center"/>
          </w:tcPr>
          <w:p>
            <w:pPr>
              <w:widowControl/>
              <w:jc w:val="center"/>
              <w:rPr>
                <w:b/>
                <w:bCs/>
                <w:color w:val="000000"/>
                <w:kern w:val="0"/>
                <w:sz w:val="22"/>
                <w:szCs w:val="22"/>
              </w:rPr>
            </w:pPr>
            <w:r>
              <w:rPr>
                <w:b/>
                <w:bCs/>
                <w:color w:val="000000"/>
                <w:kern w:val="0"/>
                <w:sz w:val="22"/>
                <w:szCs w:val="22"/>
              </w:rPr>
              <w:t>均质区域地价</w:t>
            </w:r>
          </w:p>
        </w:tc>
        <w:tc>
          <w:tcPr>
            <w:tcW w:w="1368" w:type="dxa"/>
            <w:vAlign w:val="center"/>
          </w:tcPr>
          <w:p>
            <w:pPr>
              <w:widowControl/>
              <w:jc w:val="center"/>
              <w:rPr>
                <w:b/>
                <w:bCs/>
                <w:color w:val="000000"/>
                <w:kern w:val="0"/>
                <w:sz w:val="22"/>
                <w:szCs w:val="22"/>
              </w:rPr>
            </w:pPr>
            <w:r>
              <w:rPr>
                <w:b/>
                <w:bCs/>
                <w:color w:val="000000"/>
                <w:kern w:val="0"/>
                <w:sz w:val="22"/>
                <w:szCs w:val="22"/>
              </w:rPr>
              <w:t>作用分值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color w:val="000000"/>
                <w:kern w:val="0"/>
                <w:sz w:val="22"/>
                <w:szCs w:val="22"/>
              </w:rPr>
            </w:pPr>
            <w:r>
              <w:rPr>
                <w:color w:val="000000"/>
                <w:kern w:val="0"/>
                <w:sz w:val="22"/>
                <w:szCs w:val="22"/>
              </w:rPr>
              <w:t>1</w:t>
            </w:r>
          </w:p>
        </w:tc>
        <w:tc>
          <w:tcPr>
            <w:tcW w:w="1370" w:type="dxa"/>
            <w:vAlign w:val="center"/>
          </w:tcPr>
          <w:p>
            <w:pPr>
              <w:widowControl/>
              <w:jc w:val="center"/>
              <w:textAlignment w:val="center"/>
              <w:rPr>
                <w:kern w:val="0"/>
                <w:sz w:val="22"/>
                <w:szCs w:val="22"/>
              </w:rPr>
            </w:pPr>
            <w:r>
              <w:rPr>
                <w:color w:val="000000"/>
                <w:kern w:val="0"/>
                <w:sz w:val="22"/>
                <w:szCs w:val="22"/>
                <w:lang/>
              </w:rPr>
              <w:t>J018</w:t>
            </w:r>
          </w:p>
        </w:tc>
        <w:tc>
          <w:tcPr>
            <w:tcW w:w="1370" w:type="dxa"/>
            <w:vAlign w:val="center"/>
          </w:tcPr>
          <w:p>
            <w:pPr>
              <w:widowControl/>
              <w:jc w:val="center"/>
              <w:textAlignment w:val="center"/>
              <w:rPr>
                <w:color w:val="000000"/>
                <w:kern w:val="0"/>
                <w:sz w:val="22"/>
                <w:szCs w:val="22"/>
              </w:rPr>
            </w:pPr>
            <w:r>
              <w:rPr>
                <w:color w:val="000000"/>
                <w:kern w:val="0"/>
                <w:sz w:val="22"/>
                <w:szCs w:val="22"/>
                <w:lang/>
              </w:rPr>
              <w:t>一级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23</w:t>
            </w:r>
          </w:p>
        </w:tc>
        <w:tc>
          <w:tcPr>
            <w:tcW w:w="1907" w:type="dxa"/>
            <w:vAlign w:val="center"/>
          </w:tcPr>
          <w:p>
            <w:pPr>
              <w:widowControl/>
              <w:jc w:val="center"/>
              <w:textAlignment w:val="center"/>
              <w:rPr>
                <w:color w:val="000000"/>
                <w:kern w:val="0"/>
                <w:sz w:val="22"/>
                <w:szCs w:val="22"/>
              </w:rPr>
            </w:pPr>
            <w:r>
              <w:rPr>
                <w:color w:val="000000"/>
                <w:kern w:val="0"/>
                <w:sz w:val="22"/>
                <w:szCs w:val="22"/>
                <w:lang/>
              </w:rPr>
              <w:t>5130</w:t>
            </w:r>
          </w:p>
        </w:tc>
        <w:tc>
          <w:tcPr>
            <w:tcW w:w="1368" w:type="dxa"/>
            <w:vAlign w:val="center"/>
          </w:tcPr>
          <w:p>
            <w:pPr>
              <w:widowControl/>
              <w:jc w:val="center"/>
              <w:textAlignment w:val="center"/>
              <w:rPr>
                <w:color w:val="000000"/>
                <w:kern w:val="0"/>
                <w:sz w:val="22"/>
                <w:szCs w:val="22"/>
              </w:rPr>
            </w:pPr>
            <w:r>
              <w:rPr>
                <w:rFonts w:hint="eastAsia"/>
                <w:color w:val="000000"/>
                <w:kern w:val="0"/>
                <w:sz w:val="22"/>
                <w:szCs w:val="22"/>
                <w:lang/>
              </w:rPr>
              <w:t>70.02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color w:val="000000"/>
                <w:kern w:val="0"/>
                <w:sz w:val="22"/>
                <w:szCs w:val="22"/>
              </w:rPr>
            </w:pPr>
            <w:r>
              <w:rPr>
                <w:color w:val="000000"/>
                <w:kern w:val="0"/>
                <w:sz w:val="22"/>
                <w:szCs w:val="22"/>
              </w:rPr>
              <w:t>2</w:t>
            </w:r>
          </w:p>
        </w:tc>
        <w:tc>
          <w:tcPr>
            <w:tcW w:w="1370" w:type="dxa"/>
            <w:vAlign w:val="center"/>
          </w:tcPr>
          <w:p>
            <w:pPr>
              <w:widowControl/>
              <w:jc w:val="center"/>
              <w:textAlignment w:val="center"/>
              <w:rPr>
                <w:color w:val="000000"/>
                <w:kern w:val="0"/>
                <w:sz w:val="22"/>
                <w:szCs w:val="22"/>
              </w:rPr>
            </w:pPr>
            <w:r>
              <w:rPr>
                <w:color w:val="000000"/>
                <w:kern w:val="0"/>
                <w:sz w:val="22"/>
                <w:szCs w:val="22"/>
                <w:lang/>
              </w:rPr>
              <w:t>J012</w:t>
            </w:r>
          </w:p>
        </w:tc>
        <w:tc>
          <w:tcPr>
            <w:tcW w:w="1370" w:type="dxa"/>
            <w:vAlign w:val="center"/>
          </w:tcPr>
          <w:p>
            <w:pPr>
              <w:widowControl/>
              <w:jc w:val="center"/>
              <w:textAlignment w:val="center"/>
              <w:rPr>
                <w:color w:val="000000"/>
                <w:kern w:val="0"/>
                <w:sz w:val="22"/>
                <w:szCs w:val="22"/>
              </w:rPr>
            </w:pPr>
            <w:r>
              <w:rPr>
                <w:color w:val="000000"/>
                <w:kern w:val="0"/>
                <w:sz w:val="22"/>
                <w:szCs w:val="22"/>
                <w:lang/>
              </w:rPr>
              <w:t>一级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21</w:t>
            </w:r>
          </w:p>
        </w:tc>
        <w:tc>
          <w:tcPr>
            <w:tcW w:w="1907" w:type="dxa"/>
            <w:vAlign w:val="center"/>
          </w:tcPr>
          <w:p>
            <w:pPr>
              <w:widowControl/>
              <w:jc w:val="center"/>
              <w:textAlignment w:val="center"/>
              <w:rPr>
                <w:color w:val="000000"/>
                <w:kern w:val="0"/>
                <w:sz w:val="22"/>
                <w:szCs w:val="22"/>
              </w:rPr>
            </w:pPr>
            <w:r>
              <w:rPr>
                <w:color w:val="000000"/>
                <w:kern w:val="0"/>
                <w:sz w:val="22"/>
                <w:szCs w:val="22"/>
                <w:lang/>
              </w:rPr>
              <w:t>4910</w:t>
            </w:r>
          </w:p>
        </w:tc>
        <w:tc>
          <w:tcPr>
            <w:tcW w:w="1368" w:type="dxa"/>
            <w:vAlign w:val="center"/>
          </w:tcPr>
          <w:p>
            <w:pPr>
              <w:widowControl/>
              <w:jc w:val="center"/>
              <w:textAlignment w:val="center"/>
              <w:rPr>
                <w:color w:val="000000"/>
                <w:kern w:val="0"/>
                <w:sz w:val="22"/>
                <w:szCs w:val="22"/>
              </w:rPr>
            </w:pPr>
            <w:r>
              <w:rPr>
                <w:rFonts w:hint="eastAsia"/>
                <w:color w:val="000000"/>
                <w:kern w:val="0"/>
                <w:sz w:val="22"/>
                <w:szCs w:val="22"/>
                <w:lang/>
              </w:rPr>
              <w:t>69.85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color w:val="000000"/>
                <w:kern w:val="0"/>
                <w:sz w:val="22"/>
                <w:szCs w:val="22"/>
              </w:rPr>
            </w:pPr>
            <w:r>
              <w:rPr>
                <w:color w:val="000000"/>
                <w:kern w:val="0"/>
                <w:sz w:val="22"/>
                <w:szCs w:val="22"/>
              </w:rPr>
              <w:t>3</w:t>
            </w:r>
          </w:p>
        </w:tc>
        <w:tc>
          <w:tcPr>
            <w:tcW w:w="1370" w:type="dxa"/>
            <w:vAlign w:val="center"/>
          </w:tcPr>
          <w:p>
            <w:pPr>
              <w:widowControl/>
              <w:jc w:val="center"/>
              <w:textAlignment w:val="center"/>
              <w:rPr>
                <w:kern w:val="0"/>
                <w:sz w:val="22"/>
                <w:szCs w:val="22"/>
              </w:rPr>
            </w:pPr>
            <w:r>
              <w:rPr>
                <w:color w:val="000000"/>
                <w:kern w:val="0"/>
                <w:sz w:val="22"/>
                <w:szCs w:val="22"/>
                <w:lang/>
              </w:rPr>
              <w:t>J013</w:t>
            </w:r>
          </w:p>
        </w:tc>
        <w:tc>
          <w:tcPr>
            <w:tcW w:w="1370" w:type="dxa"/>
            <w:vAlign w:val="center"/>
          </w:tcPr>
          <w:p>
            <w:pPr>
              <w:widowControl/>
              <w:jc w:val="center"/>
              <w:textAlignment w:val="center"/>
              <w:rPr>
                <w:color w:val="000000"/>
                <w:kern w:val="0"/>
                <w:sz w:val="22"/>
                <w:szCs w:val="22"/>
              </w:rPr>
            </w:pPr>
            <w:r>
              <w:rPr>
                <w:color w:val="000000"/>
                <w:kern w:val="0"/>
                <w:sz w:val="22"/>
                <w:szCs w:val="22"/>
                <w:lang/>
              </w:rPr>
              <w:t>一级</w:t>
            </w:r>
          </w:p>
        </w:tc>
        <w:tc>
          <w:tcPr>
            <w:tcW w:w="1638" w:type="dxa"/>
            <w:vAlign w:val="center"/>
          </w:tcPr>
          <w:p>
            <w:pPr>
              <w:widowControl/>
              <w:jc w:val="center"/>
              <w:textAlignment w:val="center"/>
              <w:rPr>
                <w:color w:val="000000"/>
                <w:kern w:val="0"/>
                <w:sz w:val="22"/>
                <w:szCs w:val="22"/>
              </w:rPr>
            </w:pPr>
            <w:r>
              <w:rPr>
                <w:color w:val="000000"/>
                <w:kern w:val="0"/>
                <w:sz w:val="22"/>
                <w:szCs w:val="22"/>
                <w:lang/>
              </w:rPr>
              <w:t>34</w:t>
            </w:r>
          </w:p>
        </w:tc>
        <w:tc>
          <w:tcPr>
            <w:tcW w:w="1907" w:type="dxa"/>
            <w:vAlign w:val="center"/>
          </w:tcPr>
          <w:p>
            <w:pPr>
              <w:widowControl/>
              <w:jc w:val="center"/>
              <w:textAlignment w:val="center"/>
              <w:rPr>
                <w:color w:val="000000"/>
                <w:kern w:val="0"/>
                <w:sz w:val="22"/>
                <w:szCs w:val="22"/>
              </w:rPr>
            </w:pPr>
            <w:r>
              <w:rPr>
                <w:color w:val="000000"/>
                <w:kern w:val="0"/>
                <w:sz w:val="22"/>
                <w:szCs w:val="22"/>
                <w:lang/>
              </w:rPr>
              <w:t>4770</w:t>
            </w:r>
          </w:p>
        </w:tc>
        <w:tc>
          <w:tcPr>
            <w:tcW w:w="1368" w:type="dxa"/>
            <w:vAlign w:val="center"/>
          </w:tcPr>
          <w:p>
            <w:pPr>
              <w:widowControl/>
              <w:jc w:val="center"/>
              <w:textAlignment w:val="center"/>
              <w:rPr>
                <w:color w:val="000000"/>
                <w:kern w:val="0"/>
                <w:sz w:val="22"/>
                <w:szCs w:val="22"/>
              </w:rPr>
            </w:pPr>
            <w:r>
              <w:rPr>
                <w:color w:val="000000"/>
                <w:kern w:val="0"/>
                <w:sz w:val="22"/>
                <w:szCs w:val="22"/>
                <w:lang/>
              </w:rPr>
              <w:t>6</w:t>
            </w:r>
            <w:r>
              <w:rPr>
                <w:rFonts w:hint="eastAsia"/>
                <w:color w:val="000000"/>
                <w:kern w:val="0"/>
                <w:sz w:val="22"/>
                <w:szCs w:val="22"/>
                <w:lang/>
              </w:rPr>
              <w:t>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color w:val="000000"/>
                <w:kern w:val="0"/>
                <w:sz w:val="22"/>
                <w:szCs w:val="22"/>
              </w:rPr>
            </w:pPr>
            <w:r>
              <w:rPr>
                <w:color w:val="000000"/>
                <w:kern w:val="0"/>
                <w:sz w:val="22"/>
                <w:szCs w:val="22"/>
              </w:rPr>
              <w:t>4</w:t>
            </w:r>
          </w:p>
        </w:tc>
        <w:tc>
          <w:tcPr>
            <w:tcW w:w="1370" w:type="dxa"/>
            <w:vAlign w:val="center"/>
          </w:tcPr>
          <w:p>
            <w:pPr>
              <w:widowControl/>
              <w:jc w:val="center"/>
              <w:textAlignment w:val="center"/>
              <w:rPr>
                <w:color w:val="000000"/>
                <w:kern w:val="0"/>
                <w:sz w:val="22"/>
                <w:szCs w:val="22"/>
              </w:rPr>
            </w:pPr>
            <w:r>
              <w:rPr>
                <w:color w:val="000000"/>
                <w:kern w:val="0"/>
                <w:sz w:val="22"/>
                <w:szCs w:val="22"/>
                <w:lang/>
              </w:rPr>
              <w:t>J014</w:t>
            </w:r>
          </w:p>
        </w:tc>
        <w:tc>
          <w:tcPr>
            <w:tcW w:w="1370" w:type="dxa"/>
            <w:vAlign w:val="center"/>
          </w:tcPr>
          <w:p>
            <w:pPr>
              <w:widowControl/>
              <w:jc w:val="center"/>
              <w:textAlignment w:val="center"/>
              <w:rPr>
                <w:color w:val="000000"/>
                <w:kern w:val="0"/>
                <w:sz w:val="22"/>
                <w:szCs w:val="22"/>
              </w:rPr>
            </w:pPr>
            <w:r>
              <w:rPr>
                <w:color w:val="000000"/>
                <w:kern w:val="0"/>
                <w:sz w:val="22"/>
                <w:szCs w:val="22"/>
                <w:lang/>
              </w:rPr>
              <w:t>一级</w:t>
            </w:r>
          </w:p>
        </w:tc>
        <w:tc>
          <w:tcPr>
            <w:tcW w:w="1638" w:type="dxa"/>
            <w:vAlign w:val="center"/>
          </w:tcPr>
          <w:p>
            <w:pPr>
              <w:widowControl/>
              <w:jc w:val="center"/>
              <w:textAlignment w:val="center"/>
              <w:rPr>
                <w:color w:val="000000"/>
                <w:kern w:val="0"/>
                <w:sz w:val="22"/>
                <w:szCs w:val="22"/>
              </w:rPr>
            </w:pPr>
            <w:r>
              <w:rPr>
                <w:color w:val="000000"/>
                <w:kern w:val="0"/>
                <w:sz w:val="22"/>
                <w:szCs w:val="22"/>
                <w:lang/>
              </w:rPr>
              <w:t>32</w:t>
            </w:r>
          </w:p>
        </w:tc>
        <w:tc>
          <w:tcPr>
            <w:tcW w:w="1907" w:type="dxa"/>
            <w:vAlign w:val="center"/>
          </w:tcPr>
          <w:p>
            <w:pPr>
              <w:widowControl/>
              <w:jc w:val="center"/>
              <w:textAlignment w:val="center"/>
              <w:rPr>
                <w:color w:val="000000"/>
                <w:kern w:val="0"/>
                <w:sz w:val="22"/>
                <w:szCs w:val="22"/>
              </w:rPr>
            </w:pPr>
            <w:r>
              <w:rPr>
                <w:color w:val="000000"/>
                <w:kern w:val="0"/>
                <w:sz w:val="22"/>
                <w:szCs w:val="22"/>
                <w:lang/>
              </w:rPr>
              <w:t>4520</w:t>
            </w:r>
          </w:p>
        </w:tc>
        <w:tc>
          <w:tcPr>
            <w:tcW w:w="1368" w:type="dxa"/>
            <w:vAlign w:val="center"/>
          </w:tcPr>
          <w:p>
            <w:pPr>
              <w:widowControl/>
              <w:jc w:val="center"/>
              <w:textAlignment w:val="center"/>
              <w:rPr>
                <w:color w:val="000000"/>
                <w:kern w:val="0"/>
                <w:sz w:val="22"/>
                <w:szCs w:val="22"/>
              </w:rPr>
            </w:pPr>
            <w:r>
              <w:rPr>
                <w:rFonts w:hint="eastAsia"/>
                <w:color w:val="000000"/>
                <w:kern w:val="0"/>
                <w:sz w:val="22"/>
                <w:szCs w:val="22"/>
                <w:lang/>
              </w:rPr>
              <w:t>65.49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color w:val="000000"/>
                <w:kern w:val="0"/>
                <w:sz w:val="22"/>
                <w:szCs w:val="22"/>
              </w:rPr>
            </w:pPr>
            <w:r>
              <w:rPr>
                <w:color w:val="000000"/>
                <w:kern w:val="0"/>
                <w:sz w:val="22"/>
                <w:szCs w:val="22"/>
              </w:rPr>
              <w:t>5</w:t>
            </w:r>
          </w:p>
        </w:tc>
        <w:tc>
          <w:tcPr>
            <w:tcW w:w="1370" w:type="dxa"/>
            <w:vAlign w:val="center"/>
          </w:tcPr>
          <w:p>
            <w:pPr>
              <w:widowControl/>
              <w:jc w:val="center"/>
              <w:textAlignment w:val="center"/>
              <w:rPr>
                <w:color w:val="000000"/>
                <w:kern w:val="0"/>
                <w:sz w:val="22"/>
                <w:szCs w:val="22"/>
              </w:rPr>
            </w:pPr>
            <w:r>
              <w:rPr>
                <w:color w:val="000000"/>
                <w:kern w:val="0"/>
                <w:sz w:val="22"/>
                <w:szCs w:val="22"/>
                <w:lang/>
              </w:rPr>
              <w:t>J019</w:t>
            </w:r>
          </w:p>
        </w:tc>
        <w:tc>
          <w:tcPr>
            <w:tcW w:w="1370" w:type="dxa"/>
            <w:vAlign w:val="center"/>
          </w:tcPr>
          <w:p>
            <w:pPr>
              <w:widowControl/>
              <w:jc w:val="center"/>
              <w:textAlignment w:val="center"/>
              <w:rPr>
                <w:color w:val="000000"/>
                <w:kern w:val="0"/>
                <w:sz w:val="22"/>
                <w:szCs w:val="22"/>
              </w:rPr>
            </w:pPr>
            <w:r>
              <w:rPr>
                <w:color w:val="000000"/>
                <w:kern w:val="0"/>
                <w:sz w:val="22"/>
                <w:szCs w:val="22"/>
                <w:lang/>
              </w:rPr>
              <w:t>一级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21</w:t>
            </w:r>
          </w:p>
        </w:tc>
        <w:tc>
          <w:tcPr>
            <w:tcW w:w="1907" w:type="dxa"/>
            <w:vAlign w:val="center"/>
          </w:tcPr>
          <w:p>
            <w:pPr>
              <w:widowControl/>
              <w:jc w:val="center"/>
              <w:textAlignment w:val="center"/>
              <w:rPr>
                <w:color w:val="000000"/>
                <w:kern w:val="0"/>
                <w:sz w:val="22"/>
                <w:szCs w:val="22"/>
              </w:rPr>
            </w:pPr>
            <w:r>
              <w:rPr>
                <w:color w:val="000000"/>
                <w:kern w:val="0"/>
                <w:sz w:val="22"/>
                <w:szCs w:val="22"/>
                <w:lang/>
              </w:rPr>
              <w:t>4410</w:t>
            </w:r>
          </w:p>
        </w:tc>
        <w:tc>
          <w:tcPr>
            <w:tcW w:w="1368" w:type="dxa"/>
            <w:vAlign w:val="center"/>
          </w:tcPr>
          <w:p>
            <w:pPr>
              <w:widowControl/>
              <w:jc w:val="center"/>
              <w:textAlignment w:val="center"/>
              <w:rPr>
                <w:color w:val="000000"/>
                <w:kern w:val="0"/>
                <w:sz w:val="22"/>
                <w:szCs w:val="22"/>
              </w:rPr>
            </w:pPr>
            <w:r>
              <w:rPr>
                <w:rFonts w:hint="eastAsia"/>
                <w:color w:val="000000"/>
                <w:kern w:val="0"/>
                <w:sz w:val="22"/>
                <w:szCs w:val="22"/>
                <w:lang/>
              </w:rPr>
              <w:t>62.34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color w:val="000000"/>
                <w:kern w:val="0"/>
                <w:sz w:val="22"/>
                <w:szCs w:val="22"/>
              </w:rPr>
            </w:pPr>
            <w:r>
              <w:rPr>
                <w:color w:val="000000"/>
                <w:kern w:val="0"/>
                <w:sz w:val="22"/>
                <w:szCs w:val="22"/>
              </w:rPr>
              <w:t>6</w:t>
            </w:r>
          </w:p>
        </w:tc>
        <w:tc>
          <w:tcPr>
            <w:tcW w:w="1370" w:type="dxa"/>
            <w:vAlign w:val="center"/>
          </w:tcPr>
          <w:p>
            <w:pPr>
              <w:widowControl/>
              <w:jc w:val="center"/>
              <w:textAlignment w:val="center"/>
              <w:rPr>
                <w:kern w:val="0"/>
                <w:sz w:val="22"/>
                <w:szCs w:val="22"/>
              </w:rPr>
            </w:pPr>
            <w:r>
              <w:rPr>
                <w:color w:val="000000"/>
                <w:kern w:val="0"/>
                <w:sz w:val="22"/>
                <w:szCs w:val="22"/>
                <w:lang/>
              </w:rPr>
              <w:t>J011</w:t>
            </w:r>
          </w:p>
        </w:tc>
        <w:tc>
          <w:tcPr>
            <w:tcW w:w="1370" w:type="dxa"/>
            <w:vAlign w:val="center"/>
          </w:tcPr>
          <w:p>
            <w:pPr>
              <w:widowControl/>
              <w:jc w:val="center"/>
              <w:textAlignment w:val="center"/>
              <w:rPr>
                <w:color w:val="000000"/>
                <w:kern w:val="0"/>
                <w:sz w:val="22"/>
                <w:szCs w:val="22"/>
              </w:rPr>
            </w:pPr>
            <w:r>
              <w:rPr>
                <w:color w:val="000000"/>
                <w:kern w:val="0"/>
                <w:sz w:val="22"/>
                <w:szCs w:val="22"/>
                <w:lang/>
              </w:rPr>
              <w:t>二级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28</w:t>
            </w:r>
          </w:p>
        </w:tc>
        <w:tc>
          <w:tcPr>
            <w:tcW w:w="1907" w:type="dxa"/>
            <w:vAlign w:val="center"/>
          </w:tcPr>
          <w:p>
            <w:pPr>
              <w:widowControl/>
              <w:jc w:val="center"/>
              <w:textAlignment w:val="center"/>
              <w:rPr>
                <w:color w:val="000000"/>
                <w:kern w:val="0"/>
                <w:sz w:val="22"/>
                <w:szCs w:val="22"/>
              </w:rPr>
            </w:pPr>
            <w:r>
              <w:rPr>
                <w:color w:val="000000"/>
                <w:kern w:val="0"/>
                <w:sz w:val="22"/>
                <w:szCs w:val="22"/>
                <w:lang/>
              </w:rPr>
              <w:t>4330</w:t>
            </w:r>
          </w:p>
        </w:tc>
        <w:tc>
          <w:tcPr>
            <w:tcW w:w="1368" w:type="dxa"/>
            <w:vAlign w:val="center"/>
          </w:tcPr>
          <w:p>
            <w:pPr>
              <w:widowControl/>
              <w:jc w:val="center"/>
              <w:textAlignment w:val="center"/>
              <w:rPr>
                <w:color w:val="000000"/>
                <w:kern w:val="0"/>
                <w:sz w:val="22"/>
                <w:szCs w:val="22"/>
              </w:rPr>
            </w:pPr>
            <w:r>
              <w:rPr>
                <w:rFonts w:hint="eastAsia"/>
                <w:color w:val="000000"/>
                <w:kern w:val="0"/>
                <w:sz w:val="22"/>
                <w:szCs w:val="22"/>
                <w:lang/>
              </w:rPr>
              <w:t>57.93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color w:val="000000"/>
                <w:kern w:val="0"/>
                <w:sz w:val="22"/>
                <w:szCs w:val="22"/>
              </w:rPr>
            </w:pPr>
            <w:r>
              <w:rPr>
                <w:color w:val="000000"/>
                <w:kern w:val="0"/>
                <w:sz w:val="22"/>
                <w:szCs w:val="22"/>
              </w:rPr>
              <w:t>7</w:t>
            </w:r>
          </w:p>
        </w:tc>
        <w:tc>
          <w:tcPr>
            <w:tcW w:w="1370" w:type="dxa"/>
            <w:vAlign w:val="center"/>
          </w:tcPr>
          <w:p>
            <w:pPr>
              <w:widowControl/>
              <w:jc w:val="center"/>
              <w:textAlignment w:val="center"/>
              <w:rPr>
                <w:color w:val="000000"/>
                <w:kern w:val="0"/>
                <w:sz w:val="22"/>
                <w:szCs w:val="22"/>
              </w:rPr>
            </w:pPr>
            <w:r>
              <w:rPr>
                <w:color w:val="000000"/>
                <w:kern w:val="0"/>
                <w:sz w:val="22"/>
                <w:szCs w:val="22"/>
                <w:lang/>
              </w:rPr>
              <w:t>J020</w:t>
            </w:r>
          </w:p>
        </w:tc>
        <w:tc>
          <w:tcPr>
            <w:tcW w:w="1370" w:type="dxa"/>
            <w:vAlign w:val="center"/>
          </w:tcPr>
          <w:p>
            <w:pPr>
              <w:widowControl/>
              <w:jc w:val="center"/>
              <w:textAlignment w:val="center"/>
              <w:rPr>
                <w:color w:val="000000"/>
                <w:kern w:val="0"/>
                <w:sz w:val="22"/>
                <w:szCs w:val="22"/>
              </w:rPr>
            </w:pPr>
            <w:r>
              <w:rPr>
                <w:color w:val="000000"/>
                <w:kern w:val="0"/>
                <w:sz w:val="22"/>
                <w:szCs w:val="22"/>
                <w:lang/>
              </w:rPr>
              <w:t>二级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22</w:t>
            </w:r>
          </w:p>
        </w:tc>
        <w:tc>
          <w:tcPr>
            <w:tcW w:w="1907" w:type="dxa"/>
            <w:vAlign w:val="center"/>
          </w:tcPr>
          <w:p>
            <w:pPr>
              <w:widowControl/>
              <w:jc w:val="center"/>
              <w:textAlignment w:val="center"/>
              <w:rPr>
                <w:color w:val="000000"/>
                <w:kern w:val="0"/>
                <w:sz w:val="22"/>
                <w:szCs w:val="22"/>
              </w:rPr>
            </w:pPr>
            <w:r>
              <w:rPr>
                <w:color w:val="000000"/>
                <w:kern w:val="0"/>
                <w:sz w:val="22"/>
                <w:szCs w:val="22"/>
                <w:lang/>
              </w:rPr>
              <w:t>4210</w:t>
            </w:r>
          </w:p>
        </w:tc>
        <w:tc>
          <w:tcPr>
            <w:tcW w:w="1368" w:type="dxa"/>
            <w:vAlign w:val="center"/>
          </w:tcPr>
          <w:p>
            <w:pPr>
              <w:widowControl/>
              <w:jc w:val="center"/>
              <w:textAlignment w:val="center"/>
              <w:rPr>
                <w:color w:val="000000"/>
                <w:kern w:val="0"/>
                <w:sz w:val="22"/>
                <w:szCs w:val="22"/>
              </w:rPr>
            </w:pPr>
            <w:r>
              <w:rPr>
                <w:rFonts w:hint="eastAsia"/>
                <w:color w:val="000000"/>
                <w:kern w:val="0"/>
                <w:sz w:val="22"/>
                <w:szCs w:val="22"/>
                <w:lang/>
              </w:rPr>
              <w:t>56.34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color w:val="000000"/>
                <w:kern w:val="0"/>
                <w:sz w:val="22"/>
                <w:szCs w:val="22"/>
              </w:rPr>
            </w:pPr>
            <w:r>
              <w:rPr>
                <w:color w:val="000000"/>
                <w:kern w:val="0"/>
                <w:sz w:val="22"/>
                <w:szCs w:val="22"/>
              </w:rPr>
              <w:t>8</w:t>
            </w:r>
          </w:p>
        </w:tc>
        <w:tc>
          <w:tcPr>
            <w:tcW w:w="1370" w:type="dxa"/>
            <w:vAlign w:val="center"/>
          </w:tcPr>
          <w:p>
            <w:pPr>
              <w:widowControl/>
              <w:jc w:val="center"/>
              <w:textAlignment w:val="center"/>
              <w:rPr>
                <w:color w:val="000000"/>
                <w:kern w:val="0"/>
                <w:sz w:val="22"/>
                <w:szCs w:val="22"/>
              </w:rPr>
            </w:pPr>
            <w:r>
              <w:rPr>
                <w:color w:val="000000"/>
                <w:kern w:val="0"/>
                <w:sz w:val="22"/>
                <w:szCs w:val="22"/>
                <w:lang/>
              </w:rPr>
              <w:t>J015</w:t>
            </w:r>
          </w:p>
        </w:tc>
        <w:tc>
          <w:tcPr>
            <w:tcW w:w="1370" w:type="dxa"/>
            <w:vAlign w:val="center"/>
          </w:tcPr>
          <w:p>
            <w:pPr>
              <w:widowControl/>
              <w:jc w:val="center"/>
              <w:textAlignment w:val="center"/>
              <w:rPr>
                <w:color w:val="000000"/>
                <w:kern w:val="0"/>
                <w:sz w:val="22"/>
                <w:szCs w:val="22"/>
              </w:rPr>
            </w:pPr>
            <w:r>
              <w:rPr>
                <w:color w:val="000000"/>
                <w:kern w:val="0"/>
                <w:sz w:val="22"/>
                <w:szCs w:val="22"/>
                <w:lang/>
              </w:rPr>
              <w:t>二级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25</w:t>
            </w:r>
          </w:p>
        </w:tc>
        <w:tc>
          <w:tcPr>
            <w:tcW w:w="1907" w:type="dxa"/>
            <w:vAlign w:val="center"/>
          </w:tcPr>
          <w:p>
            <w:pPr>
              <w:widowControl/>
              <w:jc w:val="center"/>
              <w:textAlignment w:val="center"/>
              <w:rPr>
                <w:color w:val="000000"/>
                <w:kern w:val="0"/>
                <w:sz w:val="22"/>
                <w:szCs w:val="22"/>
              </w:rPr>
            </w:pPr>
            <w:r>
              <w:rPr>
                <w:color w:val="000000"/>
                <w:kern w:val="0"/>
                <w:sz w:val="22"/>
                <w:szCs w:val="22"/>
                <w:lang/>
              </w:rPr>
              <w:t>4050</w:t>
            </w:r>
          </w:p>
        </w:tc>
        <w:tc>
          <w:tcPr>
            <w:tcW w:w="1368" w:type="dxa"/>
            <w:vAlign w:val="center"/>
          </w:tcPr>
          <w:p>
            <w:pPr>
              <w:widowControl/>
              <w:jc w:val="center"/>
              <w:textAlignment w:val="center"/>
              <w:rPr>
                <w:color w:val="000000"/>
                <w:kern w:val="0"/>
                <w:sz w:val="22"/>
                <w:szCs w:val="22"/>
              </w:rPr>
            </w:pPr>
            <w:r>
              <w:rPr>
                <w:color w:val="000000"/>
                <w:kern w:val="0"/>
                <w:sz w:val="22"/>
                <w:szCs w:val="22"/>
                <w:lang/>
              </w:rPr>
              <w:t>55.45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color w:val="000000"/>
                <w:kern w:val="0"/>
                <w:sz w:val="22"/>
                <w:szCs w:val="22"/>
              </w:rPr>
            </w:pPr>
            <w:r>
              <w:rPr>
                <w:color w:val="000000"/>
                <w:kern w:val="0"/>
                <w:sz w:val="22"/>
                <w:szCs w:val="22"/>
              </w:rPr>
              <w:t>9</w:t>
            </w:r>
          </w:p>
        </w:tc>
        <w:tc>
          <w:tcPr>
            <w:tcW w:w="1370" w:type="dxa"/>
            <w:vAlign w:val="center"/>
          </w:tcPr>
          <w:p>
            <w:pPr>
              <w:widowControl/>
              <w:jc w:val="center"/>
              <w:textAlignment w:val="center"/>
              <w:rPr>
                <w:color w:val="000000"/>
                <w:kern w:val="0"/>
                <w:sz w:val="22"/>
                <w:szCs w:val="22"/>
              </w:rPr>
            </w:pPr>
            <w:r>
              <w:rPr>
                <w:color w:val="000000"/>
                <w:kern w:val="0"/>
                <w:sz w:val="22"/>
                <w:szCs w:val="22"/>
                <w:lang/>
              </w:rPr>
              <w:t>J023</w:t>
            </w:r>
          </w:p>
        </w:tc>
        <w:tc>
          <w:tcPr>
            <w:tcW w:w="1370" w:type="dxa"/>
            <w:vAlign w:val="center"/>
          </w:tcPr>
          <w:p>
            <w:pPr>
              <w:widowControl/>
              <w:jc w:val="center"/>
              <w:textAlignment w:val="center"/>
              <w:rPr>
                <w:color w:val="000000"/>
                <w:kern w:val="0"/>
                <w:sz w:val="22"/>
                <w:szCs w:val="22"/>
              </w:rPr>
            </w:pPr>
            <w:r>
              <w:rPr>
                <w:color w:val="000000"/>
                <w:kern w:val="0"/>
                <w:sz w:val="22"/>
                <w:szCs w:val="22"/>
                <w:lang/>
              </w:rPr>
              <w:t>二级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24</w:t>
            </w:r>
          </w:p>
        </w:tc>
        <w:tc>
          <w:tcPr>
            <w:tcW w:w="1907" w:type="dxa"/>
            <w:vAlign w:val="center"/>
          </w:tcPr>
          <w:p>
            <w:pPr>
              <w:widowControl/>
              <w:jc w:val="center"/>
              <w:textAlignment w:val="center"/>
              <w:rPr>
                <w:color w:val="000000"/>
                <w:kern w:val="0"/>
                <w:sz w:val="22"/>
                <w:szCs w:val="22"/>
              </w:rPr>
            </w:pPr>
            <w:r>
              <w:rPr>
                <w:color w:val="000000"/>
                <w:kern w:val="0"/>
                <w:sz w:val="22"/>
                <w:szCs w:val="22"/>
                <w:lang/>
              </w:rPr>
              <w:t>3750</w:t>
            </w:r>
          </w:p>
        </w:tc>
        <w:tc>
          <w:tcPr>
            <w:tcW w:w="1368" w:type="dxa"/>
            <w:vAlign w:val="center"/>
          </w:tcPr>
          <w:p>
            <w:pPr>
              <w:widowControl/>
              <w:jc w:val="center"/>
              <w:textAlignment w:val="center"/>
              <w:rPr>
                <w:color w:val="000000"/>
                <w:kern w:val="0"/>
                <w:sz w:val="22"/>
                <w:szCs w:val="22"/>
              </w:rPr>
            </w:pPr>
            <w:r>
              <w:rPr>
                <w:rFonts w:hint="eastAsia"/>
                <w:color w:val="000000"/>
                <w:kern w:val="0"/>
                <w:sz w:val="22"/>
                <w:szCs w:val="22"/>
                <w:lang/>
              </w:rPr>
              <w:t>54.08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color w:val="000000"/>
                <w:kern w:val="0"/>
                <w:sz w:val="22"/>
                <w:szCs w:val="22"/>
              </w:rPr>
            </w:pPr>
            <w:r>
              <w:rPr>
                <w:color w:val="000000"/>
                <w:kern w:val="0"/>
                <w:sz w:val="22"/>
                <w:szCs w:val="22"/>
              </w:rPr>
              <w:t>10</w:t>
            </w:r>
          </w:p>
        </w:tc>
        <w:tc>
          <w:tcPr>
            <w:tcW w:w="1370" w:type="dxa"/>
            <w:vAlign w:val="center"/>
          </w:tcPr>
          <w:p>
            <w:pPr>
              <w:widowControl/>
              <w:jc w:val="center"/>
              <w:textAlignment w:val="center"/>
              <w:rPr>
                <w:color w:val="000000"/>
                <w:kern w:val="0"/>
                <w:sz w:val="22"/>
                <w:szCs w:val="22"/>
              </w:rPr>
            </w:pPr>
            <w:r>
              <w:rPr>
                <w:color w:val="000000"/>
                <w:kern w:val="0"/>
                <w:sz w:val="22"/>
                <w:szCs w:val="22"/>
                <w:lang/>
              </w:rPr>
              <w:t>J021</w:t>
            </w:r>
          </w:p>
        </w:tc>
        <w:tc>
          <w:tcPr>
            <w:tcW w:w="1370" w:type="dxa"/>
            <w:vAlign w:val="center"/>
          </w:tcPr>
          <w:p>
            <w:pPr>
              <w:widowControl/>
              <w:jc w:val="center"/>
              <w:textAlignment w:val="center"/>
              <w:rPr>
                <w:color w:val="000000"/>
                <w:kern w:val="0"/>
                <w:sz w:val="22"/>
                <w:szCs w:val="22"/>
              </w:rPr>
            </w:pPr>
            <w:r>
              <w:rPr>
                <w:color w:val="000000"/>
                <w:kern w:val="0"/>
                <w:sz w:val="22"/>
                <w:szCs w:val="22"/>
                <w:lang/>
              </w:rPr>
              <w:t>二级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27</w:t>
            </w:r>
          </w:p>
        </w:tc>
        <w:tc>
          <w:tcPr>
            <w:tcW w:w="1907" w:type="dxa"/>
            <w:vAlign w:val="center"/>
          </w:tcPr>
          <w:p>
            <w:pPr>
              <w:widowControl/>
              <w:jc w:val="center"/>
              <w:textAlignment w:val="center"/>
              <w:rPr>
                <w:color w:val="000000"/>
                <w:kern w:val="0"/>
                <w:sz w:val="22"/>
                <w:szCs w:val="22"/>
              </w:rPr>
            </w:pPr>
            <w:r>
              <w:rPr>
                <w:color w:val="000000"/>
                <w:kern w:val="0"/>
                <w:sz w:val="22"/>
                <w:szCs w:val="22"/>
                <w:lang/>
              </w:rPr>
              <w:t>3680</w:t>
            </w:r>
          </w:p>
        </w:tc>
        <w:tc>
          <w:tcPr>
            <w:tcW w:w="1368" w:type="dxa"/>
            <w:vAlign w:val="center"/>
          </w:tcPr>
          <w:p>
            <w:pPr>
              <w:widowControl/>
              <w:jc w:val="center"/>
              <w:textAlignment w:val="center"/>
              <w:rPr>
                <w:color w:val="000000"/>
                <w:kern w:val="0"/>
                <w:sz w:val="22"/>
                <w:szCs w:val="22"/>
              </w:rPr>
            </w:pPr>
            <w:r>
              <w:rPr>
                <w:color w:val="000000"/>
                <w:kern w:val="0"/>
                <w:sz w:val="22"/>
                <w:szCs w:val="22"/>
                <w:lang/>
              </w:rPr>
              <w:t>53.18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color w:val="000000"/>
                <w:kern w:val="0"/>
                <w:sz w:val="22"/>
                <w:szCs w:val="22"/>
              </w:rPr>
            </w:pPr>
            <w:r>
              <w:rPr>
                <w:color w:val="000000"/>
                <w:kern w:val="0"/>
                <w:sz w:val="22"/>
                <w:szCs w:val="22"/>
              </w:rPr>
              <w:t>11</w:t>
            </w:r>
          </w:p>
        </w:tc>
        <w:tc>
          <w:tcPr>
            <w:tcW w:w="1370" w:type="dxa"/>
            <w:vAlign w:val="center"/>
          </w:tcPr>
          <w:p>
            <w:pPr>
              <w:widowControl/>
              <w:jc w:val="center"/>
              <w:textAlignment w:val="center"/>
              <w:rPr>
                <w:kern w:val="0"/>
                <w:sz w:val="22"/>
                <w:szCs w:val="22"/>
              </w:rPr>
            </w:pPr>
            <w:r>
              <w:rPr>
                <w:color w:val="000000"/>
                <w:kern w:val="0"/>
                <w:sz w:val="22"/>
                <w:szCs w:val="22"/>
                <w:lang/>
              </w:rPr>
              <w:t>J022</w:t>
            </w:r>
          </w:p>
        </w:tc>
        <w:tc>
          <w:tcPr>
            <w:tcW w:w="1370" w:type="dxa"/>
            <w:vAlign w:val="center"/>
          </w:tcPr>
          <w:p>
            <w:pPr>
              <w:widowControl/>
              <w:jc w:val="center"/>
              <w:textAlignment w:val="center"/>
              <w:rPr>
                <w:color w:val="000000"/>
                <w:kern w:val="0"/>
                <w:sz w:val="22"/>
                <w:szCs w:val="22"/>
              </w:rPr>
            </w:pPr>
            <w:r>
              <w:rPr>
                <w:color w:val="000000"/>
                <w:kern w:val="0"/>
                <w:sz w:val="22"/>
                <w:szCs w:val="22"/>
                <w:lang/>
              </w:rPr>
              <w:t>二级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25</w:t>
            </w:r>
          </w:p>
        </w:tc>
        <w:tc>
          <w:tcPr>
            <w:tcW w:w="1907" w:type="dxa"/>
            <w:vAlign w:val="center"/>
          </w:tcPr>
          <w:p>
            <w:pPr>
              <w:widowControl/>
              <w:jc w:val="center"/>
              <w:textAlignment w:val="center"/>
              <w:rPr>
                <w:color w:val="000000"/>
                <w:kern w:val="0"/>
                <w:sz w:val="22"/>
                <w:szCs w:val="22"/>
              </w:rPr>
            </w:pPr>
            <w:r>
              <w:rPr>
                <w:color w:val="000000"/>
                <w:kern w:val="0"/>
                <w:sz w:val="22"/>
                <w:szCs w:val="22"/>
                <w:lang/>
              </w:rPr>
              <w:t>3430</w:t>
            </w:r>
          </w:p>
        </w:tc>
        <w:tc>
          <w:tcPr>
            <w:tcW w:w="1368" w:type="dxa"/>
            <w:vAlign w:val="center"/>
          </w:tcPr>
          <w:p>
            <w:pPr>
              <w:widowControl/>
              <w:jc w:val="center"/>
              <w:textAlignment w:val="center"/>
              <w:rPr>
                <w:color w:val="000000"/>
                <w:kern w:val="0"/>
                <w:sz w:val="22"/>
                <w:szCs w:val="22"/>
              </w:rPr>
            </w:pPr>
            <w:r>
              <w:rPr>
                <w:color w:val="000000"/>
                <w:kern w:val="0"/>
                <w:sz w:val="22"/>
                <w:szCs w:val="22"/>
                <w:lang/>
              </w:rPr>
              <w:t>51.02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color w:val="000000"/>
                <w:kern w:val="0"/>
                <w:sz w:val="22"/>
                <w:szCs w:val="22"/>
              </w:rPr>
            </w:pPr>
            <w:r>
              <w:rPr>
                <w:color w:val="000000"/>
                <w:kern w:val="0"/>
                <w:sz w:val="22"/>
                <w:szCs w:val="22"/>
              </w:rPr>
              <w:t>12</w:t>
            </w:r>
          </w:p>
        </w:tc>
        <w:tc>
          <w:tcPr>
            <w:tcW w:w="1370" w:type="dxa"/>
            <w:vAlign w:val="center"/>
          </w:tcPr>
          <w:p>
            <w:pPr>
              <w:widowControl/>
              <w:jc w:val="center"/>
              <w:textAlignment w:val="center"/>
              <w:rPr>
                <w:color w:val="000000"/>
                <w:kern w:val="0"/>
                <w:sz w:val="22"/>
                <w:szCs w:val="22"/>
              </w:rPr>
            </w:pPr>
            <w:r>
              <w:rPr>
                <w:color w:val="000000"/>
                <w:kern w:val="0"/>
                <w:sz w:val="22"/>
                <w:szCs w:val="22"/>
                <w:lang/>
              </w:rPr>
              <w:t>J025</w:t>
            </w:r>
          </w:p>
        </w:tc>
        <w:tc>
          <w:tcPr>
            <w:tcW w:w="1370" w:type="dxa"/>
            <w:vAlign w:val="center"/>
          </w:tcPr>
          <w:p>
            <w:pPr>
              <w:widowControl/>
              <w:jc w:val="center"/>
              <w:textAlignment w:val="center"/>
              <w:rPr>
                <w:color w:val="000000"/>
                <w:kern w:val="0"/>
                <w:sz w:val="22"/>
                <w:szCs w:val="22"/>
              </w:rPr>
            </w:pPr>
            <w:r>
              <w:rPr>
                <w:color w:val="000000"/>
                <w:kern w:val="0"/>
                <w:sz w:val="22"/>
                <w:szCs w:val="22"/>
                <w:lang/>
              </w:rPr>
              <w:t>二级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26</w:t>
            </w:r>
          </w:p>
        </w:tc>
        <w:tc>
          <w:tcPr>
            <w:tcW w:w="1907" w:type="dxa"/>
            <w:vAlign w:val="center"/>
          </w:tcPr>
          <w:p>
            <w:pPr>
              <w:widowControl/>
              <w:jc w:val="center"/>
              <w:textAlignment w:val="center"/>
              <w:rPr>
                <w:color w:val="000000"/>
                <w:kern w:val="0"/>
                <w:sz w:val="22"/>
                <w:szCs w:val="22"/>
              </w:rPr>
            </w:pPr>
            <w:r>
              <w:rPr>
                <w:color w:val="000000"/>
                <w:kern w:val="0"/>
                <w:sz w:val="22"/>
                <w:szCs w:val="22"/>
                <w:lang/>
              </w:rPr>
              <w:t>3340</w:t>
            </w:r>
          </w:p>
        </w:tc>
        <w:tc>
          <w:tcPr>
            <w:tcW w:w="1368" w:type="dxa"/>
            <w:vAlign w:val="center"/>
          </w:tcPr>
          <w:p>
            <w:pPr>
              <w:widowControl/>
              <w:jc w:val="center"/>
              <w:textAlignment w:val="center"/>
              <w:rPr>
                <w:color w:val="000000"/>
                <w:kern w:val="0"/>
                <w:sz w:val="22"/>
                <w:szCs w:val="22"/>
              </w:rPr>
            </w:pPr>
            <w:r>
              <w:rPr>
                <w:color w:val="000000"/>
                <w:kern w:val="0"/>
                <w:sz w:val="22"/>
                <w:szCs w:val="22"/>
                <w:lang/>
              </w:rPr>
              <w:t>50.36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color w:val="000000"/>
                <w:kern w:val="0"/>
                <w:sz w:val="22"/>
                <w:szCs w:val="22"/>
              </w:rPr>
            </w:pPr>
            <w:r>
              <w:rPr>
                <w:color w:val="000000"/>
                <w:kern w:val="0"/>
                <w:sz w:val="22"/>
                <w:szCs w:val="22"/>
              </w:rPr>
              <w:t>13</w:t>
            </w:r>
          </w:p>
        </w:tc>
        <w:tc>
          <w:tcPr>
            <w:tcW w:w="1370" w:type="dxa"/>
            <w:vAlign w:val="center"/>
          </w:tcPr>
          <w:p>
            <w:pPr>
              <w:widowControl/>
              <w:jc w:val="center"/>
              <w:textAlignment w:val="center"/>
              <w:rPr>
                <w:color w:val="000000"/>
                <w:kern w:val="0"/>
                <w:sz w:val="22"/>
                <w:szCs w:val="22"/>
              </w:rPr>
            </w:pPr>
            <w:r>
              <w:rPr>
                <w:color w:val="000000"/>
                <w:kern w:val="0"/>
                <w:sz w:val="22"/>
                <w:szCs w:val="22"/>
                <w:lang/>
              </w:rPr>
              <w:t>J026</w:t>
            </w:r>
          </w:p>
        </w:tc>
        <w:tc>
          <w:tcPr>
            <w:tcW w:w="1370" w:type="dxa"/>
            <w:vAlign w:val="center"/>
          </w:tcPr>
          <w:p>
            <w:pPr>
              <w:widowControl/>
              <w:jc w:val="center"/>
              <w:textAlignment w:val="center"/>
              <w:rPr>
                <w:color w:val="000000"/>
                <w:kern w:val="0"/>
                <w:sz w:val="22"/>
                <w:szCs w:val="22"/>
              </w:rPr>
            </w:pPr>
            <w:r>
              <w:rPr>
                <w:color w:val="000000"/>
                <w:kern w:val="0"/>
                <w:sz w:val="22"/>
                <w:szCs w:val="22"/>
                <w:lang/>
              </w:rPr>
              <w:t>二级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22</w:t>
            </w:r>
          </w:p>
        </w:tc>
        <w:tc>
          <w:tcPr>
            <w:tcW w:w="1907" w:type="dxa"/>
            <w:vAlign w:val="center"/>
          </w:tcPr>
          <w:p>
            <w:pPr>
              <w:widowControl/>
              <w:jc w:val="center"/>
              <w:textAlignment w:val="center"/>
              <w:rPr>
                <w:color w:val="000000"/>
                <w:kern w:val="0"/>
                <w:sz w:val="22"/>
                <w:szCs w:val="22"/>
              </w:rPr>
            </w:pPr>
            <w:r>
              <w:rPr>
                <w:color w:val="000000"/>
                <w:kern w:val="0"/>
                <w:sz w:val="22"/>
                <w:szCs w:val="22"/>
                <w:lang/>
              </w:rPr>
              <w:t>3220</w:t>
            </w:r>
          </w:p>
        </w:tc>
        <w:tc>
          <w:tcPr>
            <w:tcW w:w="1368" w:type="dxa"/>
            <w:vAlign w:val="center"/>
          </w:tcPr>
          <w:p>
            <w:pPr>
              <w:widowControl/>
              <w:jc w:val="center"/>
              <w:textAlignment w:val="center"/>
              <w:rPr>
                <w:color w:val="000000"/>
                <w:kern w:val="0"/>
                <w:sz w:val="22"/>
                <w:szCs w:val="22"/>
              </w:rPr>
            </w:pPr>
            <w:r>
              <w:rPr>
                <w:rFonts w:hint="eastAsia"/>
                <w:color w:val="000000"/>
                <w:kern w:val="0"/>
                <w:sz w:val="22"/>
                <w:szCs w:val="22"/>
                <w:lang/>
              </w:rPr>
              <w:t>49</w:t>
            </w:r>
            <w:r>
              <w:rPr>
                <w:color w:val="000000"/>
                <w:kern w:val="0"/>
                <w:sz w:val="22"/>
                <w:szCs w:val="22"/>
                <w:lang/>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rFonts w:eastAsia="Tahoma"/>
                <w:color w:val="000000"/>
                <w:kern w:val="0"/>
                <w:sz w:val="22"/>
                <w:szCs w:val="22"/>
                <w:lang/>
              </w:rPr>
            </w:pPr>
            <w:r>
              <w:rPr>
                <w:color w:val="000000"/>
                <w:kern w:val="0"/>
                <w:sz w:val="22"/>
                <w:szCs w:val="22"/>
              </w:rPr>
              <w:t>14</w:t>
            </w:r>
          </w:p>
        </w:tc>
        <w:tc>
          <w:tcPr>
            <w:tcW w:w="1370" w:type="dxa"/>
            <w:vAlign w:val="center"/>
          </w:tcPr>
          <w:p>
            <w:pPr>
              <w:widowControl/>
              <w:jc w:val="center"/>
              <w:textAlignment w:val="center"/>
              <w:rPr>
                <w:color w:val="000000"/>
                <w:kern w:val="0"/>
                <w:sz w:val="22"/>
                <w:szCs w:val="22"/>
              </w:rPr>
            </w:pPr>
            <w:r>
              <w:rPr>
                <w:color w:val="000000"/>
                <w:kern w:val="0"/>
                <w:sz w:val="22"/>
                <w:szCs w:val="22"/>
                <w:lang/>
              </w:rPr>
              <w:t>J010</w:t>
            </w:r>
          </w:p>
        </w:tc>
        <w:tc>
          <w:tcPr>
            <w:tcW w:w="1370" w:type="dxa"/>
            <w:vAlign w:val="center"/>
          </w:tcPr>
          <w:p>
            <w:pPr>
              <w:widowControl/>
              <w:jc w:val="center"/>
              <w:textAlignment w:val="center"/>
              <w:rPr>
                <w:color w:val="000000"/>
                <w:kern w:val="0"/>
                <w:sz w:val="22"/>
                <w:szCs w:val="22"/>
              </w:rPr>
            </w:pPr>
            <w:r>
              <w:rPr>
                <w:color w:val="000000"/>
                <w:kern w:val="0"/>
                <w:sz w:val="22"/>
                <w:szCs w:val="22"/>
                <w:lang/>
              </w:rPr>
              <w:t>二级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24</w:t>
            </w:r>
          </w:p>
        </w:tc>
        <w:tc>
          <w:tcPr>
            <w:tcW w:w="1907" w:type="dxa"/>
            <w:vAlign w:val="center"/>
          </w:tcPr>
          <w:p>
            <w:pPr>
              <w:widowControl/>
              <w:jc w:val="center"/>
              <w:textAlignment w:val="center"/>
              <w:rPr>
                <w:color w:val="000000"/>
                <w:kern w:val="0"/>
                <w:sz w:val="22"/>
                <w:szCs w:val="22"/>
              </w:rPr>
            </w:pPr>
            <w:r>
              <w:rPr>
                <w:color w:val="000000"/>
                <w:kern w:val="0"/>
                <w:sz w:val="22"/>
                <w:szCs w:val="22"/>
                <w:lang/>
              </w:rPr>
              <w:t>3150</w:t>
            </w:r>
          </w:p>
        </w:tc>
        <w:tc>
          <w:tcPr>
            <w:tcW w:w="1368" w:type="dxa"/>
            <w:vAlign w:val="center"/>
          </w:tcPr>
          <w:p>
            <w:pPr>
              <w:widowControl/>
              <w:jc w:val="center"/>
              <w:textAlignment w:val="center"/>
              <w:rPr>
                <w:color w:val="000000"/>
                <w:kern w:val="0"/>
                <w:sz w:val="22"/>
                <w:szCs w:val="22"/>
              </w:rPr>
            </w:pPr>
            <w:r>
              <w:rPr>
                <w:color w:val="000000"/>
                <w:kern w:val="0"/>
                <w:sz w:val="22"/>
                <w:szCs w:val="22"/>
                <w:lang/>
              </w:rPr>
              <w:t>48.03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rFonts w:eastAsia="Tahoma"/>
                <w:color w:val="000000"/>
                <w:kern w:val="0"/>
                <w:sz w:val="22"/>
                <w:szCs w:val="22"/>
                <w:lang/>
              </w:rPr>
            </w:pPr>
            <w:r>
              <w:rPr>
                <w:color w:val="000000"/>
                <w:kern w:val="0"/>
                <w:sz w:val="22"/>
                <w:szCs w:val="22"/>
              </w:rPr>
              <w:t>15</w:t>
            </w:r>
          </w:p>
        </w:tc>
        <w:tc>
          <w:tcPr>
            <w:tcW w:w="1370" w:type="dxa"/>
            <w:vAlign w:val="center"/>
          </w:tcPr>
          <w:p>
            <w:pPr>
              <w:widowControl/>
              <w:jc w:val="center"/>
              <w:textAlignment w:val="center"/>
              <w:rPr>
                <w:color w:val="000000"/>
                <w:kern w:val="0"/>
                <w:sz w:val="22"/>
                <w:szCs w:val="22"/>
              </w:rPr>
            </w:pPr>
            <w:r>
              <w:rPr>
                <w:color w:val="000000"/>
                <w:kern w:val="0"/>
                <w:sz w:val="22"/>
                <w:szCs w:val="22"/>
                <w:lang/>
              </w:rPr>
              <w:t>J017</w:t>
            </w:r>
          </w:p>
        </w:tc>
        <w:tc>
          <w:tcPr>
            <w:tcW w:w="1370" w:type="dxa"/>
            <w:vAlign w:val="center"/>
          </w:tcPr>
          <w:p>
            <w:pPr>
              <w:widowControl/>
              <w:jc w:val="center"/>
              <w:textAlignment w:val="center"/>
              <w:rPr>
                <w:color w:val="000000"/>
                <w:kern w:val="0"/>
                <w:sz w:val="22"/>
                <w:szCs w:val="22"/>
              </w:rPr>
            </w:pPr>
            <w:r>
              <w:rPr>
                <w:color w:val="000000"/>
                <w:kern w:val="0"/>
                <w:sz w:val="22"/>
                <w:szCs w:val="22"/>
                <w:lang/>
              </w:rPr>
              <w:t>二级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23</w:t>
            </w:r>
          </w:p>
        </w:tc>
        <w:tc>
          <w:tcPr>
            <w:tcW w:w="1907" w:type="dxa"/>
            <w:vAlign w:val="center"/>
          </w:tcPr>
          <w:p>
            <w:pPr>
              <w:widowControl/>
              <w:jc w:val="center"/>
              <w:textAlignment w:val="center"/>
              <w:rPr>
                <w:color w:val="000000"/>
                <w:kern w:val="0"/>
                <w:sz w:val="22"/>
                <w:szCs w:val="22"/>
              </w:rPr>
            </w:pPr>
            <w:r>
              <w:rPr>
                <w:color w:val="000000"/>
                <w:kern w:val="0"/>
                <w:sz w:val="22"/>
                <w:szCs w:val="22"/>
                <w:lang/>
              </w:rPr>
              <w:t>3100</w:t>
            </w:r>
          </w:p>
        </w:tc>
        <w:tc>
          <w:tcPr>
            <w:tcW w:w="1368" w:type="dxa"/>
            <w:vAlign w:val="center"/>
          </w:tcPr>
          <w:p>
            <w:pPr>
              <w:widowControl/>
              <w:jc w:val="center"/>
              <w:textAlignment w:val="center"/>
              <w:rPr>
                <w:color w:val="000000"/>
                <w:kern w:val="0"/>
                <w:sz w:val="22"/>
                <w:szCs w:val="22"/>
              </w:rPr>
            </w:pPr>
            <w:r>
              <w:rPr>
                <w:color w:val="000000"/>
                <w:kern w:val="0"/>
                <w:sz w:val="22"/>
                <w:szCs w:val="22"/>
                <w:lang/>
              </w:rPr>
              <w:t>4</w:t>
            </w:r>
            <w:r>
              <w:rPr>
                <w:rFonts w:hint="eastAsia"/>
                <w:color w:val="000000"/>
                <w:kern w:val="0"/>
                <w:sz w:val="22"/>
                <w:szCs w:val="22"/>
                <w:lang/>
              </w:rPr>
              <w:t>7</w:t>
            </w:r>
            <w:r>
              <w:rPr>
                <w:color w:val="000000"/>
                <w:kern w:val="0"/>
                <w:sz w:val="22"/>
                <w:szCs w:val="22"/>
                <w:lang/>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rFonts w:eastAsia="Tahoma"/>
                <w:color w:val="000000"/>
                <w:kern w:val="0"/>
                <w:sz w:val="22"/>
                <w:szCs w:val="22"/>
                <w:lang/>
              </w:rPr>
            </w:pPr>
            <w:r>
              <w:rPr>
                <w:color w:val="000000"/>
                <w:kern w:val="0"/>
                <w:sz w:val="22"/>
                <w:szCs w:val="22"/>
              </w:rPr>
              <w:t>16</w:t>
            </w:r>
          </w:p>
        </w:tc>
        <w:tc>
          <w:tcPr>
            <w:tcW w:w="1370" w:type="dxa"/>
            <w:vAlign w:val="center"/>
          </w:tcPr>
          <w:p>
            <w:pPr>
              <w:widowControl/>
              <w:jc w:val="center"/>
              <w:textAlignment w:val="center"/>
              <w:rPr>
                <w:color w:val="000000"/>
                <w:kern w:val="0"/>
                <w:sz w:val="22"/>
                <w:szCs w:val="22"/>
              </w:rPr>
            </w:pPr>
            <w:r>
              <w:rPr>
                <w:color w:val="000000"/>
                <w:kern w:val="0"/>
                <w:sz w:val="22"/>
                <w:szCs w:val="22"/>
                <w:lang/>
              </w:rPr>
              <w:t>J009</w:t>
            </w:r>
          </w:p>
        </w:tc>
        <w:tc>
          <w:tcPr>
            <w:tcW w:w="1370" w:type="dxa"/>
            <w:vAlign w:val="center"/>
          </w:tcPr>
          <w:p>
            <w:pPr>
              <w:widowControl/>
              <w:jc w:val="center"/>
              <w:textAlignment w:val="center"/>
              <w:rPr>
                <w:color w:val="000000"/>
                <w:kern w:val="0"/>
                <w:sz w:val="22"/>
                <w:szCs w:val="22"/>
              </w:rPr>
            </w:pPr>
            <w:r>
              <w:rPr>
                <w:color w:val="000000"/>
                <w:kern w:val="0"/>
                <w:sz w:val="22"/>
                <w:szCs w:val="22"/>
                <w:lang/>
              </w:rPr>
              <w:t>二级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21</w:t>
            </w:r>
          </w:p>
        </w:tc>
        <w:tc>
          <w:tcPr>
            <w:tcW w:w="1907" w:type="dxa"/>
            <w:vAlign w:val="center"/>
          </w:tcPr>
          <w:p>
            <w:pPr>
              <w:widowControl/>
              <w:jc w:val="center"/>
              <w:textAlignment w:val="center"/>
              <w:rPr>
                <w:color w:val="000000"/>
                <w:kern w:val="0"/>
                <w:sz w:val="22"/>
                <w:szCs w:val="22"/>
              </w:rPr>
            </w:pPr>
            <w:r>
              <w:rPr>
                <w:color w:val="000000"/>
                <w:kern w:val="0"/>
                <w:sz w:val="22"/>
                <w:szCs w:val="22"/>
                <w:lang/>
              </w:rPr>
              <w:t>3040</w:t>
            </w:r>
          </w:p>
        </w:tc>
        <w:tc>
          <w:tcPr>
            <w:tcW w:w="1368" w:type="dxa"/>
            <w:vAlign w:val="center"/>
          </w:tcPr>
          <w:p>
            <w:pPr>
              <w:widowControl/>
              <w:jc w:val="center"/>
              <w:textAlignment w:val="center"/>
              <w:rPr>
                <w:color w:val="000000"/>
                <w:kern w:val="0"/>
                <w:sz w:val="22"/>
                <w:szCs w:val="22"/>
              </w:rPr>
            </w:pPr>
            <w:r>
              <w:rPr>
                <w:color w:val="000000"/>
                <w:kern w:val="0"/>
                <w:sz w:val="22"/>
                <w:szCs w:val="22"/>
                <w:lang/>
              </w:rPr>
              <w:t>4</w:t>
            </w:r>
            <w:r>
              <w:rPr>
                <w:rFonts w:hint="eastAsia"/>
                <w:color w:val="000000"/>
                <w:kern w:val="0"/>
                <w:sz w:val="22"/>
                <w:szCs w:val="22"/>
                <w:lang/>
              </w:rPr>
              <w:t>7</w:t>
            </w:r>
            <w:r>
              <w:rPr>
                <w:color w:val="000000"/>
                <w:kern w:val="0"/>
                <w:sz w:val="22"/>
                <w:szCs w:val="22"/>
                <w:lang/>
              </w:rPr>
              <w:t>.</w:t>
            </w:r>
            <w:r>
              <w:rPr>
                <w:rFonts w:hint="eastAsia"/>
                <w:color w:val="000000"/>
                <w:kern w:val="0"/>
                <w:sz w:val="22"/>
                <w:szCs w:val="22"/>
                <w:lang/>
              </w:rPr>
              <w:t>0</w:t>
            </w:r>
            <w:r>
              <w:rPr>
                <w:color w:val="000000"/>
                <w:kern w:val="0"/>
                <w:sz w:val="22"/>
                <w:szCs w:val="22"/>
                <w:lang/>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rFonts w:eastAsia="Tahoma"/>
                <w:color w:val="000000"/>
                <w:kern w:val="0"/>
                <w:sz w:val="22"/>
                <w:szCs w:val="22"/>
                <w:lang/>
              </w:rPr>
            </w:pPr>
            <w:r>
              <w:rPr>
                <w:color w:val="000000"/>
                <w:kern w:val="0"/>
                <w:sz w:val="22"/>
                <w:szCs w:val="22"/>
              </w:rPr>
              <w:t>17</w:t>
            </w:r>
          </w:p>
        </w:tc>
        <w:tc>
          <w:tcPr>
            <w:tcW w:w="1370" w:type="dxa"/>
            <w:vAlign w:val="center"/>
          </w:tcPr>
          <w:p>
            <w:pPr>
              <w:widowControl/>
              <w:jc w:val="center"/>
              <w:textAlignment w:val="center"/>
              <w:rPr>
                <w:color w:val="000000"/>
                <w:kern w:val="0"/>
                <w:sz w:val="22"/>
                <w:szCs w:val="22"/>
              </w:rPr>
            </w:pPr>
            <w:r>
              <w:rPr>
                <w:color w:val="000000"/>
                <w:kern w:val="0"/>
                <w:sz w:val="22"/>
                <w:szCs w:val="22"/>
                <w:lang/>
              </w:rPr>
              <w:t>J004</w:t>
            </w:r>
          </w:p>
        </w:tc>
        <w:tc>
          <w:tcPr>
            <w:tcW w:w="1370" w:type="dxa"/>
            <w:vAlign w:val="center"/>
          </w:tcPr>
          <w:p>
            <w:pPr>
              <w:widowControl/>
              <w:jc w:val="center"/>
              <w:textAlignment w:val="center"/>
              <w:rPr>
                <w:color w:val="000000"/>
                <w:kern w:val="0"/>
                <w:sz w:val="22"/>
                <w:szCs w:val="22"/>
              </w:rPr>
            </w:pPr>
            <w:r>
              <w:rPr>
                <w:color w:val="000000"/>
                <w:kern w:val="0"/>
                <w:sz w:val="22"/>
                <w:szCs w:val="22"/>
                <w:lang/>
              </w:rPr>
              <w:t>二级</w:t>
            </w:r>
          </w:p>
        </w:tc>
        <w:tc>
          <w:tcPr>
            <w:tcW w:w="1638" w:type="dxa"/>
            <w:vAlign w:val="center"/>
          </w:tcPr>
          <w:p>
            <w:pPr>
              <w:widowControl/>
              <w:jc w:val="center"/>
              <w:textAlignment w:val="center"/>
              <w:rPr>
                <w:color w:val="000000"/>
                <w:kern w:val="0"/>
                <w:sz w:val="22"/>
                <w:szCs w:val="22"/>
              </w:rPr>
            </w:pPr>
            <w:r>
              <w:rPr>
                <w:color w:val="000000"/>
                <w:kern w:val="0"/>
                <w:sz w:val="22"/>
                <w:szCs w:val="22"/>
                <w:lang/>
              </w:rPr>
              <w:t>33</w:t>
            </w:r>
          </w:p>
        </w:tc>
        <w:tc>
          <w:tcPr>
            <w:tcW w:w="1907" w:type="dxa"/>
            <w:vAlign w:val="center"/>
          </w:tcPr>
          <w:p>
            <w:pPr>
              <w:widowControl/>
              <w:jc w:val="center"/>
              <w:textAlignment w:val="center"/>
              <w:rPr>
                <w:color w:val="000000"/>
                <w:kern w:val="0"/>
                <w:sz w:val="22"/>
                <w:szCs w:val="22"/>
              </w:rPr>
            </w:pPr>
            <w:r>
              <w:rPr>
                <w:color w:val="000000"/>
                <w:kern w:val="0"/>
                <w:sz w:val="22"/>
                <w:szCs w:val="22"/>
                <w:lang/>
              </w:rPr>
              <w:t>2980</w:t>
            </w:r>
          </w:p>
        </w:tc>
        <w:tc>
          <w:tcPr>
            <w:tcW w:w="1368" w:type="dxa"/>
            <w:vAlign w:val="center"/>
          </w:tcPr>
          <w:p>
            <w:pPr>
              <w:widowControl/>
              <w:jc w:val="center"/>
              <w:textAlignment w:val="center"/>
              <w:rPr>
                <w:color w:val="000000"/>
                <w:kern w:val="0"/>
                <w:sz w:val="22"/>
                <w:szCs w:val="22"/>
              </w:rPr>
            </w:pPr>
            <w:r>
              <w:rPr>
                <w:color w:val="000000"/>
                <w:kern w:val="0"/>
                <w:sz w:val="22"/>
                <w:szCs w:val="22"/>
                <w:lang/>
              </w:rPr>
              <w:t>46.61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rFonts w:eastAsia="Tahoma"/>
                <w:color w:val="000000"/>
                <w:kern w:val="0"/>
                <w:sz w:val="22"/>
                <w:szCs w:val="22"/>
                <w:lang/>
              </w:rPr>
            </w:pPr>
            <w:r>
              <w:rPr>
                <w:color w:val="000000"/>
                <w:kern w:val="0"/>
                <w:sz w:val="22"/>
                <w:szCs w:val="22"/>
              </w:rPr>
              <w:t>18</w:t>
            </w:r>
          </w:p>
        </w:tc>
        <w:tc>
          <w:tcPr>
            <w:tcW w:w="1370" w:type="dxa"/>
            <w:vAlign w:val="center"/>
          </w:tcPr>
          <w:p>
            <w:pPr>
              <w:widowControl/>
              <w:jc w:val="center"/>
              <w:textAlignment w:val="center"/>
              <w:rPr>
                <w:color w:val="000000"/>
                <w:kern w:val="0"/>
                <w:sz w:val="22"/>
                <w:szCs w:val="22"/>
              </w:rPr>
            </w:pPr>
            <w:r>
              <w:rPr>
                <w:color w:val="000000"/>
                <w:kern w:val="0"/>
                <w:sz w:val="22"/>
                <w:szCs w:val="22"/>
                <w:lang/>
              </w:rPr>
              <w:t>J005</w:t>
            </w:r>
          </w:p>
        </w:tc>
        <w:tc>
          <w:tcPr>
            <w:tcW w:w="1370" w:type="dxa"/>
            <w:vAlign w:val="center"/>
          </w:tcPr>
          <w:p>
            <w:pPr>
              <w:widowControl/>
              <w:jc w:val="center"/>
              <w:textAlignment w:val="center"/>
              <w:rPr>
                <w:color w:val="000000"/>
                <w:kern w:val="0"/>
                <w:sz w:val="22"/>
                <w:szCs w:val="22"/>
              </w:rPr>
            </w:pPr>
            <w:r>
              <w:rPr>
                <w:color w:val="000000"/>
                <w:kern w:val="0"/>
                <w:sz w:val="22"/>
                <w:szCs w:val="22"/>
                <w:lang/>
              </w:rPr>
              <w:t>二级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27</w:t>
            </w:r>
          </w:p>
        </w:tc>
        <w:tc>
          <w:tcPr>
            <w:tcW w:w="1907" w:type="dxa"/>
            <w:vAlign w:val="center"/>
          </w:tcPr>
          <w:p>
            <w:pPr>
              <w:widowControl/>
              <w:jc w:val="center"/>
              <w:textAlignment w:val="center"/>
              <w:rPr>
                <w:color w:val="000000"/>
                <w:kern w:val="0"/>
                <w:sz w:val="22"/>
                <w:szCs w:val="22"/>
              </w:rPr>
            </w:pPr>
            <w:r>
              <w:rPr>
                <w:color w:val="000000"/>
                <w:kern w:val="0"/>
                <w:sz w:val="22"/>
                <w:szCs w:val="22"/>
                <w:lang/>
              </w:rPr>
              <w:t>2910</w:t>
            </w:r>
          </w:p>
        </w:tc>
        <w:tc>
          <w:tcPr>
            <w:tcW w:w="1368" w:type="dxa"/>
            <w:vAlign w:val="center"/>
          </w:tcPr>
          <w:p>
            <w:pPr>
              <w:widowControl/>
              <w:jc w:val="center"/>
              <w:textAlignment w:val="center"/>
              <w:rPr>
                <w:color w:val="000000"/>
                <w:kern w:val="0"/>
                <w:sz w:val="22"/>
                <w:szCs w:val="22"/>
              </w:rPr>
            </w:pPr>
            <w:r>
              <w:rPr>
                <w:color w:val="000000"/>
                <w:kern w:val="0"/>
                <w:sz w:val="22"/>
                <w:szCs w:val="22"/>
                <w:lang/>
              </w:rPr>
              <w:t>4</w:t>
            </w:r>
            <w:r>
              <w:rPr>
                <w:rFonts w:hint="eastAsia"/>
                <w:color w:val="000000"/>
                <w:kern w:val="0"/>
                <w:sz w:val="22"/>
                <w:szCs w:val="22"/>
                <w:lang/>
              </w:rPr>
              <w:t>6</w:t>
            </w:r>
            <w:r>
              <w:rPr>
                <w:color w:val="000000"/>
                <w:kern w:val="0"/>
                <w:sz w:val="22"/>
                <w:szCs w:val="22"/>
                <w:lang/>
              </w:rPr>
              <w:t>.</w:t>
            </w:r>
            <w:r>
              <w:rPr>
                <w:rFonts w:hint="eastAsia"/>
                <w:color w:val="000000"/>
                <w:kern w:val="0"/>
                <w:sz w:val="22"/>
                <w:szCs w:val="22"/>
                <w:lang/>
              </w:rPr>
              <w:t>0</w:t>
            </w:r>
            <w:r>
              <w:rPr>
                <w:color w:val="000000"/>
                <w:kern w:val="0"/>
                <w:sz w:val="22"/>
                <w:szCs w:val="22"/>
                <w:lang/>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rFonts w:eastAsia="Tahoma"/>
                <w:color w:val="000000"/>
                <w:kern w:val="0"/>
                <w:sz w:val="22"/>
                <w:szCs w:val="22"/>
                <w:lang/>
              </w:rPr>
            </w:pPr>
            <w:r>
              <w:rPr>
                <w:color w:val="000000"/>
                <w:kern w:val="0"/>
                <w:sz w:val="22"/>
                <w:szCs w:val="22"/>
              </w:rPr>
              <w:t>19</w:t>
            </w:r>
          </w:p>
        </w:tc>
        <w:tc>
          <w:tcPr>
            <w:tcW w:w="1370" w:type="dxa"/>
            <w:vAlign w:val="center"/>
          </w:tcPr>
          <w:p>
            <w:pPr>
              <w:widowControl/>
              <w:jc w:val="center"/>
              <w:textAlignment w:val="center"/>
              <w:rPr>
                <w:color w:val="000000"/>
                <w:kern w:val="0"/>
                <w:sz w:val="22"/>
                <w:szCs w:val="22"/>
              </w:rPr>
            </w:pPr>
            <w:r>
              <w:rPr>
                <w:color w:val="000000"/>
                <w:kern w:val="0"/>
                <w:sz w:val="22"/>
                <w:szCs w:val="22"/>
                <w:lang/>
              </w:rPr>
              <w:t>J003</w:t>
            </w:r>
          </w:p>
        </w:tc>
        <w:tc>
          <w:tcPr>
            <w:tcW w:w="1370" w:type="dxa"/>
            <w:vAlign w:val="center"/>
          </w:tcPr>
          <w:p>
            <w:pPr>
              <w:widowControl/>
              <w:jc w:val="center"/>
              <w:textAlignment w:val="center"/>
              <w:rPr>
                <w:color w:val="000000"/>
                <w:kern w:val="0"/>
                <w:sz w:val="22"/>
                <w:szCs w:val="22"/>
              </w:rPr>
            </w:pPr>
            <w:r>
              <w:rPr>
                <w:color w:val="000000"/>
                <w:kern w:val="0"/>
                <w:sz w:val="22"/>
                <w:szCs w:val="22"/>
                <w:lang/>
              </w:rPr>
              <w:t>二级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24</w:t>
            </w:r>
          </w:p>
        </w:tc>
        <w:tc>
          <w:tcPr>
            <w:tcW w:w="1907" w:type="dxa"/>
            <w:vAlign w:val="center"/>
          </w:tcPr>
          <w:p>
            <w:pPr>
              <w:widowControl/>
              <w:jc w:val="center"/>
              <w:textAlignment w:val="center"/>
              <w:rPr>
                <w:color w:val="000000"/>
                <w:kern w:val="0"/>
                <w:sz w:val="22"/>
                <w:szCs w:val="22"/>
              </w:rPr>
            </w:pPr>
            <w:r>
              <w:rPr>
                <w:color w:val="000000"/>
                <w:kern w:val="0"/>
                <w:sz w:val="22"/>
                <w:szCs w:val="22"/>
                <w:lang/>
              </w:rPr>
              <w:t>2780</w:t>
            </w:r>
          </w:p>
        </w:tc>
        <w:tc>
          <w:tcPr>
            <w:tcW w:w="1368" w:type="dxa"/>
            <w:vAlign w:val="center"/>
          </w:tcPr>
          <w:p>
            <w:pPr>
              <w:widowControl/>
              <w:jc w:val="center"/>
              <w:textAlignment w:val="center"/>
              <w:rPr>
                <w:color w:val="000000"/>
                <w:kern w:val="0"/>
                <w:sz w:val="22"/>
                <w:szCs w:val="22"/>
              </w:rPr>
            </w:pPr>
            <w:r>
              <w:rPr>
                <w:color w:val="000000"/>
                <w:kern w:val="0"/>
                <w:sz w:val="22"/>
                <w:szCs w:val="22"/>
                <w:lang/>
              </w:rPr>
              <w:t>4</w:t>
            </w:r>
            <w:r>
              <w:rPr>
                <w:rFonts w:hint="eastAsia"/>
                <w:color w:val="000000"/>
                <w:kern w:val="0"/>
                <w:sz w:val="22"/>
                <w:szCs w:val="22"/>
                <w:lang/>
              </w:rPr>
              <w:t>5</w:t>
            </w:r>
            <w:r>
              <w:rPr>
                <w:color w:val="000000"/>
                <w:kern w:val="0"/>
                <w:sz w:val="22"/>
                <w:szCs w:val="22"/>
                <w:lang/>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70" w:type="dxa"/>
            <w:vAlign w:val="center"/>
          </w:tcPr>
          <w:p>
            <w:pPr>
              <w:widowControl/>
              <w:jc w:val="center"/>
              <w:rPr>
                <w:rFonts w:eastAsia="Tahoma"/>
                <w:color w:val="000000"/>
                <w:kern w:val="0"/>
                <w:sz w:val="22"/>
                <w:szCs w:val="22"/>
                <w:lang/>
              </w:rPr>
            </w:pPr>
            <w:r>
              <w:rPr>
                <w:color w:val="000000"/>
                <w:kern w:val="0"/>
                <w:sz w:val="22"/>
                <w:szCs w:val="22"/>
              </w:rPr>
              <w:t>20</w:t>
            </w:r>
          </w:p>
        </w:tc>
        <w:tc>
          <w:tcPr>
            <w:tcW w:w="1370" w:type="dxa"/>
            <w:vAlign w:val="center"/>
          </w:tcPr>
          <w:p>
            <w:pPr>
              <w:widowControl/>
              <w:jc w:val="center"/>
              <w:textAlignment w:val="center"/>
              <w:rPr>
                <w:color w:val="000000"/>
                <w:kern w:val="0"/>
                <w:sz w:val="22"/>
                <w:szCs w:val="22"/>
              </w:rPr>
            </w:pPr>
            <w:r>
              <w:rPr>
                <w:color w:val="000000"/>
                <w:kern w:val="0"/>
                <w:sz w:val="22"/>
                <w:szCs w:val="22"/>
                <w:lang/>
              </w:rPr>
              <w:t>J027</w:t>
            </w:r>
          </w:p>
        </w:tc>
        <w:tc>
          <w:tcPr>
            <w:tcW w:w="1370" w:type="dxa"/>
            <w:vAlign w:val="center"/>
          </w:tcPr>
          <w:p>
            <w:pPr>
              <w:widowControl/>
              <w:jc w:val="center"/>
              <w:textAlignment w:val="center"/>
              <w:rPr>
                <w:color w:val="000000"/>
                <w:kern w:val="0"/>
                <w:sz w:val="22"/>
                <w:szCs w:val="22"/>
              </w:rPr>
            </w:pPr>
            <w:r>
              <w:rPr>
                <w:color w:val="000000"/>
                <w:kern w:val="0"/>
                <w:sz w:val="22"/>
                <w:szCs w:val="22"/>
                <w:lang/>
              </w:rPr>
              <w:t>三级</w:t>
            </w:r>
          </w:p>
        </w:tc>
        <w:tc>
          <w:tcPr>
            <w:tcW w:w="1638" w:type="dxa"/>
            <w:vAlign w:val="center"/>
          </w:tcPr>
          <w:p>
            <w:pPr>
              <w:widowControl/>
              <w:jc w:val="center"/>
              <w:textAlignment w:val="center"/>
              <w:rPr>
                <w:color w:val="000000"/>
                <w:kern w:val="0"/>
                <w:sz w:val="22"/>
                <w:szCs w:val="22"/>
              </w:rPr>
            </w:pPr>
            <w:r>
              <w:rPr>
                <w:color w:val="000000"/>
                <w:kern w:val="0"/>
                <w:sz w:val="22"/>
                <w:szCs w:val="22"/>
                <w:lang/>
              </w:rPr>
              <w:t>27</w:t>
            </w:r>
          </w:p>
        </w:tc>
        <w:tc>
          <w:tcPr>
            <w:tcW w:w="1907" w:type="dxa"/>
            <w:vAlign w:val="center"/>
          </w:tcPr>
          <w:p>
            <w:pPr>
              <w:widowControl/>
              <w:jc w:val="center"/>
              <w:textAlignment w:val="center"/>
              <w:rPr>
                <w:color w:val="000000"/>
                <w:kern w:val="0"/>
                <w:sz w:val="22"/>
                <w:szCs w:val="22"/>
              </w:rPr>
            </w:pPr>
            <w:r>
              <w:rPr>
                <w:color w:val="000000"/>
                <w:kern w:val="0"/>
                <w:sz w:val="22"/>
                <w:szCs w:val="22"/>
                <w:lang/>
              </w:rPr>
              <w:t>2730</w:t>
            </w:r>
          </w:p>
        </w:tc>
        <w:tc>
          <w:tcPr>
            <w:tcW w:w="1368" w:type="dxa"/>
            <w:vAlign w:val="center"/>
          </w:tcPr>
          <w:p>
            <w:pPr>
              <w:widowControl/>
              <w:jc w:val="center"/>
              <w:textAlignment w:val="center"/>
              <w:rPr>
                <w:color w:val="000000"/>
                <w:kern w:val="0"/>
                <w:sz w:val="22"/>
                <w:szCs w:val="22"/>
              </w:rPr>
            </w:pPr>
            <w:r>
              <w:rPr>
                <w:color w:val="000000"/>
                <w:kern w:val="0"/>
                <w:sz w:val="22"/>
                <w:szCs w:val="22"/>
                <w:lang/>
              </w:rPr>
              <w:t>4</w:t>
            </w:r>
            <w:r>
              <w:rPr>
                <w:rFonts w:hint="eastAsia"/>
                <w:color w:val="000000"/>
                <w:kern w:val="0"/>
                <w:sz w:val="22"/>
                <w:szCs w:val="22"/>
                <w:lang/>
              </w:rPr>
              <w:t>5</w:t>
            </w:r>
            <w:r>
              <w:rPr>
                <w:color w:val="000000"/>
                <w:kern w:val="0"/>
                <w:sz w:val="22"/>
                <w:szCs w:val="22"/>
                <w:lang/>
              </w:rPr>
              <w:t>.</w:t>
            </w:r>
            <w:r>
              <w:rPr>
                <w:rFonts w:hint="eastAsia"/>
                <w:color w:val="000000"/>
                <w:kern w:val="0"/>
                <w:sz w:val="22"/>
                <w:szCs w:val="22"/>
                <w:lang/>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rPr>
                <w:rFonts w:eastAsia="Tahoma"/>
                <w:color w:val="000000"/>
                <w:kern w:val="0"/>
                <w:sz w:val="22"/>
                <w:szCs w:val="22"/>
                <w:lang/>
              </w:rPr>
            </w:pPr>
            <w:r>
              <w:rPr>
                <w:color w:val="000000"/>
                <w:kern w:val="0"/>
                <w:sz w:val="22"/>
                <w:szCs w:val="22"/>
              </w:rPr>
              <w:t>21</w:t>
            </w:r>
          </w:p>
        </w:tc>
        <w:tc>
          <w:tcPr>
            <w:tcW w:w="1370" w:type="dxa"/>
            <w:vAlign w:val="center"/>
          </w:tcPr>
          <w:p>
            <w:pPr>
              <w:widowControl/>
              <w:jc w:val="center"/>
              <w:textAlignment w:val="center"/>
              <w:rPr>
                <w:color w:val="000000"/>
                <w:kern w:val="0"/>
                <w:sz w:val="22"/>
                <w:szCs w:val="22"/>
              </w:rPr>
            </w:pPr>
            <w:r>
              <w:rPr>
                <w:color w:val="000000"/>
                <w:kern w:val="0"/>
                <w:sz w:val="22"/>
                <w:szCs w:val="22"/>
                <w:lang/>
              </w:rPr>
              <w:t>J028</w:t>
            </w:r>
          </w:p>
        </w:tc>
        <w:tc>
          <w:tcPr>
            <w:tcW w:w="1370" w:type="dxa"/>
            <w:vAlign w:val="center"/>
          </w:tcPr>
          <w:p>
            <w:pPr>
              <w:widowControl/>
              <w:jc w:val="center"/>
              <w:textAlignment w:val="center"/>
              <w:rPr>
                <w:color w:val="000000"/>
                <w:kern w:val="0"/>
                <w:sz w:val="22"/>
                <w:szCs w:val="22"/>
              </w:rPr>
            </w:pPr>
            <w:r>
              <w:rPr>
                <w:color w:val="000000"/>
                <w:kern w:val="0"/>
                <w:sz w:val="22"/>
                <w:szCs w:val="22"/>
                <w:lang/>
              </w:rPr>
              <w:t>三级</w:t>
            </w:r>
          </w:p>
        </w:tc>
        <w:tc>
          <w:tcPr>
            <w:tcW w:w="1638" w:type="dxa"/>
            <w:vAlign w:val="center"/>
          </w:tcPr>
          <w:p>
            <w:pPr>
              <w:widowControl/>
              <w:jc w:val="center"/>
              <w:textAlignment w:val="center"/>
              <w:rPr>
                <w:color w:val="000000"/>
                <w:kern w:val="0"/>
                <w:sz w:val="22"/>
                <w:szCs w:val="22"/>
              </w:rPr>
            </w:pPr>
            <w:r>
              <w:rPr>
                <w:color w:val="000000"/>
                <w:kern w:val="0"/>
                <w:sz w:val="22"/>
                <w:szCs w:val="22"/>
                <w:lang/>
              </w:rPr>
              <w:t>13</w:t>
            </w:r>
          </w:p>
        </w:tc>
        <w:tc>
          <w:tcPr>
            <w:tcW w:w="1907" w:type="dxa"/>
            <w:vAlign w:val="center"/>
          </w:tcPr>
          <w:p>
            <w:pPr>
              <w:widowControl/>
              <w:jc w:val="center"/>
              <w:textAlignment w:val="center"/>
              <w:rPr>
                <w:color w:val="000000"/>
                <w:kern w:val="0"/>
                <w:sz w:val="22"/>
                <w:szCs w:val="22"/>
              </w:rPr>
            </w:pPr>
            <w:r>
              <w:rPr>
                <w:color w:val="000000"/>
                <w:kern w:val="0"/>
                <w:sz w:val="22"/>
                <w:szCs w:val="22"/>
                <w:lang/>
              </w:rPr>
              <w:t>2610</w:t>
            </w:r>
          </w:p>
        </w:tc>
        <w:tc>
          <w:tcPr>
            <w:tcW w:w="1368" w:type="dxa"/>
            <w:vAlign w:val="center"/>
          </w:tcPr>
          <w:p>
            <w:pPr>
              <w:widowControl/>
              <w:jc w:val="center"/>
              <w:textAlignment w:val="center"/>
              <w:rPr>
                <w:color w:val="000000"/>
                <w:kern w:val="0"/>
                <w:sz w:val="22"/>
                <w:szCs w:val="22"/>
              </w:rPr>
            </w:pPr>
            <w:r>
              <w:rPr>
                <w:rFonts w:hint="eastAsia"/>
                <w:color w:val="000000"/>
                <w:kern w:val="0"/>
                <w:sz w:val="22"/>
                <w:szCs w:val="22"/>
                <w:lang/>
              </w:rPr>
              <w:t>43.07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70" w:type="dxa"/>
            <w:vAlign w:val="center"/>
          </w:tcPr>
          <w:p>
            <w:pPr>
              <w:widowControl/>
              <w:jc w:val="center"/>
              <w:textAlignment w:val="bottom"/>
              <w:rPr>
                <w:rFonts w:eastAsia="Tahoma"/>
                <w:color w:val="000000"/>
                <w:kern w:val="0"/>
                <w:sz w:val="22"/>
                <w:szCs w:val="22"/>
                <w:lang/>
              </w:rPr>
            </w:pPr>
            <w:r>
              <w:rPr>
                <w:rFonts w:eastAsia="Tahoma"/>
                <w:color w:val="000000"/>
                <w:kern w:val="0"/>
                <w:sz w:val="22"/>
                <w:szCs w:val="22"/>
                <w:lang/>
              </w:rPr>
              <w:t>22</w:t>
            </w:r>
          </w:p>
        </w:tc>
        <w:tc>
          <w:tcPr>
            <w:tcW w:w="1370" w:type="dxa"/>
            <w:vAlign w:val="center"/>
          </w:tcPr>
          <w:p>
            <w:pPr>
              <w:widowControl/>
              <w:jc w:val="center"/>
              <w:textAlignment w:val="center"/>
              <w:rPr>
                <w:color w:val="000000"/>
                <w:kern w:val="0"/>
                <w:sz w:val="22"/>
                <w:szCs w:val="22"/>
              </w:rPr>
            </w:pPr>
            <w:r>
              <w:rPr>
                <w:color w:val="000000"/>
                <w:kern w:val="0"/>
                <w:sz w:val="22"/>
                <w:szCs w:val="22"/>
                <w:lang/>
              </w:rPr>
              <w:t>J029</w:t>
            </w:r>
          </w:p>
        </w:tc>
        <w:tc>
          <w:tcPr>
            <w:tcW w:w="1370" w:type="dxa"/>
            <w:vAlign w:val="center"/>
          </w:tcPr>
          <w:p>
            <w:pPr>
              <w:widowControl/>
              <w:jc w:val="center"/>
              <w:textAlignment w:val="center"/>
              <w:rPr>
                <w:color w:val="000000"/>
                <w:kern w:val="0"/>
                <w:sz w:val="22"/>
                <w:szCs w:val="22"/>
              </w:rPr>
            </w:pPr>
            <w:r>
              <w:rPr>
                <w:color w:val="000000"/>
                <w:kern w:val="0"/>
                <w:sz w:val="22"/>
                <w:szCs w:val="22"/>
                <w:lang/>
              </w:rPr>
              <w:t>三级</w:t>
            </w:r>
          </w:p>
        </w:tc>
        <w:tc>
          <w:tcPr>
            <w:tcW w:w="1638" w:type="dxa"/>
            <w:vAlign w:val="center"/>
          </w:tcPr>
          <w:p>
            <w:pPr>
              <w:widowControl/>
              <w:jc w:val="center"/>
              <w:textAlignment w:val="center"/>
              <w:rPr>
                <w:color w:val="000000"/>
                <w:kern w:val="0"/>
                <w:sz w:val="22"/>
                <w:szCs w:val="22"/>
              </w:rPr>
            </w:pPr>
            <w:r>
              <w:rPr>
                <w:color w:val="000000"/>
                <w:kern w:val="0"/>
                <w:sz w:val="22"/>
                <w:szCs w:val="22"/>
                <w:lang/>
              </w:rPr>
              <w:t>16</w:t>
            </w:r>
          </w:p>
        </w:tc>
        <w:tc>
          <w:tcPr>
            <w:tcW w:w="1907" w:type="dxa"/>
            <w:vAlign w:val="center"/>
          </w:tcPr>
          <w:p>
            <w:pPr>
              <w:widowControl/>
              <w:jc w:val="center"/>
              <w:textAlignment w:val="center"/>
              <w:rPr>
                <w:color w:val="000000"/>
                <w:kern w:val="0"/>
                <w:sz w:val="22"/>
                <w:szCs w:val="22"/>
              </w:rPr>
            </w:pPr>
            <w:r>
              <w:rPr>
                <w:color w:val="000000"/>
                <w:kern w:val="0"/>
                <w:sz w:val="22"/>
                <w:szCs w:val="22"/>
                <w:lang/>
              </w:rPr>
              <w:t>2590</w:t>
            </w:r>
          </w:p>
        </w:tc>
        <w:tc>
          <w:tcPr>
            <w:tcW w:w="1368" w:type="dxa"/>
            <w:vAlign w:val="center"/>
          </w:tcPr>
          <w:p>
            <w:pPr>
              <w:widowControl/>
              <w:jc w:val="center"/>
              <w:textAlignment w:val="center"/>
              <w:rPr>
                <w:color w:val="000000"/>
                <w:kern w:val="0"/>
                <w:sz w:val="22"/>
                <w:szCs w:val="22"/>
              </w:rPr>
            </w:pPr>
            <w:r>
              <w:rPr>
                <w:rFonts w:hint="eastAsia"/>
                <w:color w:val="000000"/>
                <w:kern w:val="0"/>
                <w:sz w:val="22"/>
                <w:szCs w:val="22"/>
              </w:rPr>
              <w:t>41.78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textAlignment w:val="bottom"/>
              <w:rPr>
                <w:rFonts w:eastAsia="Tahoma"/>
                <w:color w:val="000000"/>
                <w:kern w:val="0"/>
                <w:sz w:val="22"/>
                <w:szCs w:val="22"/>
                <w:lang/>
              </w:rPr>
            </w:pPr>
            <w:r>
              <w:rPr>
                <w:rFonts w:eastAsia="Tahoma"/>
                <w:color w:val="000000"/>
                <w:kern w:val="0"/>
                <w:sz w:val="22"/>
                <w:szCs w:val="22"/>
                <w:lang/>
              </w:rPr>
              <w:t>23</w:t>
            </w:r>
          </w:p>
        </w:tc>
        <w:tc>
          <w:tcPr>
            <w:tcW w:w="1370" w:type="dxa"/>
            <w:vAlign w:val="center"/>
          </w:tcPr>
          <w:p>
            <w:pPr>
              <w:widowControl/>
              <w:jc w:val="center"/>
              <w:textAlignment w:val="center"/>
              <w:rPr>
                <w:color w:val="000000"/>
                <w:kern w:val="0"/>
                <w:sz w:val="22"/>
                <w:szCs w:val="22"/>
              </w:rPr>
            </w:pPr>
            <w:r>
              <w:rPr>
                <w:color w:val="000000"/>
                <w:kern w:val="0"/>
                <w:sz w:val="22"/>
                <w:szCs w:val="22"/>
                <w:lang/>
              </w:rPr>
              <w:t>J032</w:t>
            </w:r>
          </w:p>
        </w:tc>
        <w:tc>
          <w:tcPr>
            <w:tcW w:w="1370" w:type="dxa"/>
            <w:vAlign w:val="center"/>
          </w:tcPr>
          <w:p>
            <w:pPr>
              <w:widowControl/>
              <w:jc w:val="center"/>
              <w:textAlignment w:val="center"/>
              <w:rPr>
                <w:color w:val="000000"/>
                <w:kern w:val="0"/>
                <w:sz w:val="22"/>
                <w:szCs w:val="22"/>
              </w:rPr>
            </w:pPr>
            <w:r>
              <w:rPr>
                <w:color w:val="000000"/>
                <w:kern w:val="0"/>
                <w:sz w:val="22"/>
                <w:szCs w:val="22"/>
                <w:lang/>
              </w:rPr>
              <w:t>三级</w:t>
            </w:r>
          </w:p>
        </w:tc>
        <w:tc>
          <w:tcPr>
            <w:tcW w:w="1638" w:type="dxa"/>
            <w:vAlign w:val="center"/>
          </w:tcPr>
          <w:p>
            <w:pPr>
              <w:widowControl/>
              <w:jc w:val="center"/>
              <w:textAlignment w:val="center"/>
              <w:rPr>
                <w:color w:val="000000"/>
                <w:kern w:val="0"/>
                <w:sz w:val="22"/>
                <w:szCs w:val="22"/>
              </w:rPr>
            </w:pPr>
            <w:r>
              <w:rPr>
                <w:rFonts w:hint="eastAsia"/>
                <w:color w:val="000000"/>
                <w:kern w:val="0"/>
                <w:sz w:val="22"/>
                <w:szCs w:val="22"/>
                <w:lang/>
              </w:rPr>
              <w:t>10</w:t>
            </w:r>
          </w:p>
        </w:tc>
        <w:tc>
          <w:tcPr>
            <w:tcW w:w="1907" w:type="dxa"/>
            <w:vAlign w:val="center"/>
          </w:tcPr>
          <w:p>
            <w:pPr>
              <w:widowControl/>
              <w:jc w:val="center"/>
              <w:textAlignment w:val="center"/>
              <w:rPr>
                <w:color w:val="000000"/>
                <w:kern w:val="0"/>
                <w:sz w:val="22"/>
                <w:szCs w:val="22"/>
              </w:rPr>
            </w:pPr>
            <w:r>
              <w:rPr>
                <w:color w:val="000000"/>
                <w:kern w:val="0"/>
                <w:sz w:val="22"/>
                <w:szCs w:val="22"/>
                <w:lang/>
              </w:rPr>
              <w:t>2520</w:t>
            </w:r>
          </w:p>
        </w:tc>
        <w:tc>
          <w:tcPr>
            <w:tcW w:w="1368" w:type="dxa"/>
            <w:vAlign w:val="center"/>
          </w:tcPr>
          <w:p>
            <w:pPr>
              <w:widowControl/>
              <w:jc w:val="center"/>
              <w:textAlignment w:val="center"/>
              <w:rPr>
                <w:color w:val="000000"/>
                <w:kern w:val="0"/>
                <w:sz w:val="22"/>
                <w:szCs w:val="22"/>
              </w:rPr>
            </w:pPr>
            <w:r>
              <w:rPr>
                <w:color w:val="000000"/>
                <w:kern w:val="0"/>
                <w:sz w:val="22"/>
                <w:szCs w:val="22"/>
                <w:lang/>
              </w:rPr>
              <w:t>3</w:t>
            </w:r>
            <w:r>
              <w:rPr>
                <w:rFonts w:hint="eastAsia"/>
                <w:color w:val="000000"/>
                <w:kern w:val="0"/>
                <w:sz w:val="22"/>
                <w:szCs w:val="22"/>
                <w:lang/>
              </w:rPr>
              <w:t>8</w:t>
            </w:r>
            <w:r>
              <w:rPr>
                <w:color w:val="000000"/>
                <w:kern w:val="0"/>
                <w:sz w:val="22"/>
                <w:szCs w:val="22"/>
                <w:lang/>
              </w:rPr>
              <w:t>.</w:t>
            </w:r>
            <w:r>
              <w:rPr>
                <w:rFonts w:hint="eastAsia"/>
                <w:color w:val="000000"/>
                <w:kern w:val="0"/>
                <w:sz w:val="22"/>
                <w:szCs w:val="22"/>
                <w:lang/>
              </w:rPr>
              <w:t>4</w:t>
            </w:r>
            <w:r>
              <w:rPr>
                <w:color w:val="000000"/>
                <w:kern w:val="0"/>
                <w:sz w:val="22"/>
                <w:szCs w:val="22"/>
                <w:lang/>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textAlignment w:val="bottom"/>
              <w:rPr>
                <w:rFonts w:eastAsia="Tahoma"/>
                <w:color w:val="000000"/>
                <w:kern w:val="0"/>
                <w:sz w:val="22"/>
                <w:szCs w:val="22"/>
                <w:lang/>
              </w:rPr>
            </w:pPr>
            <w:r>
              <w:rPr>
                <w:rFonts w:eastAsia="Tahoma"/>
                <w:color w:val="000000"/>
                <w:kern w:val="0"/>
                <w:sz w:val="22"/>
                <w:szCs w:val="22"/>
                <w:lang/>
              </w:rPr>
              <w:t>24</w:t>
            </w:r>
          </w:p>
        </w:tc>
        <w:tc>
          <w:tcPr>
            <w:tcW w:w="1370" w:type="dxa"/>
            <w:vAlign w:val="center"/>
          </w:tcPr>
          <w:p>
            <w:pPr>
              <w:widowControl/>
              <w:jc w:val="center"/>
              <w:textAlignment w:val="center"/>
              <w:rPr>
                <w:color w:val="000000"/>
                <w:kern w:val="0"/>
                <w:sz w:val="22"/>
                <w:szCs w:val="22"/>
              </w:rPr>
            </w:pPr>
            <w:r>
              <w:rPr>
                <w:color w:val="000000"/>
                <w:kern w:val="0"/>
                <w:sz w:val="22"/>
                <w:szCs w:val="22"/>
                <w:lang/>
              </w:rPr>
              <w:t>J033</w:t>
            </w:r>
          </w:p>
        </w:tc>
        <w:tc>
          <w:tcPr>
            <w:tcW w:w="1370" w:type="dxa"/>
            <w:vAlign w:val="center"/>
          </w:tcPr>
          <w:p>
            <w:pPr>
              <w:widowControl/>
              <w:jc w:val="center"/>
              <w:textAlignment w:val="center"/>
              <w:rPr>
                <w:color w:val="000000"/>
                <w:kern w:val="0"/>
                <w:sz w:val="22"/>
                <w:szCs w:val="22"/>
              </w:rPr>
            </w:pPr>
            <w:r>
              <w:rPr>
                <w:color w:val="000000"/>
                <w:kern w:val="0"/>
                <w:sz w:val="22"/>
                <w:szCs w:val="22"/>
                <w:lang/>
              </w:rPr>
              <w:t>三级</w:t>
            </w:r>
          </w:p>
        </w:tc>
        <w:tc>
          <w:tcPr>
            <w:tcW w:w="1638" w:type="dxa"/>
            <w:vAlign w:val="center"/>
          </w:tcPr>
          <w:p>
            <w:pPr>
              <w:widowControl/>
              <w:jc w:val="center"/>
              <w:textAlignment w:val="center"/>
              <w:rPr>
                <w:color w:val="000000"/>
                <w:kern w:val="0"/>
                <w:sz w:val="22"/>
                <w:szCs w:val="22"/>
              </w:rPr>
            </w:pPr>
            <w:r>
              <w:rPr>
                <w:color w:val="000000"/>
                <w:kern w:val="0"/>
                <w:sz w:val="22"/>
                <w:szCs w:val="22"/>
                <w:lang/>
              </w:rPr>
              <w:t>14</w:t>
            </w:r>
          </w:p>
        </w:tc>
        <w:tc>
          <w:tcPr>
            <w:tcW w:w="1907" w:type="dxa"/>
            <w:vAlign w:val="center"/>
          </w:tcPr>
          <w:p>
            <w:pPr>
              <w:widowControl/>
              <w:jc w:val="center"/>
              <w:textAlignment w:val="center"/>
              <w:rPr>
                <w:color w:val="000000"/>
                <w:kern w:val="0"/>
                <w:sz w:val="22"/>
                <w:szCs w:val="22"/>
              </w:rPr>
            </w:pPr>
            <w:r>
              <w:rPr>
                <w:color w:val="000000"/>
                <w:kern w:val="0"/>
                <w:sz w:val="22"/>
                <w:szCs w:val="22"/>
                <w:lang/>
              </w:rPr>
              <w:t>2440</w:t>
            </w:r>
          </w:p>
        </w:tc>
        <w:tc>
          <w:tcPr>
            <w:tcW w:w="1368" w:type="dxa"/>
            <w:vAlign w:val="center"/>
          </w:tcPr>
          <w:p>
            <w:pPr>
              <w:widowControl/>
              <w:jc w:val="center"/>
              <w:textAlignment w:val="center"/>
              <w:rPr>
                <w:color w:val="000000"/>
                <w:kern w:val="0"/>
                <w:sz w:val="22"/>
                <w:szCs w:val="22"/>
              </w:rPr>
            </w:pPr>
            <w:r>
              <w:rPr>
                <w:color w:val="000000"/>
                <w:kern w:val="0"/>
                <w:sz w:val="22"/>
                <w:szCs w:val="22"/>
                <w:lang/>
              </w:rPr>
              <w:t>3</w:t>
            </w:r>
            <w:r>
              <w:rPr>
                <w:rFonts w:hint="eastAsia"/>
                <w:color w:val="000000"/>
                <w:kern w:val="0"/>
                <w:sz w:val="22"/>
                <w:szCs w:val="22"/>
                <w:lang/>
              </w:rPr>
              <w:t>6</w:t>
            </w:r>
            <w:r>
              <w:rPr>
                <w:color w:val="000000"/>
                <w:kern w:val="0"/>
                <w:sz w:val="22"/>
                <w:szCs w:val="22"/>
                <w:lang/>
              </w:rPr>
              <w:t>.</w:t>
            </w:r>
            <w:r>
              <w:rPr>
                <w:rFonts w:hint="eastAsia"/>
                <w:color w:val="000000"/>
                <w:kern w:val="0"/>
                <w:sz w:val="22"/>
                <w:szCs w:val="22"/>
                <w:lang/>
              </w:rPr>
              <w:t>7</w:t>
            </w:r>
            <w:r>
              <w:rPr>
                <w:color w:val="000000"/>
                <w:kern w:val="0"/>
                <w:sz w:val="22"/>
                <w:szCs w:val="22"/>
                <w:lang/>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70" w:type="dxa"/>
            <w:vAlign w:val="center"/>
          </w:tcPr>
          <w:p>
            <w:pPr>
              <w:widowControl/>
              <w:jc w:val="center"/>
              <w:textAlignment w:val="bottom"/>
              <w:rPr>
                <w:rFonts w:eastAsia="Tahoma"/>
                <w:color w:val="000000"/>
                <w:kern w:val="0"/>
                <w:sz w:val="22"/>
                <w:szCs w:val="22"/>
                <w:lang/>
              </w:rPr>
            </w:pPr>
            <w:r>
              <w:rPr>
                <w:rFonts w:eastAsia="Tahoma"/>
                <w:color w:val="000000"/>
                <w:kern w:val="0"/>
                <w:sz w:val="22"/>
                <w:szCs w:val="22"/>
                <w:lang/>
              </w:rPr>
              <w:t>25</w:t>
            </w:r>
          </w:p>
        </w:tc>
        <w:tc>
          <w:tcPr>
            <w:tcW w:w="1370" w:type="dxa"/>
            <w:vAlign w:val="center"/>
          </w:tcPr>
          <w:p>
            <w:pPr>
              <w:widowControl/>
              <w:jc w:val="center"/>
              <w:textAlignment w:val="center"/>
              <w:rPr>
                <w:color w:val="000000"/>
                <w:kern w:val="0"/>
                <w:sz w:val="22"/>
                <w:szCs w:val="22"/>
              </w:rPr>
            </w:pPr>
            <w:r>
              <w:rPr>
                <w:color w:val="000000"/>
                <w:kern w:val="0"/>
                <w:sz w:val="22"/>
                <w:szCs w:val="22"/>
                <w:lang/>
              </w:rPr>
              <w:t>J030</w:t>
            </w:r>
          </w:p>
        </w:tc>
        <w:tc>
          <w:tcPr>
            <w:tcW w:w="1370" w:type="dxa"/>
            <w:vAlign w:val="center"/>
          </w:tcPr>
          <w:p>
            <w:pPr>
              <w:widowControl/>
              <w:jc w:val="center"/>
              <w:textAlignment w:val="center"/>
              <w:rPr>
                <w:color w:val="000000"/>
                <w:kern w:val="0"/>
                <w:sz w:val="22"/>
                <w:szCs w:val="22"/>
              </w:rPr>
            </w:pPr>
            <w:r>
              <w:rPr>
                <w:color w:val="000000"/>
                <w:kern w:val="0"/>
                <w:sz w:val="22"/>
                <w:szCs w:val="22"/>
                <w:lang/>
              </w:rPr>
              <w:t>三级</w:t>
            </w:r>
          </w:p>
        </w:tc>
        <w:tc>
          <w:tcPr>
            <w:tcW w:w="1638" w:type="dxa"/>
            <w:vAlign w:val="center"/>
          </w:tcPr>
          <w:p>
            <w:pPr>
              <w:widowControl/>
              <w:jc w:val="center"/>
              <w:textAlignment w:val="center"/>
              <w:rPr>
                <w:color w:val="000000"/>
                <w:kern w:val="0"/>
                <w:sz w:val="22"/>
                <w:szCs w:val="22"/>
              </w:rPr>
            </w:pPr>
            <w:r>
              <w:rPr>
                <w:color w:val="000000"/>
                <w:kern w:val="0"/>
                <w:sz w:val="22"/>
                <w:szCs w:val="22"/>
                <w:lang/>
              </w:rPr>
              <w:t>16</w:t>
            </w:r>
          </w:p>
        </w:tc>
        <w:tc>
          <w:tcPr>
            <w:tcW w:w="1907" w:type="dxa"/>
            <w:vAlign w:val="center"/>
          </w:tcPr>
          <w:p>
            <w:pPr>
              <w:widowControl/>
              <w:jc w:val="center"/>
              <w:textAlignment w:val="center"/>
              <w:rPr>
                <w:color w:val="000000"/>
                <w:kern w:val="0"/>
                <w:sz w:val="22"/>
                <w:szCs w:val="22"/>
              </w:rPr>
            </w:pPr>
            <w:r>
              <w:rPr>
                <w:color w:val="000000"/>
                <w:kern w:val="0"/>
                <w:sz w:val="22"/>
                <w:szCs w:val="22"/>
                <w:lang/>
              </w:rPr>
              <w:t>2360</w:t>
            </w:r>
          </w:p>
        </w:tc>
        <w:tc>
          <w:tcPr>
            <w:tcW w:w="1368" w:type="dxa"/>
            <w:vAlign w:val="center"/>
          </w:tcPr>
          <w:p>
            <w:pPr>
              <w:widowControl/>
              <w:jc w:val="center"/>
              <w:textAlignment w:val="center"/>
              <w:rPr>
                <w:color w:val="000000"/>
                <w:kern w:val="0"/>
                <w:sz w:val="22"/>
                <w:szCs w:val="22"/>
              </w:rPr>
            </w:pPr>
            <w:r>
              <w:rPr>
                <w:color w:val="000000"/>
                <w:kern w:val="0"/>
                <w:sz w:val="22"/>
                <w:szCs w:val="22"/>
                <w:lang/>
              </w:rPr>
              <w:t>3</w:t>
            </w:r>
            <w:r>
              <w:rPr>
                <w:rFonts w:hint="eastAsia"/>
                <w:color w:val="000000"/>
                <w:kern w:val="0"/>
                <w:sz w:val="22"/>
                <w:szCs w:val="22"/>
                <w:lang/>
              </w:rPr>
              <w:t>5</w:t>
            </w:r>
            <w:r>
              <w:rPr>
                <w:color w:val="000000"/>
                <w:kern w:val="0"/>
                <w:sz w:val="22"/>
                <w:szCs w:val="22"/>
                <w:lang/>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1370" w:type="dxa"/>
            <w:vAlign w:val="center"/>
          </w:tcPr>
          <w:p>
            <w:pPr>
              <w:widowControl/>
              <w:jc w:val="center"/>
              <w:textAlignment w:val="bottom"/>
              <w:rPr>
                <w:color w:val="000000"/>
                <w:kern w:val="0"/>
                <w:sz w:val="22"/>
                <w:szCs w:val="22"/>
                <w:lang/>
              </w:rPr>
            </w:pPr>
            <w:r>
              <w:rPr>
                <w:color w:val="000000"/>
                <w:kern w:val="0"/>
                <w:sz w:val="22"/>
                <w:szCs w:val="22"/>
                <w:lang/>
              </w:rPr>
              <w:t>26</w:t>
            </w:r>
          </w:p>
        </w:tc>
        <w:tc>
          <w:tcPr>
            <w:tcW w:w="1370" w:type="dxa"/>
            <w:vAlign w:val="center"/>
          </w:tcPr>
          <w:p>
            <w:pPr>
              <w:widowControl/>
              <w:jc w:val="center"/>
              <w:textAlignment w:val="center"/>
              <w:rPr>
                <w:color w:val="000000"/>
                <w:kern w:val="0"/>
                <w:sz w:val="22"/>
                <w:szCs w:val="22"/>
              </w:rPr>
            </w:pPr>
            <w:r>
              <w:rPr>
                <w:color w:val="000000"/>
                <w:kern w:val="0"/>
                <w:sz w:val="22"/>
                <w:szCs w:val="22"/>
                <w:lang/>
              </w:rPr>
              <w:t>J034</w:t>
            </w:r>
          </w:p>
        </w:tc>
        <w:tc>
          <w:tcPr>
            <w:tcW w:w="1370" w:type="dxa"/>
            <w:vAlign w:val="center"/>
          </w:tcPr>
          <w:p>
            <w:pPr>
              <w:widowControl/>
              <w:jc w:val="center"/>
              <w:textAlignment w:val="center"/>
              <w:rPr>
                <w:color w:val="000000"/>
                <w:kern w:val="0"/>
                <w:sz w:val="22"/>
                <w:szCs w:val="22"/>
              </w:rPr>
            </w:pPr>
            <w:r>
              <w:rPr>
                <w:color w:val="000000"/>
                <w:kern w:val="0"/>
                <w:sz w:val="22"/>
                <w:szCs w:val="22"/>
                <w:lang/>
              </w:rPr>
              <w:t>四级</w:t>
            </w:r>
          </w:p>
        </w:tc>
        <w:tc>
          <w:tcPr>
            <w:tcW w:w="1638" w:type="dxa"/>
            <w:vAlign w:val="center"/>
          </w:tcPr>
          <w:p>
            <w:pPr>
              <w:widowControl/>
              <w:jc w:val="center"/>
              <w:textAlignment w:val="center"/>
              <w:rPr>
                <w:color w:val="000000"/>
                <w:kern w:val="0"/>
                <w:sz w:val="22"/>
                <w:szCs w:val="22"/>
              </w:rPr>
            </w:pPr>
            <w:r>
              <w:rPr>
                <w:rFonts w:hint="eastAsia"/>
                <w:color w:val="000000"/>
                <w:kern w:val="0"/>
                <w:sz w:val="22"/>
                <w:szCs w:val="22"/>
                <w:lang/>
              </w:rPr>
              <w:t>10</w:t>
            </w:r>
          </w:p>
        </w:tc>
        <w:tc>
          <w:tcPr>
            <w:tcW w:w="1907" w:type="dxa"/>
            <w:vAlign w:val="center"/>
          </w:tcPr>
          <w:p>
            <w:pPr>
              <w:widowControl/>
              <w:jc w:val="center"/>
              <w:textAlignment w:val="center"/>
              <w:rPr>
                <w:color w:val="000000"/>
                <w:kern w:val="0"/>
                <w:sz w:val="22"/>
                <w:szCs w:val="22"/>
              </w:rPr>
            </w:pPr>
            <w:r>
              <w:rPr>
                <w:color w:val="000000"/>
                <w:kern w:val="0"/>
                <w:sz w:val="22"/>
                <w:szCs w:val="22"/>
                <w:lang/>
              </w:rPr>
              <w:t>1870</w:t>
            </w:r>
          </w:p>
        </w:tc>
        <w:tc>
          <w:tcPr>
            <w:tcW w:w="1368" w:type="dxa"/>
            <w:vAlign w:val="center"/>
          </w:tcPr>
          <w:p>
            <w:pPr>
              <w:widowControl/>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27.12</w:t>
            </w:r>
          </w:p>
        </w:tc>
      </w:tr>
    </w:tbl>
    <w:p>
      <w:pPr>
        <w:spacing w:beforeLines="50" w:line="360" w:lineRule="auto"/>
        <w:ind w:firstLine="482" w:firstLineChars="200"/>
        <w:rPr>
          <w:b/>
          <w:sz w:val="24"/>
          <w:szCs w:val="24"/>
          <w:lang w:val="zh-CN"/>
        </w:rPr>
      </w:pPr>
      <w:r>
        <w:rPr>
          <w:b/>
          <w:sz w:val="24"/>
          <w:szCs w:val="24"/>
          <w:lang w:val="zh-CN"/>
        </w:rPr>
        <w:t>2、无样点地价区片的平均地价计算</w:t>
      </w:r>
    </w:p>
    <w:p>
      <w:pPr>
        <w:spacing w:line="360" w:lineRule="auto"/>
        <w:ind w:firstLine="480" w:firstLineChars="200"/>
        <w:rPr>
          <w:b/>
          <w:sz w:val="24"/>
        </w:rPr>
      </w:pPr>
      <w:r>
        <w:rPr>
          <w:sz w:val="24"/>
        </w:rPr>
        <w:t>在均值区域划分及其综合分值计算的基础上，分析有样点均值区域与其总分值的关系，建立相应的商服用地地价的数学模型。本次根据均质区域均价与分值的关系，共选取了指数模型、对数模型和移动平均模型，从拟合度参数看，从拟合度参数看，多项式模型具有关联度最强的拟合优势，因此最后选定多项式模型（见图3-3-1）。</w:t>
      </w:r>
    </w:p>
    <w:p>
      <w:pPr>
        <w:spacing w:line="360" w:lineRule="auto"/>
        <w:jc w:val="center"/>
        <w:rPr>
          <w:rFonts w:eastAsia="黑体"/>
          <w:b/>
          <w:sz w:val="24"/>
          <w:szCs w:val="24"/>
          <w:lang w:val="zh-CN"/>
        </w:rPr>
      </w:pPr>
      <w:r>
        <w:rPr>
          <w:rFonts w:ascii="Times New Roman" w:hAnsi="Times New Roman" w:eastAsia="宋体" w:cs="Times New Roman"/>
          <w:kern w:val="2"/>
          <w:sz w:val="21"/>
          <w:lang w:val="en-US" w:eastAsia="zh-CN" w:bidi="ar-SA"/>
        </w:rPr>
        <w:pict>
          <v:shape id="图表 2" o:spid="_x0000_s1278" type="" style="position:absolute;left:0;margin-left:39.05pt;margin-top:13.8pt;height:179.3pt;width:355pt;mso-wrap-distance-bottom:0pt;mso-wrap-distance-top:0pt;rotation:0f;z-index:251709440;" o:ole="f" fillcolor="#FFFFFF" filled="t" o:preferrelative="t" stroked="t" coordorigin="0,0" coordsize="21600,21600">
            <v:stroke color="#000000" color2="#FFFFFF" miterlimit="2"/>
            <v:imagedata gain="65536f" blacklevel="0f" gamma="0"/>
            <o:lock v:ext="edit" position="f" selection="f" grouping="f" rotation="f" cropping="f" text="f" aspectratio="f"/>
            <w10:wrap type="topAndBottom"/>
          </v:shape>
        </w:pict>
      </w:r>
      <w:r>
        <w:rPr>
          <w:rFonts w:eastAsia="黑体"/>
          <w:b/>
          <w:sz w:val="24"/>
        </w:rPr>
        <w:t>图3-3-1</w:t>
      </w:r>
      <w:r>
        <w:rPr>
          <w:rFonts w:eastAsia="黑体"/>
          <w:b/>
          <w:sz w:val="24"/>
          <w:szCs w:val="24"/>
          <w:lang w:val="zh-CN"/>
        </w:rPr>
        <w:t>均质区域分值与均质区域商服地价拟合图</w:t>
      </w:r>
    </w:p>
    <w:p>
      <w:pPr>
        <w:spacing w:line="360" w:lineRule="auto"/>
        <w:ind w:firstLine="480" w:firstLineChars="200"/>
        <w:rPr>
          <w:sz w:val="24"/>
        </w:rPr>
      </w:pPr>
      <w:r>
        <w:rPr>
          <w:sz w:val="24"/>
        </w:rPr>
        <w:t>通过模型与各均质区域综合分值，反推出无样点均质区域商服用地的平均地价（见表3-3-2）。</w:t>
      </w:r>
    </w:p>
    <w:p>
      <w:pPr>
        <w:spacing w:line="480" w:lineRule="exact"/>
        <w:jc w:val="center"/>
        <w:rPr>
          <w:b/>
          <w:bCs/>
          <w:sz w:val="24"/>
          <w:szCs w:val="24"/>
        </w:rPr>
      </w:pPr>
      <w:r>
        <w:rPr>
          <w:b/>
          <w:bCs/>
          <w:sz w:val="24"/>
          <w:szCs w:val="24"/>
        </w:rPr>
        <w:t>表3-3-2 商服用地无样点均质区域基准地价</w:t>
      </w:r>
    </w:p>
    <w:p>
      <w:pPr>
        <w:ind w:right="539" w:firstLine="480" w:firstLineChars="200"/>
        <w:jc w:val="right"/>
        <w:rPr>
          <w:rFonts w:eastAsia="黑体"/>
          <w:sz w:val="24"/>
          <w:szCs w:val="24"/>
        </w:rPr>
      </w:pPr>
      <w:r>
        <w:rPr>
          <w:rFonts w:eastAsia="黑体"/>
          <w:sz w:val="24"/>
          <w:szCs w:val="24"/>
        </w:rPr>
        <w:t>单位：元/平方米</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71"/>
        <w:gridCol w:w="2671"/>
        <w:gridCol w:w="37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4" w:hRule="atLeast"/>
          <w:tblHeader/>
        </w:trPr>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 w:val="20"/>
              </w:rPr>
            </w:pPr>
            <w:bookmarkStart w:id="585" w:name="_Toc271529454"/>
            <w:bookmarkStart w:id="586" w:name="_Toc467846861"/>
            <w:r>
              <w:rPr>
                <w:b/>
                <w:bCs/>
                <w:color w:val="000000"/>
                <w:kern w:val="0"/>
                <w:sz w:val="20"/>
              </w:rPr>
              <w:t>均质区域</w:t>
            </w:r>
          </w:p>
        </w:tc>
        <w:tc>
          <w:tcPr>
            <w:tcW w:w="267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 w:val="20"/>
              </w:rPr>
            </w:pPr>
            <w:r>
              <w:rPr>
                <w:b/>
                <w:bCs/>
                <w:color w:val="000000"/>
                <w:kern w:val="0"/>
                <w:sz w:val="20"/>
              </w:rPr>
              <w:t>所属级别</w:t>
            </w:r>
          </w:p>
        </w:tc>
        <w:tc>
          <w:tcPr>
            <w:tcW w:w="3719" w:type="dxa"/>
            <w:tcBorders>
              <w:top w:val="single" w:color="auto" w:sz="4" w:space="0"/>
              <w:left w:val="nil"/>
              <w:bottom w:val="single" w:color="auto" w:sz="4" w:space="0"/>
              <w:right w:val="single" w:color="auto" w:sz="4" w:space="0"/>
            </w:tcBorders>
            <w:vAlign w:val="center"/>
          </w:tcPr>
          <w:p>
            <w:pPr>
              <w:widowControl/>
              <w:jc w:val="center"/>
              <w:rPr>
                <w:b/>
                <w:bCs/>
                <w:color w:val="000000"/>
                <w:kern w:val="0"/>
                <w:sz w:val="20"/>
              </w:rPr>
            </w:pPr>
            <w:r>
              <w:rPr>
                <w:b/>
                <w:bCs/>
                <w:color w:val="000000"/>
                <w:kern w:val="0"/>
                <w:sz w:val="20"/>
              </w:rPr>
              <w:t>均质区域地价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20"/>
              </w:rPr>
            </w:pPr>
            <w:r>
              <w:rPr>
                <w:color w:val="000000"/>
                <w:kern w:val="0"/>
                <w:sz w:val="22"/>
                <w:szCs w:val="22"/>
                <w:lang/>
              </w:rPr>
              <w:t>J024</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二级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3710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20"/>
              </w:rPr>
            </w:pPr>
            <w:r>
              <w:rPr>
                <w:color w:val="000000"/>
                <w:kern w:val="0"/>
                <w:sz w:val="22"/>
                <w:szCs w:val="22"/>
                <w:lang/>
              </w:rPr>
              <w:t>J006</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二级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2820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20"/>
              </w:rPr>
            </w:pPr>
            <w:r>
              <w:rPr>
                <w:color w:val="000000"/>
                <w:kern w:val="0"/>
                <w:sz w:val="22"/>
                <w:szCs w:val="22"/>
                <w:lang/>
              </w:rPr>
              <w:t>J016</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二级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2770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20"/>
              </w:rPr>
            </w:pPr>
            <w:r>
              <w:rPr>
                <w:color w:val="000000"/>
                <w:kern w:val="0"/>
                <w:sz w:val="22"/>
                <w:szCs w:val="22"/>
                <w:lang/>
              </w:rPr>
              <w:t>J008</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三级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2210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20"/>
              </w:rPr>
            </w:pPr>
            <w:r>
              <w:rPr>
                <w:color w:val="000000"/>
                <w:kern w:val="0"/>
                <w:sz w:val="22"/>
                <w:szCs w:val="22"/>
                <w:lang/>
              </w:rPr>
              <w:t>J002</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三级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2180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20"/>
              </w:rPr>
            </w:pPr>
            <w:r>
              <w:rPr>
                <w:color w:val="000000"/>
                <w:kern w:val="0"/>
                <w:sz w:val="22"/>
                <w:szCs w:val="22"/>
                <w:lang/>
              </w:rPr>
              <w:t>J035</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三级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2020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20"/>
              </w:rPr>
            </w:pPr>
            <w:r>
              <w:rPr>
                <w:color w:val="000000"/>
                <w:kern w:val="0"/>
                <w:sz w:val="22"/>
                <w:szCs w:val="22"/>
                <w:lang/>
              </w:rPr>
              <w:t>J036</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四级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20"/>
              </w:rPr>
            </w:pPr>
            <w:r>
              <w:rPr>
                <w:color w:val="000000"/>
                <w:kern w:val="0"/>
                <w:sz w:val="22"/>
                <w:szCs w:val="22"/>
                <w:lang/>
              </w:rPr>
              <w:t>J037</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四级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20"/>
              </w:rPr>
            </w:pPr>
            <w:r>
              <w:rPr>
                <w:color w:val="000000"/>
                <w:kern w:val="0"/>
                <w:sz w:val="22"/>
                <w:szCs w:val="22"/>
                <w:lang/>
              </w:rPr>
              <w:t>J031</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四级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1740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20"/>
              </w:rPr>
            </w:pPr>
            <w:r>
              <w:rPr>
                <w:color w:val="000000"/>
                <w:kern w:val="0"/>
                <w:sz w:val="22"/>
                <w:szCs w:val="22"/>
                <w:lang/>
              </w:rPr>
              <w:t>J001</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四级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20"/>
              </w:rPr>
            </w:pPr>
            <w:r>
              <w:rPr>
                <w:color w:val="000000"/>
                <w:kern w:val="0"/>
                <w:sz w:val="22"/>
                <w:szCs w:val="22"/>
                <w:lang/>
              </w:rPr>
              <w:t>J007</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四级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20"/>
              </w:rPr>
            </w:pPr>
            <w:r>
              <w:rPr>
                <w:color w:val="000000"/>
                <w:kern w:val="0"/>
                <w:sz w:val="22"/>
                <w:szCs w:val="22"/>
                <w:lang/>
              </w:rPr>
              <w:t>J039</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五级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20"/>
              </w:rPr>
            </w:pPr>
            <w:r>
              <w:rPr>
                <w:color w:val="000000"/>
                <w:kern w:val="0"/>
                <w:sz w:val="22"/>
                <w:szCs w:val="22"/>
                <w:lang/>
              </w:rPr>
              <w:t>J040</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五级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kern w:val="0"/>
                <w:sz w:val="20"/>
              </w:rPr>
            </w:pPr>
            <w:r>
              <w:rPr>
                <w:color w:val="000000"/>
                <w:kern w:val="0"/>
                <w:sz w:val="22"/>
                <w:szCs w:val="22"/>
                <w:lang/>
              </w:rPr>
              <w:t>J038</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五级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1260</w:t>
            </w:r>
          </w:p>
        </w:tc>
      </w:tr>
    </w:tbl>
    <w:p>
      <w:pPr>
        <w:spacing w:beforeLines="50" w:line="360" w:lineRule="auto"/>
        <w:ind w:firstLine="482" w:firstLineChars="200"/>
        <w:rPr>
          <w:b/>
          <w:sz w:val="24"/>
          <w:szCs w:val="24"/>
          <w:lang w:val="zh-CN"/>
        </w:rPr>
      </w:pPr>
      <w:bookmarkStart w:id="587" w:name="_Toc469296470"/>
      <w:bookmarkStart w:id="588" w:name="_Toc470721321"/>
      <w:r>
        <w:rPr>
          <w:b/>
          <w:sz w:val="24"/>
          <w:szCs w:val="24"/>
          <w:lang w:val="zh-CN"/>
        </w:rPr>
        <w:t>3、商服用地级别地价的测算</w:t>
      </w:r>
    </w:p>
    <w:p>
      <w:pPr>
        <w:adjustRightInd w:val="0"/>
        <w:snapToGrid w:val="0"/>
        <w:spacing w:line="360" w:lineRule="auto"/>
        <w:ind w:firstLine="480" w:firstLineChars="200"/>
        <w:rPr>
          <w:sz w:val="24"/>
          <w:szCs w:val="24"/>
        </w:rPr>
      </w:pPr>
      <w:r>
        <w:rPr>
          <w:sz w:val="24"/>
        </w:rPr>
        <w:t>结合土地定级成果，将同级别内所有均质地域商服用地均质区域价格求取面积加权值，得到长沙县商服用地级别基准地价。</w:t>
      </w:r>
      <w:r>
        <w:rPr>
          <w:sz w:val="24"/>
          <w:szCs w:val="24"/>
        </w:rPr>
        <w:t>具体计算公式如下：</w:t>
      </w:r>
    </w:p>
    <w:p>
      <w:pPr>
        <w:spacing w:line="460" w:lineRule="exact"/>
        <w:ind w:firstLine="480" w:firstLineChars="200"/>
        <w:rPr>
          <w:sz w:val="24"/>
          <w:szCs w:val="24"/>
        </w:rPr>
      </w:pPr>
      <w:r>
        <w:rPr>
          <w:rFonts w:ascii="Times New Roman" w:hAnsi="Times New Roman" w:eastAsia="宋体" w:cs="Times New Roman"/>
          <w:kern w:val="2"/>
          <w:position w:val="-28"/>
          <w:sz w:val="24"/>
          <w:szCs w:val="24"/>
          <w:lang w:val="en-US" w:eastAsia="zh-CN" w:bidi="ar-SA"/>
        </w:rPr>
        <w:object>
          <v:shape id="Picture 22" type="#_x0000_t75" style="height:33.5pt;width:130.65pt;rotation:0f;" o:ole="t" fillcolor="#FFFFFF" filled="f" o:preferrelative="t" stroked="f" coordorigin="0,0" coordsize="21600,21600">
            <v:fill on="f" color2="#FFFFFF" focus="0%"/>
            <v:imagedata gain="65536f" blacklevel="0f" gamma="0" o:title="" r:id="rId107"/>
            <o:lock v:ext="edit" position="f" selection="f" grouping="f" rotation="f" cropping="f" text="f" aspectratio="t"/>
            <w10:wrap type="none"/>
            <w10:anchorlock/>
          </v:shape>
          <o:OLEObject Type="Embed" ProgID="" ShapeID="Picture 22" DrawAspect="Content" ObjectID="_253" r:id="rId106"/>
        </w:object>
      </w:r>
      <w:r>
        <w:rPr>
          <w:sz w:val="24"/>
          <w:szCs w:val="24"/>
        </w:rPr>
        <w:t xml:space="preserve">                            （公式</w:t>
      </w:r>
      <w:r>
        <w:rPr>
          <w:rFonts w:hint="eastAsia"/>
          <w:sz w:val="24"/>
          <w:szCs w:val="24"/>
          <w:lang w:val="en-US" w:eastAsia="zh-CN"/>
        </w:rPr>
        <w:t>3</w:t>
      </w:r>
      <w:r>
        <w:rPr>
          <w:sz w:val="24"/>
          <w:szCs w:val="24"/>
        </w:rPr>
        <w:t>-</w:t>
      </w:r>
      <w:r>
        <w:rPr>
          <w:rFonts w:hint="eastAsia"/>
          <w:sz w:val="24"/>
          <w:szCs w:val="24"/>
          <w:lang w:val="en-US" w:eastAsia="zh-CN"/>
        </w:rPr>
        <w:t>3</w:t>
      </w:r>
      <w:r>
        <w:rPr>
          <w:sz w:val="24"/>
          <w:szCs w:val="24"/>
        </w:rPr>
        <w:t>-1）</w:t>
      </w:r>
    </w:p>
    <w:p>
      <w:pPr>
        <w:adjustRightInd w:val="0"/>
        <w:snapToGrid w:val="0"/>
        <w:spacing w:beforeLines="50" w:line="360" w:lineRule="auto"/>
        <w:ind w:firstLine="480" w:firstLineChars="200"/>
        <w:rPr>
          <w:sz w:val="24"/>
          <w:szCs w:val="24"/>
        </w:rPr>
      </w:pPr>
      <w:r>
        <w:rPr>
          <w:sz w:val="24"/>
          <w:szCs w:val="24"/>
        </w:rPr>
        <w:t>式中，V级=级别基准地价</w:t>
      </w:r>
    </w:p>
    <w:p>
      <w:pPr>
        <w:adjustRightInd w:val="0"/>
        <w:snapToGrid w:val="0"/>
        <w:spacing w:line="360" w:lineRule="auto"/>
        <w:ind w:firstLine="480" w:firstLineChars="200"/>
        <w:rPr>
          <w:sz w:val="24"/>
          <w:szCs w:val="24"/>
        </w:rPr>
      </w:pPr>
      <w:r>
        <w:rPr>
          <w:sz w:val="24"/>
          <w:szCs w:val="24"/>
        </w:rPr>
        <w:t>Vi=均质区域平均地价</w:t>
      </w:r>
    </w:p>
    <w:p>
      <w:pPr>
        <w:adjustRightInd w:val="0"/>
        <w:snapToGrid w:val="0"/>
        <w:spacing w:line="360" w:lineRule="auto"/>
        <w:ind w:firstLine="480" w:firstLineChars="200"/>
        <w:rPr>
          <w:sz w:val="24"/>
          <w:szCs w:val="24"/>
        </w:rPr>
      </w:pPr>
      <w:r>
        <w:rPr>
          <w:sz w:val="24"/>
          <w:szCs w:val="24"/>
        </w:rPr>
        <w:t>Si=均质区域面积</w:t>
      </w:r>
    </w:p>
    <w:p>
      <w:pPr>
        <w:spacing w:line="360" w:lineRule="auto"/>
        <w:jc w:val="center"/>
        <w:rPr>
          <w:sz w:val="24"/>
          <w:szCs w:val="24"/>
        </w:rPr>
      </w:pPr>
      <w:r>
        <w:rPr>
          <w:b/>
          <w:bCs/>
          <w:sz w:val="24"/>
          <w:szCs w:val="24"/>
        </w:rPr>
        <w:t>表3-3-3 长沙县</w:t>
      </w:r>
      <w:r>
        <w:rPr>
          <w:rFonts w:hint="eastAsia"/>
          <w:b/>
          <w:bCs/>
          <w:sz w:val="24"/>
          <w:szCs w:val="24"/>
        </w:rPr>
        <w:t>城区</w:t>
      </w:r>
      <w:r>
        <w:rPr>
          <w:b/>
          <w:bCs/>
          <w:sz w:val="24"/>
          <w:szCs w:val="24"/>
        </w:rPr>
        <w:t>商服用地级别基准地价</w:t>
      </w:r>
    </w:p>
    <w:p>
      <w:pPr>
        <w:spacing w:line="240" w:lineRule="exact"/>
        <w:ind w:right="539" w:firstLine="420" w:firstLineChars="200"/>
        <w:jc w:val="right"/>
        <w:rPr>
          <w:sz w:val="24"/>
        </w:rPr>
      </w:pPr>
      <w:r>
        <w:rPr>
          <w:szCs w:val="21"/>
        </w:rPr>
        <w:t>单位：元/平方米</w:t>
      </w:r>
    </w:p>
    <w:tbl>
      <w:tblPr>
        <w:tblW w:w="8470" w:type="dxa"/>
        <w:jc w:val="center"/>
        <w:tblInd w:w="-2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9"/>
        <w:gridCol w:w="1080"/>
        <w:gridCol w:w="1080"/>
        <w:gridCol w:w="1080"/>
        <w:gridCol w:w="1080"/>
        <w:gridCol w:w="27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42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用地类型</w:t>
            </w:r>
          </w:p>
        </w:tc>
        <w:tc>
          <w:tcPr>
            <w:tcW w:w="1080" w:type="dxa"/>
            <w:tcBorders>
              <w:top w:val="single" w:color="auto" w:sz="4" w:space="0"/>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Ⅰ</w:t>
            </w:r>
          </w:p>
        </w:tc>
        <w:tc>
          <w:tcPr>
            <w:tcW w:w="1080" w:type="dxa"/>
            <w:tcBorders>
              <w:top w:val="single" w:color="auto" w:sz="4" w:space="0"/>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Ⅱ</w:t>
            </w:r>
          </w:p>
        </w:tc>
        <w:tc>
          <w:tcPr>
            <w:tcW w:w="1080" w:type="dxa"/>
            <w:tcBorders>
              <w:top w:val="single" w:color="auto" w:sz="4" w:space="0"/>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Ⅲ</w:t>
            </w:r>
          </w:p>
        </w:tc>
        <w:tc>
          <w:tcPr>
            <w:tcW w:w="1080" w:type="dxa"/>
            <w:tcBorders>
              <w:top w:val="single" w:color="auto" w:sz="4" w:space="0"/>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Ⅳ</w:t>
            </w:r>
          </w:p>
        </w:tc>
        <w:tc>
          <w:tcPr>
            <w:tcW w:w="2721" w:type="dxa"/>
            <w:tcBorders>
              <w:top w:val="single" w:color="auto" w:sz="4" w:space="0"/>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jc w:val="center"/>
        </w:trPr>
        <w:tc>
          <w:tcPr>
            <w:tcW w:w="1429" w:type="dxa"/>
            <w:tcBorders>
              <w:top w:val="nil"/>
              <w:left w:val="single" w:color="auto" w:sz="4" w:space="0"/>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商服用地</w:t>
            </w:r>
          </w:p>
        </w:tc>
        <w:tc>
          <w:tcPr>
            <w:tcW w:w="1080" w:type="dxa"/>
            <w:tcBorders>
              <w:top w:val="nil"/>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4590</w:t>
            </w:r>
          </w:p>
        </w:tc>
        <w:tc>
          <w:tcPr>
            <w:tcW w:w="1080" w:type="dxa"/>
            <w:tcBorders>
              <w:top w:val="nil"/>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3360</w:t>
            </w:r>
          </w:p>
        </w:tc>
        <w:tc>
          <w:tcPr>
            <w:tcW w:w="1080" w:type="dxa"/>
            <w:tcBorders>
              <w:top w:val="nil"/>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2550</w:t>
            </w:r>
          </w:p>
        </w:tc>
        <w:tc>
          <w:tcPr>
            <w:tcW w:w="1080" w:type="dxa"/>
            <w:tcBorders>
              <w:top w:val="nil"/>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1780</w:t>
            </w:r>
          </w:p>
        </w:tc>
        <w:tc>
          <w:tcPr>
            <w:tcW w:w="2721" w:type="dxa"/>
            <w:tcBorders>
              <w:top w:val="nil"/>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1280</w:t>
            </w:r>
          </w:p>
        </w:tc>
      </w:tr>
    </w:tbl>
    <w:p>
      <w:pPr>
        <w:spacing w:line="600" w:lineRule="exact"/>
        <w:ind w:firstLine="560" w:firstLineChars="200"/>
        <w:outlineLvl w:val="2"/>
        <w:rPr>
          <w:rFonts w:eastAsia="黑体"/>
          <w:sz w:val="28"/>
          <w:szCs w:val="28"/>
        </w:rPr>
      </w:pPr>
      <w:bookmarkStart w:id="589" w:name="_Toc29863"/>
      <w:bookmarkStart w:id="590" w:name="_Toc7658"/>
      <w:r>
        <w:rPr>
          <w:rFonts w:eastAsia="黑体"/>
          <w:sz w:val="28"/>
          <w:szCs w:val="28"/>
        </w:rPr>
        <w:t>二、住宅用地均质区域基准地价测算</w:t>
      </w:r>
      <w:bookmarkEnd w:id="585"/>
      <w:bookmarkEnd w:id="586"/>
      <w:bookmarkEnd w:id="587"/>
      <w:bookmarkEnd w:id="588"/>
      <w:bookmarkEnd w:id="589"/>
      <w:bookmarkEnd w:id="590"/>
    </w:p>
    <w:p>
      <w:pPr>
        <w:spacing w:line="360" w:lineRule="auto"/>
        <w:ind w:firstLine="480" w:firstLineChars="200"/>
        <w:rPr>
          <w:sz w:val="24"/>
        </w:rPr>
      </w:pPr>
      <w:r>
        <w:rPr>
          <w:sz w:val="24"/>
        </w:rPr>
        <w:t>采用与商服用地同样的方法测算住宅用地均质区域地价。</w:t>
      </w:r>
    </w:p>
    <w:p>
      <w:pPr>
        <w:spacing w:line="360" w:lineRule="auto"/>
        <w:ind w:firstLine="562" w:firstLineChars="200"/>
        <w:rPr>
          <w:b/>
          <w:sz w:val="24"/>
        </w:rPr>
      </w:pPr>
      <w:r>
        <w:rPr>
          <w:b/>
          <w:sz w:val="28"/>
          <w:szCs w:val="28"/>
          <w:lang w:val="zh-CN"/>
        </w:rPr>
        <w:t>1、</w:t>
      </w:r>
      <w:r>
        <w:rPr>
          <w:b/>
          <w:sz w:val="24"/>
        </w:rPr>
        <w:t>有样点地价区片基准地价的测算</w:t>
      </w:r>
    </w:p>
    <w:p>
      <w:pPr>
        <w:spacing w:line="360" w:lineRule="auto"/>
        <w:ind w:firstLine="480" w:firstLineChars="200"/>
        <w:rPr>
          <w:sz w:val="24"/>
        </w:rPr>
      </w:pPr>
      <w:r>
        <w:rPr>
          <w:sz w:val="24"/>
        </w:rPr>
        <w:t>通过数据检验、剔除异常值后，采用合格样本的平均值作为基本区片的单位地价。平均值可以使用算术平均值、加权算术平均值、中位数、众数等方法。本次工作中采用的是简单算术平均值。</w:t>
      </w:r>
    </w:p>
    <w:p>
      <w:pPr>
        <w:spacing w:beforeLines="50" w:line="360" w:lineRule="auto"/>
        <w:ind w:firstLine="480" w:firstLineChars="200"/>
        <w:jc w:val="center"/>
        <w:rPr>
          <w:sz w:val="24"/>
        </w:rPr>
      </w:pPr>
      <w:r>
        <w:rPr>
          <w:sz w:val="24"/>
        </w:rPr>
        <w:t>P=∑P</w:t>
      </w:r>
      <w:r>
        <w:rPr>
          <w:sz w:val="24"/>
          <w:vertAlign w:val="subscript"/>
        </w:rPr>
        <w:t>i</w:t>
      </w:r>
      <w:r>
        <w:rPr>
          <w:sz w:val="24"/>
        </w:rPr>
        <w:t>/M （i=1，2，……，M）</w:t>
      </w:r>
    </w:p>
    <w:p>
      <w:pPr>
        <w:spacing w:line="460" w:lineRule="exact"/>
        <w:ind w:firstLine="480" w:firstLineChars="200"/>
        <w:rPr>
          <w:sz w:val="24"/>
        </w:rPr>
      </w:pPr>
      <w:r>
        <w:rPr>
          <w:sz w:val="24"/>
        </w:rPr>
        <w:t>式中：P：某地价区片平均地价；Pi：某地价区片住宅用地各样点地价；M：地价区片内住宅用地有效样点总数。</w:t>
      </w:r>
    </w:p>
    <w:p>
      <w:pPr>
        <w:spacing w:line="460" w:lineRule="exact"/>
        <w:ind w:firstLine="480" w:firstLineChars="200"/>
        <w:rPr>
          <w:sz w:val="24"/>
        </w:rPr>
      </w:pPr>
      <w:r>
        <w:rPr>
          <w:sz w:val="24"/>
        </w:rPr>
        <w:t>根据长沙县基准地价外业调查和内业处理可知，本次调查，样点区片共24个，经样点地价检验后，保留的住宅用地有效样点共394个，按照上述公式计算，得到住宅用地均值区域地价（表3-3-3）。</w:t>
      </w:r>
    </w:p>
    <w:p>
      <w:pPr>
        <w:spacing w:line="480" w:lineRule="exact"/>
        <w:jc w:val="center"/>
        <w:rPr>
          <w:b/>
          <w:bCs/>
          <w:sz w:val="24"/>
          <w:szCs w:val="24"/>
        </w:rPr>
      </w:pPr>
      <w:r>
        <w:rPr>
          <w:b/>
          <w:bCs/>
          <w:sz w:val="24"/>
          <w:szCs w:val="24"/>
        </w:rPr>
        <w:t>表3-3-4住宅用地有样点均质区域基准地价</w:t>
      </w:r>
    </w:p>
    <w:p>
      <w:pPr>
        <w:ind w:right="794" w:firstLine="480" w:firstLineChars="200"/>
        <w:jc w:val="right"/>
        <w:rPr>
          <w:rFonts w:eastAsia="黑体"/>
          <w:bCs/>
          <w:sz w:val="24"/>
          <w:szCs w:val="24"/>
        </w:rPr>
      </w:pPr>
      <w:r>
        <w:rPr>
          <w:rFonts w:eastAsia="黑体"/>
          <w:bCs/>
          <w:sz w:val="24"/>
          <w:szCs w:val="24"/>
        </w:rPr>
        <w:t>单位：元/平方米</w:t>
      </w:r>
    </w:p>
    <w:tbl>
      <w:tblPr>
        <w:tblW w:w="9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1622"/>
        <w:gridCol w:w="1939"/>
        <w:gridCol w:w="2258"/>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622" w:type="dxa"/>
            <w:vAlign w:val="center"/>
          </w:tcPr>
          <w:p>
            <w:pPr>
              <w:widowControl/>
              <w:jc w:val="center"/>
              <w:rPr>
                <w:b/>
                <w:bCs/>
                <w:color w:val="000000"/>
                <w:kern w:val="0"/>
                <w:sz w:val="20"/>
              </w:rPr>
            </w:pPr>
            <w:r>
              <w:rPr>
                <w:b/>
                <w:bCs/>
                <w:color w:val="000000"/>
                <w:kern w:val="0"/>
                <w:sz w:val="20"/>
              </w:rPr>
              <w:t>均质区域</w:t>
            </w:r>
          </w:p>
        </w:tc>
        <w:tc>
          <w:tcPr>
            <w:tcW w:w="1622" w:type="dxa"/>
            <w:vAlign w:val="center"/>
          </w:tcPr>
          <w:p>
            <w:pPr>
              <w:widowControl/>
              <w:jc w:val="center"/>
              <w:rPr>
                <w:b/>
                <w:bCs/>
                <w:color w:val="000000"/>
                <w:kern w:val="0"/>
                <w:sz w:val="20"/>
              </w:rPr>
            </w:pPr>
            <w:r>
              <w:rPr>
                <w:b/>
                <w:bCs/>
                <w:color w:val="000000"/>
                <w:kern w:val="0"/>
                <w:sz w:val="20"/>
              </w:rPr>
              <w:t>所属级别</w:t>
            </w:r>
          </w:p>
        </w:tc>
        <w:tc>
          <w:tcPr>
            <w:tcW w:w="1939" w:type="dxa"/>
            <w:vAlign w:val="center"/>
          </w:tcPr>
          <w:p>
            <w:pPr>
              <w:widowControl/>
              <w:jc w:val="center"/>
              <w:rPr>
                <w:b/>
                <w:bCs/>
                <w:color w:val="000000"/>
                <w:kern w:val="0"/>
                <w:sz w:val="20"/>
              </w:rPr>
            </w:pPr>
            <w:r>
              <w:rPr>
                <w:b/>
                <w:bCs/>
                <w:color w:val="000000"/>
                <w:kern w:val="0"/>
                <w:sz w:val="20"/>
              </w:rPr>
              <w:t>有效样点数</w:t>
            </w:r>
          </w:p>
        </w:tc>
        <w:tc>
          <w:tcPr>
            <w:tcW w:w="2258" w:type="dxa"/>
            <w:vAlign w:val="center"/>
          </w:tcPr>
          <w:p>
            <w:pPr>
              <w:widowControl/>
              <w:jc w:val="center"/>
              <w:rPr>
                <w:b/>
                <w:bCs/>
                <w:color w:val="000000"/>
                <w:kern w:val="0"/>
                <w:sz w:val="20"/>
              </w:rPr>
            </w:pPr>
            <w:r>
              <w:rPr>
                <w:b/>
                <w:bCs/>
                <w:color w:val="000000"/>
                <w:kern w:val="0"/>
                <w:sz w:val="20"/>
              </w:rPr>
              <w:t>均质区域地价</w:t>
            </w:r>
          </w:p>
        </w:tc>
        <w:tc>
          <w:tcPr>
            <w:tcW w:w="1620" w:type="dxa"/>
            <w:vAlign w:val="center"/>
          </w:tcPr>
          <w:p>
            <w:pPr>
              <w:widowControl/>
              <w:jc w:val="center"/>
              <w:rPr>
                <w:b/>
                <w:bCs/>
                <w:color w:val="000000"/>
                <w:kern w:val="0"/>
                <w:sz w:val="20"/>
              </w:rPr>
            </w:pPr>
            <w:r>
              <w:rPr>
                <w:b/>
                <w:bCs/>
                <w:color w:val="000000"/>
                <w:kern w:val="0"/>
                <w:sz w:val="20"/>
              </w:rPr>
              <w:t>作用分值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1622" w:type="dxa"/>
            <w:vAlign w:val="center"/>
          </w:tcPr>
          <w:p>
            <w:pPr>
              <w:widowControl/>
              <w:spacing w:line="320" w:lineRule="exact"/>
              <w:jc w:val="center"/>
              <w:textAlignment w:val="center"/>
              <w:rPr>
                <w:color w:val="000000"/>
                <w:kern w:val="0"/>
                <w:sz w:val="22"/>
                <w:szCs w:val="22"/>
              </w:rPr>
            </w:pPr>
            <w:r>
              <w:rPr>
                <w:color w:val="000000"/>
                <w:kern w:val="0"/>
                <w:sz w:val="22"/>
                <w:szCs w:val="22"/>
                <w:lang/>
              </w:rPr>
              <w:t>J018</w:t>
            </w:r>
          </w:p>
        </w:tc>
        <w:tc>
          <w:tcPr>
            <w:tcW w:w="1622"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一级</w:t>
            </w:r>
          </w:p>
        </w:tc>
        <w:tc>
          <w:tcPr>
            <w:tcW w:w="1939" w:type="dxa"/>
            <w:vAlign w:val="bottom"/>
          </w:tcPr>
          <w:p>
            <w:pPr>
              <w:widowControl/>
              <w:spacing w:line="320" w:lineRule="exact"/>
              <w:jc w:val="center"/>
              <w:textAlignment w:val="bottom"/>
              <w:rPr>
                <w:color w:val="000000"/>
                <w:kern w:val="0"/>
                <w:sz w:val="22"/>
                <w:szCs w:val="22"/>
              </w:rPr>
            </w:pPr>
            <w:r>
              <w:rPr>
                <w:color w:val="000000"/>
                <w:kern w:val="0"/>
                <w:sz w:val="20"/>
                <w:lang/>
              </w:rPr>
              <w:t>12</w:t>
            </w:r>
          </w:p>
        </w:tc>
        <w:tc>
          <w:tcPr>
            <w:tcW w:w="2258" w:type="dxa"/>
            <w:vAlign w:val="bottom"/>
          </w:tcPr>
          <w:p>
            <w:pPr>
              <w:widowControl/>
              <w:spacing w:line="320" w:lineRule="exact"/>
              <w:jc w:val="center"/>
              <w:textAlignment w:val="bottom"/>
              <w:rPr>
                <w:color w:val="000000"/>
                <w:kern w:val="0"/>
                <w:sz w:val="22"/>
                <w:szCs w:val="22"/>
              </w:rPr>
            </w:pPr>
            <w:r>
              <w:rPr>
                <w:rFonts w:eastAsia="Tahoma"/>
                <w:color w:val="000000"/>
                <w:kern w:val="0"/>
                <w:sz w:val="22"/>
                <w:szCs w:val="22"/>
                <w:lang/>
              </w:rPr>
              <w:t>4180</w:t>
            </w:r>
          </w:p>
        </w:tc>
        <w:tc>
          <w:tcPr>
            <w:tcW w:w="1620" w:type="dxa"/>
            <w:vAlign w:val="center"/>
          </w:tcPr>
          <w:p>
            <w:pPr>
              <w:widowControl/>
              <w:jc w:val="center"/>
              <w:textAlignment w:val="center"/>
              <w:rPr>
                <w:color w:val="000000"/>
                <w:kern w:val="0"/>
                <w:sz w:val="22"/>
                <w:szCs w:val="22"/>
              </w:rPr>
            </w:pPr>
            <w:r>
              <w:rPr>
                <w:rFonts w:hint="eastAsia"/>
                <w:color w:val="000000"/>
                <w:kern w:val="0"/>
                <w:sz w:val="22"/>
                <w:szCs w:val="22"/>
                <w:lang/>
              </w:rPr>
              <w:t>70.02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rPr>
            </w:pPr>
            <w:r>
              <w:rPr>
                <w:color w:val="000000"/>
                <w:kern w:val="0"/>
                <w:sz w:val="22"/>
                <w:szCs w:val="22"/>
                <w:lang/>
              </w:rPr>
              <w:t>J012</w:t>
            </w:r>
          </w:p>
        </w:tc>
        <w:tc>
          <w:tcPr>
            <w:tcW w:w="1622"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一级</w:t>
            </w:r>
          </w:p>
        </w:tc>
        <w:tc>
          <w:tcPr>
            <w:tcW w:w="1939" w:type="dxa"/>
            <w:vAlign w:val="bottom"/>
          </w:tcPr>
          <w:p>
            <w:pPr>
              <w:widowControl/>
              <w:spacing w:line="320" w:lineRule="exact"/>
              <w:jc w:val="center"/>
              <w:textAlignment w:val="bottom"/>
              <w:rPr>
                <w:color w:val="000000"/>
                <w:kern w:val="0"/>
                <w:sz w:val="22"/>
                <w:szCs w:val="22"/>
              </w:rPr>
            </w:pPr>
            <w:r>
              <w:rPr>
                <w:color w:val="000000"/>
                <w:kern w:val="0"/>
                <w:sz w:val="20"/>
                <w:lang/>
              </w:rPr>
              <w:t>10</w:t>
            </w:r>
          </w:p>
        </w:tc>
        <w:tc>
          <w:tcPr>
            <w:tcW w:w="2258" w:type="dxa"/>
            <w:vAlign w:val="bottom"/>
          </w:tcPr>
          <w:p>
            <w:pPr>
              <w:widowControl/>
              <w:spacing w:line="320" w:lineRule="exact"/>
              <w:jc w:val="center"/>
              <w:textAlignment w:val="bottom"/>
              <w:rPr>
                <w:color w:val="000000"/>
                <w:kern w:val="0"/>
                <w:sz w:val="22"/>
                <w:szCs w:val="22"/>
              </w:rPr>
            </w:pPr>
            <w:r>
              <w:rPr>
                <w:rFonts w:eastAsia="Tahoma"/>
                <w:color w:val="000000"/>
                <w:kern w:val="0"/>
                <w:sz w:val="22"/>
                <w:szCs w:val="22"/>
                <w:lang/>
              </w:rPr>
              <w:t>3920</w:t>
            </w:r>
          </w:p>
        </w:tc>
        <w:tc>
          <w:tcPr>
            <w:tcW w:w="1620" w:type="dxa"/>
            <w:vAlign w:val="center"/>
          </w:tcPr>
          <w:p>
            <w:pPr>
              <w:widowControl/>
              <w:jc w:val="center"/>
              <w:textAlignment w:val="center"/>
              <w:rPr>
                <w:color w:val="000000"/>
                <w:kern w:val="0"/>
                <w:sz w:val="22"/>
                <w:szCs w:val="22"/>
              </w:rPr>
            </w:pPr>
            <w:r>
              <w:rPr>
                <w:rFonts w:hint="eastAsia"/>
                <w:color w:val="000000"/>
                <w:kern w:val="0"/>
                <w:sz w:val="22"/>
                <w:szCs w:val="22"/>
                <w:lang/>
              </w:rPr>
              <w:t>69.85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rPr>
            </w:pPr>
            <w:r>
              <w:rPr>
                <w:color w:val="000000"/>
                <w:kern w:val="0"/>
                <w:sz w:val="22"/>
                <w:szCs w:val="22"/>
                <w:lang/>
              </w:rPr>
              <w:t>J013</w:t>
            </w:r>
          </w:p>
        </w:tc>
        <w:tc>
          <w:tcPr>
            <w:tcW w:w="1622"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一级</w:t>
            </w:r>
          </w:p>
        </w:tc>
        <w:tc>
          <w:tcPr>
            <w:tcW w:w="1939"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16</w:t>
            </w:r>
          </w:p>
        </w:tc>
        <w:tc>
          <w:tcPr>
            <w:tcW w:w="2258" w:type="dxa"/>
            <w:vAlign w:val="bottom"/>
          </w:tcPr>
          <w:p>
            <w:pPr>
              <w:widowControl/>
              <w:spacing w:line="320" w:lineRule="exact"/>
              <w:jc w:val="center"/>
              <w:textAlignment w:val="bottom"/>
              <w:rPr>
                <w:color w:val="000000"/>
                <w:kern w:val="0"/>
                <w:sz w:val="22"/>
                <w:szCs w:val="22"/>
              </w:rPr>
            </w:pPr>
            <w:r>
              <w:rPr>
                <w:rFonts w:eastAsia="Tahoma"/>
                <w:color w:val="000000"/>
                <w:kern w:val="0"/>
                <w:sz w:val="22"/>
                <w:szCs w:val="22"/>
                <w:lang/>
              </w:rPr>
              <w:t>3630</w:t>
            </w:r>
          </w:p>
        </w:tc>
        <w:tc>
          <w:tcPr>
            <w:tcW w:w="1620" w:type="dxa"/>
            <w:vAlign w:val="center"/>
          </w:tcPr>
          <w:p>
            <w:pPr>
              <w:widowControl/>
              <w:jc w:val="center"/>
              <w:textAlignment w:val="center"/>
              <w:rPr>
                <w:color w:val="000000"/>
                <w:kern w:val="0"/>
                <w:sz w:val="22"/>
                <w:szCs w:val="22"/>
              </w:rPr>
            </w:pPr>
            <w:r>
              <w:rPr>
                <w:color w:val="000000"/>
                <w:kern w:val="0"/>
                <w:sz w:val="22"/>
                <w:szCs w:val="22"/>
                <w:lang/>
              </w:rPr>
              <w:t>6</w:t>
            </w:r>
            <w:r>
              <w:rPr>
                <w:rFonts w:hint="eastAsia"/>
                <w:color w:val="000000"/>
                <w:kern w:val="0"/>
                <w:sz w:val="22"/>
                <w:szCs w:val="22"/>
                <w:lang/>
              </w:rPr>
              <w:t>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rPr>
            </w:pPr>
            <w:r>
              <w:rPr>
                <w:color w:val="000000"/>
                <w:kern w:val="0"/>
                <w:sz w:val="22"/>
                <w:szCs w:val="22"/>
                <w:lang/>
              </w:rPr>
              <w:t>J014</w:t>
            </w:r>
          </w:p>
        </w:tc>
        <w:tc>
          <w:tcPr>
            <w:tcW w:w="1622"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一级</w:t>
            </w:r>
          </w:p>
        </w:tc>
        <w:tc>
          <w:tcPr>
            <w:tcW w:w="1939"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14</w:t>
            </w:r>
          </w:p>
        </w:tc>
        <w:tc>
          <w:tcPr>
            <w:tcW w:w="2258" w:type="dxa"/>
            <w:vAlign w:val="bottom"/>
          </w:tcPr>
          <w:p>
            <w:pPr>
              <w:widowControl/>
              <w:spacing w:line="320" w:lineRule="exact"/>
              <w:jc w:val="center"/>
              <w:textAlignment w:val="bottom"/>
              <w:rPr>
                <w:color w:val="000000"/>
                <w:kern w:val="0"/>
                <w:sz w:val="22"/>
                <w:szCs w:val="22"/>
              </w:rPr>
            </w:pPr>
            <w:r>
              <w:rPr>
                <w:rFonts w:eastAsia="Tahoma"/>
                <w:color w:val="000000"/>
                <w:kern w:val="0"/>
                <w:sz w:val="22"/>
                <w:szCs w:val="22"/>
                <w:lang/>
              </w:rPr>
              <w:t>3460</w:t>
            </w:r>
          </w:p>
        </w:tc>
        <w:tc>
          <w:tcPr>
            <w:tcW w:w="1620" w:type="dxa"/>
            <w:vAlign w:val="center"/>
          </w:tcPr>
          <w:p>
            <w:pPr>
              <w:widowControl/>
              <w:jc w:val="center"/>
              <w:textAlignment w:val="center"/>
              <w:rPr>
                <w:color w:val="000000"/>
                <w:kern w:val="0"/>
                <w:sz w:val="22"/>
                <w:szCs w:val="22"/>
              </w:rPr>
            </w:pPr>
            <w:r>
              <w:rPr>
                <w:rFonts w:hint="eastAsia"/>
                <w:color w:val="000000"/>
                <w:kern w:val="0"/>
                <w:sz w:val="22"/>
                <w:szCs w:val="22"/>
                <w:lang/>
              </w:rPr>
              <w:t>65.49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rPr>
            </w:pPr>
            <w:r>
              <w:rPr>
                <w:color w:val="000000"/>
                <w:kern w:val="0"/>
                <w:sz w:val="22"/>
                <w:szCs w:val="22"/>
                <w:lang/>
              </w:rPr>
              <w:t>J019</w:t>
            </w:r>
          </w:p>
        </w:tc>
        <w:tc>
          <w:tcPr>
            <w:tcW w:w="1622"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一级</w:t>
            </w:r>
          </w:p>
        </w:tc>
        <w:tc>
          <w:tcPr>
            <w:tcW w:w="1939"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15</w:t>
            </w:r>
          </w:p>
        </w:tc>
        <w:tc>
          <w:tcPr>
            <w:tcW w:w="2258" w:type="dxa"/>
            <w:vAlign w:val="bottom"/>
          </w:tcPr>
          <w:p>
            <w:pPr>
              <w:widowControl/>
              <w:spacing w:line="320" w:lineRule="exact"/>
              <w:jc w:val="center"/>
              <w:textAlignment w:val="bottom"/>
              <w:rPr>
                <w:color w:val="000000"/>
                <w:kern w:val="0"/>
                <w:sz w:val="22"/>
                <w:szCs w:val="22"/>
              </w:rPr>
            </w:pPr>
            <w:r>
              <w:rPr>
                <w:rFonts w:eastAsia="Tahoma"/>
                <w:color w:val="000000"/>
                <w:kern w:val="0"/>
                <w:sz w:val="22"/>
                <w:szCs w:val="22"/>
                <w:lang/>
              </w:rPr>
              <w:t>3240</w:t>
            </w:r>
          </w:p>
        </w:tc>
        <w:tc>
          <w:tcPr>
            <w:tcW w:w="1620" w:type="dxa"/>
            <w:vAlign w:val="center"/>
          </w:tcPr>
          <w:p>
            <w:pPr>
              <w:widowControl/>
              <w:jc w:val="center"/>
              <w:textAlignment w:val="center"/>
              <w:rPr>
                <w:color w:val="000000"/>
                <w:kern w:val="0"/>
                <w:sz w:val="22"/>
                <w:szCs w:val="22"/>
              </w:rPr>
            </w:pPr>
            <w:r>
              <w:rPr>
                <w:rFonts w:hint="eastAsia"/>
                <w:color w:val="000000"/>
                <w:kern w:val="0"/>
                <w:sz w:val="22"/>
                <w:szCs w:val="22"/>
                <w:lang/>
              </w:rPr>
              <w:t>62.34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rPr>
            </w:pPr>
            <w:r>
              <w:rPr>
                <w:color w:val="000000"/>
                <w:kern w:val="0"/>
                <w:sz w:val="22"/>
                <w:szCs w:val="22"/>
                <w:lang/>
              </w:rPr>
              <w:t>J011</w:t>
            </w:r>
          </w:p>
        </w:tc>
        <w:tc>
          <w:tcPr>
            <w:tcW w:w="1622"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二级</w:t>
            </w:r>
          </w:p>
        </w:tc>
        <w:tc>
          <w:tcPr>
            <w:tcW w:w="1939"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12</w:t>
            </w:r>
          </w:p>
        </w:tc>
        <w:tc>
          <w:tcPr>
            <w:tcW w:w="2258" w:type="dxa"/>
            <w:vAlign w:val="bottom"/>
          </w:tcPr>
          <w:p>
            <w:pPr>
              <w:widowControl/>
              <w:spacing w:line="320" w:lineRule="exact"/>
              <w:jc w:val="center"/>
              <w:textAlignment w:val="bottom"/>
              <w:rPr>
                <w:color w:val="000000"/>
                <w:kern w:val="0"/>
                <w:sz w:val="22"/>
                <w:szCs w:val="22"/>
              </w:rPr>
            </w:pPr>
            <w:r>
              <w:rPr>
                <w:rFonts w:eastAsia="Tahoma"/>
                <w:color w:val="000000"/>
                <w:kern w:val="0"/>
                <w:sz w:val="22"/>
                <w:szCs w:val="22"/>
                <w:lang/>
              </w:rPr>
              <w:t>3050</w:t>
            </w:r>
          </w:p>
        </w:tc>
        <w:tc>
          <w:tcPr>
            <w:tcW w:w="1620" w:type="dxa"/>
            <w:vAlign w:val="center"/>
          </w:tcPr>
          <w:p>
            <w:pPr>
              <w:widowControl/>
              <w:jc w:val="center"/>
              <w:textAlignment w:val="center"/>
              <w:rPr>
                <w:color w:val="000000"/>
                <w:kern w:val="0"/>
                <w:sz w:val="22"/>
                <w:szCs w:val="22"/>
              </w:rPr>
            </w:pPr>
            <w:r>
              <w:rPr>
                <w:rFonts w:hint="eastAsia"/>
                <w:color w:val="000000"/>
                <w:kern w:val="0"/>
                <w:sz w:val="22"/>
                <w:szCs w:val="22"/>
                <w:lang/>
              </w:rPr>
              <w:t>57.93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rPr>
            </w:pPr>
            <w:r>
              <w:rPr>
                <w:color w:val="000000"/>
                <w:kern w:val="0"/>
                <w:sz w:val="22"/>
                <w:szCs w:val="22"/>
                <w:lang/>
              </w:rPr>
              <w:t>J020</w:t>
            </w:r>
          </w:p>
        </w:tc>
        <w:tc>
          <w:tcPr>
            <w:tcW w:w="1622"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二级</w:t>
            </w:r>
          </w:p>
        </w:tc>
        <w:tc>
          <w:tcPr>
            <w:tcW w:w="1939"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13</w:t>
            </w:r>
          </w:p>
        </w:tc>
        <w:tc>
          <w:tcPr>
            <w:tcW w:w="2258" w:type="dxa"/>
            <w:vAlign w:val="bottom"/>
          </w:tcPr>
          <w:p>
            <w:pPr>
              <w:widowControl/>
              <w:spacing w:line="320" w:lineRule="exact"/>
              <w:jc w:val="center"/>
              <w:textAlignment w:val="bottom"/>
              <w:rPr>
                <w:color w:val="000000"/>
                <w:kern w:val="0"/>
                <w:sz w:val="22"/>
                <w:szCs w:val="22"/>
              </w:rPr>
            </w:pPr>
            <w:r>
              <w:rPr>
                <w:rFonts w:eastAsia="Tahoma"/>
                <w:color w:val="000000"/>
                <w:kern w:val="0"/>
                <w:sz w:val="22"/>
                <w:szCs w:val="22"/>
                <w:lang/>
              </w:rPr>
              <w:t>2810</w:t>
            </w:r>
          </w:p>
        </w:tc>
        <w:tc>
          <w:tcPr>
            <w:tcW w:w="1620" w:type="dxa"/>
            <w:vAlign w:val="center"/>
          </w:tcPr>
          <w:p>
            <w:pPr>
              <w:widowControl/>
              <w:jc w:val="center"/>
              <w:textAlignment w:val="center"/>
              <w:rPr>
                <w:color w:val="000000"/>
                <w:kern w:val="0"/>
                <w:sz w:val="22"/>
                <w:szCs w:val="22"/>
              </w:rPr>
            </w:pPr>
            <w:r>
              <w:rPr>
                <w:rFonts w:hint="eastAsia"/>
                <w:color w:val="000000"/>
                <w:kern w:val="0"/>
                <w:sz w:val="22"/>
                <w:szCs w:val="22"/>
                <w:lang/>
              </w:rPr>
              <w:t>56.34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rPr>
            </w:pPr>
            <w:r>
              <w:rPr>
                <w:color w:val="000000"/>
                <w:kern w:val="0"/>
                <w:sz w:val="22"/>
                <w:szCs w:val="22"/>
                <w:lang/>
              </w:rPr>
              <w:t>J015</w:t>
            </w:r>
          </w:p>
        </w:tc>
        <w:tc>
          <w:tcPr>
            <w:tcW w:w="1622"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二级</w:t>
            </w:r>
          </w:p>
        </w:tc>
        <w:tc>
          <w:tcPr>
            <w:tcW w:w="1939"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12</w:t>
            </w:r>
          </w:p>
        </w:tc>
        <w:tc>
          <w:tcPr>
            <w:tcW w:w="2258" w:type="dxa"/>
            <w:vAlign w:val="bottom"/>
          </w:tcPr>
          <w:p>
            <w:pPr>
              <w:widowControl/>
              <w:spacing w:line="320" w:lineRule="exact"/>
              <w:jc w:val="center"/>
              <w:textAlignment w:val="bottom"/>
              <w:rPr>
                <w:color w:val="000000"/>
                <w:kern w:val="0"/>
                <w:sz w:val="22"/>
                <w:szCs w:val="22"/>
              </w:rPr>
            </w:pPr>
            <w:r>
              <w:rPr>
                <w:rFonts w:eastAsia="Tahoma"/>
                <w:color w:val="000000"/>
                <w:kern w:val="0"/>
                <w:sz w:val="22"/>
                <w:szCs w:val="22"/>
                <w:lang/>
              </w:rPr>
              <w:t>2680</w:t>
            </w:r>
          </w:p>
        </w:tc>
        <w:tc>
          <w:tcPr>
            <w:tcW w:w="1620" w:type="dxa"/>
            <w:vAlign w:val="center"/>
          </w:tcPr>
          <w:p>
            <w:pPr>
              <w:widowControl/>
              <w:jc w:val="center"/>
              <w:textAlignment w:val="center"/>
              <w:rPr>
                <w:color w:val="000000"/>
                <w:kern w:val="0"/>
                <w:sz w:val="22"/>
                <w:szCs w:val="22"/>
              </w:rPr>
            </w:pPr>
            <w:r>
              <w:rPr>
                <w:color w:val="000000"/>
                <w:kern w:val="0"/>
                <w:sz w:val="22"/>
                <w:szCs w:val="22"/>
                <w:lang/>
              </w:rPr>
              <w:t>55.45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rPr>
            </w:pPr>
            <w:r>
              <w:rPr>
                <w:color w:val="000000"/>
                <w:kern w:val="0"/>
                <w:sz w:val="22"/>
                <w:szCs w:val="22"/>
                <w:lang/>
              </w:rPr>
              <w:t>J023</w:t>
            </w:r>
          </w:p>
        </w:tc>
        <w:tc>
          <w:tcPr>
            <w:tcW w:w="1622"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二级</w:t>
            </w:r>
          </w:p>
        </w:tc>
        <w:tc>
          <w:tcPr>
            <w:tcW w:w="1939"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12</w:t>
            </w:r>
          </w:p>
        </w:tc>
        <w:tc>
          <w:tcPr>
            <w:tcW w:w="2258" w:type="dxa"/>
            <w:vAlign w:val="bottom"/>
          </w:tcPr>
          <w:p>
            <w:pPr>
              <w:widowControl/>
              <w:spacing w:line="320" w:lineRule="exact"/>
              <w:jc w:val="center"/>
              <w:textAlignment w:val="bottom"/>
              <w:rPr>
                <w:color w:val="000000"/>
                <w:kern w:val="0"/>
                <w:sz w:val="22"/>
                <w:szCs w:val="22"/>
              </w:rPr>
            </w:pPr>
            <w:r>
              <w:rPr>
                <w:rFonts w:eastAsia="Tahoma"/>
                <w:color w:val="000000"/>
                <w:kern w:val="0"/>
                <w:sz w:val="22"/>
                <w:szCs w:val="22"/>
                <w:lang/>
              </w:rPr>
              <w:t>2620</w:t>
            </w:r>
          </w:p>
        </w:tc>
        <w:tc>
          <w:tcPr>
            <w:tcW w:w="1620" w:type="dxa"/>
            <w:vAlign w:val="center"/>
          </w:tcPr>
          <w:p>
            <w:pPr>
              <w:widowControl/>
              <w:jc w:val="center"/>
              <w:textAlignment w:val="center"/>
              <w:rPr>
                <w:color w:val="000000"/>
                <w:kern w:val="0"/>
                <w:sz w:val="22"/>
                <w:szCs w:val="22"/>
              </w:rPr>
            </w:pPr>
            <w:r>
              <w:rPr>
                <w:rFonts w:hint="eastAsia"/>
                <w:color w:val="000000"/>
                <w:kern w:val="0"/>
                <w:sz w:val="22"/>
                <w:szCs w:val="22"/>
                <w:lang/>
              </w:rPr>
              <w:t>54.08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rPr>
            </w:pPr>
            <w:r>
              <w:rPr>
                <w:color w:val="000000"/>
                <w:kern w:val="0"/>
                <w:sz w:val="22"/>
                <w:szCs w:val="22"/>
                <w:lang/>
              </w:rPr>
              <w:t>J021</w:t>
            </w:r>
          </w:p>
        </w:tc>
        <w:tc>
          <w:tcPr>
            <w:tcW w:w="1622"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二级</w:t>
            </w:r>
          </w:p>
        </w:tc>
        <w:tc>
          <w:tcPr>
            <w:tcW w:w="1939"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11</w:t>
            </w:r>
          </w:p>
        </w:tc>
        <w:tc>
          <w:tcPr>
            <w:tcW w:w="2258" w:type="dxa"/>
            <w:vAlign w:val="bottom"/>
          </w:tcPr>
          <w:p>
            <w:pPr>
              <w:widowControl/>
              <w:spacing w:line="320" w:lineRule="exact"/>
              <w:jc w:val="center"/>
              <w:textAlignment w:val="bottom"/>
              <w:rPr>
                <w:color w:val="000000"/>
                <w:kern w:val="0"/>
                <w:sz w:val="22"/>
                <w:szCs w:val="22"/>
              </w:rPr>
            </w:pPr>
            <w:r>
              <w:rPr>
                <w:rFonts w:eastAsia="Tahoma"/>
                <w:color w:val="000000"/>
                <w:kern w:val="0"/>
                <w:sz w:val="22"/>
                <w:szCs w:val="22"/>
                <w:lang/>
              </w:rPr>
              <w:t>2560</w:t>
            </w:r>
          </w:p>
        </w:tc>
        <w:tc>
          <w:tcPr>
            <w:tcW w:w="1620" w:type="dxa"/>
            <w:vAlign w:val="center"/>
          </w:tcPr>
          <w:p>
            <w:pPr>
              <w:widowControl/>
              <w:jc w:val="center"/>
              <w:textAlignment w:val="center"/>
              <w:rPr>
                <w:color w:val="000000"/>
                <w:kern w:val="0"/>
                <w:sz w:val="22"/>
                <w:szCs w:val="22"/>
              </w:rPr>
            </w:pPr>
            <w:r>
              <w:rPr>
                <w:color w:val="000000"/>
                <w:kern w:val="0"/>
                <w:sz w:val="22"/>
                <w:szCs w:val="22"/>
                <w:lang/>
              </w:rPr>
              <w:t>53.18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rPr>
            </w:pPr>
            <w:r>
              <w:rPr>
                <w:color w:val="000000"/>
                <w:kern w:val="0"/>
                <w:sz w:val="22"/>
                <w:szCs w:val="22"/>
                <w:lang/>
              </w:rPr>
              <w:t>J022</w:t>
            </w:r>
          </w:p>
        </w:tc>
        <w:tc>
          <w:tcPr>
            <w:tcW w:w="1622"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二级</w:t>
            </w:r>
          </w:p>
        </w:tc>
        <w:tc>
          <w:tcPr>
            <w:tcW w:w="1939"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11</w:t>
            </w:r>
          </w:p>
        </w:tc>
        <w:tc>
          <w:tcPr>
            <w:tcW w:w="2258" w:type="dxa"/>
            <w:vAlign w:val="bottom"/>
          </w:tcPr>
          <w:p>
            <w:pPr>
              <w:widowControl/>
              <w:spacing w:line="320" w:lineRule="exact"/>
              <w:jc w:val="center"/>
              <w:textAlignment w:val="bottom"/>
              <w:rPr>
                <w:color w:val="000000"/>
                <w:kern w:val="0"/>
                <w:sz w:val="22"/>
                <w:szCs w:val="22"/>
              </w:rPr>
            </w:pPr>
            <w:r>
              <w:rPr>
                <w:rFonts w:eastAsia="Tahoma"/>
                <w:color w:val="000000"/>
                <w:kern w:val="0"/>
                <w:sz w:val="22"/>
                <w:szCs w:val="22"/>
                <w:lang/>
              </w:rPr>
              <w:t>2490</w:t>
            </w:r>
          </w:p>
        </w:tc>
        <w:tc>
          <w:tcPr>
            <w:tcW w:w="1620" w:type="dxa"/>
            <w:vAlign w:val="center"/>
          </w:tcPr>
          <w:p>
            <w:pPr>
              <w:widowControl/>
              <w:jc w:val="center"/>
              <w:textAlignment w:val="center"/>
              <w:rPr>
                <w:color w:val="000000"/>
                <w:kern w:val="0"/>
                <w:sz w:val="22"/>
                <w:szCs w:val="22"/>
              </w:rPr>
            </w:pPr>
            <w:r>
              <w:rPr>
                <w:color w:val="000000"/>
                <w:kern w:val="0"/>
                <w:sz w:val="22"/>
                <w:szCs w:val="22"/>
                <w:lang/>
              </w:rPr>
              <w:t>51.02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rPr>
            </w:pPr>
            <w:r>
              <w:rPr>
                <w:color w:val="000000"/>
                <w:kern w:val="0"/>
                <w:sz w:val="22"/>
                <w:szCs w:val="22"/>
                <w:lang/>
              </w:rPr>
              <w:t>J025</w:t>
            </w:r>
          </w:p>
        </w:tc>
        <w:tc>
          <w:tcPr>
            <w:tcW w:w="1622"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二级</w:t>
            </w:r>
          </w:p>
        </w:tc>
        <w:tc>
          <w:tcPr>
            <w:tcW w:w="1939"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12</w:t>
            </w:r>
          </w:p>
        </w:tc>
        <w:tc>
          <w:tcPr>
            <w:tcW w:w="2258" w:type="dxa"/>
            <w:vAlign w:val="bottom"/>
          </w:tcPr>
          <w:p>
            <w:pPr>
              <w:widowControl/>
              <w:spacing w:line="320" w:lineRule="exact"/>
              <w:jc w:val="center"/>
              <w:textAlignment w:val="bottom"/>
              <w:rPr>
                <w:color w:val="000000"/>
                <w:kern w:val="0"/>
                <w:sz w:val="22"/>
                <w:szCs w:val="22"/>
              </w:rPr>
            </w:pPr>
            <w:r>
              <w:rPr>
                <w:rFonts w:eastAsia="Tahoma"/>
                <w:color w:val="000000"/>
                <w:kern w:val="0"/>
                <w:sz w:val="22"/>
                <w:szCs w:val="22"/>
                <w:lang/>
              </w:rPr>
              <w:t>2430</w:t>
            </w:r>
          </w:p>
        </w:tc>
        <w:tc>
          <w:tcPr>
            <w:tcW w:w="1620" w:type="dxa"/>
            <w:vAlign w:val="center"/>
          </w:tcPr>
          <w:p>
            <w:pPr>
              <w:widowControl/>
              <w:jc w:val="center"/>
              <w:textAlignment w:val="center"/>
              <w:rPr>
                <w:color w:val="000000"/>
                <w:kern w:val="0"/>
                <w:sz w:val="22"/>
                <w:szCs w:val="22"/>
              </w:rPr>
            </w:pPr>
            <w:r>
              <w:rPr>
                <w:color w:val="000000"/>
                <w:kern w:val="0"/>
                <w:sz w:val="22"/>
                <w:szCs w:val="22"/>
                <w:lang/>
              </w:rPr>
              <w:t>50.36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rPr>
            </w:pPr>
            <w:r>
              <w:rPr>
                <w:color w:val="000000"/>
                <w:kern w:val="0"/>
                <w:sz w:val="22"/>
                <w:szCs w:val="22"/>
                <w:lang/>
              </w:rPr>
              <w:t>J026</w:t>
            </w:r>
          </w:p>
        </w:tc>
        <w:tc>
          <w:tcPr>
            <w:tcW w:w="1622" w:type="dxa"/>
            <w:vAlign w:val="bottom"/>
          </w:tcPr>
          <w:p>
            <w:pPr>
              <w:widowControl/>
              <w:spacing w:line="320" w:lineRule="exact"/>
              <w:jc w:val="center"/>
              <w:textAlignment w:val="bottom"/>
              <w:rPr>
                <w:color w:val="000000"/>
                <w:kern w:val="0"/>
                <w:sz w:val="22"/>
                <w:szCs w:val="22"/>
              </w:rPr>
            </w:pPr>
            <w:r>
              <w:rPr>
                <w:rFonts w:eastAsia="Tahoma"/>
                <w:color w:val="000000"/>
                <w:kern w:val="0"/>
                <w:sz w:val="20"/>
                <w:lang/>
              </w:rPr>
              <w:t>二级</w:t>
            </w:r>
          </w:p>
        </w:tc>
        <w:tc>
          <w:tcPr>
            <w:tcW w:w="1939" w:type="dxa"/>
            <w:vAlign w:val="bottom"/>
          </w:tcPr>
          <w:p>
            <w:pPr>
              <w:widowControl/>
              <w:spacing w:line="320" w:lineRule="exact"/>
              <w:jc w:val="center"/>
              <w:textAlignment w:val="bottom"/>
              <w:rPr>
                <w:color w:val="000000"/>
                <w:kern w:val="0"/>
                <w:sz w:val="22"/>
                <w:szCs w:val="22"/>
              </w:rPr>
            </w:pPr>
            <w:r>
              <w:rPr>
                <w:color w:val="000000"/>
                <w:kern w:val="0"/>
                <w:sz w:val="20"/>
                <w:lang/>
              </w:rPr>
              <w:t>11</w:t>
            </w:r>
          </w:p>
        </w:tc>
        <w:tc>
          <w:tcPr>
            <w:tcW w:w="2258" w:type="dxa"/>
            <w:vAlign w:val="bottom"/>
          </w:tcPr>
          <w:p>
            <w:pPr>
              <w:widowControl/>
              <w:spacing w:line="320" w:lineRule="exact"/>
              <w:jc w:val="center"/>
              <w:textAlignment w:val="bottom"/>
              <w:rPr>
                <w:color w:val="000000"/>
                <w:kern w:val="0"/>
                <w:sz w:val="22"/>
                <w:szCs w:val="22"/>
              </w:rPr>
            </w:pPr>
            <w:r>
              <w:rPr>
                <w:rFonts w:eastAsia="Tahoma"/>
                <w:color w:val="000000"/>
                <w:kern w:val="0"/>
                <w:sz w:val="22"/>
                <w:szCs w:val="22"/>
                <w:lang/>
              </w:rPr>
              <w:t>2380</w:t>
            </w:r>
          </w:p>
        </w:tc>
        <w:tc>
          <w:tcPr>
            <w:tcW w:w="1620" w:type="dxa"/>
            <w:vAlign w:val="center"/>
          </w:tcPr>
          <w:p>
            <w:pPr>
              <w:widowControl/>
              <w:jc w:val="center"/>
              <w:textAlignment w:val="center"/>
              <w:rPr>
                <w:color w:val="000000"/>
                <w:kern w:val="0"/>
                <w:sz w:val="22"/>
                <w:szCs w:val="22"/>
              </w:rPr>
            </w:pPr>
            <w:r>
              <w:rPr>
                <w:rFonts w:hint="eastAsia"/>
                <w:color w:val="000000"/>
                <w:kern w:val="0"/>
                <w:sz w:val="22"/>
                <w:szCs w:val="22"/>
                <w:lang/>
              </w:rPr>
              <w:t>49</w:t>
            </w:r>
            <w:r>
              <w:rPr>
                <w:color w:val="000000"/>
                <w:kern w:val="0"/>
                <w:sz w:val="22"/>
                <w:szCs w:val="22"/>
                <w:lang/>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J010</w:t>
            </w:r>
          </w:p>
        </w:tc>
        <w:tc>
          <w:tcPr>
            <w:tcW w:w="1622"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二级</w:t>
            </w:r>
          </w:p>
        </w:tc>
        <w:tc>
          <w:tcPr>
            <w:tcW w:w="1939"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13</w:t>
            </w:r>
          </w:p>
        </w:tc>
        <w:tc>
          <w:tcPr>
            <w:tcW w:w="2258"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2330</w:t>
            </w:r>
          </w:p>
        </w:tc>
        <w:tc>
          <w:tcPr>
            <w:tcW w:w="1620" w:type="dxa"/>
            <w:vAlign w:val="center"/>
          </w:tcPr>
          <w:p>
            <w:pPr>
              <w:widowControl/>
              <w:jc w:val="center"/>
              <w:textAlignment w:val="center"/>
              <w:rPr>
                <w:color w:val="000000"/>
                <w:kern w:val="0"/>
                <w:sz w:val="22"/>
                <w:szCs w:val="22"/>
                <w:lang/>
              </w:rPr>
            </w:pPr>
            <w:r>
              <w:rPr>
                <w:color w:val="000000"/>
                <w:kern w:val="0"/>
                <w:sz w:val="22"/>
                <w:szCs w:val="22"/>
                <w:lang/>
              </w:rPr>
              <w:t>48.03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J017</w:t>
            </w:r>
          </w:p>
        </w:tc>
        <w:tc>
          <w:tcPr>
            <w:tcW w:w="1622"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二级</w:t>
            </w:r>
          </w:p>
        </w:tc>
        <w:tc>
          <w:tcPr>
            <w:tcW w:w="1939"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12</w:t>
            </w:r>
          </w:p>
        </w:tc>
        <w:tc>
          <w:tcPr>
            <w:tcW w:w="2258"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2250</w:t>
            </w:r>
          </w:p>
        </w:tc>
        <w:tc>
          <w:tcPr>
            <w:tcW w:w="1620" w:type="dxa"/>
            <w:vAlign w:val="center"/>
          </w:tcPr>
          <w:p>
            <w:pPr>
              <w:widowControl/>
              <w:jc w:val="center"/>
              <w:textAlignment w:val="center"/>
              <w:rPr>
                <w:color w:val="000000"/>
                <w:kern w:val="0"/>
                <w:sz w:val="22"/>
                <w:szCs w:val="22"/>
                <w:lang/>
              </w:rPr>
            </w:pPr>
            <w:r>
              <w:rPr>
                <w:color w:val="000000"/>
                <w:kern w:val="0"/>
                <w:sz w:val="22"/>
                <w:szCs w:val="22"/>
                <w:lang/>
              </w:rPr>
              <w:t>4</w:t>
            </w:r>
            <w:r>
              <w:rPr>
                <w:rFonts w:hint="eastAsia"/>
                <w:color w:val="000000"/>
                <w:kern w:val="0"/>
                <w:sz w:val="22"/>
                <w:szCs w:val="22"/>
                <w:lang/>
              </w:rPr>
              <w:t>7</w:t>
            </w:r>
            <w:r>
              <w:rPr>
                <w:color w:val="000000"/>
                <w:kern w:val="0"/>
                <w:sz w:val="22"/>
                <w:szCs w:val="22"/>
                <w:lang/>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J009</w:t>
            </w:r>
          </w:p>
        </w:tc>
        <w:tc>
          <w:tcPr>
            <w:tcW w:w="1622"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二级</w:t>
            </w:r>
          </w:p>
        </w:tc>
        <w:tc>
          <w:tcPr>
            <w:tcW w:w="1939"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11</w:t>
            </w:r>
          </w:p>
        </w:tc>
        <w:tc>
          <w:tcPr>
            <w:tcW w:w="2258"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2170</w:t>
            </w:r>
          </w:p>
        </w:tc>
        <w:tc>
          <w:tcPr>
            <w:tcW w:w="1620" w:type="dxa"/>
            <w:vAlign w:val="center"/>
          </w:tcPr>
          <w:p>
            <w:pPr>
              <w:widowControl/>
              <w:jc w:val="center"/>
              <w:textAlignment w:val="center"/>
              <w:rPr>
                <w:color w:val="000000"/>
                <w:kern w:val="0"/>
                <w:sz w:val="22"/>
                <w:szCs w:val="22"/>
                <w:lang/>
              </w:rPr>
            </w:pPr>
            <w:r>
              <w:rPr>
                <w:color w:val="000000"/>
                <w:kern w:val="0"/>
                <w:sz w:val="22"/>
                <w:szCs w:val="22"/>
                <w:lang/>
              </w:rPr>
              <w:t>4</w:t>
            </w:r>
            <w:r>
              <w:rPr>
                <w:rFonts w:hint="eastAsia"/>
                <w:color w:val="000000"/>
                <w:kern w:val="0"/>
                <w:sz w:val="22"/>
                <w:szCs w:val="22"/>
                <w:lang/>
              </w:rPr>
              <w:t>7</w:t>
            </w:r>
            <w:r>
              <w:rPr>
                <w:color w:val="000000"/>
                <w:kern w:val="0"/>
                <w:sz w:val="22"/>
                <w:szCs w:val="22"/>
                <w:lang/>
              </w:rPr>
              <w:t>.</w:t>
            </w:r>
            <w:r>
              <w:rPr>
                <w:rFonts w:hint="eastAsia"/>
                <w:color w:val="000000"/>
                <w:kern w:val="0"/>
                <w:sz w:val="22"/>
                <w:szCs w:val="22"/>
                <w:lang/>
              </w:rPr>
              <w:t>0</w:t>
            </w:r>
            <w:r>
              <w:rPr>
                <w:color w:val="000000"/>
                <w:kern w:val="0"/>
                <w:sz w:val="22"/>
                <w:szCs w:val="22"/>
                <w:lang/>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J004</w:t>
            </w:r>
          </w:p>
        </w:tc>
        <w:tc>
          <w:tcPr>
            <w:tcW w:w="1622"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二级</w:t>
            </w:r>
          </w:p>
        </w:tc>
        <w:tc>
          <w:tcPr>
            <w:tcW w:w="1939"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10</w:t>
            </w:r>
          </w:p>
        </w:tc>
        <w:tc>
          <w:tcPr>
            <w:tcW w:w="2258"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2150</w:t>
            </w:r>
          </w:p>
        </w:tc>
        <w:tc>
          <w:tcPr>
            <w:tcW w:w="1620" w:type="dxa"/>
            <w:vAlign w:val="center"/>
          </w:tcPr>
          <w:p>
            <w:pPr>
              <w:widowControl/>
              <w:jc w:val="center"/>
              <w:textAlignment w:val="center"/>
              <w:rPr>
                <w:color w:val="000000"/>
                <w:kern w:val="0"/>
                <w:sz w:val="22"/>
                <w:szCs w:val="22"/>
                <w:lang/>
              </w:rPr>
            </w:pPr>
            <w:r>
              <w:rPr>
                <w:color w:val="000000"/>
                <w:kern w:val="0"/>
                <w:sz w:val="22"/>
                <w:szCs w:val="22"/>
                <w:lang/>
              </w:rPr>
              <w:t>46.61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J005</w:t>
            </w:r>
          </w:p>
        </w:tc>
        <w:tc>
          <w:tcPr>
            <w:tcW w:w="1622"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二级</w:t>
            </w:r>
          </w:p>
        </w:tc>
        <w:tc>
          <w:tcPr>
            <w:tcW w:w="1939" w:type="dxa"/>
            <w:vAlign w:val="center"/>
          </w:tcPr>
          <w:p>
            <w:pPr>
              <w:widowControl/>
              <w:spacing w:line="320" w:lineRule="exact"/>
              <w:jc w:val="center"/>
              <w:textAlignment w:val="center"/>
              <w:rPr>
                <w:color w:val="000000"/>
                <w:kern w:val="0"/>
                <w:sz w:val="22"/>
                <w:szCs w:val="22"/>
                <w:lang/>
              </w:rPr>
            </w:pPr>
            <w:r>
              <w:rPr>
                <w:rFonts w:hint="eastAsia"/>
                <w:color w:val="000000"/>
                <w:kern w:val="0"/>
                <w:sz w:val="22"/>
                <w:szCs w:val="22"/>
                <w:lang/>
              </w:rPr>
              <w:t>10</w:t>
            </w:r>
          </w:p>
        </w:tc>
        <w:tc>
          <w:tcPr>
            <w:tcW w:w="2258"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2100</w:t>
            </w:r>
          </w:p>
        </w:tc>
        <w:tc>
          <w:tcPr>
            <w:tcW w:w="1620" w:type="dxa"/>
            <w:vAlign w:val="center"/>
          </w:tcPr>
          <w:p>
            <w:pPr>
              <w:widowControl/>
              <w:jc w:val="center"/>
              <w:textAlignment w:val="center"/>
              <w:rPr>
                <w:color w:val="000000"/>
                <w:kern w:val="0"/>
                <w:sz w:val="22"/>
                <w:szCs w:val="22"/>
                <w:lang/>
              </w:rPr>
            </w:pPr>
            <w:r>
              <w:rPr>
                <w:color w:val="000000"/>
                <w:kern w:val="0"/>
                <w:sz w:val="22"/>
                <w:szCs w:val="22"/>
                <w:lang/>
              </w:rPr>
              <w:t>4</w:t>
            </w:r>
            <w:r>
              <w:rPr>
                <w:rFonts w:hint="eastAsia"/>
                <w:color w:val="000000"/>
                <w:kern w:val="0"/>
                <w:sz w:val="22"/>
                <w:szCs w:val="22"/>
                <w:lang/>
              </w:rPr>
              <w:t>6</w:t>
            </w:r>
            <w:r>
              <w:rPr>
                <w:color w:val="000000"/>
                <w:kern w:val="0"/>
                <w:sz w:val="22"/>
                <w:szCs w:val="22"/>
                <w:lang/>
              </w:rPr>
              <w:t>.</w:t>
            </w:r>
            <w:r>
              <w:rPr>
                <w:rFonts w:hint="eastAsia"/>
                <w:color w:val="000000"/>
                <w:kern w:val="0"/>
                <w:sz w:val="22"/>
                <w:szCs w:val="22"/>
                <w:lang/>
              </w:rPr>
              <w:t>0</w:t>
            </w:r>
            <w:r>
              <w:rPr>
                <w:color w:val="000000"/>
                <w:kern w:val="0"/>
                <w:sz w:val="22"/>
                <w:szCs w:val="22"/>
                <w:lang/>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J003</w:t>
            </w:r>
          </w:p>
        </w:tc>
        <w:tc>
          <w:tcPr>
            <w:tcW w:w="1622"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二级</w:t>
            </w:r>
          </w:p>
        </w:tc>
        <w:tc>
          <w:tcPr>
            <w:tcW w:w="1939"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12</w:t>
            </w:r>
          </w:p>
        </w:tc>
        <w:tc>
          <w:tcPr>
            <w:tcW w:w="2258"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2020</w:t>
            </w:r>
          </w:p>
        </w:tc>
        <w:tc>
          <w:tcPr>
            <w:tcW w:w="1620" w:type="dxa"/>
            <w:vAlign w:val="center"/>
          </w:tcPr>
          <w:p>
            <w:pPr>
              <w:widowControl/>
              <w:jc w:val="center"/>
              <w:textAlignment w:val="center"/>
              <w:rPr>
                <w:color w:val="000000"/>
                <w:kern w:val="0"/>
                <w:sz w:val="22"/>
                <w:szCs w:val="22"/>
                <w:lang/>
              </w:rPr>
            </w:pPr>
            <w:r>
              <w:rPr>
                <w:color w:val="000000"/>
                <w:kern w:val="0"/>
                <w:sz w:val="22"/>
                <w:szCs w:val="22"/>
                <w:lang/>
              </w:rPr>
              <w:t>4</w:t>
            </w:r>
            <w:r>
              <w:rPr>
                <w:rFonts w:hint="eastAsia"/>
                <w:color w:val="000000"/>
                <w:kern w:val="0"/>
                <w:sz w:val="22"/>
                <w:szCs w:val="22"/>
                <w:lang/>
              </w:rPr>
              <w:t>5</w:t>
            </w:r>
            <w:r>
              <w:rPr>
                <w:color w:val="000000"/>
                <w:kern w:val="0"/>
                <w:sz w:val="22"/>
                <w:szCs w:val="22"/>
                <w:lang/>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J027</w:t>
            </w:r>
          </w:p>
        </w:tc>
        <w:tc>
          <w:tcPr>
            <w:tcW w:w="1622"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三级</w:t>
            </w:r>
          </w:p>
        </w:tc>
        <w:tc>
          <w:tcPr>
            <w:tcW w:w="1939"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12</w:t>
            </w:r>
          </w:p>
        </w:tc>
        <w:tc>
          <w:tcPr>
            <w:tcW w:w="2258"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1980</w:t>
            </w:r>
          </w:p>
        </w:tc>
        <w:tc>
          <w:tcPr>
            <w:tcW w:w="1620" w:type="dxa"/>
            <w:vAlign w:val="center"/>
          </w:tcPr>
          <w:p>
            <w:pPr>
              <w:widowControl/>
              <w:jc w:val="center"/>
              <w:textAlignment w:val="center"/>
              <w:rPr>
                <w:color w:val="000000"/>
                <w:kern w:val="0"/>
                <w:sz w:val="22"/>
                <w:szCs w:val="22"/>
                <w:lang/>
              </w:rPr>
            </w:pPr>
            <w:r>
              <w:rPr>
                <w:color w:val="000000"/>
                <w:kern w:val="0"/>
                <w:sz w:val="22"/>
                <w:szCs w:val="22"/>
                <w:lang/>
              </w:rPr>
              <w:t>4</w:t>
            </w:r>
            <w:r>
              <w:rPr>
                <w:rFonts w:hint="eastAsia"/>
                <w:color w:val="000000"/>
                <w:kern w:val="0"/>
                <w:sz w:val="22"/>
                <w:szCs w:val="22"/>
                <w:lang/>
              </w:rPr>
              <w:t>5</w:t>
            </w:r>
            <w:r>
              <w:rPr>
                <w:color w:val="000000"/>
                <w:kern w:val="0"/>
                <w:sz w:val="22"/>
                <w:szCs w:val="22"/>
                <w:lang/>
              </w:rPr>
              <w:t>.</w:t>
            </w:r>
            <w:r>
              <w:rPr>
                <w:rFonts w:hint="eastAsia"/>
                <w:color w:val="000000"/>
                <w:kern w:val="0"/>
                <w:sz w:val="22"/>
                <w:szCs w:val="22"/>
                <w:lang/>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J028</w:t>
            </w:r>
          </w:p>
        </w:tc>
        <w:tc>
          <w:tcPr>
            <w:tcW w:w="1622"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三级</w:t>
            </w:r>
          </w:p>
        </w:tc>
        <w:tc>
          <w:tcPr>
            <w:tcW w:w="1939"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12</w:t>
            </w:r>
          </w:p>
        </w:tc>
        <w:tc>
          <w:tcPr>
            <w:tcW w:w="2258"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1930</w:t>
            </w:r>
          </w:p>
        </w:tc>
        <w:tc>
          <w:tcPr>
            <w:tcW w:w="1620" w:type="dxa"/>
            <w:vAlign w:val="center"/>
          </w:tcPr>
          <w:p>
            <w:pPr>
              <w:widowControl/>
              <w:jc w:val="center"/>
              <w:textAlignment w:val="center"/>
              <w:rPr>
                <w:color w:val="000000"/>
                <w:kern w:val="0"/>
                <w:sz w:val="22"/>
                <w:szCs w:val="22"/>
                <w:lang/>
              </w:rPr>
            </w:pPr>
            <w:r>
              <w:rPr>
                <w:rFonts w:hint="eastAsia"/>
                <w:color w:val="000000"/>
                <w:kern w:val="0"/>
                <w:sz w:val="22"/>
                <w:szCs w:val="22"/>
                <w:lang/>
              </w:rPr>
              <w:t>43.07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J029</w:t>
            </w:r>
          </w:p>
        </w:tc>
        <w:tc>
          <w:tcPr>
            <w:tcW w:w="1622"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三级</w:t>
            </w:r>
          </w:p>
        </w:tc>
        <w:tc>
          <w:tcPr>
            <w:tcW w:w="1939" w:type="dxa"/>
            <w:vAlign w:val="center"/>
          </w:tcPr>
          <w:p>
            <w:pPr>
              <w:widowControl/>
              <w:spacing w:line="320" w:lineRule="exact"/>
              <w:jc w:val="center"/>
              <w:textAlignment w:val="center"/>
              <w:rPr>
                <w:color w:val="000000"/>
                <w:kern w:val="0"/>
                <w:sz w:val="22"/>
                <w:szCs w:val="22"/>
                <w:lang/>
              </w:rPr>
            </w:pPr>
            <w:r>
              <w:rPr>
                <w:rFonts w:hint="eastAsia"/>
                <w:color w:val="000000"/>
                <w:kern w:val="0"/>
                <w:sz w:val="22"/>
                <w:szCs w:val="22"/>
                <w:lang/>
              </w:rPr>
              <w:t>12</w:t>
            </w:r>
          </w:p>
        </w:tc>
        <w:tc>
          <w:tcPr>
            <w:tcW w:w="2258"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1890</w:t>
            </w:r>
          </w:p>
        </w:tc>
        <w:tc>
          <w:tcPr>
            <w:tcW w:w="1620" w:type="dxa"/>
            <w:vAlign w:val="center"/>
          </w:tcPr>
          <w:p>
            <w:pPr>
              <w:widowControl/>
              <w:jc w:val="center"/>
              <w:textAlignment w:val="center"/>
              <w:rPr>
                <w:color w:val="000000"/>
                <w:kern w:val="0"/>
                <w:sz w:val="22"/>
                <w:szCs w:val="22"/>
                <w:lang/>
              </w:rPr>
            </w:pPr>
            <w:r>
              <w:rPr>
                <w:rFonts w:hint="eastAsia"/>
                <w:color w:val="000000"/>
                <w:kern w:val="0"/>
                <w:sz w:val="22"/>
                <w:szCs w:val="22"/>
              </w:rPr>
              <w:t>41.78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J032</w:t>
            </w:r>
          </w:p>
        </w:tc>
        <w:tc>
          <w:tcPr>
            <w:tcW w:w="1622"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三级</w:t>
            </w:r>
          </w:p>
        </w:tc>
        <w:tc>
          <w:tcPr>
            <w:tcW w:w="1939" w:type="dxa"/>
            <w:vAlign w:val="center"/>
          </w:tcPr>
          <w:p>
            <w:pPr>
              <w:widowControl/>
              <w:spacing w:line="320" w:lineRule="exact"/>
              <w:jc w:val="center"/>
              <w:textAlignment w:val="center"/>
              <w:rPr>
                <w:color w:val="000000"/>
                <w:kern w:val="0"/>
                <w:sz w:val="22"/>
                <w:szCs w:val="22"/>
                <w:lang/>
              </w:rPr>
            </w:pPr>
            <w:r>
              <w:rPr>
                <w:rFonts w:hint="eastAsia"/>
                <w:color w:val="000000"/>
                <w:kern w:val="0"/>
                <w:sz w:val="22"/>
                <w:szCs w:val="22"/>
                <w:lang/>
              </w:rPr>
              <w:t>11</w:t>
            </w:r>
          </w:p>
        </w:tc>
        <w:tc>
          <w:tcPr>
            <w:tcW w:w="2258"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1840</w:t>
            </w:r>
          </w:p>
        </w:tc>
        <w:tc>
          <w:tcPr>
            <w:tcW w:w="1620" w:type="dxa"/>
            <w:vAlign w:val="center"/>
          </w:tcPr>
          <w:p>
            <w:pPr>
              <w:widowControl/>
              <w:jc w:val="center"/>
              <w:textAlignment w:val="center"/>
              <w:rPr>
                <w:color w:val="000000"/>
                <w:kern w:val="0"/>
                <w:sz w:val="22"/>
                <w:szCs w:val="22"/>
                <w:lang/>
              </w:rPr>
            </w:pPr>
            <w:r>
              <w:rPr>
                <w:color w:val="000000"/>
                <w:kern w:val="0"/>
                <w:sz w:val="22"/>
                <w:szCs w:val="22"/>
                <w:lang/>
              </w:rPr>
              <w:t>3</w:t>
            </w:r>
            <w:r>
              <w:rPr>
                <w:rFonts w:hint="eastAsia"/>
                <w:color w:val="000000"/>
                <w:kern w:val="0"/>
                <w:sz w:val="22"/>
                <w:szCs w:val="22"/>
                <w:lang/>
              </w:rPr>
              <w:t>8</w:t>
            </w:r>
            <w:r>
              <w:rPr>
                <w:color w:val="000000"/>
                <w:kern w:val="0"/>
                <w:sz w:val="22"/>
                <w:szCs w:val="22"/>
                <w:lang/>
              </w:rPr>
              <w:t>.</w:t>
            </w:r>
            <w:r>
              <w:rPr>
                <w:rFonts w:hint="eastAsia"/>
                <w:color w:val="000000"/>
                <w:kern w:val="0"/>
                <w:sz w:val="22"/>
                <w:szCs w:val="22"/>
                <w:lang/>
              </w:rPr>
              <w:t>4</w:t>
            </w:r>
            <w:r>
              <w:rPr>
                <w:color w:val="000000"/>
                <w:kern w:val="0"/>
                <w:sz w:val="22"/>
                <w:szCs w:val="22"/>
                <w:lang/>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J033</w:t>
            </w:r>
          </w:p>
        </w:tc>
        <w:tc>
          <w:tcPr>
            <w:tcW w:w="1622"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三级</w:t>
            </w:r>
          </w:p>
        </w:tc>
        <w:tc>
          <w:tcPr>
            <w:tcW w:w="1939" w:type="dxa"/>
            <w:vAlign w:val="center"/>
          </w:tcPr>
          <w:p>
            <w:pPr>
              <w:widowControl/>
              <w:spacing w:line="320" w:lineRule="exact"/>
              <w:jc w:val="center"/>
              <w:textAlignment w:val="center"/>
              <w:rPr>
                <w:color w:val="000000"/>
                <w:kern w:val="0"/>
                <w:sz w:val="22"/>
                <w:szCs w:val="22"/>
                <w:lang/>
              </w:rPr>
            </w:pPr>
            <w:r>
              <w:rPr>
                <w:rFonts w:hint="eastAsia"/>
                <w:color w:val="000000"/>
                <w:kern w:val="0"/>
                <w:sz w:val="22"/>
                <w:szCs w:val="22"/>
                <w:lang/>
              </w:rPr>
              <w:t>10</w:t>
            </w:r>
          </w:p>
        </w:tc>
        <w:tc>
          <w:tcPr>
            <w:tcW w:w="2258"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1800</w:t>
            </w:r>
          </w:p>
        </w:tc>
        <w:tc>
          <w:tcPr>
            <w:tcW w:w="1620" w:type="dxa"/>
            <w:vAlign w:val="center"/>
          </w:tcPr>
          <w:p>
            <w:pPr>
              <w:widowControl/>
              <w:jc w:val="center"/>
              <w:textAlignment w:val="center"/>
              <w:rPr>
                <w:color w:val="000000"/>
                <w:kern w:val="0"/>
                <w:sz w:val="22"/>
                <w:szCs w:val="22"/>
                <w:lang/>
              </w:rPr>
            </w:pPr>
            <w:r>
              <w:rPr>
                <w:color w:val="000000"/>
                <w:kern w:val="0"/>
                <w:sz w:val="22"/>
                <w:szCs w:val="22"/>
                <w:lang/>
              </w:rPr>
              <w:t>3</w:t>
            </w:r>
            <w:r>
              <w:rPr>
                <w:rFonts w:hint="eastAsia"/>
                <w:color w:val="000000"/>
                <w:kern w:val="0"/>
                <w:sz w:val="22"/>
                <w:szCs w:val="22"/>
                <w:lang/>
              </w:rPr>
              <w:t>6</w:t>
            </w:r>
            <w:r>
              <w:rPr>
                <w:color w:val="000000"/>
                <w:kern w:val="0"/>
                <w:sz w:val="22"/>
                <w:szCs w:val="22"/>
                <w:lang/>
              </w:rPr>
              <w:t>.</w:t>
            </w:r>
            <w:r>
              <w:rPr>
                <w:rFonts w:hint="eastAsia"/>
                <w:color w:val="000000"/>
                <w:kern w:val="0"/>
                <w:sz w:val="22"/>
                <w:szCs w:val="22"/>
                <w:lang/>
              </w:rPr>
              <w:t>7</w:t>
            </w:r>
            <w:r>
              <w:rPr>
                <w:color w:val="000000"/>
                <w:kern w:val="0"/>
                <w:sz w:val="22"/>
                <w:szCs w:val="22"/>
                <w:lang/>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J030</w:t>
            </w:r>
          </w:p>
        </w:tc>
        <w:tc>
          <w:tcPr>
            <w:tcW w:w="1622"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三级</w:t>
            </w:r>
          </w:p>
        </w:tc>
        <w:tc>
          <w:tcPr>
            <w:tcW w:w="1939" w:type="dxa"/>
            <w:vAlign w:val="center"/>
          </w:tcPr>
          <w:p>
            <w:pPr>
              <w:widowControl/>
              <w:spacing w:line="320" w:lineRule="exact"/>
              <w:jc w:val="center"/>
              <w:textAlignment w:val="center"/>
              <w:rPr>
                <w:color w:val="000000"/>
                <w:kern w:val="0"/>
                <w:sz w:val="22"/>
                <w:szCs w:val="22"/>
                <w:lang/>
              </w:rPr>
            </w:pPr>
            <w:r>
              <w:rPr>
                <w:rFonts w:hint="eastAsia"/>
                <w:color w:val="000000"/>
                <w:kern w:val="0"/>
                <w:sz w:val="22"/>
                <w:szCs w:val="22"/>
                <w:lang/>
              </w:rPr>
              <w:t>11</w:t>
            </w:r>
          </w:p>
        </w:tc>
        <w:tc>
          <w:tcPr>
            <w:tcW w:w="2258"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1740</w:t>
            </w:r>
          </w:p>
        </w:tc>
        <w:tc>
          <w:tcPr>
            <w:tcW w:w="1620" w:type="dxa"/>
            <w:vAlign w:val="center"/>
          </w:tcPr>
          <w:p>
            <w:pPr>
              <w:widowControl/>
              <w:jc w:val="center"/>
              <w:textAlignment w:val="center"/>
              <w:rPr>
                <w:color w:val="000000"/>
                <w:kern w:val="0"/>
                <w:sz w:val="22"/>
                <w:szCs w:val="22"/>
                <w:lang/>
              </w:rPr>
            </w:pPr>
            <w:r>
              <w:rPr>
                <w:color w:val="000000"/>
                <w:kern w:val="0"/>
                <w:sz w:val="22"/>
                <w:szCs w:val="22"/>
                <w:lang/>
              </w:rPr>
              <w:t>3</w:t>
            </w:r>
            <w:r>
              <w:rPr>
                <w:rFonts w:hint="eastAsia"/>
                <w:color w:val="000000"/>
                <w:kern w:val="0"/>
                <w:sz w:val="22"/>
                <w:szCs w:val="22"/>
                <w:lang/>
              </w:rPr>
              <w:t>5</w:t>
            </w:r>
            <w:r>
              <w:rPr>
                <w:color w:val="000000"/>
                <w:kern w:val="0"/>
                <w:sz w:val="22"/>
                <w:szCs w:val="22"/>
                <w:lang/>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622" w:type="dxa"/>
            <w:vAlign w:val="center"/>
          </w:tcPr>
          <w:p>
            <w:pPr>
              <w:widowControl/>
              <w:spacing w:line="320" w:lineRule="exact"/>
              <w:jc w:val="center"/>
              <w:textAlignment w:val="center"/>
              <w:rPr>
                <w:color w:val="000000"/>
                <w:kern w:val="0"/>
                <w:sz w:val="22"/>
                <w:szCs w:val="22"/>
                <w:lang/>
              </w:rPr>
            </w:pPr>
            <w:r>
              <w:rPr>
                <w:color w:val="000000"/>
                <w:kern w:val="0"/>
                <w:sz w:val="22"/>
                <w:szCs w:val="22"/>
                <w:lang/>
              </w:rPr>
              <w:t>J034</w:t>
            </w:r>
          </w:p>
        </w:tc>
        <w:tc>
          <w:tcPr>
            <w:tcW w:w="1622"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四级</w:t>
            </w:r>
          </w:p>
        </w:tc>
        <w:tc>
          <w:tcPr>
            <w:tcW w:w="1939" w:type="dxa"/>
            <w:vAlign w:val="center"/>
          </w:tcPr>
          <w:p>
            <w:pPr>
              <w:widowControl/>
              <w:spacing w:line="320" w:lineRule="exact"/>
              <w:jc w:val="center"/>
              <w:textAlignment w:val="center"/>
              <w:rPr>
                <w:color w:val="000000"/>
                <w:kern w:val="0"/>
                <w:sz w:val="22"/>
                <w:szCs w:val="22"/>
                <w:lang/>
              </w:rPr>
            </w:pPr>
            <w:r>
              <w:rPr>
                <w:rFonts w:hint="eastAsia"/>
                <w:color w:val="000000"/>
                <w:kern w:val="0"/>
                <w:sz w:val="22"/>
                <w:szCs w:val="22"/>
                <w:lang/>
              </w:rPr>
              <w:t>12</w:t>
            </w:r>
          </w:p>
        </w:tc>
        <w:tc>
          <w:tcPr>
            <w:tcW w:w="2258" w:type="dxa"/>
            <w:vAlign w:val="bottom"/>
          </w:tcPr>
          <w:p>
            <w:pPr>
              <w:widowControl/>
              <w:spacing w:line="320" w:lineRule="exact"/>
              <w:jc w:val="center"/>
              <w:textAlignment w:val="center"/>
              <w:rPr>
                <w:color w:val="000000"/>
                <w:kern w:val="0"/>
                <w:sz w:val="22"/>
                <w:szCs w:val="22"/>
                <w:lang/>
              </w:rPr>
            </w:pPr>
            <w:r>
              <w:rPr>
                <w:color w:val="000000"/>
                <w:kern w:val="0"/>
                <w:sz w:val="22"/>
                <w:szCs w:val="22"/>
                <w:lang/>
              </w:rPr>
              <w:t>1510</w:t>
            </w:r>
          </w:p>
        </w:tc>
        <w:tc>
          <w:tcPr>
            <w:tcW w:w="1620" w:type="dxa"/>
            <w:vAlign w:val="center"/>
          </w:tcPr>
          <w:p>
            <w:pPr>
              <w:widowControl/>
              <w:jc w:val="center"/>
              <w:textAlignment w:val="center"/>
              <w:rPr>
                <w:rFonts w:hint="eastAsia" w:eastAsia="宋体"/>
                <w:color w:val="000000"/>
                <w:kern w:val="0"/>
                <w:sz w:val="22"/>
                <w:szCs w:val="22"/>
                <w:lang w:val="en-US" w:eastAsia="zh-CN"/>
              </w:rPr>
            </w:pPr>
            <w:r>
              <w:rPr>
                <w:rFonts w:hint="eastAsia"/>
                <w:color w:val="000000"/>
                <w:kern w:val="0"/>
                <w:sz w:val="22"/>
                <w:szCs w:val="22"/>
                <w:lang w:val="en-US" w:eastAsia="zh-CN"/>
              </w:rPr>
              <w:t>27.12</w:t>
            </w:r>
          </w:p>
        </w:tc>
      </w:tr>
    </w:tbl>
    <w:p>
      <w:pPr>
        <w:spacing w:line="360" w:lineRule="auto"/>
        <w:ind w:firstLine="482" w:firstLineChars="200"/>
        <w:rPr>
          <w:b/>
          <w:sz w:val="24"/>
        </w:rPr>
      </w:pPr>
      <w:r>
        <w:rPr>
          <w:b/>
          <w:sz w:val="24"/>
        </w:rPr>
        <w:t>2、无样点地价区片的平均地价计算</w:t>
      </w:r>
    </w:p>
    <w:p>
      <w:pPr>
        <w:spacing w:line="360" w:lineRule="auto"/>
        <w:ind w:firstLine="480" w:firstLineChars="200"/>
        <w:rPr>
          <w:b/>
          <w:sz w:val="24"/>
        </w:rPr>
      </w:pPr>
      <w:r>
        <w:rPr>
          <w:sz w:val="24"/>
        </w:rPr>
        <w:t>在均值区域划分及其综合分值计算的基础上，分析有样点均值区域与其总分值的关系，建立相应的商服用地地价的数学模型。本次根据均质区域均价与分值的关系，共选取了指数模型、乘幂模型和线性模型，从拟合度参数看，从拟合度参数看，指数模型具有关联度最强的拟合优势，因此最后选定多项式模型（见图3-3-2）。</w:t>
      </w:r>
    </w:p>
    <w:p>
      <w:pPr>
        <w:spacing w:line="360" w:lineRule="auto"/>
        <w:jc w:val="center"/>
        <w:rPr>
          <w:b/>
          <w:sz w:val="24"/>
        </w:rPr>
      </w:pPr>
      <w:r>
        <w:rPr>
          <w:rFonts w:ascii="Times New Roman" w:hAnsi="Times New Roman" w:eastAsia="宋体" w:cs="Times New Roman"/>
          <w:kern w:val="2"/>
          <w:sz w:val="21"/>
          <w:lang w:val="en-US" w:eastAsia="zh-CN" w:bidi="ar-SA"/>
        </w:rPr>
        <w:pict>
          <v:shape id="图表 2" o:spid="_x0000_s1280" type="" style="height:216pt;width:360pt;rotation:0f;" o:ole="f" fillcolor="#FFFFFF" filled="t" o:preferrelative="t" stroked="t" coordorigin="0,0" coordsize="21600,21600">
            <v:stroke color="#000000" color2="#FFFFFF" miterlimit="2"/>
            <v:imagedata gain="65536f" blacklevel="0f" gamma="0"/>
            <o:lock v:ext="edit" position="f" selection="f" grouping="f" rotation="f" cropping="f" text="f" aspectratio="f"/>
            <w10:wrap type="none"/>
            <w10:anchorlock/>
          </v:shape>
        </w:pict>
      </w:r>
    </w:p>
    <w:p>
      <w:pPr>
        <w:spacing w:line="360" w:lineRule="auto"/>
        <w:jc w:val="center"/>
        <w:rPr>
          <w:rFonts w:eastAsia="黑体"/>
          <w:bCs/>
          <w:sz w:val="24"/>
          <w:szCs w:val="24"/>
          <w:lang w:val="zh-CN"/>
        </w:rPr>
      </w:pPr>
      <w:r>
        <w:rPr>
          <w:rFonts w:eastAsia="黑体"/>
          <w:bCs/>
          <w:sz w:val="24"/>
        </w:rPr>
        <w:t>图3-3-2</w:t>
      </w:r>
      <w:r>
        <w:rPr>
          <w:rFonts w:eastAsia="黑体"/>
          <w:bCs/>
          <w:sz w:val="24"/>
          <w:szCs w:val="24"/>
          <w:lang w:val="zh-CN"/>
        </w:rPr>
        <w:t>均质区域分值与均质区域住宅地价拟合图</w:t>
      </w:r>
    </w:p>
    <w:p>
      <w:pPr>
        <w:spacing w:line="440" w:lineRule="exact"/>
        <w:ind w:firstLine="480" w:firstLineChars="200"/>
        <w:rPr>
          <w:sz w:val="24"/>
        </w:rPr>
      </w:pPr>
      <w:r>
        <w:rPr>
          <w:sz w:val="24"/>
        </w:rPr>
        <w:t>通过模型与各均质区域综合分值，反推出无样点均质区域住宅用地的平均地价（见表3-3-4）。</w:t>
      </w:r>
    </w:p>
    <w:p>
      <w:pPr>
        <w:spacing w:line="360" w:lineRule="auto"/>
        <w:jc w:val="center"/>
        <w:rPr>
          <w:b/>
          <w:bCs/>
          <w:sz w:val="24"/>
          <w:szCs w:val="24"/>
        </w:rPr>
      </w:pPr>
      <w:r>
        <w:rPr>
          <w:b/>
          <w:bCs/>
          <w:sz w:val="24"/>
          <w:szCs w:val="24"/>
        </w:rPr>
        <w:t>表3-3-5 住宅用地无样点均质区域地价</w:t>
      </w:r>
    </w:p>
    <w:p>
      <w:pPr>
        <w:ind w:right="779" w:firstLine="480" w:firstLineChars="200"/>
        <w:jc w:val="right"/>
        <w:rPr>
          <w:rFonts w:eastAsia="黑体"/>
          <w:bCs/>
          <w:sz w:val="24"/>
          <w:szCs w:val="24"/>
        </w:rPr>
      </w:pPr>
      <w:r>
        <w:rPr>
          <w:rFonts w:eastAsia="黑体"/>
          <w:bCs/>
          <w:sz w:val="24"/>
          <w:szCs w:val="24"/>
        </w:rPr>
        <w:t>单位：元/平方米</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71"/>
        <w:gridCol w:w="2671"/>
        <w:gridCol w:w="37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b/>
                <w:bCs/>
                <w:color w:val="000000"/>
                <w:kern w:val="0"/>
                <w:sz w:val="20"/>
              </w:rPr>
            </w:pPr>
            <w:bookmarkStart w:id="591" w:name="_Toc467846862"/>
            <w:bookmarkStart w:id="592" w:name="_Toc248306053"/>
            <w:bookmarkStart w:id="593" w:name="_Toc213589815"/>
            <w:bookmarkStart w:id="594" w:name="_Toc248305616"/>
            <w:bookmarkStart w:id="595" w:name="_Toc271529456"/>
            <w:r>
              <w:rPr>
                <w:b/>
                <w:bCs/>
                <w:color w:val="000000"/>
                <w:kern w:val="0"/>
                <w:sz w:val="20"/>
              </w:rPr>
              <w:t>均质区域</w:t>
            </w:r>
          </w:p>
        </w:tc>
        <w:tc>
          <w:tcPr>
            <w:tcW w:w="2671" w:type="dxa"/>
            <w:tcBorders>
              <w:top w:val="single" w:color="auto" w:sz="4" w:space="0"/>
              <w:left w:val="nil"/>
              <w:bottom w:val="single" w:color="auto" w:sz="4" w:space="0"/>
              <w:right w:val="single" w:color="auto" w:sz="4" w:space="0"/>
            </w:tcBorders>
            <w:vAlign w:val="center"/>
          </w:tcPr>
          <w:p>
            <w:pPr>
              <w:widowControl/>
              <w:spacing w:line="360" w:lineRule="exact"/>
              <w:jc w:val="center"/>
              <w:rPr>
                <w:b/>
                <w:bCs/>
                <w:color w:val="000000"/>
                <w:kern w:val="0"/>
                <w:sz w:val="20"/>
              </w:rPr>
            </w:pPr>
            <w:r>
              <w:rPr>
                <w:b/>
                <w:bCs/>
                <w:color w:val="000000"/>
                <w:kern w:val="0"/>
                <w:sz w:val="20"/>
              </w:rPr>
              <w:t>所属级别</w:t>
            </w:r>
          </w:p>
        </w:tc>
        <w:tc>
          <w:tcPr>
            <w:tcW w:w="3719" w:type="dxa"/>
            <w:tcBorders>
              <w:top w:val="single" w:color="auto" w:sz="4" w:space="0"/>
              <w:left w:val="nil"/>
              <w:bottom w:val="single" w:color="auto" w:sz="4" w:space="0"/>
              <w:right w:val="single" w:color="auto" w:sz="4" w:space="0"/>
            </w:tcBorders>
            <w:vAlign w:val="center"/>
          </w:tcPr>
          <w:p>
            <w:pPr>
              <w:widowControl/>
              <w:spacing w:line="360" w:lineRule="exact"/>
              <w:jc w:val="center"/>
              <w:rPr>
                <w:b/>
                <w:bCs/>
                <w:color w:val="000000"/>
                <w:kern w:val="0"/>
                <w:sz w:val="20"/>
              </w:rPr>
            </w:pPr>
            <w:r>
              <w:rPr>
                <w:b/>
                <w:bCs/>
                <w:color w:val="000000"/>
                <w:kern w:val="0"/>
                <w:sz w:val="20"/>
              </w:rPr>
              <w:t>均质区域地价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J024</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二级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2590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J006</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二级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2050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J016</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二级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2010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J008</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三级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1680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J002</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三级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1630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J035</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三级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1570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J036</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四级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1530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J037</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四级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1480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J031</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四级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1440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J001</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四级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J007</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四级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color w:val="000000"/>
                <w:kern w:val="0"/>
                <w:sz w:val="22"/>
                <w:szCs w:val="22"/>
                <w:lang/>
              </w:rPr>
            </w:pPr>
            <w:r>
              <w:rPr>
                <w:color w:val="000000"/>
                <w:kern w:val="0"/>
                <w:sz w:val="22"/>
                <w:szCs w:val="22"/>
                <w:lang/>
              </w:rPr>
              <w:t>1340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kern w:val="0"/>
                <w:sz w:val="20"/>
              </w:rPr>
            </w:pPr>
            <w:r>
              <w:rPr>
                <w:color w:val="000000"/>
                <w:kern w:val="0"/>
                <w:sz w:val="22"/>
                <w:szCs w:val="22"/>
                <w:lang/>
              </w:rPr>
              <w:t>J039</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color w:val="000000"/>
                <w:kern w:val="0"/>
                <w:sz w:val="22"/>
                <w:szCs w:val="22"/>
              </w:rPr>
            </w:pPr>
            <w:r>
              <w:rPr>
                <w:color w:val="000000"/>
                <w:kern w:val="0"/>
                <w:sz w:val="22"/>
                <w:szCs w:val="22"/>
              </w:rPr>
              <w:t>五级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color w:val="000000"/>
                <w:kern w:val="0"/>
                <w:sz w:val="22"/>
                <w:szCs w:val="22"/>
              </w:rPr>
            </w:pPr>
            <w:r>
              <w:rPr>
                <w:color w:val="000000"/>
                <w:kern w:val="0"/>
                <w:sz w:val="22"/>
                <w:szCs w:val="22"/>
              </w:rPr>
              <w:t>1210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kern w:val="0"/>
                <w:sz w:val="20"/>
              </w:rPr>
            </w:pPr>
            <w:r>
              <w:rPr>
                <w:color w:val="000000"/>
                <w:kern w:val="0"/>
                <w:sz w:val="22"/>
                <w:szCs w:val="22"/>
                <w:lang/>
              </w:rPr>
              <w:t>J040</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color w:val="000000"/>
                <w:kern w:val="0"/>
                <w:sz w:val="22"/>
                <w:szCs w:val="22"/>
              </w:rPr>
            </w:pPr>
            <w:r>
              <w:rPr>
                <w:color w:val="000000"/>
                <w:kern w:val="0"/>
                <w:sz w:val="22"/>
                <w:szCs w:val="22"/>
              </w:rPr>
              <w:t>五级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color w:val="000000"/>
                <w:kern w:val="0"/>
                <w:sz w:val="22"/>
                <w:szCs w:val="22"/>
              </w:rPr>
            </w:pPr>
            <w:r>
              <w:rPr>
                <w:rFonts w:hint="eastAsia"/>
                <w:color w:val="000000"/>
                <w:kern w:val="0"/>
                <w:sz w:val="22"/>
                <w:szCs w:val="22"/>
              </w:rPr>
              <w:t>1120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textAlignment w:val="center"/>
              <w:rPr>
                <w:kern w:val="0"/>
                <w:sz w:val="20"/>
              </w:rPr>
            </w:pPr>
            <w:r>
              <w:rPr>
                <w:color w:val="000000"/>
                <w:kern w:val="0"/>
                <w:sz w:val="22"/>
                <w:szCs w:val="22"/>
                <w:lang/>
              </w:rPr>
              <w:t>J038</w:t>
            </w:r>
          </w:p>
        </w:tc>
        <w:tc>
          <w:tcPr>
            <w:tcW w:w="267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color w:val="000000"/>
                <w:kern w:val="0"/>
                <w:sz w:val="22"/>
                <w:szCs w:val="22"/>
              </w:rPr>
            </w:pPr>
            <w:r>
              <w:rPr>
                <w:color w:val="000000"/>
                <w:kern w:val="0"/>
                <w:sz w:val="22"/>
                <w:szCs w:val="22"/>
              </w:rPr>
              <w:t>五级</w:t>
            </w:r>
          </w:p>
        </w:tc>
        <w:tc>
          <w:tcPr>
            <w:tcW w:w="371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color w:val="000000"/>
                <w:kern w:val="0"/>
                <w:sz w:val="22"/>
                <w:szCs w:val="22"/>
              </w:rPr>
            </w:pPr>
            <w:r>
              <w:rPr>
                <w:rFonts w:hint="eastAsia"/>
                <w:color w:val="000000"/>
                <w:kern w:val="0"/>
                <w:sz w:val="22"/>
                <w:szCs w:val="22"/>
              </w:rPr>
              <w:t>9</w:t>
            </w:r>
            <w:r>
              <w:rPr>
                <w:color w:val="000000"/>
                <w:kern w:val="0"/>
                <w:sz w:val="22"/>
                <w:szCs w:val="22"/>
              </w:rPr>
              <w:t>80</w:t>
            </w:r>
          </w:p>
        </w:tc>
      </w:tr>
    </w:tbl>
    <w:p>
      <w:pPr>
        <w:adjustRightInd w:val="0"/>
        <w:snapToGrid w:val="0"/>
        <w:spacing w:beforeLines="50" w:line="360" w:lineRule="auto"/>
        <w:ind w:firstLine="480" w:firstLineChars="200"/>
        <w:rPr>
          <w:sz w:val="24"/>
          <w:szCs w:val="24"/>
          <w:lang w:val="zh-CN"/>
        </w:rPr>
      </w:pPr>
      <w:r>
        <w:rPr>
          <w:sz w:val="24"/>
          <w:szCs w:val="24"/>
          <w:lang w:val="zh-CN"/>
        </w:rPr>
        <w:t>3、住宅用地级别地价的测算</w:t>
      </w:r>
    </w:p>
    <w:p>
      <w:pPr>
        <w:adjustRightInd w:val="0"/>
        <w:snapToGrid w:val="0"/>
        <w:spacing w:line="360" w:lineRule="auto"/>
        <w:ind w:firstLine="480" w:firstLineChars="200"/>
        <w:rPr>
          <w:sz w:val="24"/>
        </w:rPr>
      </w:pPr>
      <w:r>
        <w:rPr>
          <w:sz w:val="24"/>
        </w:rPr>
        <w:t>结合土地定级成果，将同级别内所有均质地域住宅用地均质区域价格求取面积加权值，参照公式</w:t>
      </w:r>
      <w:r>
        <w:rPr>
          <w:rFonts w:hint="eastAsia"/>
          <w:sz w:val="24"/>
          <w:lang w:val="en-US" w:eastAsia="zh-CN"/>
        </w:rPr>
        <w:t>3</w:t>
      </w:r>
      <w:r>
        <w:rPr>
          <w:sz w:val="24"/>
        </w:rPr>
        <w:t>-</w:t>
      </w:r>
      <w:r>
        <w:rPr>
          <w:rFonts w:hint="eastAsia"/>
          <w:sz w:val="24"/>
          <w:lang w:val="en-US" w:eastAsia="zh-CN"/>
        </w:rPr>
        <w:t>3</w:t>
      </w:r>
      <w:r>
        <w:rPr>
          <w:sz w:val="24"/>
        </w:rPr>
        <w:t>-1，得到长沙县住宅用地级别基准地价。</w:t>
      </w:r>
    </w:p>
    <w:p>
      <w:pPr>
        <w:spacing w:line="360" w:lineRule="auto"/>
        <w:jc w:val="center"/>
        <w:rPr>
          <w:b/>
          <w:bCs/>
          <w:sz w:val="24"/>
          <w:szCs w:val="24"/>
        </w:rPr>
      </w:pPr>
      <w:r>
        <w:rPr>
          <w:sz w:val="24"/>
          <w:szCs w:val="24"/>
        </w:rPr>
        <w:br w:type="page"/>
      </w:r>
      <w:r>
        <w:rPr>
          <w:b/>
          <w:bCs/>
          <w:sz w:val="24"/>
          <w:szCs w:val="24"/>
        </w:rPr>
        <w:t>表3-3-6 长沙县</w:t>
      </w:r>
      <w:r>
        <w:rPr>
          <w:rFonts w:hint="eastAsia"/>
          <w:b/>
          <w:bCs/>
          <w:sz w:val="24"/>
          <w:szCs w:val="24"/>
        </w:rPr>
        <w:t>城区</w:t>
      </w:r>
      <w:r>
        <w:rPr>
          <w:b/>
          <w:bCs/>
          <w:sz w:val="24"/>
          <w:szCs w:val="24"/>
        </w:rPr>
        <w:t>住宅用地级别基准地价</w:t>
      </w:r>
    </w:p>
    <w:p>
      <w:pPr>
        <w:adjustRightInd w:val="0"/>
        <w:snapToGrid w:val="0"/>
        <w:ind w:right="539" w:firstLine="420" w:firstLineChars="200"/>
        <w:jc w:val="center"/>
        <w:rPr>
          <w:szCs w:val="21"/>
        </w:rPr>
      </w:pPr>
      <w:r>
        <w:rPr>
          <w:szCs w:val="21"/>
        </w:rPr>
        <w:t>单位：元/平方米</w:t>
      </w:r>
    </w:p>
    <w:tbl>
      <w:tblPr>
        <w:tblW w:w="6687" w:type="dxa"/>
        <w:jc w:val="center"/>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080"/>
        <w:gridCol w:w="1080"/>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87" w:type="dxa"/>
            <w:vAlign w:val="center"/>
          </w:tcPr>
          <w:p>
            <w:pPr>
              <w:widowControl/>
              <w:spacing w:line="400" w:lineRule="exact"/>
              <w:jc w:val="center"/>
              <w:rPr>
                <w:bCs/>
                <w:color w:val="000000"/>
                <w:kern w:val="0"/>
                <w:sz w:val="22"/>
                <w:szCs w:val="22"/>
              </w:rPr>
            </w:pPr>
            <w:r>
              <w:rPr>
                <w:bCs/>
                <w:color w:val="000000"/>
                <w:kern w:val="0"/>
                <w:sz w:val="22"/>
                <w:szCs w:val="22"/>
              </w:rPr>
              <w:t>用地类型</w:t>
            </w:r>
          </w:p>
        </w:tc>
        <w:tc>
          <w:tcPr>
            <w:tcW w:w="1080" w:type="dxa"/>
            <w:vAlign w:val="center"/>
          </w:tcPr>
          <w:p>
            <w:pPr>
              <w:widowControl/>
              <w:spacing w:line="400" w:lineRule="exact"/>
              <w:jc w:val="center"/>
              <w:rPr>
                <w:bCs/>
                <w:color w:val="000000"/>
                <w:kern w:val="0"/>
                <w:sz w:val="22"/>
                <w:szCs w:val="22"/>
              </w:rPr>
            </w:pPr>
            <w:r>
              <w:rPr>
                <w:bCs/>
                <w:color w:val="000000"/>
                <w:kern w:val="0"/>
                <w:sz w:val="22"/>
                <w:szCs w:val="22"/>
              </w:rPr>
              <w:t>Ⅰ</w:t>
            </w:r>
          </w:p>
        </w:tc>
        <w:tc>
          <w:tcPr>
            <w:tcW w:w="1080" w:type="dxa"/>
            <w:vAlign w:val="center"/>
          </w:tcPr>
          <w:p>
            <w:pPr>
              <w:widowControl/>
              <w:spacing w:line="400" w:lineRule="exact"/>
              <w:jc w:val="center"/>
              <w:rPr>
                <w:bCs/>
                <w:color w:val="000000"/>
                <w:kern w:val="0"/>
                <w:sz w:val="22"/>
                <w:szCs w:val="22"/>
              </w:rPr>
            </w:pPr>
            <w:r>
              <w:rPr>
                <w:bCs/>
                <w:color w:val="000000"/>
                <w:kern w:val="0"/>
                <w:sz w:val="22"/>
                <w:szCs w:val="22"/>
              </w:rPr>
              <w:t>Ⅱ</w:t>
            </w:r>
          </w:p>
        </w:tc>
        <w:tc>
          <w:tcPr>
            <w:tcW w:w="1080" w:type="dxa"/>
            <w:vAlign w:val="center"/>
          </w:tcPr>
          <w:p>
            <w:pPr>
              <w:widowControl/>
              <w:spacing w:line="400" w:lineRule="exact"/>
              <w:jc w:val="center"/>
              <w:rPr>
                <w:bCs/>
                <w:color w:val="000000"/>
                <w:kern w:val="0"/>
                <w:sz w:val="22"/>
                <w:szCs w:val="22"/>
              </w:rPr>
            </w:pPr>
            <w:r>
              <w:rPr>
                <w:bCs/>
                <w:color w:val="000000"/>
                <w:kern w:val="0"/>
                <w:sz w:val="22"/>
                <w:szCs w:val="22"/>
              </w:rPr>
              <w:t>Ⅲ</w:t>
            </w:r>
          </w:p>
        </w:tc>
        <w:tc>
          <w:tcPr>
            <w:tcW w:w="1080" w:type="dxa"/>
            <w:vAlign w:val="center"/>
          </w:tcPr>
          <w:p>
            <w:pPr>
              <w:widowControl/>
              <w:spacing w:line="400" w:lineRule="exact"/>
              <w:jc w:val="center"/>
              <w:rPr>
                <w:bCs/>
                <w:color w:val="000000"/>
                <w:kern w:val="0"/>
                <w:sz w:val="22"/>
                <w:szCs w:val="22"/>
              </w:rPr>
            </w:pPr>
            <w:r>
              <w:rPr>
                <w:bCs/>
                <w:color w:val="000000"/>
                <w:kern w:val="0"/>
                <w:sz w:val="22"/>
                <w:szCs w:val="22"/>
              </w:rPr>
              <w:t>Ⅳ</w:t>
            </w:r>
          </w:p>
        </w:tc>
        <w:tc>
          <w:tcPr>
            <w:tcW w:w="1080" w:type="dxa"/>
            <w:vAlign w:val="center"/>
          </w:tcPr>
          <w:p>
            <w:pPr>
              <w:widowControl/>
              <w:spacing w:line="400" w:lineRule="exact"/>
              <w:jc w:val="center"/>
              <w:rPr>
                <w:bCs/>
                <w:color w:val="000000"/>
                <w:kern w:val="0"/>
                <w:sz w:val="22"/>
                <w:szCs w:val="22"/>
              </w:rPr>
            </w:pPr>
            <w:r>
              <w:rPr>
                <w:bCs/>
                <w:color w:val="000000"/>
                <w:kern w:val="0"/>
                <w:sz w:val="22"/>
                <w:szCs w:val="22"/>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87" w:type="dxa"/>
            <w:vAlign w:val="center"/>
          </w:tcPr>
          <w:p>
            <w:pPr>
              <w:widowControl/>
              <w:spacing w:line="400" w:lineRule="exact"/>
              <w:jc w:val="center"/>
              <w:rPr>
                <w:color w:val="000000"/>
                <w:kern w:val="0"/>
                <w:sz w:val="22"/>
                <w:szCs w:val="22"/>
              </w:rPr>
            </w:pPr>
            <w:r>
              <w:rPr>
                <w:color w:val="000000"/>
                <w:kern w:val="0"/>
                <w:sz w:val="22"/>
                <w:szCs w:val="22"/>
              </w:rPr>
              <w:t>住宅用地</w:t>
            </w:r>
          </w:p>
        </w:tc>
        <w:tc>
          <w:tcPr>
            <w:tcW w:w="1080" w:type="dxa"/>
            <w:vAlign w:val="center"/>
          </w:tcPr>
          <w:p>
            <w:pPr>
              <w:widowControl/>
              <w:spacing w:line="400" w:lineRule="exact"/>
              <w:jc w:val="center"/>
              <w:rPr>
                <w:color w:val="000000"/>
                <w:kern w:val="0"/>
                <w:sz w:val="22"/>
                <w:szCs w:val="22"/>
              </w:rPr>
            </w:pPr>
            <w:r>
              <w:rPr>
                <w:color w:val="000000"/>
                <w:kern w:val="0"/>
                <w:sz w:val="22"/>
                <w:szCs w:val="22"/>
              </w:rPr>
              <w:t>3480</w:t>
            </w:r>
          </w:p>
        </w:tc>
        <w:tc>
          <w:tcPr>
            <w:tcW w:w="1080" w:type="dxa"/>
            <w:vAlign w:val="center"/>
          </w:tcPr>
          <w:p>
            <w:pPr>
              <w:widowControl/>
              <w:spacing w:line="400" w:lineRule="exact"/>
              <w:jc w:val="center"/>
              <w:rPr>
                <w:color w:val="000000"/>
                <w:kern w:val="0"/>
                <w:sz w:val="22"/>
                <w:szCs w:val="22"/>
              </w:rPr>
            </w:pPr>
            <w:r>
              <w:rPr>
                <w:color w:val="000000"/>
                <w:kern w:val="0"/>
                <w:sz w:val="22"/>
                <w:szCs w:val="22"/>
              </w:rPr>
              <w:t>2540</w:t>
            </w:r>
          </w:p>
        </w:tc>
        <w:tc>
          <w:tcPr>
            <w:tcW w:w="1080" w:type="dxa"/>
            <w:vAlign w:val="center"/>
          </w:tcPr>
          <w:p>
            <w:pPr>
              <w:widowControl/>
              <w:spacing w:line="400" w:lineRule="exact"/>
              <w:jc w:val="center"/>
              <w:rPr>
                <w:color w:val="000000"/>
                <w:kern w:val="0"/>
                <w:sz w:val="22"/>
                <w:szCs w:val="22"/>
              </w:rPr>
            </w:pPr>
            <w:r>
              <w:rPr>
                <w:color w:val="000000"/>
                <w:kern w:val="0"/>
                <w:sz w:val="22"/>
                <w:szCs w:val="22"/>
              </w:rPr>
              <w:t>1920</w:t>
            </w:r>
          </w:p>
        </w:tc>
        <w:tc>
          <w:tcPr>
            <w:tcW w:w="1080" w:type="dxa"/>
            <w:vAlign w:val="center"/>
          </w:tcPr>
          <w:p>
            <w:pPr>
              <w:widowControl/>
              <w:spacing w:line="400" w:lineRule="exact"/>
              <w:jc w:val="center"/>
              <w:rPr>
                <w:color w:val="000000"/>
                <w:kern w:val="0"/>
                <w:sz w:val="22"/>
                <w:szCs w:val="22"/>
              </w:rPr>
            </w:pPr>
            <w:r>
              <w:rPr>
                <w:color w:val="000000"/>
                <w:kern w:val="0"/>
                <w:sz w:val="22"/>
                <w:szCs w:val="22"/>
              </w:rPr>
              <w:t>1480</w:t>
            </w:r>
          </w:p>
        </w:tc>
        <w:tc>
          <w:tcPr>
            <w:tcW w:w="1080" w:type="dxa"/>
            <w:vAlign w:val="center"/>
          </w:tcPr>
          <w:p>
            <w:pPr>
              <w:widowControl/>
              <w:spacing w:line="400" w:lineRule="exact"/>
              <w:jc w:val="center"/>
              <w:rPr>
                <w:color w:val="000000"/>
                <w:kern w:val="0"/>
                <w:sz w:val="22"/>
                <w:szCs w:val="22"/>
              </w:rPr>
            </w:pPr>
            <w:r>
              <w:rPr>
                <w:color w:val="000000"/>
                <w:kern w:val="0"/>
                <w:sz w:val="22"/>
                <w:szCs w:val="22"/>
              </w:rPr>
              <w:t>1060</w:t>
            </w:r>
          </w:p>
        </w:tc>
      </w:tr>
    </w:tbl>
    <w:p>
      <w:pPr>
        <w:spacing w:line="600" w:lineRule="exact"/>
        <w:ind w:firstLine="560" w:firstLineChars="200"/>
        <w:outlineLvl w:val="2"/>
        <w:rPr>
          <w:rFonts w:hint="eastAsia" w:eastAsia="黑体"/>
          <w:sz w:val="28"/>
          <w:szCs w:val="28"/>
        </w:rPr>
      </w:pPr>
      <w:bookmarkStart w:id="596" w:name="_Toc23253"/>
      <w:r>
        <w:rPr>
          <w:rFonts w:hint="eastAsia" w:eastAsia="黑体"/>
          <w:sz w:val="28"/>
          <w:szCs w:val="28"/>
          <w:lang w:eastAsia="zh-CN"/>
        </w:rPr>
        <w:t>三</w:t>
      </w:r>
      <w:r>
        <w:rPr>
          <w:rFonts w:hint="eastAsia" w:eastAsia="黑体"/>
          <w:sz w:val="28"/>
          <w:szCs w:val="28"/>
        </w:rPr>
        <w:t>、结果整理</w:t>
      </w:r>
      <w:bookmarkEnd w:id="596"/>
    </w:p>
    <w:p>
      <w:pPr>
        <w:adjustRightInd w:val="0"/>
        <w:snapToGrid w:val="0"/>
        <w:spacing w:beforeLines="50" w:line="360" w:lineRule="auto"/>
        <w:ind w:firstLine="482" w:firstLineChars="200"/>
        <w:rPr>
          <w:rFonts w:hint="eastAsia"/>
          <w:b/>
          <w:sz w:val="24"/>
          <w:szCs w:val="24"/>
        </w:rPr>
      </w:pPr>
      <w:r>
        <w:rPr>
          <w:rFonts w:hint="eastAsia"/>
          <w:b/>
          <w:sz w:val="24"/>
          <w:szCs w:val="24"/>
        </w:rPr>
        <w:t>1、</w:t>
      </w:r>
      <w:r>
        <w:rPr>
          <w:b/>
          <w:sz w:val="24"/>
          <w:szCs w:val="24"/>
          <w:lang w:val="zh-CN"/>
        </w:rPr>
        <w:t>长沙县城区商服用地、住宅用地均质区域基准地价结果</w:t>
      </w:r>
    </w:p>
    <w:p>
      <w:pPr>
        <w:adjustRightInd w:val="0"/>
        <w:snapToGrid w:val="0"/>
        <w:spacing w:beforeLines="50" w:line="360" w:lineRule="auto"/>
        <w:ind w:firstLine="480" w:firstLineChars="200"/>
        <w:rPr>
          <w:sz w:val="24"/>
          <w:szCs w:val="24"/>
          <w:lang w:val="zh-CN"/>
        </w:rPr>
      </w:pPr>
      <w:r>
        <w:rPr>
          <w:sz w:val="24"/>
          <w:szCs w:val="24"/>
          <w:lang w:val="zh-CN"/>
        </w:rPr>
        <w:t>通过上述过程，整理得到的长沙县城区商服用地、住宅用地均质区域基准地价结果表见表</w:t>
      </w:r>
      <w:r>
        <w:rPr>
          <w:rFonts w:hint="eastAsia"/>
          <w:sz w:val="24"/>
          <w:szCs w:val="24"/>
          <w:lang w:val="zh-CN"/>
        </w:rPr>
        <w:t>3</w:t>
      </w:r>
      <w:r>
        <w:rPr>
          <w:sz w:val="24"/>
          <w:szCs w:val="24"/>
          <w:lang w:val="zh-CN"/>
        </w:rPr>
        <w:t>-</w:t>
      </w:r>
      <w:r>
        <w:rPr>
          <w:rFonts w:hint="eastAsia"/>
          <w:sz w:val="24"/>
          <w:szCs w:val="24"/>
          <w:lang w:val="zh-CN"/>
        </w:rPr>
        <w:t>3</w:t>
      </w:r>
      <w:r>
        <w:rPr>
          <w:sz w:val="24"/>
          <w:szCs w:val="24"/>
          <w:lang w:val="zh-CN"/>
        </w:rPr>
        <w:t>-7.</w:t>
      </w:r>
    </w:p>
    <w:p>
      <w:pPr>
        <w:spacing w:line="360" w:lineRule="auto"/>
        <w:jc w:val="center"/>
        <w:rPr>
          <w:b/>
          <w:bCs/>
          <w:sz w:val="24"/>
          <w:szCs w:val="24"/>
        </w:rPr>
      </w:pPr>
      <w:r>
        <w:rPr>
          <w:b/>
          <w:bCs/>
          <w:sz w:val="24"/>
          <w:szCs w:val="24"/>
        </w:rPr>
        <w:t>表3-3-7商服用地、住宅用地均质区域基准地价结果表</w:t>
      </w:r>
    </w:p>
    <w:p>
      <w:pPr>
        <w:adjustRightInd w:val="0"/>
        <w:snapToGrid w:val="0"/>
        <w:ind w:right="539" w:firstLine="420" w:firstLineChars="200"/>
        <w:jc w:val="right"/>
        <w:rPr>
          <w:szCs w:val="21"/>
        </w:rPr>
      </w:pPr>
      <w:r>
        <w:rPr>
          <w:szCs w:val="21"/>
        </w:rPr>
        <w:t>单位：元/平方米</w:t>
      </w:r>
    </w:p>
    <w:tbl>
      <w:tblPr>
        <w:tblW w:w="85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45"/>
        <w:gridCol w:w="2146"/>
        <w:gridCol w:w="2144"/>
        <w:gridCol w:w="20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blHeader/>
          <w:jc w:val="center"/>
        </w:trPr>
        <w:tc>
          <w:tcPr>
            <w:tcW w:w="214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b/>
                <w:color w:val="000000"/>
                <w:kern w:val="0"/>
                <w:sz w:val="22"/>
                <w:szCs w:val="22"/>
              </w:rPr>
            </w:pPr>
            <w:r>
              <w:rPr>
                <w:b/>
                <w:color w:val="000000"/>
                <w:kern w:val="0"/>
                <w:sz w:val="22"/>
                <w:szCs w:val="22"/>
              </w:rPr>
              <w:t>均值区域号</w:t>
            </w:r>
          </w:p>
        </w:tc>
        <w:tc>
          <w:tcPr>
            <w:tcW w:w="2146" w:type="dxa"/>
            <w:tcBorders>
              <w:top w:val="single" w:color="auto" w:sz="4" w:space="0"/>
              <w:left w:val="nil"/>
              <w:bottom w:val="single" w:color="auto" w:sz="4" w:space="0"/>
              <w:right w:val="single" w:color="auto" w:sz="4" w:space="0"/>
            </w:tcBorders>
            <w:vAlign w:val="center"/>
          </w:tcPr>
          <w:p>
            <w:pPr>
              <w:widowControl/>
              <w:spacing w:line="360" w:lineRule="exact"/>
              <w:jc w:val="center"/>
              <w:rPr>
                <w:b/>
                <w:color w:val="000000"/>
                <w:kern w:val="0"/>
                <w:sz w:val="22"/>
                <w:szCs w:val="22"/>
              </w:rPr>
            </w:pPr>
            <w:r>
              <w:rPr>
                <w:b/>
                <w:color w:val="000000"/>
                <w:kern w:val="0"/>
                <w:sz w:val="22"/>
                <w:szCs w:val="22"/>
              </w:rPr>
              <w:t>所属级别</w:t>
            </w:r>
          </w:p>
        </w:tc>
        <w:tc>
          <w:tcPr>
            <w:tcW w:w="2144" w:type="dxa"/>
            <w:tcBorders>
              <w:top w:val="single" w:color="auto" w:sz="4" w:space="0"/>
              <w:left w:val="nil"/>
              <w:bottom w:val="single" w:color="auto" w:sz="4" w:space="0"/>
              <w:right w:val="single" w:color="auto" w:sz="4" w:space="0"/>
            </w:tcBorders>
            <w:vAlign w:val="center"/>
          </w:tcPr>
          <w:p>
            <w:pPr>
              <w:widowControl/>
              <w:spacing w:line="360" w:lineRule="exact"/>
              <w:jc w:val="center"/>
              <w:rPr>
                <w:b/>
                <w:color w:val="000000"/>
                <w:kern w:val="0"/>
                <w:sz w:val="22"/>
                <w:szCs w:val="22"/>
              </w:rPr>
            </w:pPr>
            <w:r>
              <w:rPr>
                <w:b/>
                <w:color w:val="000000"/>
                <w:kern w:val="0"/>
                <w:sz w:val="22"/>
                <w:szCs w:val="22"/>
              </w:rPr>
              <w:t>商服均质区价</w:t>
            </w:r>
          </w:p>
        </w:tc>
        <w:tc>
          <w:tcPr>
            <w:tcW w:w="2093" w:type="dxa"/>
            <w:tcBorders>
              <w:top w:val="single" w:color="auto" w:sz="4" w:space="0"/>
              <w:left w:val="nil"/>
              <w:bottom w:val="single" w:color="auto" w:sz="4" w:space="0"/>
              <w:right w:val="single" w:color="auto" w:sz="4" w:space="0"/>
            </w:tcBorders>
            <w:vAlign w:val="center"/>
          </w:tcPr>
          <w:p>
            <w:pPr>
              <w:widowControl/>
              <w:spacing w:line="360" w:lineRule="exact"/>
              <w:jc w:val="center"/>
              <w:rPr>
                <w:b/>
                <w:color w:val="000000"/>
                <w:kern w:val="0"/>
                <w:sz w:val="22"/>
                <w:szCs w:val="22"/>
              </w:rPr>
            </w:pPr>
            <w:r>
              <w:rPr>
                <w:b/>
                <w:color w:val="000000"/>
                <w:kern w:val="0"/>
                <w:sz w:val="22"/>
                <w:szCs w:val="22"/>
              </w:rPr>
              <w:t>住宅均质区价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J018</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一级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5130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4180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J012</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一级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4910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3920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J013</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一级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4770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3630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J014</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一级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4520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3460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J019</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一级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4410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3240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J011</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4330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3050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J020</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4210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J015</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4050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J023</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3750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J024</w:t>
            </w:r>
          </w:p>
        </w:tc>
        <w:tc>
          <w:tcPr>
            <w:tcW w:w="2146"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3710</w:t>
            </w:r>
          </w:p>
        </w:tc>
        <w:tc>
          <w:tcPr>
            <w:tcW w:w="2093"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2590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J021</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3680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J022</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3430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2490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J025</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3340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J026</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3220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J010</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3150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J017</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3100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J009</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3040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J004</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2980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J005</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2910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J006</w:t>
            </w:r>
          </w:p>
        </w:tc>
        <w:tc>
          <w:tcPr>
            <w:tcW w:w="2146"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2820</w:t>
            </w:r>
          </w:p>
        </w:tc>
        <w:tc>
          <w:tcPr>
            <w:tcW w:w="2093"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2050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J016</w:t>
            </w:r>
          </w:p>
        </w:tc>
        <w:tc>
          <w:tcPr>
            <w:tcW w:w="2146"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2770</w:t>
            </w:r>
          </w:p>
        </w:tc>
        <w:tc>
          <w:tcPr>
            <w:tcW w:w="2093"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2010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J003</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2780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J027</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三级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2730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1980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J028</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三级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2610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1930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J029</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三级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2590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1890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J032</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三级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2520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1840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J033</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三级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2440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J030</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0"/>
                <w:lang/>
              </w:rPr>
              <w:t>三级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2360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1740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J008</w:t>
            </w:r>
          </w:p>
        </w:tc>
        <w:tc>
          <w:tcPr>
            <w:tcW w:w="2146"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三级</w:t>
            </w:r>
          </w:p>
        </w:tc>
        <w:tc>
          <w:tcPr>
            <w:tcW w:w="2144"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2210</w:t>
            </w:r>
          </w:p>
        </w:tc>
        <w:tc>
          <w:tcPr>
            <w:tcW w:w="2093"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J002</w:t>
            </w:r>
          </w:p>
        </w:tc>
        <w:tc>
          <w:tcPr>
            <w:tcW w:w="2146"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三级</w:t>
            </w:r>
          </w:p>
        </w:tc>
        <w:tc>
          <w:tcPr>
            <w:tcW w:w="2144"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2180</w:t>
            </w:r>
          </w:p>
        </w:tc>
        <w:tc>
          <w:tcPr>
            <w:tcW w:w="2093"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1630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J035</w:t>
            </w:r>
          </w:p>
        </w:tc>
        <w:tc>
          <w:tcPr>
            <w:tcW w:w="2146"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三级</w:t>
            </w:r>
          </w:p>
        </w:tc>
        <w:tc>
          <w:tcPr>
            <w:tcW w:w="2144"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2020</w:t>
            </w:r>
          </w:p>
        </w:tc>
        <w:tc>
          <w:tcPr>
            <w:tcW w:w="2093"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J036</w:t>
            </w:r>
          </w:p>
        </w:tc>
        <w:tc>
          <w:tcPr>
            <w:tcW w:w="2146"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四级</w:t>
            </w:r>
          </w:p>
        </w:tc>
        <w:tc>
          <w:tcPr>
            <w:tcW w:w="2144"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1950</w:t>
            </w:r>
          </w:p>
        </w:tc>
        <w:tc>
          <w:tcPr>
            <w:tcW w:w="2093"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J034</w:t>
            </w:r>
          </w:p>
        </w:tc>
        <w:tc>
          <w:tcPr>
            <w:tcW w:w="2146"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color w:val="000000"/>
                <w:kern w:val="0"/>
                <w:sz w:val="20"/>
                <w:lang/>
              </w:rPr>
              <w:t>四级</w:t>
            </w:r>
          </w:p>
        </w:tc>
        <w:tc>
          <w:tcPr>
            <w:tcW w:w="2144" w:type="dxa"/>
            <w:tcBorders>
              <w:top w:val="nil"/>
              <w:left w:val="nil"/>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1870</w:t>
            </w:r>
          </w:p>
        </w:tc>
        <w:tc>
          <w:tcPr>
            <w:tcW w:w="2093" w:type="dxa"/>
            <w:tcBorders>
              <w:top w:val="nil"/>
              <w:left w:val="nil"/>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1510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J037</w:t>
            </w:r>
          </w:p>
        </w:tc>
        <w:tc>
          <w:tcPr>
            <w:tcW w:w="2146"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四级</w:t>
            </w:r>
          </w:p>
        </w:tc>
        <w:tc>
          <w:tcPr>
            <w:tcW w:w="2144"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1820</w:t>
            </w:r>
          </w:p>
        </w:tc>
        <w:tc>
          <w:tcPr>
            <w:tcW w:w="2093"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J031</w:t>
            </w:r>
          </w:p>
        </w:tc>
        <w:tc>
          <w:tcPr>
            <w:tcW w:w="2146"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四级</w:t>
            </w:r>
          </w:p>
        </w:tc>
        <w:tc>
          <w:tcPr>
            <w:tcW w:w="2144"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1740</w:t>
            </w:r>
          </w:p>
        </w:tc>
        <w:tc>
          <w:tcPr>
            <w:tcW w:w="2093"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J001</w:t>
            </w:r>
          </w:p>
        </w:tc>
        <w:tc>
          <w:tcPr>
            <w:tcW w:w="2146"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四级</w:t>
            </w:r>
          </w:p>
        </w:tc>
        <w:tc>
          <w:tcPr>
            <w:tcW w:w="2144"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1530</w:t>
            </w:r>
          </w:p>
        </w:tc>
        <w:tc>
          <w:tcPr>
            <w:tcW w:w="2093"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J007</w:t>
            </w:r>
          </w:p>
        </w:tc>
        <w:tc>
          <w:tcPr>
            <w:tcW w:w="2146"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四级</w:t>
            </w:r>
          </w:p>
        </w:tc>
        <w:tc>
          <w:tcPr>
            <w:tcW w:w="2144"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1510</w:t>
            </w:r>
          </w:p>
        </w:tc>
        <w:tc>
          <w:tcPr>
            <w:tcW w:w="2093"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J039</w:t>
            </w:r>
          </w:p>
        </w:tc>
        <w:tc>
          <w:tcPr>
            <w:tcW w:w="2146"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五级</w:t>
            </w:r>
          </w:p>
        </w:tc>
        <w:tc>
          <w:tcPr>
            <w:tcW w:w="2144"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1300</w:t>
            </w:r>
          </w:p>
        </w:tc>
        <w:tc>
          <w:tcPr>
            <w:tcW w:w="2093"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J040</w:t>
            </w:r>
          </w:p>
        </w:tc>
        <w:tc>
          <w:tcPr>
            <w:tcW w:w="2146"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五级</w:t>
            </w:r>
          </w:p>
        </w:tc>
        <w:tc>
          <w:tcPr>
            <w:tcW w:w="2144"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1290</w:t>
            </w:r>
          </w:p>
        </w:tc>
        <w:tc>
          <w:tcPr>
            <w:tcW w:w="2093"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rFonts w:hint="eastAsia"/>
                <w:color w:val="000000"/>
                <w:kern w:val="0"/>
                <w:sz w:val="22"/>
                <w:szCs w:val="22"/>
              </w:rPr>
              <w:t>1120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145" w:type="dxa"/>
            <w:tcBorders>
              <w:top w:val="nil"/>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J038</w:t>
            </w:r>
          </w:p>
        </w:tc>
        <w:tc>
          <w:tcPr>
            <w:tcW w:w="2146"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五级</w:t>
            </w:r>
          </w:p>
        </w:tc>
        <w:tc>
          <w:tcPr>
            <w:tcW w:w="2144"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1260</w:t>
            </w:r>
          </w:p>
        </w:tc>
        <w:tc>
          <w:tcPr>
            <w:tcW w:w="2093"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2"/>
                <w:szCs w:val="22"/>
              </w:rPr>
            </w:pPr>
            <w:r>
              <w:rPr>
                <w:rFonts w:hint="eastAsia"/>
                <w:color w:val="000000"/>
                <w:kern w:val="0"/>
                <w:sz w:val="22"/>
                <w:szCs w:val="22"/>
              </w:rPr>
              <w:t>9</w:t>
            </w:r>
            <w:r>
              <w:rPr>
                <w:color w:val="000000"/>
                <w:kern w:val="0"/>
                <w:sz w:val="22"/>
                <w:szCs w:val="22"/>
              </w:rPr>
              <w:t>80</w:t>
            </w:r>
          </w:p>
        </w:tc>
      </w:tr>
      <w:bookmarkEnd w:id="591"/>
    </w:tbl>
    <w:p>
      <w:pPr>
        <w:adjustRightInd w:val="0"/>
        <w:snapToGrid w:val="0"/>
        <w:spacing w:beforeLines="50" w:line="360" w:lineRule="auto"/>
        <w:ind w:firstLine="482" w:firstLineChars="200"/>
        <w:rPr>
          <w:rFonts w:hint="eastAsia"/>
          <w:b/>
          <w:sz w:val="24"/>
          <w:szCs w:val="24"/>
          <w:lang w:val="zh-CN"/>
        </w:rPr>
      </w:pPr>
      <w:bookmarkStart w:id="597" w:name="_Toc470721323"/>
      <w:bookmarkStart w:id="598" w:name="_Toc469296472"/>
      <w:bookmarkStart w:id="599" w:name="_Toc467846863"/>
      <w:bookmarkStart w:id="600" w:name="_Toc13370"/>
      <w:bookmarkStart w:id="601" w:name="_Toc16347"/>
      <w:bookmarkStart w:id="602" w:name="_Toc7926"/>
      <w:r>
        <w:rPr>
          <w:rFonts w:hint="eastAsia"/>
          <w:b/>
          <w:sz w:val="24"/>
          <w:szCs w:val="24"/>
        </w:rPr>
        <w:t>2、</w:t>
      </w:r>
      <w:r>
        <w:rPr>
          <w:rFonts w:hint="eastAsia"/>
          <w:b/>
          <w:sz w:val="24"/>
          <w:szCs w:val="24"/>
          <w:lang w:val="zh-CN"/>
        </w:rPr>
        <w:t>长沙县城区商服用地、住宅用地级别基准地价结果</w:t>
      </w:r>
    </w:p>
    <w:p>
      <w:pPr>
        <w:spacing w:line="240" w:lineRule="exact"/>
        <w:ind w:right="539" w:firstLine="482" w:firstLineChars="200"/>
        <w:jc w:val="center"/>
        <w:rPr>
          <w:rFonts w:hint="eastAsia"/>
          <w:szCs w:val="21"/>
        </w:rPr>
      </w:pPr>
      <w:r>
        <w:rPr>
          <w:rFonts w:hint="eastAsia"/>
          <w:b/>
          <w:sz w:val="24"/>
          <w:szCs w:val="24"/>
          <w:lang w:val="zh-CN"/>
        </w:rPr>
        <w:t xml:space="preserve">表3-3-8 </w:t>
      </w:r>
      <w:r>
        <w:rPr>
          <w:b/>
          <w:sz w:val="24"/>
          <w:szCs w:val="24"/>
          <w:lang w:val="zh-CN"/>
        </w:rPr>
        <w:t>长沙县城区商服用地、住宅用地</w:t>
      </w:r>
      <w:r>
        <w:rPr>
          <w:rFonts w:hint="eastAsia"/>
          <w:b/>
          <w:sz w:val="24"/>
          <w:szCs w:val="24"/>
          <w:lang w:val="zh-CN"/>
        </w:rPr>
        <w:t>级别</w:t>
      </w:r>
      <w:r>
        <w:rPr>
          <w:b/>
          <w:sz w:val="24"/>
          <w:szCs w:val="24"/>
          <w:lang w:val="zh-CN"/>
        </w:rPr>
        <w:t>基准地价</w:t>
      </w:r>
      <w:r>
        <w:rPr>
          <w:rFonts w:hint="eastAsia"/>
          <w:b/>
          <w:sz w:val="24"/>
          <w:szCs w:val="24"/>
          <w:lang w:val="zh-CN"/>
        </w:rPr>
        <w:t>表</w:t>
      </w:r>
    </w:p>
    <w:p>
      <w:pPr>
        <w:spacing w:line="240" w:lineRule="exact"/>
        <w:ind w:right="539" w:firstLine="420" w:firstLineChars="200"/>
        <w:jc w:val="right"/>
        <w:rPr>
          <w:sz w:val="24"/>
        </w:rPr>
      </w:pPr>
      <w:r>
        <w:rPr>
          <w:szCs w:val="21"/>
        </w:rPr>
        <w:t>单位：元/平方米</w:t>
      </w:r>
    </w:p>
    <w:tbl>
      <w:tblPr>
        <w:tblW w:w="8470" w:type="dxa"/>
        <w:jc w:val="center"/>
        <w:tblInd w:w="-2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9"/>
        <w:gridCol w:w="1080"/>
        <w:gridCol w:w="1080"/>
        <w:gridCol w:w="1080"/>
        <w:gridCol w:w="1080"/>
        <w:gridCol w:w="27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42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用地类型</w:t>
            </w:r>
          </w:p>
        </w:tc>
        <w:tc>
          <w:tcPr>
            <w:tcW w:w="1080" w:type="dxa"/>
            <w:tcBorders>
              <w:top w:val="single" w:color="auto" w:sz="4" w:space="0"/>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Ⅰ</w:t>
            </w:r>
          </w:p>
        </w:tc>
        <w:tc>
          <w:tcPr>
            <w:tcW w:w="1080" w:type="dxa"/>
            <w:tcBorders>
              <w:top w:val="single" w:color="auto" w:sz="4" w:space="0"/>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Ⅱ</w:t>
            </w:r>
          </w:p>
        </w:tc>
        <w:tc>
          <w:tcPr>
            <w:tcW w:w="1080" w:type="dxa"/>
            <w:tcBorders>
              <w:top w:val="single" w:color="auto" w:sz="4" w:space="0"/>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Ⅲ</w:t>
            </w:r>
          </w:p>
        </w:tc>
        <w:tc>
          <w:tcPr>
            <w:tcW w:w="1080" w:type="dxa"/>
            <w:tcBorders>
              <w:top w:val="single" w:color="auto" w:sz="4" w:space="0"/>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Ⅳ</w:t>
            </w:r>
          </w:p>
        </w:tc>
        <w:tc>
          <w:tcPr>
            <w:tcW w:w="2721" w:type="dxa"/>
            <w:tcBorders>
              <w:top w:val="single" w:color="auto" w:sz="4" w:space="0"/>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429" w:type="dxa"/>
            <w:tcBorders>
              <w:top w:val="nil"/>
              <w:left w:val="single" w:color="auto" w:sz="4" w:space="0"/>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商服用地</w:t>
            </w:r>
          </w:p>
        </w:tc>
        <w:tc>
          <w:tcPr>
            <w:tcW w:w="1080" w:type="dxa"/>
            <w:tcBorders>
              <w:top w:val="nil"/>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4590</w:t>
            </w:r>
          </w:p>
        </w:tc>
        <w:tc>
          <w:tcPr>
            <w:tcW w:w="1080" w:type="dxa"/>
            <w:tcBorders>
              <w:top w:val="nil"/>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3360</w:t>
            </w:r>
          </w:p>
        </w:tc>
        <w:tc>
          <w:tcPr>
            <w:tcW w:w="1080" w:type="dxa"/>
            <w:tcBorders>
              <w:top w:val="nil"/>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2550</w:t>
            </w:r>
          </w:p>
        </w:tc>
        <w:tc>
          <w:tcPr>
            <w:tcW w:w="1080" w:type="dxa"/>
            <w:tcBorders>
              <w:top w:val="nil"/>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1780</w:t>
            </w:r>
          </w:p>
        </w:tc>
        <w:tc>
          <w:tcPr>
            <w:tcW w:w="2721" w:type="dxa"/>
            <w:tcBorders>
              <w:top w:val="nil"/>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1280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429" w:type="dxa"/>
            <w:tcBorders>
              <w:top w:val="nil"/>
              <w:left w:val="single" w:color="auto" w:sz="4" w:space="0"/>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住宅用地</w:t>
            </w:r>
          </w:p>
        </w:tc>
        <w:tc>
          <w:tcPr>
            <w:tcW w:w="1080" w:type="dxa"/>
            <w:tcBorders>
              <w:top w:val="nil"/>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3480</w:t>
            </w:r>
          </w:p>
        </w:tc>
        <w:tc>
          <w:tcPr>
            <w:tcW w:w="1080" w:type="dxa"/>
            <w:tcBorders>
              <w:top w:val="nil"/>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2540</w:t>
            </w:r>
          </w:p>
        </w:tc>
        <w:tc>
          <w:tcPr>
            <w:tcW w:w="1080" w:type="dxa"/>
            <w:tcBorders>
              <w:top w:val="nil"/>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1920</w:t>
            </w:r>
          </w:p>
        </w:tc>
        <w:tc>
          <w:tcPr>
            <w:tcW w:w="1080" w:type="dxa"/>
            <w:tcBorders>
              <w:top w:val="nil"/>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1480</w:t>
            </w:r>
          </w:p>
        </w:tc>
        <w:tc>
          <w:tcPr>
            <w:tcW w:w="2721" w:type="dxa"/>
            <w:tcBorders>
              <w:top w:val="nil"/>
              <w:left w:val="nil"/>
              <w:bottom w:val="single" w:color="auto" w:sz="4" w:space="0"/>
              <w:right w:val="single" w:color="auto" w:sz="4" w:space="0"/>
            </w:tcBorders>
            <w:vAlign w:val="center"/>
          </w:tcPr>
          <w:p>
            <w:pPr>
              <w:widowControl/>
              <w:spacing w:line="400" w:lineRule="exact"/>
              <w:jc w:val="center"/>
              <w:rPr>
                <w:bCs/>
                <w:color w:val="000000"/>
                <w:kern w:val="0"/>
                <w:sz w:val="22"/>
                <w:szCs w:val="22"/>
              </w:rPr>
            </w:pPr>
            <w:r>
              <w:rPr>
                <w:bCs/>
                <w:color w:val="000000"/>
                <w:kern w:val="0"/>
                <w:sz w:val="22"/>
                <w:szCs w:val="22"/>
              </w:rPr>
              <w:t>1060</w:t>
            </w:r>
          </w:p>
        </w:tc>
      </w:tr>
    </w:tbl>
    <w:p>
      <w:pPr>
        <w:widowControl/>
        <w:jc w:val="left"/>
        <w:rPr>
          <w:rFonts w:eastAsia="黑体"/>
          <w:sz w:val="32"/>
          <w:szCs w:val="32"/>
        </w:rPr>
      </w:pPr>
      <w:r>
        <w:rPr>
          <w:rFonts w:eastAsia="黑体"/>
          <w:sz w:val="32"/>
          <w:szCs w:val="32"/>
        </w:rPr>
        <w:br w:type="page"/>
      </w:r>
    </w:p>
    <w:p>
      <w:pPr>
        <w:spacing w:line="360" w:lineRule="auto"/>
        <w:jc w:val="center"/>
        <w:textAlignment w:val="baseline"/>
        <w:outlineLvl w:val="1"/>
        <w:rPr>
          <w:rFonts w:eastAsia="黑体"/>
          <w:sz w:val="32"/>
          <w:szCs w:val="32"/>
        </w:rPr>
      </w:pPr>
      <w:bookmarkStart w:id="603" w:name="_Toc6434"/>
      <w:r>
        <w:rPr>
          <w:rFonts w:eastAsia="黑体"/>
          <w:sz w:val="32"/>
          <w:szCs w:val="32"/>
        </w:rPr>
        <w:t xml:space="preserve">第四章  </w:t>
      </w:r>
      <w:r>
        <w:rPr>
          <w:rFonts w:hint="eastAsia" w:eastAsia="黑体"/>
          <w:sz w:val="32"/>
          <w:szCs w:val="32"/>
        </w:rPr>
        <w:t>长沙县城区工矿仓储用地</w:t>
      </w:r>
      <w:r>
        <w:rPr>
          <w:rFonts w:eastAsia="黑体"/>
          <w:sz w:val="32"/>
          <w:szCs w:val="32"/>
        </w:rPr>
        <w:t>基准地价评估</w:t>
      </w:r>
      <w:bookmarkEnd w:id="597"/>
      <w:bookmarkEnd w:id="598"/>
      <w:bookmarkEnd w:id="599"/>
      <w:bookmarkEnd w:id="600"/>
      <w:bookmarkEnd w:id="601"/>
      <w:bookmarkEnd w:id="602"/>
      <w:bookmarkEnd w:id="603"/>
    </w:p>
    <w:bookmarkEnd w:id="592"/>
    <w:bookmarkEnd w:id="593"/>
    <w:bookmarkEnd w:id="594"/>
    <w:bookmarkEnd w:id="595"/>
    <w:p>
      <w:pPr>
        <w:spacing w:line="600" w:lineRule="exact"/>
        <w:ind w:firstLine="560" w:firstLineChars="200"/>
        <w:outlineLvl w:val="2"/>
        <w:rPr>
          <w:rFonts w:eastAsia="黑体"/>
          <w:sz w:val="28"/>
          <w:szCs w:val="28"/>
        </w:rPr>
      </w:pPr>
      <w:bookmarkStart w:id="604" w:name="_Toc2048"/>
      <w:bookmarkStart w:id="605" w:name="_Toc467846866"/>
      <w:bookmarkStart w:id="606" w:name="_Toc271529457"/>
      <w:r>
        <w:rPr>
          <w:rFonts w:hint="eastAsia" w:eastAsia="黑体"/>
          <w:sz w:val="28"/>
          <w:szCs w:val="28"/>
        </w:rPr>
        <w:t>一、城区边缘区工矿仓储用地基准地价成本测算</w:t>
      </w:r>
      <w:bookmarkEnd w:id="604"/>
    </w:p>
    <w:p>
      <w:pPr>
        <w:spacing w:line="460" w:lineRule="exact"/>
        <w:ind w:firstLine="480" w:firstLineChars="200"/>
        <w:rPr>
          <w:sz w:val="24"/>
        </w:rPr>
      </w:pPr>
      <w:r>
        <w:rPr>
          <w:rFonts w:hint="eastAsia"/>
          <w:sz w:val="24"/>
        </w:rPr>
        <w:t>采用成本逼近法来验算工矿仓储用地基准地价。</w:t>
      </w:r>
      <w:r>
        <w:rPr>
          <w:sz w:val="24"/>
        </w:rPr>
        <w:t>成本逼近法是以开发土地所耗费的各项费用之和为主要依据，再加上一定的利润和应纳税金来确定土地价格的一种估价方法。把对土地的所有投资包括土地取得费和开发费用两大部分作为“基本成本”，运用经济学中等量资金获取等量收益的投资原理，加上“基本</w:t>
      </w:r>
      <w:r>
        <w:rPr>
          <w:rFonts w:hint="eastAsia"/>
          <w:sz w:val="24"/>
        </w:rPr>
        <w:t>成本</w:t>
      </w:r>
      <w:r>
        <w:rPr>
          <w:sz w:val="24"/>
        </w:rPr>
        <w:t>”这一投资所应产生的相应利润和应支付的利息，组成地价基础部分（即成本价），再加上相关税</w:t>
      </w:r>
      <w:r>
        <w:rPr>
          <w:rFonts w:hint="eastAsia"/>
          <w:sz w:val="24"/>
        </w:rPr>
        <w:t>费</w:t>
      </w:r>
      <w:r>
        <w:rPr>
          <w:sz w:val="24"/>
        </w:rPr>
        <w:t>和土地增值收益，从而求得土地价格。</w:t>
      </w:r>
    </w:p>
    <w:p>
      <w:pPr>
        <w:adjustRightInd w:val="0"/>
        <w:snapToGrid w:val="0"/>
        <w:ind w:firstLine="482" w:firstLineChars="200"/>
        <w:jc w:val="center"/>
        <w:rPr>
          <w:sz w:val="24"/>
          <w:szCs w:val="24"/>
        </w:rPr>
      </w:pPr>
      <w:r>
        <w:rPr>
          <w:rFonts w:hint="eastAsia" w:ascii="宋体" w:hAnsi="宋体"/>
          <w:b/>
          <w:sz w:val="24"/>
          <w:szCs w:val="24"/>
        </w:rPr>
        <w:t>表3-4-1 成本逼近法测算工矿仓储用地地价</w:t>
      </w:r>
    </w:p>
    <w:p>
      <w:pPr>
        <w:adjustRightInd w:val="0"/>
        <w:snapToGrid w:val="0"/>
        <w:ind w:right="600" w:firstLine="360" w:firstLineChars="200"/>
        <w:jc w:val="right"/>
        <w:rPr>
          <w:sz w:val="18"/>
          <w:szCs w:val="18"/>
        </w:rPr>
      </w:pPr>
      <w:r>
        <w:rPr>
          <w:sz w:val="18"/>
          <w:szCs w:val="18"/>
        </w:rPr>
        <w:t>元/平方米</w:t>
      </w:r>
    </w:p>
    <w:tbl>
      <w:tblPr>
        <w:tblW w:w="8293" w:type="dxa"/>
        <w:jc w:val="center"/>
        <w:tblInd w:w="-1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7"/>
        <w:gridCol w:w="1566"/>
        <w:gridCol w:w="1080"/>
        <w:gridCol w:w="42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blHeader/>
          <w:jc w:val="center"/>
        </w:trPr>
        <w:tc>
          <w:tcPr>
            <w:tcW w:w="2923"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Cs w:val="21"/>
              </w:rPr>
            </w:pPr>
            <w:r>
              <w:rPr>
                <w:kern w:val="0"/>
                <w:szCs w:val="21"/>
              </w:rPr>
              <w:t>指标</w:t>
            </w:r>
          </w:p>
        </w:tc>
        <w:tc>
          <w:tcPr>
            <w:tcW w:w="1080" w:type="dxa"/>
            <w:tcBorders>
              <w:top w:val="single" w:color="auto" w:sz="4" w:space="0"/>
              <w:left w:val="nil"/>
              <w:bottom w:val="single" w:color="auto" w:sz="4" w:space="0"/>
              <w:right w:val="single" w:color="auto" w:sz="4" w:space="0"/>
            </w:tcBorders>
            <w:vAlign w:val="center"/>
          </w:tcPr>
          <w:p>
            <w:pPr>
              <w:widowControl/>
              <w:spacing w:line="360" w:lineRule="auto"/>
              <w:ind w:left="-105" w:leftChars="-50" w:right="-105" w:rightChars="-50"/>
              <w:jc w:val="center"/>
              <w:rPr>
                <w:kern w:val="0"/>
                <w:szCs w:val="21"/>
              </w:rPr>
            </w:pPr>
            <w:r>
              <w:rPr>
                <w:kern w:val="0"/>
                <w:szCs w:val="21"/>
              </w:rPr>
              <w:t>五级区域</w:t>
            </w:r>
          </w:p>
        </w:tc>
        <w:tc>
          <w:tcPr>
            <w:tcW w:w="4290"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取费依据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05" w:leftChars="-50" w:right="-105" w:rightChars="-50"/>
              <w:jc w:val="center"/>
              <w:rPr>
                <w:kern w:val="0"/>
                <w:szCs w:val="21"/>
              </w:rPr>
            </w:pPr>
            <w:r>
              <w:rPr>
                <w:kern w:val="0"/>
                <w:szCs w:val="21"/>
              </w:rPr>
              <w:t>土地取得费</w:t>
            </w:r>
          </w:p>
        </w:tc>
        <w:tc>
          <w:tcPr>
            <w:tcW w:w="1566" w:type="dxa"/>
            <w:tcBorders>
              <w:top w:val="nil"/>
              <w:left w:val="nil"/>
              <w:bottom w:val="single" w:color="auto" w:sz="4" w:space="0"/>
              <w:right w:val="single" w:color="auto" w:sz="4" w:space="0"/>
            </w:tcBorders>
            <w:vAlign w:val="center"/>
          </w:tcPr>
          <w:p>
            <w:pPr>
              <w:widowControl/>
              <w:spacing w:line="360" w:lineRule="auto"/>
              <w:ind w:left="-105" w:leftChars="-50" w:right="-105" w:rightChars="-50"/>
              <w:jc w:val="center"/>
              <w:rPr>
                <w:kern w:val="0"/>
                <w:szCs w:val="21"/>
              </w:rPr>
            </w:pPr>
            <w:r>
              <w:rPr>
                <w:kern w:val="0"/>
                <w:szCs w:val="21"/>
              </w:rPr>
              <w:t>土地补偿和安置补助费</w:t>
            </w:r>
          </w:p>
        </w:tc>
        <w:tc>
          <w:tcPr>
            <w:tcW w:w="1080" w:type="dxa"/>
            <w:tcBorders>
              <w:top w:val="nil"/>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rPr>
              <w:t>102</w:t>
            </w:r>
          </w:p>
        </w:tc>
        <w:tc>
          <w:tcPr>
            <w:tcW w:w="4290" w:type="dxa"/>
            <w:tcBorders>
              <w:top w:val="nil"/>
              <w:left w:val="single" w:color="auto" w:sz="4" w:space="0"/>
              <w:bottom w:val="single" w:color="auto" w:sz="4" w:space="0"/>
              <w:right w:val="single" w:color="auto" w:sz="4" w:space="0"/>
            </w:tcBorders>
            <w:vAlign w:val="center"/>
          </w:tcPr>
          <w:p>
            <w:pPr>
              <w:widowControl/>
              <w:jc w:val="center"/>
              <w:rPr>
                <w:szCs w:val="21"/>
              </w:rPr>
            </w:pPr>
            <w:r>
              <w:rPr>
                <w:szCs w:val="21"/>
              </w:rPr>
              <w:t>湖南省人民政府关于调整湖南省征地补偿标准的通知（湘政发[201</w:t>
            </w:r>
            <w:r>
              <w:rPr>
                <w:rFonts w:hint="eastAsia"/>
                <w:szCs w:val="21"/>
              </w:rPr>
              <w:t>8</w:t>
            </w:r>
            <w:r>
              <w:rPr>
                <w:szCs w:val="21"/>
              </w:rPr>
              <w:t>]</w:t>
            </w:r>
            <w:r>
              <w:rPr>
                <w:rFonts w:hint="eastAsia"/>
                <w:szCs w:val="21"/>
              </w:rPr>
              <w:t>5</w:t>
            </w:r>
            <w:r>
              <w:rPr>
                <w:szCs w:val="21"/>
              </w:rPr>
              <w:t>号）</w:t>
            </w:r>
            <w:r>
              <w:rPr>
                <w:rFonts w:hint="eastAsia"/>
                <w:szCs w:val="21"/>
              </w:rPr>
              <w:t>：</w:t>
            </w:r>
            <w:r>
              <w:rPr>
                <w:kern w:val="0"/>
                <w:szCs w:val="21"/>
              </w:rPr>
              <w:t>按</w:t>
            </w:r>
            <w:r>
              <w:rPr>
                <w:kern w:val="0"/>
                <w:szCs w:val="21"/>
              </w:rPr>
              <w:fldChar w:fldCharType="begin"/>
            </w:r>
            <w:r>
              <w:rPr>
                <w:kern w:val="0"/>
                <w:szCs w:val="21"/>
              </w:rPr>
              <w:instrText xml:space="preserve"> = 1 \* ROMAN </w:instrText>
            </w:r>
            <w:r>
              <w:rPr>
                <w:kern w:val="0"/>
                <w:szCs w:val="21"/>
              </w:rPr>
              <w:fldChar w:fldCharType="separate"/>
            </w:r>
            <w:r>
              <w:rPr>
                <w:kern w:val="0"/>
                <w:szCs w:val="21"/>
              </w:rPr>
              <w:t>I</w:t>
            </w:r>
            <w:r>
              <w:rPr>
                <w:kern w:val="0"/>
                <w:szCs w:val="21"/>
              </w:rPr>
              <w:fldChar w:fldCharType="end"/>
            </w:r>
            <w:r>
              <w:rPr>
                <w:kern w:val="0"/>
                <w:szCs w:val="21"/>
              </w:rPr>
              <w:t>区71100元/亩，</w:t>
            </w:r>
            <w:r>
              <w:rPr>
                <w:kern w:val="0"/>
                <w:szCs w:val="21"/>
              </w:rPr>
              <w:fldChar w:fldCharType="begin"/>
            </w:r>
            <w:r>
              <w:rPr>
                <w:kern w:val="0"/>
                <w:szCs w:val="21"/>
              </w:rPr>
              <w:instrText xml:space="preserve"> = 2 \* ROMAN </w:instrText>
            </w:r>
            <w:r>
              <w:rPr>
                <w:kern w:val="0"/>
                <w:szCs w:val="21"/>
              </w:rPr>
              <w:fldChar w:fldCharType="separate"/>
            </w:r>
            <w:r>
              <w:rPr>
                <w:kern w:val="0"/>
                <w:szCs w:val="21"/>
              </w:rPr>
              <w:t>II</w:t>
            </w:r>
            <w:r>
              <w:rPr>
                <w:kern w:val="0"/>
                <w:szCs w:val="21"/>
              </w:rPr>
              <w:fldChar w:fldCharType="end"/>
            </w:r>
            <w:r>
              <w:rPr>
                <w:kern w:val="0"/>
                <w:szCs w:val="21"/>
              </w:rPr>
              <w:t>区68400元/亩；水田，基本农田1.2；耕地（除水田）、草地、其他农用地、建设用地1；园地、林地0.8,；未利用地0.6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6" w:hRule="atLeast"/>
          <w:jc w:val="center"/>
        </w:trPr>
        <w:tc>
          <w:tcPr>
            <w:tcW w:w="135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ind w:left="-105" w:leftChars="-50" w:right="-105" w:rightChars="-50"/>
              <w:jc w:val="center"/>
              <w:rPr>
                <w:kern w:val="0"/>
                <w:szCs w:val="21"/>
              </w:rPr>
            </w:pPr>
            <w:r>
              <w:rPr>
                <w:kern w:val="0"/>
                <w:szCs w:val="21"/>
              </w:rPr>
              <w:t>相关税费</w:t>
            </w:r>
          </w:p>
        </w:tc>
        <w:tc>
          <w:tcPr>
            <w:tcW w:w="1566" w:type="dxa"/>
            <w:tcBorders>
              <w:top w:val="nil"/>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耕地占用税</w:t>
            </w:r>
          </w:p>
        </w:tc>
        <w:tc>
          <w:tcPr>
            <w:tcW w:w="1080" w:type="dxa"/>
            <w:tcBorders>
              <w:top w:val="nil"/>
              <w:left w:val="nil"/>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rPr>
              <w:t>32</w:t>
            </w:r>
          </w:p>
        </w:tc>
        <w:tc>
          <w:tcPr>
            <w:tcW w:w="4290" w:type="dxa"/>
            <w:tcBorders>
              <w:top w:val="nil"/>
              <w:left w:val="nil"/>
              <w:bottom w:val="single" w:color="auto" w:sz="4" w:space="0"/>
              <w:right w:val="single" w:color="auto" w:sz="4" w:space="0"/>
            </w:tcBorders>
            <w:vAlign w:val="center"/>
          </w:tcPr>
          <w:p>
            <w:pPr>
              <w:spacing w:line="360" w:lineRule="auto"/>
              <w:ind w:left="-105" w:leftChars="-50" w:right="-105" w:rightChars="-50"/>
              <w:jc w:val="center"/>
              <w:rPr>
                <w:kern w:val="0"/>
                <w:szCs w:val="21"/>
              </w:rPr>
            </w:pPr>
            <w:r>
              <w:rPr>
                <w:kern w:val="0"/>
                <w:szCs w:val="21"/>
              </w:rPr>
              <w:t>湖南省实施《中华人民共和国耕地占用税暂行条例》办法（湖南省人民政府231号令）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35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ind w:left="-105" w:leftChars="-50" w:right="-105" w:rightChars="-50"/>
              <w:jc w:val="center"/>
              <w:rPr>
                <w:kern w:val="0"/>
                <w:szCs w:val="21"/>
              </w:rPr>
            </w:pPr>
          </w:p>
        </w:tc>
        <w:tc>
          <w:tcPr>
            <w:tcW w:w="1566" w:type="dxa"/>
            <w:tcBorders>
              <w:top w:val="nil"/>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水利建设基金</w:t>
            </w:r>
          </w:p>
        </w:tc>
        <w:tc>
          <w:tcPr>
            <w:tcW w:w="1080" w:type="dxa"/>
            <w:tcBorders>
              <w:top w:val="nil"/>
              <w:left w:val="nil"/>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rPr>
              <w:t>2.4</w:t>
            </w:r>
          </w:p>
        </w:tc>
        <w:tc>
          <w:tcPr>
            <w:tcW w:w="4290" w:type="dxa"/>
            <w:tcBorders>
              <w:top w:val="nil"/>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湖南省人民政府关于印发《湖南省水利建设基金筹集和使用管理办法》的通知（湘政办发[2011]27号），按应缴新增建设用地有偿使用费的10%缴纳水利建设基金。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9" w:hRule="atLeast"/>
          <w:jc w:val="center"/>
        </w:trPr>
        <w:tc>
          <w:tcPr>
            <w:tcW w:w="135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ind w:left="-105" w:leftChars="-50" w:right="-105" w:rightChars="-50"/>
              <w:jc w:val="center"/>
              <w:rPr>
                <w:kern w:val="0"/>
                <w:szCs w:val="21"/>
              </w:rPr>
            </w:pPr>
          </w:p>
        </w:tc>
        <w:tc>
          <w:tcPr>
            <w:tcW w:w="1566" w:type="dxa"/>
            <w:tcBorders>
              <w:top w:val="nil"/>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耕地开垦费</w:t>
            </w:r>
          </w:p>
        </w:tc>
        <w:tc>
          <w:tcPr>
            <w:tcW w:w="1080" w:type="dxa"/>
            <w:tcBorders>
              <w:top w:val="nil"/>
              <w:left w:val="nil"/>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rPr>
              <w:t>33</w:t>
            </w:r>
          </w:p>
        </w:tc>
        <w:tc>
          <w:tcPr>
            <w:tcW w:w="4290" w:type="dxa"/>
            <w:tcBorders>
              <w:top w:val="nil"/>
              <w:left w:val="nil"/>
              <w:bottom w:val="single" w:color="auto" w:sz="4" w:space="0"/>
              <w:right w:val="single" w:color="auto" w:sz="4" w:space="0"/>
            </w:tcBorders>
            <w:vAlign w:val="center"/>
          </w:tcPr>
          <w:p>
            <w:pPr>
              <w:spacing w:line="360" w:lineRule="auto"/>
              <w:ind w:left="-105" w:leftChars="-50" w:right="-105" w:rightChars="-50"/>
              <w:jc w:val="center"/>
              <w:rPr>
                <w:kern w:val="0"/>
                <w:szCs w:val="21"/>
              </w:rPr>
            </w:pPr>
            <w:r>
              <w:rPr>
                <w:kern w:val="0"/>
                <w:szCs w:val="21"/>
              </w:rPr>
              <w:t>湖南省人民政府办公厅关于印发《湖南省耕地开垦征收使用管理办法》的通知（湘政办发[2010]47号），其中水田2万元/亩，旱地1.6万元/亩，合为30元/ m</w:t>
            </w:r>
            <w:r>
              <w:rPr>
                <w:kern w:val="0"/>
                <w:szCs w:val="21"/>
                <w:vertAlign w:val="superscript"/>
              </w:rPr>
              <w:t>2</w:t>
            </w:r>
            <w:r>
              <w:rPr>
                <w:kern w:val="0"/>
                <w:szCs w:val="21"/>
              </w:rPr>
              <w:t>和24元/ m</w:t>
            </w:r>
            <w:r>
              <w:rPr>
                <w:kern w:val="0"/>
                <w:szCs w:val="21"/>
                <w:vertAlign w:val="superscript"/>
              </w:rPr>
              <w:t>2</w:t>
            </w:r>
            <w:r>
              <w:rPr>
                <w:kern w:val="0"/>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5" w:hRule="atLeast"/>
          <w:jc w:val="center"/>
        </w:trPr>
        <w:tc>
          <w:tcPr>
            <w:tcW w:w="135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ind w:left="-105" w:leftChars="-50" w:right="-105" w:rightChars="-50"/>
              <w:jc w:val="center"/>
              <w:rPr>
                <w:kern w:val="0"/>
                <w:szCs w:val="21"/>
              </w:rPr>
            </w:pPr>
          </w:p>
        </w:tc>
        <w:tc>
          <w:tcPr>
            <w:tcW w:w="1566" w:type="dxa"/>
            <w:tcBorders>
              <w:top w:val="nil"/>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社保基金</w:t>
            </w:r>
          </w:p>
        </w:tc>
        <w:tc>
          <w:tcPr>
            <w:tcW w:w="1080" w:type="dxa"/>
            <w:tcBorders>
              <w:top w:val="nil"/>
              <w:left w:val="nil"/>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rPr>
              <w:t>80</w:t>
            </w:r>
          </w:p>
        </w:tc>
        <w:tc>
          <w:tcPr>
            <w:tcW w:w="4290" w:type="dxa"/>
            <w:tcBorders>
              <w:top w:val="nil"/>
              <w:left w:val="nil"/>
              <w:bottom w:val="single" w:color="auto" w:sz="4" w:space="0"/>
              <w:right w:val="single" w:color="auto" w:sz="4" w:space="0"/>
            </w:tcBorders>
            <w:vAlign w:val="center"/>
          </w:tcPr>
          <w:p>
            <w:pPr>
              <w:spacing w:line="360" w:lineRule="auto"/>
              <w:ind w:left="-105" w:leftChars="-50" w:right="-105" w:rightChars="-50"/>
              <w:jc w:val="center"/>
              <w:rPr>
                <w:kern w:val="0"/>
                <w:szCs w:val="21"/>
              </w:rPr>
            </w:pPr>
            <w:r>
              <w:t>《湖南省人民政府办公厅转发省人力资源社会保障厅&lt;关于做好被征地农民社会保障工作的意见&gt;的通知》（湘政办发[2014]）31号。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35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ind w:left="-105" w:leftChars="-50" w:right="-105" w:rightChars="-50"/>
              <w:jc w:val="center"/>
              <w:rPr>
                <w:kern w:val="0"/>
                <w:szCs w:val="21"/>
              </w:rPr>
            </w:pPr>
          </w:p>
        </w:tc>
        <w:tc>
          <w:tcPr>
            <w:tcW w:w="1566" w:type="dxa"/>
            <w:tcBorders>
              <w:top w:val="nil"/>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小计</w:t>
            </w:r>
          </w:p>
        </w:tc>
        <w:tc>
          <w:tcPr>
            <w:tcW w:w="1080" w:type="dxa"/>
            <w:tcBorders>
              <w:top w:val="nil"/>
              <w:left w:val="nil"/>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eastAsia" w:ascii="Times New Roman" w:hAnsi="Times New Roman" w:eastAsia="宋体" w:cs="Times New Roman"/>
                <w:i w:val="0"/>
                <w:color w:val="000000"/>
                <w:kern w:val="0"/>
                <w:sz w:val="21"/>
                <w:szCs w:val="21"/>
                <w:u w:val="none"/>
                <w:lang w:val="en-US" w:eastAsia="zh-CN"/>
              </w:rPr>
              <w:t>249.4</w:t>
            </w:r>
          </w:p>
        </w:tc>
        <w:tc>
          <w:tcPr>
            <w:tcW w:w="4290" w:type="dxa"/>
            <w:tcBorders>
              <w:top w:val="nil"/>
              <w:left w:val="nil"/>
              <w:bottom w:val="single" w:color="auto" w:sz="4" w:space="0"/>
              <w:right w:val="single" w:color="auto" w:sz="4" w:space="0"/>
            </w:tcBorders>
            <w:vAlign w:val="center"/>
          </w:tcPr>
          <w:p>
            <w:pPr>
              <w:spacing w:line="360" w:lineRule="auto"/>
              <w:jc w:val="center"/>
              <w:rPr>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1357" w:type="dxa"/>
            <w:tcBorders>
              <w:top w:val="single" w:color="auto" w:sz="4" w:space="0"/>
              <w:left w:val="single" w:color="auto" w:sz="4" w:space="0"/>
              <w:bottom w:val="single" w:color="000000" w:sz="4" w:space="0"/>
              <w:right w:val="single" w:color="auto" w:sz="4" w:space="0"/>
            </w:tcBorders>
            <w:vAlign w:val="center"/>
          </w:tcPr>
          <w:p>
            <w:pPr>
              <w:widowControl/>
              <w:spacing w:line="400" w:lineRule="exact"/>
              <w:jc w:val="center"/>
              <w:rPr>
                <w:kern w:val="0"/>
                <w:szCs w:val="21"/>
              </w:rPr>
            </w:pPr>
            <w:r>
              <w:rPr>
                <w:kern w:val="0"/>
                <w:szCs w:val="21"/>
              </w:rPr>
              <w:t>开发费用</w:t>
            </w:r>
          </w:p>
        </w:tc>
        <w:tc>
          <w:tcPr>
            <w:tcW w:w="1566" w:type="dxa"/>
            <w:tcBorders>
              <w:top w:val="nil"/>
              <w:left w:val="nil"/>
              <w:bottom w:val="single" w:color="auto" w:sz="4" w:space="0"/>
              <w:right w:val="single" w:color="auto" w:sz="4" w:space="0"/>
            </w:tcBorders>
            <w:vAlign w:val="center"/>
          </w:tcPr>
          <w:p>
            <w:pPr>
              <w:widowControl/>
              <w:spacing w:line="400" w:lineRule="exact"/>
              <w:jc w:val="center"/>
              <w:rPr>
                <w:kern w:val="0"/>
                <w:szCs w:val="21"/>
              </w:rPr>
            </w:pPr>
            <w:r>
              <w:rPr>
                <w:kern w:val="0"/>
                <w:szCs w:val="21"/>
              </w:rPr>
              <w:t>五通一平</w:t>
            </w:r>
          </w:p>
        </w:tc>
        <w:tc>
          <w:tcPr>
            <w:tcW w:w="1080" w:type="dxa"/>
            <w:tcBorders>
              <w:top w:val="nil"/>
              <w:left w:val="nil"/>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rPr>
              <w:t>150</w:t>
            </w:r>
          </w:p>
        </w:tc>
        <w:tc>
          <w:tcPr>
            <w:tcW w:w="4290" w:type="dxa"/>
            <w:tcBorders>
              <w:top w:val="nil"/>
              <w:left w:val="nil"/>
              <w:bottom w:val="single" w:color="auto" w:sz="4" w:space="0"/>
              <w:right w:val="single" w:color="auto" w:sz="4" w:space="0"/>
            </w:tcBorders>
            <w:vAlign w:val="center"/>
          </w:tcPr>
          <w:p>
            <w:pPr>
              <w:widowControl/>
              <w:spacing w:line="400" w:lineRule="exact"/>
              <w:jc w:val="center"/>
              <w:rPr>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1" w:hRule="atLeast"/>
          <w:jc w:val="center"/>
        </w:trPr>
        <w:tc>
          <w:tcPr>
            <w:tcW w:w="1357" w:type="dxa"/>
            <w:tcBorders>
              <w:top w:val="nil"/>
              <w:left w:val="single" w:color="auto" w:sz="4" w:space="0"/>
              <w:bottom w:val="single" w:color="auto" w:sz="4" w:space="0"/>
              <w:right w:val="single" w:color="auto" w:sz="4" w:space="0"/>
            </w:tcBorders>
            <w:vAlign w:val="center"/>
          </w:tcPr>
          <w:p>
            <w:pPr>
              <w:widowControl/>
              <w:spacing w:line="360" w:lineRule="auto"/>
              <w:ind w:left="-105" w:leftChars="-50" w:right="-105" w:rightChars="-50"/>
              <w:jc w:val="center"/>
              <w:rPr>
                <w:kern w:val="0"/>
                <w:szCs w:val="21"/>
              </w:rPr>
            </w:pPr>
            <w:r>
              <w:rPr>
                <w:kern w:val="0"/>
                <w:szCs w:val="21"/>
              </w:rPr>
              <w:t>投资利息</w:t>
            </w:r>
          </w:p>
        </w:tc>
        <w:tc>
          <w:tcPr>
            <w:tcW w:w="1566" w:type="dxa"/>
            <w:tcBorders>
              <w:top w:val="nil"/>
              <w:left w:val="nil"/>
              <w:bottom w:val="single" w:color="auto" w:sz="4" w:space="0"/>
              <w:right w:val="single" w:color="auto" w:sz="4" w:space="0"/>
            </w:tcBorders>
            <w:vAlign w:val="center"/>
          </w:tcPr>
          <w:p>
            <w:pPr>
              <w:spacing w:line="360" w:lineRule="auto"/>
              <w:jc w:val="center"/>
              <w:rPr>
                <w:szCs w:val="21"/>
              </w:rPr>
            </w:pPr>
          </w:p>
        </w:tc>
        <w:tc>
          <w:tcPr>
            <w:tcW w:w="1080" w:type="dxa"/>
            <w:tcBorders>
              <w:top w:val="nil"/>
              <w:left w:val="nil"/>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rPr>
              <w:t>21.65</w:t>
            </w:r>
          </w:p>
        </w:tc>
        <w:tc>
          <w:tcPr>
            <w:tcW w:w="4290" w:type="dxa"/>
            <w:tcBorders>
              <w:top w:val="nil"/>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取费标准</w:t>
            </w:r>
            <w:r>
              <w:rPr>
                <w:szCs w:val="21"/>
              </w:rPr>
              <w:t>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357" w:type="dxa"/>
            <w:tcBorders>
              <w:top w:val="nil"/>
              <w:left w:val="single" w:color="auto" w:sz="4" w:space="0"/>
              <w:bottom w:val="single" w:color="auto" w:sz="4" w:space="0"/>
              <w:right w:val="single" w:color="auto" w:sz="4" w:space="0"/>
            </w:tcBorders>
            <w:vAlign w:val="center"/>
          </w:tcPr>
          <w:p>
            <w:pPr>
              <w:widowControl/>
              <w:spacing w:line="360" w:lineRule="auto"/>
              <w:ind w:left="-105" w:leftChars="-50" w:right="-105" w:rightChars="-50"/>
              <w:jc w:val="center"/>
              <w:rPr>
                <w:kern w:val="0"/>
                <w:szCs w:val="21"/>
              </w:rPr>
            </w:pPr>
            <w:r>
              <w:rPr>
                <w:kern w:val="0"/>
                <w:szCs w:val="21"/>
              </w:rPr>
              <w:t>投资利润</w:t>
            </w:r>
          </w:p>
        </w:tc>
        <w:tc>
          <w:tcPr>
            <w:tcW w:w="1566" w:type="dxa"/>
            <w:tcBorders>
              <w:top w:val="nil"/>
              <w:left w:val="nil"/>
              <w:bottom w:val="single" w:color="auto" w:sz="4" w:space="0"/>
              <w:right w:val="single" w:color="auto" w:sz="4" w:space="0"/>
            </w:tcBorders>
            <w:vAlign w:val="center"/>
          </w:tcPr>
          <w:p>
            <w:pPr>
              <w:spacing w:line="360" w:lineRule="auto"/>
              <w:jc w:val="center"/>
              <w:rPr>
                <w:szCs w:val="21"/>
              </w:rPr>
            </w:pPr>
          </w:p>
        </w:tc>
        <w:tc>
          <w:tcPr>
            <w:tcW w:w="1080" w:type="dxa"/>
            <w:tcBorders>
              <w:top w:val="nil"/>
              <w:left w:val="nil"/>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rPr>
              <w:t>22.31</w:t>
            </w:r>
          </w:p>
        </w:tc>
        <w:tc>
          <w:tcPr>
            <w:tcW w:w="4290" w:type="dxa"/>
            <w:tcBorders>
              <w:top w:val="nil"/>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投资利润5.0%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357" w:type="dxa"/>
            <w:tcBorders>
              <w:top w:val="nil"/>
              <w:left w:val="single" w:color="auto" w:sz="4" w:space="0"/>
              <w:bottom w:val="single" w:color="auto" w:sz="4" w:space="0"/>
              <w:right w:val="single" w:color="auto" w:sz="4" w:space="0"/>
            </w:tcBorders>
            <w:vAlign w:val="center"/>
          </w:tcPr>
          <w:p>
            <w:pPr>
              <w:widowControl/>
              <w:spacing w:line="360" w:lineRule="auto"/>
              <w:ind w:left="-105" w:leftChars="-50" w:right="-105" w:rightChars="-50"/>
              <w:jc w:val="center"/>
              <w:rPr>
                <w:kern w:val="0"/>
                <w:szCs w:val="21"/>
              </w:rPr>
            </w:pPr>
            <w:r>
              <w:rPr>
                <w:kern w:val="0"/>
                <w:szCs w:val="21"/>
              </w:rPr>
              <w:t>土地增值收益</w:t>
            </w:r>
          </w:p>
        </w:tc>
        <w:tc>
          <w:tcPr>
            <w:tcW w:w="1566" w:type="dxa"/>
            <w:tcBorders>
              <w:top w:val="nil"/>
              <w:left w:val="nil"/>
              <w:bottom w:val="single" w:color="auto" w:sz="4" w:space="0"/>
              <w:right w:val="single" w:color="auto" w:sz="4" w:space="0"/>
            </w:tcBorders>
            <w:vAlign w:val="center"/>
          </w:tcPr>
          <w:p>
            <w:pPr>
              <w:spacing w:line="360" w:lineRule="auto"/>
              <w:jc w:val="center"/>
              <w:rPr>
                <w:szCs w:val="21"/>
              </w:rPr>
            </w:pPr>
          </w:p>
        </w:tc>
        <w:tc>
          <w:tcPr>
            <w:tcW w:w="1080" w:type="dxa"/>
            <w:tcBorders>
              <w:top w:val="nil"/>
              <w:left w:val="nil"/>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rPr>
              <w:t>36.64</w:t>
            </w:r>
          </w:p>
        </w:tc>
        <w:tc>
          <w:tcPr>
            <w:tcW w:w="4290" w:type="dxa"/>
            <w:tcBorders>
              <w:top w:val="nil"/>
              <w:left w:val="nil"/>
              <w:bottom w:val="single" w:color="auto" w:sz="4" w:space="0"/>
              <w:right w:val="single" w:color="auto" w:sz="4" w:space="0"/>
            </w:tcBorders>
            <w:vAlign w:val="center"/>
          </w:tcPr>
          <w:p>
            <w:pPr>
              <w:widowControl/>
              <w:spacing w:line="360" w:lineRule="auto"/>
              <w:jc w:val="center"/>
              <w:rPr>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2923" w:type="dxa"/>
            <w:gridSpan w:val="2"/>
            <w:tcBorders>
              <w:top w:val="single" w:color="auto" w:sz="4" w:space="0"/>
              <w:left w:val="single" w:color="auto" w:sz="4" w:space="0"/>
              <w:bottom w:val="single" w:color="auto" w:sz="4" w:space="0"/>
              <w:right w:val="single" w:color="000000" w:sz="4" w:space="0"/>
            </w:tcBorders>
            <w:vAlign w:val="center"/>
          </w:tcPr>
          <w:p>
            <w:pPr>
              <w:widowControl/>
              <w:spacing w:line="360" w:lineRule="auto"/>
              <w:jc w:val="center"/>
              <w:rPr>
                <w:kern w:val="0"/>
                <w:szCs w:val="21"/>
              </w:rPr>
            </w:pPr>
            <w:r>
              <w:rPr>
                <w:kern w:val="0"/>
                <w:szCs w:val="21"/>
              </w:rPr>
              <w:t>合计</w:t>
            </w:r>
          </w:p>
        </w:tc>
        <w:tc>
          <w:tcPr>
            <w:tcW w:w="1080" w:type="dxa"/>
            <w:tcBorders>
              <w:top w:val="nil"/>
              <w:left w:val="nil"/>
              <w:bottom w:val="single" w:color="auto" w:sz="4" w:space="0"/>
              <w:right w:val="single" w:color="auto" w:sz="4" w:space="0"/>
            </w:tcBorders>
            <w:vAlign w:val="center"/>
          </w:tcPr>
          <w:p>
            <w:pPr>
              <w:spacing w:line="360" w:lineRule="auto"/>
              <w:jc w:val="center"/>
              <w:rPr>
                <w:szCs w:val="21"/>
              </w:rPr>
            </w:pPr>
            <w:r>
              <w:rPr>
                <w:szCs w:val="21"/>
              </w:rPr>
              <w:t>4</w:t>
            </w:r>
            <w:r>
              <w:rPr>
                <w:rFonts w:hint="eastAsia"/>
                <w:szCs w:val="21"/>
              </w:rPr>
              <w:t>8</w:t>
            </w:r>
            <w:r>
              <w:rPr>
                <w:szCs w:val="21"/>
              </w:rPr>
              <w:t>0</w:t>
            </w:r>
          </w:p>
        </w:tc>
        <w:tc>
          <w:tcPr>
            <w:tcW w:w="4290" w:type="dxa"/>
            <w:tcBorders>
              <w:top w:val="nil"/>
              <w:left w:val="nil"/>
              <w:bottom w:val="single" w:color="auto" w:sz="4" w:space="0"/>
              <w:right w:val="single" w:color="auto" w:sz="4" w:space="0"/>
            </w:tcBorders>
            <w:vAlign w:val="center"/>
          </w:tcPr>
          <w:p>
            <w:pPr>
              <w:spacing w:line="360" w:lineRule="auto"/>
              <w:jc w:val="center"/>
              <w:rPr>
                <w:color w:val="000000"/>
                <w:szCs w:val="21"/>
              </w:rPr>
            </w:pPr>
          </w:p>
        </w:tc>
      </w:tr>
    </w:tbl>
    <w:p>
      <w:pPr>
        <w:spacing w:line="600" w:lineRule="exact"/>
        <w:ind w:firstLine="560" w:firstLineChars="200"/>
        <w:outlineLvl w:val="2"/>
        <w:rPr>
          <w:rFonts w:hint="eastAsia" w:ascii="黑体" w:eastAsia="黑体"/>
          <w:sz w:val="28"/>
          <w:szCs w:val="28"/>
        </w:rPr>
      </w:pPr>
      <w:bookmarkStart w:id="607" w:name="_Toc25408"/>
      <w:r>
        <w:rPr>
          <w:rFonts w:hint="eastAsia" w:eastAsia="黑体"/>
          <w:sz w:val="28"/>
          <w:szCs w:val="28"/>
        </w:rPr>
        <w:t>二、指数模型测算工矿仓储用地基准地价</w:t>
      </w:r>
      <w:bookmarkEnd w:id="607"/>
    </w:p>
    <w:p>
      <w:pPr>
        <w:spacing w:line="460" w:lineRule="exact"/>
        <w:ind w:firstLine="480" w:firstLineChars="200"/>
        <w:rPr>
          <w:sz w:val="24"/>
          <w:szCs w:val="22"/>
        </w:rPr>
      </w:pPr>
      <w:r>
        <w:rPr>
          <w:rFonts w:hint="eastAsia"/>
          <w:sz w:val="24"/>
          <w:szCs w:val="22"/>
        </w:rPr>
        <w:t>由于工矿仓储用地样点较少，采用均质区域平均地价法测算的结果不能准确反映工矿仓储用地级别价格，因此采用指数模型对工矿仓储用地基准地价进行测算。根据国内外的研究结果，工矿仓储用地基准地价与土地级别呈指数函数分布。同时，通过工矿仓储用地样点地价与土地级别二维关系散点图，发现二者呈指数函数分布，因此，选择指数模型Yn  =A(1+r)</w:t>
      </w:r>
      <w:r>
        <w:rPr>
          <w:rFonts w:hint="eastAsia"/>
          <w:sz w:val="24"/>
          <w:szCs w:val="22"/>
          <w:vertAlign w:val="superscript"/>
        </w:rPr>
        <w:t>5-n</w:t>
      </w:r>
      <w:r>
        <w:rPr>
          <w:rFonts w:hint="eastAsia"/>
          <w:sz w:val="24"/>
          <w:szCs w:val="22"/>
        </w:rPr>
        <w:t>作为工矿仓储用地级别基准地价的基本测算模型。</w:t>
      </w:r>
    </w:p>
    <w:p>
      <w:pPr>
        <w:shd w:val="clear" w:color="auto" w:fill="FFFFFF"/>
        <w:spacing w:line="460" w:lineRule="exact"/>
        <w:ind w:firstLine="480" w:firstLineChars="200"/>
        <w:rPr>
          <w:sz w:val="24"/>
        </w:rPr>
      </w:pPr>
      <w:r>
        <w:rPr>
          <w:sz w:val="24"/>
        </w:rPr>
        <w:t>确定了具体测算模型后，将样点地价资料代入指数模型，求出各因素系数的估价值。用最小二乘法求解因素系数估价值，工作步骤为：</w:t>
      </w:r>
    </w:p>
    <w:p>
      <w:pPr>
        <w:pStyle w:val="29"/>
        <w:shd w:val="clear" w:color="auto" w:fill="FFFFFF"/>
        <w:spacing w:line="460" w:lineRule="exact"/>
        <w:ind w:firstLine="480"/>
        <w:rPr>
          <w:sz w:val="24"/>
        </w:rPr>
      </w:pPr>
      <w:r>
        <w:rPr>
          <w:rFonts w:hint="eastAsia" w:ascii="宋体" w:hAnsi="宋体" w:cs="宋体"/>
          <w:sz w:val="24"/>
        </w:rPr>
        <w:t>①</w:t>
      </w:r>
      <w:r>
        <w:rPr>
          <w:sz w:val="24"/>
        </w:rPr>
        <w:t>线性变换。将指数模型作对数变换，使之转换为标准形式的线性模型Y=a+bx。</w:t>
      </w:r>
    </w:p>
    <w:p>
      <w:pPr>
        <w:pStyle w:val="29"/>
        <w:shd w:val="clear" w:color="auto" w:fill="FFFFFF"/>
        <w:spacing w:line="460" w:lineRule="exact"/>
        <w:ind w:firstLine="480"/>
        <w:rPr>
          <w:sz w:val="24"/>
        </w:rPr>
      </w:pPr>
      <w:r>
        <w:rPr>
          <w:rFonts w:hint="eastAsia" w:ascii="宋体" w:hAnsi="宋体" w:cs="宋体"/>
          <w:sz w:val="24"/>
        </w:rPr>
        <w:t>②</w:t>
      </w:r>
      <w:r>
        <w:rPr>
          <w:sz w:val="24"/>
        </w:rPr>
        <w:t>构造拟合误差的平方和Q。</w:t>
      </w:r>
    </w:p>
    <w:p>
      <w:pPr>
        <w:pStyle w:val="29"/>
        <w:shd w:val="clear" w:color="auto" w:fill="FFFFFF"/>
        <w:spacing w:line="460" w:lineRule="exact"/>
        <w:rPr>
          <w:sz w:val="24"/>
        </w:rPr>
      </w:pPr>
      <w:r>
        <w:rPr>
          <w:rFonts w:ascii="Times New Roman" w:hAnsi="Times New Roman" w:eastAsia="宋体" w:cs="Times New Roman"/>
          <w:kern w:val="2"/>
          <w:position w:val="-28"/>
          <w:sz w:val="21"/>
          <w:szCs w:val="24"/>
          <w:lang w:val="en-US" w:eastAsia="zh-CN" w:bidi="ar-SA"/>
        </w:rPr>
        <w:object>
          <v:shape id="Picture 23" type="#_x0000_t75" style="height:33.5pt;width:176.2pt;rotation:0f;" o:ole="t" fillcolor="#FFFFFF" filled="f" o:preferrelative="t" stroked="f" coordorigin="0,0" coordsize="21600,21600">
            <v:fill on="f" color2="#FFFFFF" focus="0%"/>
            <v:imagedata gain="65536f" blacklevel="0f" gamma="0" o:title="" r:id="rId109"/>
            <o:lock v:ext="edit" position="f" selection="f" grouping="f" rotation="f" cropping="f" text="f" aspectratio="t"/>
            <w10:wrap type="none"/>
            <w10:anchorlock/>
          </v:shape>
          <o:OLEObject Type="Embed" ProgID="" ShapeID="Picture 23" DrawAspect="Content" ObjectID="_255" r:id="rId108"/>
        </w:object>
      </w:r>
      <w:r>
        <w:t xml:space="preserve">                 </w:t>
      </w:r>
    </w:p>
    <w:p>
      <w:pPr>
        <w:pStyle w:val="29"/>
        <w:shd w:val="clear" w:color="auto" w:fill="FFFFFF"/>
        <w:spacing w:line="460" w:lineRule="exact"/>
        <w:ind w:left="480" w:firstLine="480"/>
        <w:rPr>
          <w:sz w:val="24"/>
        </w:rPr>
      </w:pPr>
      <w:r>
        <w:rPr>
          <w:rFonts w:hint="eastAsia" w:ascii="宋体" w:hAnsi="宋体" w:cs="宋体"/>
          <w:sz w:val="24"/>
        </w:rPr>
        <w:t>③</w:t>
      </w:r>
      <w:r>
        <w:rPr>
          <w:sz w:val="24"/>
        </w:rPr>
        <w:t>导出正规方程组。</w:t>
      </w:r>
    </w:p>
    <w:p>
      <w:pPr>
        <w:pStyle w:val="29"/>
        <w:shd w:val="clear" w:color="auto" w:fill="FFFFFF"/>
        <w:spacing w:line="460" w:lineRule="exact"/>
        <w:ind w:left="359" w:leftChars="171" w:firstLine="480"/>
        <w:rPr>
          <w:sz w:val="24"/>
        </w:rPr>
      </w:pPr>
      <w:r>
        <w:rPr>
          <w:sz w:val="24"/>
        </w:rPr>
        <w:t>要使Q达到最小，按照多元函数求极值的方法，分别取Q关于a和b的偏导数，并令它们等于0。</w:t>
      </w:r>
    </w:p>
    <w:p>
      <w:pPr>
        <w:pStyle w:val="29"/>
        <w:shd w:val="clear" w:color="auto" w:fill="FFFFFF"/>
        <w:spacing w:line="460" w:lineRule="exact"/>
        <w:rPr>
          <w:sz w:val="24"/>
        </w:rPr>
      </w:pPr>
      <w:r>
        <w:rPr>
          <w:rFonts w:ascii="Times New Roman" w:hAnsi="Times New Roman" w:eastAsia="宋体" w:cs="Times New Roman"/>
          <w:kern w:val="2"/>
          <w:sz w:val="21"/>
          <w:szCs w:val="24"/>
          <w:lang w:val="en-US" w:eastAsia="zh-CN" w:bidi="ar-SA"/>
        </w:rPr>
        <w:pict>
          <v:shape id="Picture 449" type="#_x0000_t75" style="position:absolute;left:0;margin-left:66.85pt;margin-top:2.15pt;height:33.75pt;width:141pt;rotation:0f;z-index:251729920;" o:ole="t" fillcolor="#FFFFFF" filled="f" o:preferrelative="t" stroked="f" coordorigin="0,0" coordsize="21600,21600">
            <v:fill on="f" color2="#FFFFFF" focus="0%"/>
            <v:imagedata gain="65536f" blacklevel="0f" gamma="0" o:title="" r:id="rId111"/>
            <o:lock v:ext="edit" position="f" selection="f" grouping="f" rotation="f" cropping="f" text="f" aspectratio="t"/>
          </v:shape>
          <o:OLEObject Type="Embed" ProgID="" ShapeID="Picture 449" DrawAspect="Content" ObjectID="_256" r:id="rId110"/>
        </w:pict>
      </w:r>
      <w:r>
        <w:rPr>
          <w:rFonts w:ascii="Times New Roman" w:hAnsi="Times New Roman" w:eastAsia="宋体" w:cs="Times New Roman"/>
          <w:kern w:val="2"/>
          <w:sz w:val="24"/>
          <w:szCs w:val="24"/>
          <w:lang w:val="en-US" w:eastAsia="zh-CN" w:bidi="ar-SA"/>
        </w:rPr>
        <w:object>
          <v:shape id="Picture 24" type="#_x0000_t75" style="height:17.4pt;width:9.95pt;rotation:0f;" o:ole="t" fillcolor="#FFFFFF" filled="f" o:preferrelative="t" stroked="f" coordorigin="0,0" coordsize="21600,21600">
            <v:fill on="f" color2="#FFFFFF" focus="0%"/>
            <v:imagedata gain="65536f" blacklevel="0f" gamma="0" o:title="" r:id="rId113"/>
            <o:lock v:ext="edit" position="f" selection="f" grouping="f" rotation="f" cropping="f" text="f" aspectratio="t"/>
            <w10:wrap type="none"/>
            <w10:anchorlock/>
          </v:shape>
          <o:OLEObject Type="Embed" ProgID="" ShapeID="Picture 24" DrawAspect="Content" ObjectID="_257" r:id="rId112"/>
        </w:object>
      </w:r>
      <w:r>
        <w:t xml:space="preserve">                                                   </w:t>
      </w:r>
    </w:p>
    <w:p>
      <w:pPr>
        <w:pStyle w:val="29"/>
        <w:shd w:val="clear" w:color="auto" w:fill="FFFFFF"/>
        <w:spacing w:line="460" w:lineRule="exact"/>
        <w:rPr>
          <w:sz w:val="24"/>
        </w:rPr>
      </w:pPr>
      <w:r>
        <w:rPr>
          <w:rFonts w:ascii="Times New Roman" w:hAnsi="Times New Roman" w:eastAsia="宋体" w:cs="Times New Roman"/>
          <w:kern w:val="2"/>
          <w:sz w:val="21"/>
          <w:szCs w:val="24"/>
          <w:lang w:val="en-US" w:eastAsia="zh-CN" w:bidi="ar-SA"/>
        </w:rPr>
        <w:pict>
          <v:shape id="Picture 450" type="#_x0000_t75" style="position:absolute;left:0;margin-left:66.85pt;margin-top:12.9pt;height:33.75pt;width:153.75pt;mso-wrap-distance-bottom:0pt;mso-wrap-distance-top:0pt;rotation:0f;z-index:251730944;" o:ole="t" fillcolor="#FFFFFF" filled="f" o:preferrelative="t" stroked="f" coordorigin="0,0" coordsize="21600,21600">
            <v:fill on="f" color2="#FFFFFF" focus="0%"/>
            <v:imagedata gain="65536f" blacklevel="0f" gamma="0" o:title="" r:id="rId115"/>
            <o:lock v:ext="edit" position="f" selection="f" grouping="f" rotation="f" cropping="f" text="f" aspectratio="t"/>
            <w10:wrap type="topAndBottom"/>
          </v:shape>
          <o:OLEObject Type="Embed" ProgID="" ShapeID="Picture 450" DrawAspect="Content" ObjectID="_258" r:id="rId114"/>
        </w:pict>
      </w:r>
      <w:r>
        <w:rPr>
          <w:sz w:val="24"/>
        </w:rPr>
        <w:t>整理后，得方程组</w:t>
      </w:r>
    </w:p>
    <w:p>
      <w:pPr>
        <w:pStyle w:val="29"/>
        <w:shd w:val="clear" w:color="auto" w:fill="FFFFFF"/>
        <w:tabs>
          <w:tab w:val="left" w:pos="4785"/>
        </w:tabs>
        <w:spacing w:line="460" w:lineRule="exact"/>
        <w:ind w:left="569" w:leftChars="271" w:firstLine="480"/>
        <w:rPr>
          <w:sz w:val="24"/>
        </w:rPr>
      </w:pPr>
      <w:r>
        <w:rPr>
          <w:rFonts w:ascii="Times New Roman" w:hAnsi="Times New Roman" w:eastAsia="宋体" w:cs="Times New Roman"/>
          <w:kern w:val="2"/>
          <w:sz w:val="24"/>
          <w:szCs w:val="24"/>
          <w:lang w:val="en-US" w:eastAsia="zh-CN" w:bidi="ar-SA"/>
        </w:rPr>
        <w:object>
          <v:shape id="Picture 25" type="#_x0000_t75" style="height:18.6pt;width:72pt;rotation:0f;" o:ole="t" fillcolor="#FFFFFF" filled="f" o:preferrelative="t" stroked="f" coordorigin="0,0" coordsize="21600,21600">
            <v:fill on="f" color2="#FFFFFF" focus="0%"/>
            <v:imagedata gain="65536f" blacklevel="0f" gamma="0" o:title="" r:id="rId117"/>
            <o:lock v:ext="edit" position="f" selection="f" grouping="f" rotation="f" cropping="f" text="f" aspectratio="t"/>
            <w10:wrap type="none"/>
            <w10:anchorlock/>
          </v:shape>
          <o:OLEObject Type="Embed" ProgID="" ShapeID="Picture 25" DrawAspect="Content" ObjectID="_259" r:id="rId116"/>
        </w:object>
      </w:r>
      <w:r>
        <w:rPr>
          <w:sz w:val="24"/>
        </w:rPr>
        <w:t xml:space="preserve">                 </w:t>
      </w:r>
    </w:p>
    <w:p>
      <w:pPr>
        <w:pStyle w:val="29"/>
        <w:shd w:val="clear" w:color="auto" w:fill="FFFFFF"/>
        <w:tabs>
          <w:tab w:val="left" w:pos="4785"/>
        </w:tabs>
        <w:spacing w:line="460" w:lineRule="exact"/>
        <w:ind w:left="569" w:leftChars="271"/>
        <w:rPr>
          <w:sz w:val="24"/>
        </w:rPr>
      </w:pPr>
      <w:r>
        <w:rPr>
          <w:rFonts w:ascii="Times New Roman" w:hAnsi="Times New Roman" w:eastAsia="宋体" w:cs="Times New Roman"/>
          <w:kern w:val="2"/>
          <w:position w:val="-28"/>
          <w:sz w:val="21"/>
          <w:szCs w:val="24"/>
          <w:lang w:val="en-US" w:eastAsia="zh-CN" w:bidi="ar-SA"/>
        </w:rPr>
        <w:object>
          <v:shape id="Picture 26" type="#_x0000_t75" style="height:33.5pt;width:110.55pt;rotation:0f;" o:ole="t" fillcolor="#FFFFFF" filled="f" o:preferrelative="t" stroked="f" coordorigin="0,0" coordsize="21600,21600">
            <v:fill on="f" color2="#FFFFFF" focus="0%"/>
            <v:imagedata gain="65536f" blacklevel="0f" gamma="0" o:title="" r:id="rId119"/>
            <o:lock v:ext="edit" position="f" selection="f" grouping="f" rotation="f" cropping="f" text="f" aspectratio="t"/>
            <w10:wrap type="none"/>
            <w10:anchorlock/>
          </v:shape>
          <o:OLEObject Type="Embed" ProgID="" ShapeID="Picture 26" DrawAspect="Content" ObjectID="_260" r:id="rId118"/>
        </w:object>
      </w:r>
      <w:r>
        <w:rPr>
          <w:sz w:val="24"/>
        </w:rPr>
        <w:t xml:space="preserve">          </w:t>
      </w:r>
    </w:p>
    <w:p>
      <w:pPr>
        <w:pStyle w:val="29"/>
        <w:shd w:val="clear" w:color="auto" w:fill="FFFFFF"/>
        <w:spacing w:line="460" w:lineRule="exact"/>
        <w:ind w:left="480" w:firstLine="480"/>
        <w:rPr>
          <w:sz w:val="24"/>
        </w:rPr>
      </w:pPr>
      <w:r>
        <w:rPr>
          <w:sz w:val="24"/>
        </w:rPr>
        <w:t>求解正规方程组。</w:t>
      </w:r>
    </w:p>
    <w:p>
      <w:pPr>
        <w:pStyle w:val="29"/>
        <w:shd w:val="clear" w:color="auto" w:fill="FFFFFF"/>
        <w:spacing w:line="460" w:lineRule="exact"/>
        <w:ind w:left="360" w:firstLine="480"/>
        <w:rPr>
          <w:sz w:val="24"/>
        </w:rPr>
      </w:pPr>
      <w:r>
        <w:rPr>
          <w:sz w:val="24"/>
        </w:rPr>
        <w:t xml:space="preserve">上述正规方程组有唯一的一组解，解出a、b的估价值分别为： </w:t>
      </w:r>
    </w:p>
    <w:p>
      <w:pPr>
        <w:pStyle w:val="29"/>
        <w:shd w:val="clear" w:color="auto" w:fill="FFFFFF"/>
        <w:spacing w:line="460" w:lineRule="exact"/>
        <w:ind w:left="569" w:leftChars="271" w:firstLine="480"/>
        <w:rPr>
          <w:sz w:val="24"/>
        </w:rPr>
      </w:pPr>
      <w:r>
        <w:rPr>
          <w:rFonts w:ascii="Times New Roman" w:hAnsi="Times New Roman" w:eastAsia="宋体" w:cs="Times New Roman"/>
          <w:kern w:val="2"/>
          <w:sz w:val="24"/>
          <w:szCs w:val="24"/>
          <w:lang w:val="en-US" w:eastAsia="zh-CN" w:bidi="ar-SA"/>
        </w:rPr>
        <w:object>
          <v:shape id="Picture 27" type="#_x0000_t75" style="height:18.6pt;width:53.4pt;rotation:0f;" o:ole="t" fillcolor="#FFFFFF" filled="f" o:preferrelative="t" stroked="f" coordorigin="0,0" coordsize="21600,21600">
            <v:fill on="f" color2="#FFFFFF" focus="0%"/>
            <v:imagedata gain="65536f" blacklevel="0f" gamma="0" o:title="" r:id="rId121"/>
            <o:lock v:ext="edit" position="f" selection="f" grouping="f" rotation="f" cropping="f" text="f" aspectratio="t"/>
            <w10:wrap type="none"/>
            <w10:anchorlock/>
          </v:shape>
          <o:OLEObject Type="Embed" ProgID="" ShapeID="Picture 27" DrawAspect="Content" ObjectID="_261" r:id="rId120"/>
        </w:object>
      </w:r>
      <w:r>
        <w:rPr>
          <w:sz w:val="24"/>
        </w:rPr>
        <w:t xml:space="preserve">                             </w:t>
      </w:r>
    </w:p>
    <w:p>
      <w:pPr>
        <w:pStyle w:val="29"/>
        <w:shd w:val="clear" w:color="auto" w:fill="FFFFFF"/>
        <w:spacing w:line="460" w:lineRule="exact"/>
        <w:ind w:left="569" w:leftChars="271"/>
        <w:rPr>
          <w:sz w:val="24"/>
        </w:rPr>
      </w:pPr>
      <w:r>
        <w:rPr>
          <w:rFonts w:ascii="Times New Roman" w:hAnsi="Times New Roman" w:eastAsia="宋体" w:cs="Times New Roman"/>
          <w:kern w:val="2"/>
          <w:sz w:val="21"/>
          <w:szCs w:val="24"/>
          <w:lang w:val="en-US" w:eastAsia="zh-CN" w:bidi="ar-SA"/>
        </w:rPr>
        <w:pict>
          <v:shape id="Picture 451" type="#_x0000_t75" style="position:absolute;left:0;margin-left:52.2pt;margin-top:2.1pt;height:66pt;width:186pt;mso-wrap-distance-bottom:0pt;mso-wrap-distance-top:0pt;rotation:0f;z-index:251731968;" o:ole="t" fillcolor="#FFFFFF" filled="f" o:preferrelative="t" stroked="f" coordorigin="0,0" coordsize="21600,21600">
            <v:fill on="f" color2="#FFFFFF" focus="0%"/>
            <v:imagedata gain="65536f" blacklevel="0f" gamma="0" o:title="" r:id="rId123"/>
            <o:lock v:ext="edit" position="f" selection="f" grouping="f" rotation="f" cropping="f" text="f" aspectratio="t"/>
            <w10:wrap type="topAndBottom"/>
          </v:shape>
          <o:OLEObject Type="Embed" ProgID="" ShapeID="Picture 451" DrawAspect="Content" ObjectID="_262" r:id="rId122"/>
        </w:pict>
      </w:r>
      <w:r>
        <w:rPr>
          <w:rFonts w:hint="eastAsia" w:ascii="宋体" w:hAnsi="宋体" w:cs="宋体"/>
          <w:sz w:val="24"/>
        </w:rPr>
        <w:t>④</w:t>
      </w:r>
      <w:r>
        <w:rPr>
          <w:sz w:val="24"/>
        </w:rPr>
        <w:t>确定因素系数估价值。</w:t>
      </w:r>
    </w:p>
    <w:p>
      <w:pPr>
        <w:shd w:val="clear" w:color="auto" w:fill="FFFFFF"/>
        <w:spacing w:line="460" w:lineRule="exact"/>
        <w:ind w:left="359" w:leftChars="171" w:firstLine="480" w:firstLineChars="200"/>
        <w:rPr>
          <w:sz w:val="24"/>
        </w:rPr>
      </w:pPr>
      <w:r>
        <w:rPr>
          <w:sz w:val="24"/>
        </w:rPr>
        <w:t>将样点地价数据输入计算机，先作对数变换，再代入上式，求的a、b的估价值，再取其反对数即可求得待定系数A=</w:t>
      </w:r>
      <w:r>
        <w:rPr>
          <w:rFonts w:hint="eastAsia"/>
          <w:sz w:val="24"/>
        </w:rPr>
        <w:t>480</w:t>
      </w:r>
      <w:r>
        <w:rPr>
          <w:sz w:val="24"/>
        </w:rPr>
        <w:t>，r=0.</w:t>
      </w:r>
      <w:r>
        <w:rPr>
          <w:rFonts w:hint="eastAsia"/>
          <w:sz w:val="24"/>
        </w:rPr>
        <w:t>2779</w:t>
      </w:r>
      <w:r>
        <w:rPr>
          <w:sz w:val="24"/>
        </w:rPr>
        <w:t>。因为可能存在的样本数据系统误差、数学模型的设定错误、模型变量选择不当等都会导致估价值的较大偏差。因此，必须对系数估价值的可靠性加以检验。</w:t>
      </w:r>
    </w:p>
    <w:p>
      <w:pPr>
        <w:shd w:val="clear" w:color="auto" w:fill="FFFFFF"/>
        <w:spacing w:line="460" w:lineRule="exact"/>
        <w:ind w:left="359" w:leftChars="171" w:firstLine="480" w:firstLineChars="200"/>
        <w:rPr>
          <w:sz w:val="24"/>
        </w:rPr>
      </w:pPr>
      <w:r>
        <w:rPr>
          <w:sz w:val="24"/>
        </w:rPr>
        <w:t>Y</w:t>
      </w:r>
      <w:r>
        <w:rPr>
          <w:sz w:val="24"/>
          <w:vertAlign w:val="subscript"/>
        </w:rPr>
        <w:t xml:space="preserve">n  </w:t>
      </w:r>
      <w:r>
        <w:rPr>
          <w:sz w:val="24"/>
        </w:rPr>
        <w:t>=</w:t>
      </w:r>
      <w:r>
        <w:rPr>
          <w:rFonts w:hint="eastAsia"/>
          <w:sz w:val="24"/>
        </w:rPr>
        <w:t>480</w:t>
      </w:r>
      <w:r>
        <w:rPr>
          <w:sz w:val="24"/>
        </w:rPr>
        <w:t>*(1+0.</w:t>
      </w:r>
      <w:r>
        <w:rPr>
          <w:rFonts w:hint="eastAsia"/>
          <w:sz w:val="24"/>
        </w:rPr>
        <w:t xml:space="preserve"> 2776</w:t>
      </w:r>
      <w:r>
        <w:rPr>
          <w:sz w:val="24"/>
        </w:rPr>
        <w:t>)</w:t>
      </w:r>
      <w:r>
        <w:rPr>
          <w:sz w:val="24"/>
          <w:vertAlign w:val="superscript"/>
        </w:rPr>
        <w:t xml:space="preserve"> </w:t>
      </w:r>
      <w:r>
        <w:rPr>
          <w:rFonts w:hint="eastAsia"/>
          <w:sz w:val="24"/>
          <w:vertAlign w:val="superscript"/>
        </w:rPr>
        <w:t>5-n</w:t>
      </w:r>
    </w:p>
    <w:p>
      <w:pPr>
        <w:shd w:val="clear" w:color="auto" w:fill="FFFFFF"/>
        <w:spacing w:line="460" w:lineRule="exact"/>
        <w:ind w:left="359" w:leftChars="171" w:firstLine="480" w:firstLineChars="200"/>
        <w:rPr>
          <w:sz w:val="24"/>
        </w:rPr>
      </w:pPr>
      <w:r>
        <w:rPr>
          <w:sz w:val="24"/>
        </w:rPr>
        <w:t>本次基准地价成果更新从经济意义检验和数理统计检验两方面对因素系数估价值进行可靠性检验。经济意义检验：经济意义检验一般从符号和值域两个方面进行检验。系数A和r的估价值都大于零，说明边缘地区基准地价大于零，且向市中心逐渐递增。因此，符号检验是合格的。从值域上来看，A=</w:t>
      </w:r>
      <w:r>
        <w:rPr>
          <w:rFonts w:hint="eastAsia"/>
          <w:sz w:val="24"/>
        </w:rPr>
        <w:t>480</w:t>
      </w:r>
      <w:r>
        <w:rPr>
          <w:sz w:val="24"/>
        </w:rPr>
        <w:t>，即</w:t>
      </w:r>
      <w:r>
        <w:rPr>
          <w:rFonts w:hint="eastAsia"/>
          <w:sz w:val="24"/>
        </w:rPr>
        <w:t>五</w:t>
      </w:r>
      <w:r>
        <w:rPr>
          <w:sz w:val="24"/>
        </w:rPr>
        <w:t>级工矿仓储用地基准地价为</w:t>
      </w:r>
      <w:r>
        <w:rPr>
          <w:rFonts w:hint="eastAsia"/>
          <w:sz w:val="24"/>
        </w:rPr>
        <w:t>480</w:t>
      </w:r>
      <w:r>
        <w:rPr>
          <w:sz w:val="24"/>
        </w:rPr>
        <w:t>元/平方米，符合实际情况。数理统计检验：模型中的相关系数R=0.9</w:t>
      </w:r>
      <w:r>
        <w:rPr>
          <w:rFonts w:hint="eastAsia"/>
          <w:sz w:val="24"/>
        </w:rPr>
        <w:t>896</w:t>
      </w:r>
      <w:r>
        <w:rPr>
          <w:sz w:val="24"/>
        </w:rPr>
        <w:t>，远大于其临界值，数理统计检验结果表明基准地价与土地级别呈显著相关，模型拟合度</w:t>
      </w:r>
      <w:r>
        <w:rPr>
          <w:rFonts w:hint="eastAsia"/>
          <w:sz w:val="24"/>
        </w:rPr>
        <w:t>非常</w:t>
      </w:r>
      <w:r>
        <w:rPr>
          <w:sz w:val="24"/>
        </w:rPr>
        <w:t>好。</w:t>
      </w:r>
    </w:p>
    <w:p>
      <w:pPr>
        <w:shd w:val="clear" w:color="auto" w:fill="FFFFFF"/>
        <w:spacing w:line="460" w:lineRule="exact"/>
        <w:ind w:left="359" w:leftChars="171" w:firstLine="480" w:firstLineChars="200"/>
        <w:rPr>
          <w:sz w:val="24"/>
        </w:rPr>
      </w:pPr>
      <w:r>
        <w:rPr>
          <w:sz w:val="24"/>
        </w:rPr>
        <w:t>据此，对</w:t>
      </w:r>
      <w:r>
        <w:rPr>
          <w:rFonts w:hint="eastAsia"/>
          <w:sz w:val="24"/>
        </w:rPr>
        <w:t>长沙县工矿仓储</w:t>
      </w:r>
      <w:r>
        <w:rPr>
          <w:sz w:val="24"/>
        </w:rPr>
        <w:t>用地基准地价进行测算，结果如下：</w:t>
      </w:r>
    </w:p>
    <w:p>
      <w:pPr>
        <w:spacing w:line="360" w:lineRule="auto"/>
        <w:jc w:val="center"/>
        <w:rPr>
          <w:b/>
          <w:sz w:val="24"/>
          <w:szCs w:val="24"/>
        </w:rPr>
      </w:pPr>
      <w:r>
        <w:rPr>
          <w:rFonts w:hint="eastAsia"/>
          <w:b/>
          <w:sz w:val="24"/>
          <w:szCs w:val="24"/>
        </w:rPr>
        <w:t>表3-4-3 指数模型法测算的城区工矿仓储用地级别基准地价表</w:t>
      </w:r>
    </w:p>
    <w:p>
      <w:pPr>
        <w:shd w:val="clear" w:color="auto" w:fill="FFFFFF"/>
        <w:ind w:right="735" w:firstLine="420" w:firstLineChars="200"/>
        <w:jc w:val="right"/>
        <w:rPr>
          <w:color w:val="000000"/>
          <w:szCs w:val="21"/>
          <w:vertAlign w:val="superscript"/>
        </w:rPr>
      </w:pPr>
      <w:r>
        <w:rPr>
          <w:szCs w:val="21"/>
        </w:rPr>
        <w:t>单位：</w:t>
      </w:r>
      <w:r>
        <w:rPr>
          <w:color w:val="000000"/>
          <w:szCs w:val="21"/>
        </w:rPr>
        <w:t>元/m</w:t>
      </w:r>
      <w:r>
        <w:rPr>
          <w:color w:val="000000"/>
          <w:szCs w:val="21"/>
          <w:vertAlign w:val="superscript"/>
        </w:rPr>
        <w:t>2</w:t>
      </w:r>
    </w:p>
    <w:tbl>
      <w:tblP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375"/>
        <w:gridCol w:w="1278"/>
        <w:gridCol w:w="1166"/>
        <w:gridCol w:w="1416"/>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exact"/>
          <w:jc w:val="center"/>
        </w:trPr>
        <w:tc>
          <w:tcPr>
            <w:tcW w:w="2126" w:type="dxa"/>
            <w:vAlign w:val="center"/>
          </w:tcPr>
          <w:p>
            <w:pPr>
              <w:shd w:val="clear" w:color="auto" w:fill="FFFFFF"/>
              <w:jc w:val="center"/>
              <w:rPr>
                <w:szCs w:val="21"/>
              </w:rPr>
            </w:pPr>
            <w:r>
              <w:rPr>
                <w:szCs w:val="21"/>
              </w:rPr>
              <w:t>土地级别</w:t>
            </w:r>
          </w:p>
        </w:tc>
        <w:tc>
          <w:tcPr>
            <w:tcW w:w="1375" w:type="dxa"/>
            <w:vAlign w:val="center"/>
          </w:tcPr>
          <w:p>
            <w:pPr>
              <w:shd w:val="clear" w:color="auto" w:fill="FFFFFF"/>
              <w:jc w:val="center"/>
              <w:rPr>
                <w:szCs w:val="21"/>
              </w:rPr>
            </w:pPr>
            <w:r>
              <w:rPr>
                <w:rFonts w:hint="eastAsia" w:ascii="宋体" w:hAnsi="宋体" w:cs="宋体"/>
                <w:szCs w:val="21"/>
              </w:rPr>
              <w:t>Ⅰ</w:t>
            </w:r>
          </w:p>
        </w:tc>
        <w:tc>
          <w:tcPr>
            <w:tcW w:w="1278" w:type="dxa"/>
            <w:vAlign w:val="center"/>
          </w:tcPr>
          <w:p>
            <w:pPr>
              <w:shd w:val="clear" w:color="auto" w:fill="FFFFFF"/>
              <w:jc w:val="center"/>
              <w:rPr>
                <w:szCs w:val="21"/>
              </w:rPr>
            </w:pPr>
            <w:r>
              <w:rPr>
                <w:rFonts w:hint="eastAsia" w:ascii="宋体" w:hAnsi="宋体" w:cs="宋体"/>
                <w:szCs w:val="21"/>
              </w:rPr>
              <w:t>Ⅱ</w:t>
            </w:r>
          </w:p>
        </w:tc>
        <w:tc>
          <w:tcPr>
            <w:tcW w:w="1166" w:type="dxa"/>
            <w:vAlign w:val="center"/>
          </w:tcPr>
          <w:p>
            <w:pPr>
              <w:shd w:val="clear" w:color="auto" w:fill="FFFFFF"/>
              <w:jc w:val="center"/>
              <w:rPr>
                <w:szCs w:val="21"/>
              </w:rPr>
            </w:pPr>
            <w:r>
              <w:rPr>
                <w:rFonts w:hint="eastAsia" w:ascii="宋体" w:hAnsi="宋体" w:cs="宋体"/>
                <w:szCs w:val="21"/>
              </w:rPr>
              <w:t>Ⅲ</w:t>
            </w:r>
          </w:p>
        </w:tc>
        <w:tc>
          <w:tcPr>
            <w:tcW w:w="1416" w:type="dxa"/>
            <w:vAlign w:val="center"/>
          </w:tcPr>
          <w:p>
            <w:pPr>
              <w:shd w:val="clear" w:color="auto" w:fill="FFFFFF"/>
              <w:jc w:val="center"/>
              <w:rPr>
                <w:szCs w:val="21"/>
              </w:rPr>
            </w:pPr>
            <w:r>
              <w:rPr>
                <w:rFonts w:hint="eastAsia" w:ascii="宋体" w:hAnsi="宋体" w:cs="宋体"/>
                <w:szCs w:val="21"/>
              </w:rPr>
              <w:t>Ⅳ</w:t>
            </w:r>
          </w:p>
        </w:tc>
        <w:tc>
          <w:tcPr>
            <w:tcW w:w="1161" w:type="dxa"/>
            <w:vAlign w:val="center"/>
          </w:tcPr>
          <w:p>
            <w:pPr>
              <w:shd w:val="clear" w:color="auto" w:fill="FFFFFF"/>
              <w:jc w:val="center"/>
              <w:rPr>
                <w:szCs w:val="21"/>
              </w:rPr>
            </w:pPr>
            <w:r>
              <w:rPr>
                <w:rFonts w:hint="eastAsia" w:ascii="宋体" w:hAnsi="宋体" w:cs="宋体"/>
                <w:szCs w:val="21"/>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exact"/>
          <w:jc w:val="center"/>
        </w:trPr>
        <w:tc>
          <w:tcPr>
            <w:tcW w:w="2126" w:type="dxa"/>
            <w:vAlign w:val="center"/>
          </w:tcPr>
          <w:p>
            <w:pPr>
              <w:shd w:val="clear" w:color="auto" w:fill="FFFFFF"/>
              <w:jc w:val="center"/>
              <w:rPr>
                <w:szCs w:val="21"/>
              </w:rPr>
            </w:pPr>
            <w:r>
              <w:rPr>
                <w:szCs w:val="21"/>
              </w:rPr>
              <w:t>工矿仓储用地</w:t>
            </w:r>
          </w:p>
        </w:tc>
        <w:tc>
          <w:tcPr>
            <w:tcW w:w="1375" w:type="dxa"/>
            <w:vAlign w:val="center"/>
          </w:tcPr>
          <w:p>
            <w:pPr>
              <w:jc w:val="center"/>
              <w:rPr>
                <w:rFonts w:ascii="宋体" w:hAnsi="宋体" w:cs="宋体"/>
                <w:color w:val="000000"/>
                <w:sz w:val="22"/>
                <w:szCs w:val="22"/>
              </w:rPr>
            </w:pPr>
            <w:r>
              <w:rPr>
                <w:rFonts w:hint="eastAsia"/>
                <w:color w:val="000000"/>
                <w:sz w:val="22"/>
                <w:szCs w:val="22"/>
              </w:rPr>
              <w:t>1280</w:t>
            </w:r>
          </w:p>
        </w:tc>
        <w:tc>
          <w:tcPr>
            <w:tcW w:w="1278" w:type="dxa"/>
            <w:vAlign w:val="center"/>
          </w:tcPr>
          <w:p>
            <w:pPr>
              <w:jc w:val="center"/>
              <w:rPr>
                <w:rFonts w:ascii="宋体" w:hAnsi="宋体" w:cs="宋体"/>
                <w:color w:val="000000"/>
                <w:sz w:val="22"/>
                <w:szCs w:val="22"/>
              </w:rPr>
            </w:pPr>
            <w:r>
              <w:rPr>
                <w:rFonts w:hint="eastAsia"/>
                <w:color w:val="000000"/>
                <w:sz w:val="22"/>
                <w:szCs w:val="22"/>
              </w:rPr>
              <w:t>1000</w:t>
            </w:r>
          </w:p>
        </w:tc>
        <w:tc>
          <w:tcPr>
            <w:tcW w:w="1166" w:type="dxa"/>
            <w:vAlign w:val="center"/>
          </w:tcPr>
          <w:p>
            <w:pPr>
              <w:jc w:val="center"/>
              <w:rPr>
                <w:rFonts w:ascii="宋体" w:hAnsi="宋体" w:cs="宋体"/>
                <w:color w:val="000000"/>
                <w:sz w:val="22"/>
                <w:szCs w:val="22"/>
              </w:rPr>
            </w:pPr>
            <w:r>
              <w:rPr>
                <w:rFonts w:hint="eastAsia"/>
                <w:color w:val="000000"/>
                <w:sz w:val="22"/>
                <w:szCs w:val="22"/>
              </w:rPr>
              <w:t>780</w:t>
            </w:r>
          </w:p>
        </w:tc>
        <w:tc>
          <w:tcPr>
            <w:tcW w:w="1416" w:type="dxa"/>
            <w:vAlign w:val="center"/>
          </w:tcPr>
          <w:p>
            <w:pPr>
              <w:jc w:val="center"/>
              <w:rPr>
                <w:rFonts w:ascii="宋体" w:hAnsi="宋体" w:cs="宋体"/>
                <w:color w:val="000000"/>
                <w:sz w:val="22"/>
                <w:szCs w:val="22"/>
              </w:rPr>
            </w:pPr>
            <w:r>
              <w:rPr>
                <w:rFonts w:hint="eastAsia"/>
                <w:color w:val="000000"/>
                <w:sz w:val="22"/>
                <w:szCs w:val="22"/>
              </w:rPr>
              <w:t>610</w:t>
            </w:r>
          </w:p>
        </w:tc>
        <w:tc>
          <w:tcPr>
            <w:tcW w:w="1161" w:type="dxa"/>
            <w:vAlign w:val="center"/>
          </w:tcPr>
          <w:p>
            <w:pPr>
              <w:jc w:val="center"/>
              <w:rPr>
                <w:rFonts w:ascii="宋体" w:hAnsi="宋体" w:cs="宋体"/>
                <w:color w:val="000000"/>
                <w:sz w:val="22"/>
                <w:szCs w:val="22"/>
              </w:rPr>
            </w:pPr>
            <w:r>
              <w:rPr>
                <w:rFonts w:hint="eastAsia"/>
                <w:color w:val="000000"/>
                <w:sz w:val="22"/>
                <w:szCs w:val="22"/>
              </w:rPr>
              <w:t>480</w:t>
            </w:r>
          </w:p>
        </w:tc>
      </w:tr>
    </w:tbl>
    <w:p>
      <w:pPr>
        <w:spacing w:line="600" w:lineRule="exact"/>
        <w:ind w:firstLine="560" w:firstLineChars="200"/>
        <w:outlineLvl w:val="2"/>
        <w:rPr>
          <w:rFonts w:eastAsia="黑体"/>
          <w:sz w:val="28"/>
          <w:szCs w:val="28"/>
        </w:rPr>
      </w:pPr>
      <w:bookmarkStart w:id="608" w:name="_Toc469296475"/>
      <w:bookmarkStart w:id="609" w:name="_Toc10854"/>
      <w:r>
        <w:rPr>
          <w:rFonts w:eastAsia="黑体"/>
          <w:sz w:val="28"/>
          <w:szCs w:val="28"/>
        </w:rPr>
        <w:t>三、级别基准地价计算的结果</w:t>
      </w:r>
      <w:bookmarkEnd w:id="605"/>
      <w:bookmarkEnd w:id="606"/>
      <w:bookmarkEnd w:id="608"/>
      <w:bookmarkEnd w:id="609"/>
    </w:p>
    <w:p>
      <w:pPr>
        <w:spacing w:line="460" w:lineRule="exact"/>
        <w:ind w:firstLine="480" w:firstLineChars="200"/>
        <w:rPr>
          <w:sz w:val="24"/>
        </w:rPr>
      </w:pPr>
      <w:r>
        <w:rPr>
          <w:sz w:val="24"/>
        </w:rPr>
        <w:t>商服、住宅、工矿仓储三种用途级别基准地价的测算结果见长沙县基准地价表（表3-4-4）。</w:t>
      </w:r>
    </w:p>
    <w:p>
      <w:pPr>
        <w:spacing w:line="360" w:lineRule="auto"/>
        <w:jc w:val="center"/>
        <w:rPr>
          <w:b/>
          <w:sz w:val="24"/>
          <w:szCs w:val="24"/>
        </w:rPr>
      </w:pPr>
      <w:r>
        <w:rPr>
          <w:b/>
          <w:sz w:val="24"/>
          <w:szCs w:val="24"/>
        </w:rPr>
        <w:t>表3-4-4  长沙县城区地面基准地价表</w:t>
      </w:r>
    </w:p>
    <w:p>
      <w:pPr>
        <w:ind w:right="315" w:firstLine="420" w:firstLineChars="200"/>
        <w:jc w:val="right"/>
      </w:pPr>
      <w:r>
        <w:t>单位：元/平方米</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99"/>
        <w:gridCol w:w="1047"/>
        <w:gridCol w:w="1441"/>
        <w:gridCol w:w="1047"/>
        <w:gridCol w:w="1441"/>
        <w:gridCol w:w="1047"/>
        <w:gridCol w:w="14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599"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bCs/>
                <w:kern w:val="0"/>
                <w:szCs w:val="21"/>
              </w:rPr>
            </w:pPr>
            <w:r>
              <w:rPr>
                <w:b/>
                <w:bCs/>
                <w:kern w:val="0"/>
                <w:szCs w:val="21"/>
              </w:rPr>
              <w:t>土地级别</w:t>
            </w:r>
          </w:p>
        </w:tc>
        <w:tc>
          <w:tcPr>
            <w:tcW w:w="2488" w:type="dxa"/>
            <w:gridSpan w:val="2"/>
            <w:tcBorders>
              <w:top w:val="single" w:color="auto" w:sz="4" w:space="0"/>
              <w:left w:val="nil"/>
              <w:bottom w:val="single" w:color="auto" w:sz="4" w:space="0"/>
              <w:right w:val="single" w:color="000000" w:sz="4" w:space="0"/>
            </w:tcBorders>
            <w:vAlign w:val="center"/>
          </w:tcPr>
          <w:p>
            <w:pPr>
              <w:widowControl/>
              <w:jc w:val="center"/>
              <w:rPr>
                <w:b/>
                <w:bCs/>
                <w:kern w:val="0"/>
                <w:szCs w:val="21"/>
              </w:rPr>
            </w:pPr>
            <w:r>
              <w:rPr>
                <w:b/>
                <w:bCs/>
                <w:kern w:val="0"/>
                <w:szCs w:val="21"/>
              </w:rPr>
              <w:t>商服</w:t>
            </w:r>
          </w:p>
        </w:tc>
        <w:tc>
          <w:tcPr>
            <w:tcW w:w="2488" w:type="dxa"/>
            <w:gridSpan w:val="2"/>
            <w:tcBorders>
              <w:top w:val="single" w:color="auto" w:sz="4" w:space="0"/>
              <w:left w:val="nil"/>
              <w:bottom w:val="single" w:color="auto" w:sz="4" w:space="0"/>
              <w:right w:val="single" w:color="000000" w:sz="4" w:space="0"/>
            </w:tcBorders>
            <w:vAlign w:val="center"/>
          </w:tcPr>
          <w:p>
            <w:pPr>
              <w:widowControl/>
              <w:jc w:val="center"/>
              <w:rPr>
                <w:b/>
                <w:bCs/>
                <w:kern w:val="0"/>
                <w:szCs w:val="21"/>
              </w:rPr>
            </w:pPr>
            <w:r>
              <w:rPr>
                <w:b/>
                <w:bCs/>
                <w:kern w:val="0"/>
                <w:szCs w:val="21"/>
              </w:rPr>
              <w:t>住宅</w:t>
            </w:r>
          </w:p>
        </w:tc>
        <w:tc>
          <w:tcPr>
            <w:tcW w:w="2486" w:type="dxa"/>
            <w:gridSpan w:val="2"/>
            <w:tcBorders>
              <w:top w:val="single" w:color="auto" w:sz="4" w:space="0"/>
              <w:left w:val="nil"/>
              <w:bottom w:val="single" w:color="auto" w:sz="4" w:space="0"/>
              <w:right w:val="single" w:color="000000" w:sz="4" w:space="0"/>
            </w:tcBorders>
            <w:vAlign w:val="center"/>
          </w:tcPr>
          <w:p>
            <w:pPr>
              <w:widowControl/>
              <w:jc w:val="center"/>
              <w:rPr>
                <w:b/>
                <w:bCs/>
                <w:kern w:val="0"/>
                <w:szCs w:val="21"/>
              </w:rPr>
            </w:pPr>
            <w:r>
              <w:rPr>
                <w:b/>
                <w:bCs/>
                <w:kern w:val="0"/>
                <w:szCs w:val="21"/>
              </w:rPr>
              <w:t>工矿仓储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b/>
                <w:bCs/>
                <w:kern w:val="0"/>
                <w:szCs w:val="21"/>
              </w:rPr>
            </w:pPr>
          </w:p>
        </w:tc>
        <w:tc>
          <w:tcPr>
            <w:tcW w:w="1047" w:type="dxa"/>
            <w:tcBorders>
              <w:top w:val="nil"/>
              <w:left w:val="nil"/>
              <w:bottom w:val="single" w:color="auto" w:sz="4" w:space="0"/>
              <w:right w:val="single" w:color="auto" w:sz="4" w:space="0"/>
            </w:tcBorders>
            <w:vAlign w:val="center"/>
          </w:tcPr>
          <w:p>
            <w:pPr>
              <w:widowControl/>
              <w:jc w:val="center"/>
              <w:rPr>
                <w:b/>
                <w:bCs/>
                <w:kern w:val="0"/>
                <w:szCs w:val="21"/>
              </w:rPr>
            </w:pPr>
            <w:r>
              <w:rPr>
                <w:b/>
                <w:bCs/>
                <w:kern w:val="0"/>
                <w:szCs w:val="21"/>
              </w:rPr>
              <w:t>元/m</w:t>
            </w:r>
            <w:r>
              <w:rPr>
                <w:b/>
                <w:bCs/>
                <w:kern w:val="0"/>
                <w:szCs w:val="21"/>
                <w:vertAlign w:val="superscript"/>
              </w:rPr>
              <w:t>2</w:t>
            </w:r>
          </w:p>
        </w:tc>
        <w:tc>
          <w:tcPr>
            <w:tcW w:w="1441" w:type="dxa"/>
            <w:tcBorders>
              <w:top w:val="nil"/>
              <w:left w:val="nil"/>
              <w:bottom w:val="single" w:color="auto" w:sz="4" w:space="0"/>
              <w:right w:val="single" w:color="auto" w:sz="4" w:space="0"/>
            </w:tcBorders>
            <w:vAlign w:val="center"/>
          </w:tcPr>
          <w:p>
            <w:pPr>
              <w:widowControl/>
              <w:jc w:val="center"/>
              <w:rPr>
                <w:b/>
                <w:bCs/>
                <w:kern w:val="0"/>
                <w:szCs w:val="21"/>
              </w:rPr>
            </w:pPr>
            <w:r>
              <w:rPr>
                <w:b/>
                <w:bCs/>
                <w:kern w:val="0"/>
                <w:szCs w:val="21"/>
              </w:rPr>
              <w:t>万元/亩</w:t>
            </w:r>
          </w:p>
        </w:tc>
        <w:tc>
          <w:tcPr>
            <w:tcW w:w="1047" w:type="dxa"/>
            <w:tcBorders>
              <w:top w:val="nil"/>
              <w:left w:val="nil"/>
              <w:bottom w:val="single" w:color="auto" w:sz="4" w:space="0"/>
              <w:right w:val="single" w:color="auto" w:sz="4" w:space="0"/>
            </w:tcBorders>
            <w:vAlign w:val="center"/>
          </w:tcPr>
          <w:p>
            <w:pPr>
              <w:widowControl/>
              <w:jc w:val="center"/>
              <w:rPr>
                <w:b/>
                <w:bCs/>
                <w:kern w:val="0"/>
                <w:szCs w:val="21"/>
              </w:rPr>
            </w:pPr>
            <w:r>
              <w:rPr>
                <w:b/>
                <w:bCs/>
                <w:kern w:val="0"/>
                <w:szCs w:val="21"/>
              </w:rPr>
              <w:t>元/m</w:t>
            </w:r>
            <w:r>
              <w:rPr>
                <w:b/>
                <w:bCs/>
                <w:kern w:val="0"/>
                <w:szCs w:val="21"/>
                <w:vertAlign w:val="superscript"/>
              </w:rPr>
              <w:t>2</w:t>
            </w:r>
          </w:p>
        </w:tc>
        <w:tc>
          <w:tcPr>
            <w:tcW w:w="1441" w:type="dxa"/>
            <w:tcBorders>
              <w:top w:val="nil"/>
              <w:left w:val="nil"/>
              <w:bottom w:val="single" w:color="auto" w:sz="4" w:space="0"/>
              <w:right w:val="single" w:color="auto" w:sz="4" w:space="0"/>
            </w:tcBorders>
            <w:vAlign w:val="center"/>
          </w:tcPr>
          <w:p>
            <w:pPr>
              <w:widowControl/>
              <w:jc w:val="center"/>
              <w:rPr>
                <w:b/>
                <w:bCs/>
                <w:kern w:val="0"/>
                <w:szCs w:val="21"/>
              </w:rPr>
            </w:pPr>
            <w:r>
              <w:rPr>
                <w:b/>
                <w:bCs/>
                <w:kern w:val="0"/>
                <w:szCs w:val="21"/>
              </w:rPr>
              <w:t>万元/亩</w:t>
            </w:r>
          </w:p>
        </w:tc>
        <w:tc>
          <w:tcPr>
            <w:tcW w:w="1047" w:type="dxa"/>
            <w:tcBorders>
              <w:top w:val="nil"/>
              <w:left w:val="nil"/>
              <w:bottom w:val="single" w:color="auto" w:sz="4" w:space="0"/>
              <w:right w:val="single" w:color="auto" w:sz="4" w:space="0"/>
            </w:tcBorders>
            <w:vAlign w:val="center"/>
          </w:tcPr>
          <w:p>
            <w:pPr>
              <w:widowControl/>
              <w:jc w:val="center"/>
              <w:rPr>
                <w:b/>
                <w:bCs/>
                <w:kern w:val="0"/>
                <w:szCs w:val="21"/>
              </w:rPr>
            </w:pPr>
            <w:r>
              <w:rPr>
                <w:b/>
                <w:bCs/>
                <w:kern w:val="0"/>
                <w:szCs w:val="21"/>
              </w:rPr>
              <w:t>元/m</w:t>
            </w:r>
            <w:r>
              <w:rPr>
                <w:b/>
                <w:bCs/>
                <w:kern w:val="0"/>
                <w:szCs w:val="21"/>
                <w:vertAlign w:val="superscript"/>
              </w:rPr>
              <w:t>2</w:t>
            </w:r>
          </w:p>
        </w:tc>
        <w:tc>
          <w:tcPr>
            <w:tcW w:w="1439" w:type="dxa"/>
            <w:tcBorders>
              <w:top w:val="nil"/>
              <w:left w:val="nil"/>
              <w:bottom w:val="single" w:color="auto" w:sz="4" w:space="0"/>
              <w:right w:val="single" w:color="auto" w:sz="4" w:space="0"/>
            </w:tcBorders>
            <w:vAlign w:val="center"/>
          </w:tcPr>
          <w:p>
            <w:pPr>
              <w:widowControl/>
              <w:jc w:val="center"/>
              <w:rPr>
                <w:b/>
                <w:bCs/>
                <w:kern w:val="0"/>
                <w:szCs w:val="21"/>
              </w:rPr>
            </w:pPr>
            <w:r>
              <w:rPr>
                <w:b/>
                <w:bCs/>
                <w:kern w:val="0"/>
                <w:szCs w:val="21"/>
              </w:rPr>
              <w:t>万元/亩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Ⅰ</w:t>
            </w:r>
          </w:p>
        </w:tc>
        <w:tc>
          <w:tcPr>
            <w:tcW w:w="1047"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4590</w:t>
            </w:r>
          </w:p>
        </w:tc>
        <w:tc>
          <w:tcPr>
            <w:tcW w:w="1441"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306</w:t>
            </w:r>
          </w:p>
        </w:tc>
        <w:tc>
          <w:tcPr>
            <w:tcW w:w="1047" w:type="dxa"/>
            <w:tcBorders>
              <w:top w:val="nil"/>
              <w:left w:val="nil"/>
              <w:bottom w:val="single" w:color="auto" w:sz="4" w:space="0"/>
              <w:right w:val="single" w:color="auto" w:sz="4" w:space="0"/>
            </w:tcBorders>
            <w:vAlign w:val="center"/>
          </w:tcPr>
          <w:p>
            <w:pPr>
              <w:jc w:val="center"/>
              <w:rPr>
                <w:kern w:val="0"/>
                <w:sz w:val="22"/>
                <w:szCs w:val="22"/>
              </w:rPr>
            </w:pPr>
            <w:r>
              <w:rPr>
                <w:color w:val="000000"/>
                <w:sz w:val="22"/>
                <w:szCs w:val="22"/>
              </w:rPr>
              <w:t>3480</w:t>
            </w:r>
          </w:p>
        </w:tc>
        <w:tc>
          <w:tcPr>
            <w:tcW w:w="1441"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232</w:t>
            </w:r>
          </w:p>
        </w:tc>
        <w:tc>
          <w:tcPr>
            <w:tcW w:w="1047"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1280</w:t>
            </w:r>
          </w:p>
        </w:tc>
        <w:tc>
          <w:tcPr>
            <w:tcW w:w="1439"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Ⅱ</w:t>
            </w:r>
          </w:p>
        </w:tc>
        <w:tc>
          <w:tcPr>
            <w:tcW w:w="1047"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3360</w:t>
            </w:r>
          </w:p>
        </w:tc>
        <w:tc>
          <w:tcPr>
            <w:tcW w:w="1441"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224</w:t>
            </w:r>
          </w:p>
        </w:tc>
        <w:tc>
          <w:tcPr>
            <w:tcW w:w="1047" w:type="dxa"/>
            <w:tcBorders>
              <w:top w:val="nil"/>
              <w:left w:val="nil"/>
              <w:bottom w:val="single" w:color="auto" w:sz="4" w:space="0"/>
              <w:right w:val="single" w:color="auto" w:sz="4" w:space="0"/>
            </w:tcBorders>
            <w:vAlign w:val="center"/>
          </w:tcPr>
          <w:p>
            <w:pPr>
              <w:jc w:val="center"/>
              <w:rPr>
                <w:kern w:val="0"/>
                <w:sz w:val="22"/>
                <w:szCs w:val="22"/>
              </w:rPr>
            </w:pPr>
            <w:r>
              <w:rPr>
                <w:color w:val="000000"/>
                <w:sz w:val="22"/>
                <w:szCs w:val="22"/>
              </w:rPr>
              <w:t>2540</w:t>
            </w:r>
          </w:p>
        </w:tc>
        <w:tc>
          <w:tcPr>
            <w:tcW w:w="1441"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169</w:t>
            </w:r>
          </w:p>
        </w:tc>
        <w:tc>
          <w:tcPr>
            <w:tcW w:w="1047"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100</w:t>
            </w:r>
            <w:r>
              <w:rPr>
                <w:rFonts w:hint="eastAsia" w:eastAsia="Tahoma"/>
                <w:color w:val="000000"/>
                <w:kern w:val="0"/>
                <w:sz w:val="22"/>
                <w:szCs w:val="22"/>
                <w:lang/>
              </w:rPr>
              <w:t>0</w:t>
            </w:r>
          </w:p>
        </w:tc>
        <w:tc>
          <w:tcPr>
            <w:tcW w:w="1439"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Ⅲ</w:t>
            </w:r>
          </w:p>
        </w:tc>
        <w:tc>
          <w:tcPr>
            <w:tcW w:w="1047"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2550</w:t>
            </w:r>
          </w:p>
        </w:tc>
        <w:tc>
          <w:tcPr>
            <w:tcW w:w="1441"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170</w:t>
            </w:r>
          </w:p>
        </w:tc>
        <w:tc>
          <w:tcPr>
            <w:tcW w:w="1047" w:type="dxa"/>
            <w:tcBorders>
              <w:top w:val="nil"/>
              <w:left w:val="nil"/>
              <w:bottom w:val="single" w:color="auto" w:sz="4" w:space="0"/>
              <w:right w:val="single" w:color="auto" w:sz="4" w:space="0"/>
            </w:tcBorders>
            <w:vAlign w:val="center"/>
          </w:tcPr>
          <w:p>
            <w:pPr>
              <w:jc w:val="center"/>
              <w:rPr>
                <w:kern w:val="0"/>
                <w:sz w:val="22"/>
                <w:szCs w:val="22"/>
              </w:rPr>
            </w:pPr>
            <w:r>
              <w:rPr>
                <w:color w:val="000000"/>
                <w:sz w:val="22"/>
                <w:szCs w:val="22"/>
              </w:rPr>
              <w:t>1920</w:t>
            </w:r>
          </w:p>
        </w:tc>
        <w:tc>
          <w:tcPr>
            <w:tcW w:w="1441"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128</w:t>
            </w:r>
          </w:p>
        </w:tc>
        <w:tc>
          <w:tcPr>
            <w:tcW w:w="1047"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78</w:t>
            </w:r>
            <w:r>
              <w:rPr>
                <w:rFonts w:hint="eastAsia" w:eastAsia="Tahoma"/>
                <w:color w:val="000000"/>
                <w:kern w:val="0"/>
                <w:sz w:val="22"/>
                <w:szCs w:val="22"/>
                <w:lang/>
              </w:rPr>
              <w:t>0</w:t>
            </w:r>
          </w:p>
        </w:tc>
        <w:tc>
          <w:tcPr>
            <w:tcW w:w="1439"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Ⅳ</w:t>
            </w:r>
          </w:p>
        </w:tc>
        <w:tc>
          <w:tcPr>
            <w:tcW w:w="1047"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1780</w:t>
            </w:r>
          </w:p>
        </w:tc>
        <w:tc>
          <w:tcPr>
            <w:tcW w:w="1441"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119</w:t>
            </w:r>
          </w:p>
        </w:tc>
        <w:tc>
          <w:tcPr>
            <w:tcW w:w="1047" w:type="dxa"/>
            <w:tcBorders>
              <w:top w:val="nil"/>
              <w:left w:val="nil"/>
              <w:bottom w:val="single" w:color="auto" w:sz="4" w:space="0"/>
              <w:right w:val="single" w:color="auto" w:sz="4" w:space="0"/>
            </w:tcBorders>
            <w:vAlign w:val="center"/>
          </w:tcPr>
          <w:p>
            <w:pPr>
              <w:jc w:val="center"/>
              <w:rPr>
                <w:kern w:val="0"/>
                <w:sz w:val="22"/>
                <w:szCs w:val="22"/>
              </w:rPr>
            </w:pPr>
            <w:r>
              <w:rPr>
                <w:color w:val="000000"/>
                <w:sz w:val="22"/>
                <w:szCs w:val="22"/>
              </w:rPr>
              <w:t>1</w:t>
            </w:r>
            <w:r>
              <w:rPr>
                <w:rFonts w:hint="eastAsia"/>
                <w:color w:val="000000"/>
                <w:sz w:val="22"/>
                <w:szCs w:val="22"/>
              </w:rPr>
              <w:t>48</w:t>
            </w:r>
            <w:r>
              <w:rPr>
                <w:color w:val="000000"/>
                <w:sz w:val="22"/>
                <w:szCs w:val="22"/>
              </w:rPr>
              <w:t>0</w:t>
            </w:r>
          </w:p>
        </w:tc>
        <w:tc>
          <w:tcPr>
            <w:tcW w:w="1441"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99</w:t>
            </w:r>
          </w:p>
        </w:tc>
        <w:tc>
          <w:tcPr>
            <w:tcW w:w="1047"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61</w:t>
            </w:r>
            <w:r>
              <w:rPr>
                <w:rFonts w:hint="eastAsia" w:eastAsia="Tahoma"/>
                <w:color w:val="000000"/>
                <w:kern w:val="0"/>
                <w:sz w:val="22"/>
                <w:szCs w:val="22"/>
                <w:lang/>
              </w:rPr>
              <w:t>0</w:t>
            </w:r>
          </w:p>
        </w:tc>
        <w:tc>
          <w:tcPr>
            <w:tcW w:w="1439"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Ⅴ</w:t>
            </w:r>
          </w:p>
        </w:tc>
        <w:tc>
          <w:tcPr>
            <w:tcW w:w="1047"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1280</w:t>
            </w:r>
          </w:p>
        </w:tc>
        <w:tc>
          <w:tcPr>
            <w:tcW w:w="1441"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85</w:t>
            </w:r>
          </w:p>
        </w:tc>
        <w:tc>
          <w:tcPr>
            <w:tcW w:w="1047" w:type="dxa"/>
            <w:tcBorders>
              <w:top w:val="nil"/>
              <w:left w:val="nil"/>
              <w:bottom w:val="single" w:color="auto" w:sz="4" w:space="0"/>
              <w:right w:val="single" w:color="auto" w:sz="4" w:space="0"/>
            </w:tcBorders>
            <w:vAlign w:val="center"/>
          </w:tcPr>
          <w:p>
            <w:pPr>
              <w:jc w:val="center"/>
              <w:rPr>
                <w:kern w:val="0"/>
                <w:sz w:val="22"/>
                <w:szCs w:val="22"/>
              </w:rPr>
            </w:pPr>
            <w:r>
              <w:rPr>
                <w:color w:val="000000"/>
                <w:sz w:val="22"/>
                <w:szCs w:val="22"/>
              </w:rPr>
              <w:t>1</w:t>
            </w:r>
            <w:r>
              <w:rPr>
                <w:rFonts w:hint="eastAsia"/>
                <w:color w:val="000000"/>
                <w:sz w:val="22"/>
                <w:szCs w:val="22"/>
              </w:rPr>
              <w:t>06</w:t>
            </w:r>
            <w:r>
              <w:rPr>
                <w:color w:val="000000"/>
                <w:sz w:val="22"/>
                <w:szCs w:val="22"/>
              </w:rPr>
              <w:t>0</w:t>
            </w:r>
          </w:p>
        </w:tc>
        <w:tc>
          <w:tcPr>
            <w:tcW w:w="1441"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71</w:t>
            </w:r>
          </w:p>
        </w:tc>
        <w:tc>
          <w:tcPr>
            <w:tcW w:w="1047"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480</w:t>
            </w:r>
          </w:p>
        </w:tc>
        <w:tc>
          <w:tcPr>
            <w:tcW w:w="1439"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32</w:t>
            </w:r>
          </w:p>
        </w:tc>
      </w:tr>
      <w:bookmarkEnd w:id="578"/>
    </w:tbl>
    <w:p>
      <w:pPr>
        <w:spacing w:line="460" w:lineRule="exact"/>
        <w:ind w:firstLine="480" w:firstLineChars="200"/>
      </w:pPr>
      <w:r>
        <w:rPr>
          <w:sz w:val="24"/>
          <w:szCs w:val="22"/>
        </w:rPr>
        <w:t>依据所划定的土地级别与评估出来的基准地价结果，划分出商服、住宅和工矿仓储地土地级别与基准地价分布图。（单位：元/平方米）</w:t>
      </w:r>
    </w:p>
    <w:p>
      <w:pPr>
        <w:spacing w:line="360" w:lineRule="auto"/>
        <w:jc w:val="center"/>
      </w:pPr>
      <w:r>
        <w:rPr>
          <w:rFonts w:ascii="Times New Roman" w:hAnsi="Times New Roman" w:eastAsia="宋体" w:cs="Times New Roman"/>
          <w:kern w:val="2"/>
          <w:sz w:val="21"/>
          <w:lang w:val="en-US" w:eastAsia="zh-CN" w:bidi="ar-SA"/>
        </w:rPr>
        <w:pict>
          <v:shape id="图表 1" o:spid="_x0000_s1289" type="" style="height:176.75pt;width:360pt;rotation:0f;" o:ole="f" fillcolor="#FFFFFF" filled="t" o:preferrelative="t" stroked="t" coordorigin="0,0" coordsize="21600,21600">
            <v:stroke color="#000000" color2="#FFFFFF" miterlimit="2"/>
            <v:imagedata gain="65536f" blacklevel="0f" gamma="0"/>
            <o:lock v:ext="edit" position="f" selection="f" grouping="f" rotation="f" cropping="f" text="f" aspectratio="f"/>
            <w10:wrap type="none"/>
            <w10:anchorlock/>
          </v:shape>
        </w:pict>
      </w:r>
    </w:p>
    <w:p>
      <w:pPr>
        <w:spacing w:line="360" w:lineRule="auto"/>
        <w:jc w:val="center"/>
        <w:rPr>
          <w:b/>
          <w:sz w:val="24"/>
          <w:szCs w:val="24"/>
        </w:rPr>
      </w:pPr>
      <w:r>
        <w:rPr>
          <w:b/>
          <w:sz w:val="24"/>
          <w:szCs w:val="24"/>
        </w:rPr>
        <w:t>图3-4-1  商住工用地级别与基准地价对应关系图</w:t>
      </w:r>
    </w:p>
    <w:p>
      <w:pPr>
        <w:spacing w:line="480" w:lineRule="exact"/>
        <w:ind w:firstLine="480" w:firstLineChars="200"/>
        <w:rPr>
          <w:sz w:val="24"/>
          <w:szCs w:val="22"/>
        </w:rPr>
      </w:pPr>
      <w:r>
        <w:rPr>
          <w:sz w:val="24"/>
          <w:szCs w:val="22"/>
        </w:rPr>
        <w:t>从商服、住宅和工矿仓储用地级别与基准地价关系对应分布图中可以看出，对三类用地划分的土地级别，级差收益明显，不仅在区位关系方面反映了土地质量的差异，而且也从经济效益方面反映了土地质量的差异，说明长沙县商服、住宅和工矿仓储用地的土地级别划分是合理的，基准地价水平是合适的。</w:t>
      </w:r>
    </w:p>
    <w:p>
      <w:pPr>
        <w:spacing w:line="360" w:lineRule="auto"/>
        <w:jc w:val="center"/>
        <w:textAlignment w:val="baseline"/>
        <w:outlineLvl w:val="1"/>
        <w:rPr>
          <w:rFonts w:eastAsia="黑体"/>
          <w:sz w:val="32"/>
          <w:szCs w:val="32"/>
        </w:rPr>
      </w:pPr>
      <w:bookmarkStart w:id="610" w:name="_Toc470721326"/>
      <w:bookmarkStart w:id="611" w:name="_Toc469296476"/>
      <w:bookmarkStart w:id="612" w:name="_Toc467846867"/>
      <w:bookmarkStart w:id="613" w:name="_Toc466018343"/>
      <w:r>
        <w:rPr>
          <w:rFonts w:eastAsia="黑体"/>
          <w:sz w:val="32"/>
          <w:szCs w:val="32"/>
        </w:rPr>
        <w:br w:type="page"/>
      </w:r>
      <w:bookmarkStart w:id="614" w:name="_Toc6391"/>
      <w:bookmarkStart w:id="615" w:name="_Toc6402"/>
      <w:bookmarkStart w:id="616" w:name="_Toc16118"/>
      <w:bookmarkStart w:id="617" w:name="_Toc9881"/>
      <w:r>
        <w:rPr>
          <w:rFonts w:eastAsia="黑体"/>
          <w:sz w:val="32"/>
          <w:szCs w:val="32"/>
        </w:rPr>
        <w:t>第五章  商服用地路线价评估</w:t>
      </w:r>
      <w:bookmarkEnd w:id="610"/>
      <w:bookmarkEnd w:id="611"/>
      <w:bookmarkEnd w:id="612"/>
      <w:bookmarkEnd w:id="613"/>
      <w:bookmarkEnd w:id="614"/>
      <w:bookmarkEnd w:id="615"/>
      <w:bookmarkEnd w:id="616"/>
      <w:bookmarkEnd w:id="617"/>
    </w:p>
    <w:p>
      <w:pPr>
        <w:spacing w:line="360" w:lineRule="auto"/>
        <w:ind w:firstLine="560" w:firstLineChars="200"/>
        <w:outlineLvl w:val="2"/>
        <w:rPr>
          <w:rFonts w:eastAsia="黑体"/>
          <w:sz w:val="28"/>
          <w:szCs w:val="28"/>
        </w:rPr>
      </w:pPr>
      <w:bookmarkStart w:id="618" w:name="_Toc21799"/>
      <w:bookmarkStart w:id="619" w:name="_Toc17376"/>
      <w:bookmarkStart w:id="620" w:name="_Toc467846868"/>
      <w:bookmarkStart w:id="621" w:name="_Toc466018344"/>
      <w:bookmarkStart w:id="622" w:name="_Toc469296477"/>
      <w:bookmarkStart w:id="623" w:name="_Toc470721327"/>
      <w:r>
        <w:rPr>
          <w:rFonts w:eastAsia="黑体"/>
          <w:sz w:val="28"/>
          <w:szCs w:val="28"/>
        </w:rPr>
        <w:t>一、路线价概述</w:t>
      </w:r>
      <w:bookmarkEnd w:id="618"/>
      <w:bookmarkEnd w:id="619"/>
    </w:p>
    <w:p>
      <w:pPr>
        <w:pStyle w:val="22"/>
        <w:ind w:firstLine="480" w:firstLineChars="200"/>
        <w:rPr>
          <w:rFonts w:ascii="Times New Roman" w:hAnsi="Times New Roman"/>
        </w:rPr>
      </w:pPr>
      <w:r>
        <w:rPr>
          <w:rFonts w:ascii="Times New Roman" w:hAnsi="Times New Roman"/>
        </w:rPr>
        <w:t>路线价，是对面临特定街道、使用价值相等的临街土地，设定标准深度，求取在此深度上一定数量宗地的平均地价并附设于特定道路上的土地价格。概括的讲，路线价就是设在街道上的标准宗地的单位平均地价。</w:t>
      </w:r>
    </w:p>
    <w:p>
      <w:pPr>
        <w:spacing w:line="360" w:lineRule="auto"/>
        <w:ind w:firstLine="560" w:firstLineChars="200"/>
        <w:outlineLvl w:val="2"/>
        <w:rPr>
          <w:rFonts w:eastAsia="黑体"/>
          <w:sz w:val="28"/>
          <w:szCs w:val="28"/>
        </w:rPr>
      </w:pPr>
      <w:bookmarkStart w:id="624" w:name="_Toc19742"/>
      <w:bookmarkStart w:id="625" w:name="_Toc16046"/>
      <w:r>
        <w:rPr>
          <w:rFonts w:eastAsia="黑体"/>
          <w:sz w:val="28"/>
          <w:szCs w:val="28"/>
        </w:rPr>
        <w:t>二、路线价评估</w:t>
      </w:r>
      <w:bookmarkEnd w:id="624"/>
      <w:bookmarkEnd w:id="625"/>
    </w:p>
    <w:p>
      <w:pPr>
        <w:pStyle w:val="22"/>
        <w:ind w:firstLine="480" w:firstLineChars="200"/>
        <w:rPr>
          <w:rFonts w:ascii="Times New Roman" w:hAnsi="Times New Roman"/>
        </w:rPr>
      </w:pPr>
      <w:r>
        <w:rPr>
          <w:rFonts w:ascii="Times New Roman" w:hAnsi="Times New Roman"/>
        </w:rPr>
        <w:t>路线价的评估通常先在定级估价范围内选择一定数量的商服路段，依据其繁华程度和地价水平差异划分出不同的区段，运用地价评估的常用方法评估区段内各样点的地价，最后综合样点计算的结果求得区段的路线价。此次长沙县城区商服区段路线价评估的过程为：</w:t>
      </w:r>
    </w:p>
    <w:p>
      <w:pPr>
        <w:pStyle w:val="22"/>
        <w:ind w:firstLine="482" w:firstLineChars="200"/>
        <w:rPr>
          <w:rFonts w:ascii="Times New Roman" w:hAnsi="Times New Roman"/>
          <w:b/>
        </w:rPr>
      </w:pPr>
      <w:r>
        <w:rPr>
          <w:rFonts w:ascii="Times New Roman" w:hAnsi="Times New Roman"/>
          <w:b/>
        </w:rPr>
        <w:t>1、明确路线价区段划分的原则和方法</w:t>
      </w:r>
    </w:p>
    <w:p>
      <w:pPr>
        <w:pStyle w:val="15"/>
        <w:spacing w:line="360" w:lineRule="auto"/>
        <w:ind w:firstLine="480" w:firstLineChars="200"/>
        <w:rPr>
          <w:sz w:val="24"/>
        </w:rPr>
      </w:pPr>
      <w:r>
        <w:rPr>
          <w:sz w:val="24"/>
        </w:rPr>
        <w:t>路线价区段，是指具有同一路线价的地段，区段划分的原则为：</w:t>
      </w:r>
    </w:p>
    <w:p>
      <w:pPr>
        <w:pStyle w:val="15"/>
        <w:spacing w:line="360" w:lineRule="auto"/>
        <w:ind w:firstLine="480" w:firstLineChars="200"/>
        <w:rPr>
          <w:sz w:val="24"/>
        </w:rPr>
      </w:pPr>
      <w:r>
        <w:rPr>
          <w:sz w:val="24"/>
        </w:rPr>
        <w:t>①区内土地条件的一致性和区段间土地条件的差异性。也就是在商服地价区段划分时，要求综合考虑商服繁华程度、交通便捷程度、基本设施件等因素的影响，将土地区位条件、交通条件、人流量、位置相似的地块划归同一地价区段，注重考虑区位因素的影响。</w:t>
      </w:r>
    </w:p>
    <w:p>
      <w:pPr>
        <w:pStyle w:val="15"/>
        <w:spacing w:line="360" w:lineRule="auto"/>
        <w:ind w:firstLine="480" w:firstLineChars="200"/>
        <w:rPr>
          <w:sz w:val="24"/>
        </w:rPr>
      </w:pPr>
      <w:r>
        <w:rPr>
          <w:sz w:val="24"/>
        </w:rPr>
        <w:t>②区段内要保持地价的一致性。同一地价区段内，地价水平应比较相近或差异不大。</w:t>
      </w:r>
    </w:p>
    <w:p>
      <w:pPr>
        <w:pStyle w:val="15"/>
        <w:spacing w:line="360" w:lineRule="auto"/>
        <w:ind w:firstLine="480" w:firstLineChars="200"/>
        <w:rPr>
          <w:sz w:val="24"/>
        </w:rPr>
      </w:pPr>
      <w:r>
        <w:rPr>
          <w:sz w:val="24"/>
        </w:rPr>
        <w:t>③保证区域连贯性。地价区段应为各宗地位置相邻、相对比较集中的封闭区域。</w:t>
      </w:r>
    </w:p>
    <w:p>
      <w:pPr>
        <w:pStyle w:val="15"/>
        <w:spacing w:line="360" w:lineRule="auto"/>
        <w:ind w:firstLine="480" w:firstLineChars="200"/>
        <w:rPr>
          <w:sz w:val="24"/>
        </w:rPr>
      </w:pPr>
      <w:r>
        <w:rPr>
          <w:sz w:val="24"/>
        </w:rPr>
        <w:t>根据上述原则，区段划分方法主要有：在确定有路线价标准的地价区段，以里地线(</w:t>
      </w:r>
      <w:r>
        <w:rPr>
          <w:sz w:val="24"/>
          <w:lang w:val="zh-CN"/>
        </w:rPr>
        <w:t>标准深度：主干道为25米，次干道为20米，支路为15米)</w:t>
      </w:r>
      <w:r>
        <w:rPr>
          <w:sz w:val="24"/>
        </w:rPr>
        <w:t>为界限进行划分。</w:t>
      </w:r>
    </w:p>
    <w:p>
      <w:pPr>
        <w:pStyle w:val="15"/>
        <w:spacing w:line="360" w:lineRule="auto"/>
        <w:ind w:firstLine="482" w:firstLineChars="200"/>
        <w:rPr>
          <w:b/>
          <w:sz w:val="24"/>
        </w:rPr>
      </w:pPr>
      <w:r>
        <w:rPr>
          <w:b/>
          <w:sz w:val="24"/>
        </w:rPr>
        <w:t>2、路线价区段确定及路线价测算</w:t>
      </w:r>
    </w:p>
    <w:p>
      <w:pPr>
        <w:pStyle w:val="15"/>
        <w:spacing w:line="360" w:lineRule="auto"/>
        <w:ind w:firstLine="480" w:firstLineChars="200"/>
        <w:rPr>
          <w:sz w:val="24"/>
        </w:rPr>
      </w:pPr>
      <w:r>
        <w:rPr>
          <w:sz w:val="24"/>
        </w:rPr>
        <w:t>①由于在资料调查的前期准备工作中，为了提高成果的实用价值，我们对长沙县中心城区内有商服经营网点分布的道路均进行了定量调查，路线价测算样点资料丰富，因此可以按照技术方案的要求，建立城区商服路线价体系。</w:t>
      </w:r>
    </w:p>
    <w:p>
      <w:pPr>
        <w:pStyle w:val="49"/>
        <w:spacing w:line="360" w:lineRule="auto"/>
        <w:rPr>
          <w:szCs w:val="24"/>
        </w:rPr>
      </w:pPr>
      <w:r>
        <w:rPr>
          <w:szCs w:val="24"/>
        </w:rPr>
        <w:t>②路线价测算。对于不同类型的样点，运用本章有关章节已经阐明的评估方法测算样点地价，并利用土地定级估价软件提供的基准地价计算模块进行样点地价检验和剔除异常，在样点总体地价算术平均值的基础上，比较各级别的现实地价水平并进行综合平衡，最终得到长沙县城区商服用地路线价成果（表</w:t>
      </w:r>
      <w:r>
        <w:rPr>
          <w:rFonts w:hint="eastAsia"/>
          <w:szCs w:val="24"/>
        </w:rPr>
        <w:t>3-5</w:t>
      </w:r>
      <w:r>
        <w:rPr>
          <w:szCs w:val="24"/>
        </w:rPr>
        <w:t>-1）。</w:t>
      </w:r>
    </w:p>
    <w:p>
      <w:pPr>
        <w:jc w:val="center"/>
        <w:rPr>
          <w:b/>
          <w:sz w:val="24"/>
        </w:rPr>
      </w:pPr>
      <w:r>
        <w:rPr>
          <w:b/>
          <w:sz w:val="24"/>
        </w:rPr>
        <w:t>表</w:t>
      </w:r>
      <w:r>
        <w:rPr>
          <w:rFonts w:hint="eastAsia"/>
          <w:b/>
          <w:sz w:val="24"/>
        </w:rPr>
        <w:t>3-5</w:t>
      </w:r>
      <w:r>
        <w:rPr>
          <w:b/>
          <w:sz w:val="24"/>
        </w:rPr>
        <w:t>-1  长沙县城区商服用地路线价表</w:t>
      </w:r>
    </w:p>
    <w:p>
      <w:pPr>
        <w:ind w:right="315" w:firstLine="420" w:firstLineChars="200"/>
        <w:jc w:val="right"/>
      </w:pPr>
      <w:r>
        <w:t>单位：元/平方米</w:t>
      </w:r>
    </w:p>
    <w:tbl>
      <w:tblPr>
        <w:tblW w:w="8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95"/>
        <w:gridCol w:w="1877"/>
        <w:gridCol w:w="1192"/>
        <w:gridCol w:w="1491"/>
        <w:gridCol w:w="1071"/>
        <w:gridCol w:w="1017"/>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b/>
                <w:color w:val="000000"/>
                <w:sz w:val="20"/>
              </w:rPr>
            </w:pPr>
            <w:r>
              <w:rPr>
                <w:b/>
                <w:color w:val="000000"/>
                <w:kern w:val="0"/>
                <w:sz w:val="20"/>
                <w:lang/>
              </w:rPr>
              <w:t>编号</w:t>
            </w:r>
          </w:p>
        </w:tc>
        <w:tc>
          <w:tcPr>
            <w:tcW w:w="1877" w:type="dxa"/>
            <w:vAlign w:val="center"/>
          </w:tcPr>
          <w:p>
            <w:pPr>
              <w:widowControl/>
              <w:jc w:val="center"/>
              <w:textAlignment w:val="center"/>
              <w:rPr>
                <w:b/>
                <w:color w:val="000000"/>
                <w:sz w:val="20"/>
              </w:rPr>
            </w:pPr>
            <w:r>
              <w:rPr>
                <w:b/>
                <w:color w:val="000000"/>
                <w:kern w:val="0"/>
                <w:sz w:val="20"/>
                <w:lang/>
              </w:rPr>
              <w:t>路段名</w:t>
            </w:r>
          </w:p>
        </w:tc>
        <w:tc>
          <w:tcPr>
            <w:tcW w:w="1192" w:type="dxa"/>
            <w:vAlign w:val="center"/>
          </w:tcPr>
          <w:p>
            <w:pPr>
              <w:widowControl/>
              <w:jc w:val="center"/>
              <w:textAlignment w:val="center"/>
              <w:rPr>
                <w:b/>
                <w:color w:val="000000"/>
                <w:sz w:val="20"/>
              </w:rPr>
            </w:pPr>
            <w:r>
              <w:rPr>
                <w:b/>
                <w:color w:val="000000"/>
                <w:kern w:val="0"/>
                <w:sz w:val="20"/>
                <w:lang/>
              </w:rPr>
              <w:t>起点</w:t>
            </w:r>
          </w:p>
        </w:tc>
        <w:tc>
          <w:tcPr>
            <w:tcW w:w="1491" w:type="dxa"/>
            <w:vAlign w:val="center"/>
          </w:tcPr>
          <w:p>
            <w:pPr>
              <w:widowControl/>
              <w:jc w:val="center"/>
              <w:textAlignment w:val="center"/>
              <w:rPr>
                <w:b/>
                <w:color w:val="000000"/>
                <w:sz w:val="20"/>
              </w:rPr>
            </w:pPr>
            <w:r>
              <w:rPr>
                <w:b/>
                <w:color w:val="000000"/>
                <w:kern w:val="0"/>
                <w:sz w:val="20"/>
                <w:lang/>
              </w:rPr>
              <w:t>终点</w:t>
            </w:r>
          </w:p>
        </w:tc>
        <w:tc>
          <w:tcPr>
            <w:tcW w:w="1071" w:type="dxa"/>
            <w:vAlign w:val="center"/>
          </w:tcPr>
          <w:p>
            <w:pPr>
              <w:widowControl/>
              <w:jc w:val="center"/>
              <w:textAlignment w:val="center"/>
              <w:rPr>
                <w:b/>
                <w:color w:val="000000"/>
                <w:sz w:val="20"/>
              </w:rPr>
            </w:pPr>
            <w:r>
              <w:rPr>
                <w:b/>
                <w:color w:val="000000"/>
                <w:kern w:val="0"/>
                <w:sz w:val="20"/>
                <w:lang/>
              </w:rPr>
              <w:t>所在级别</w:t>
            </w:r>
          </w:p>
        </w:tc>
        <w:tc>
          <w:tcPr>
            <w:tcW w:w="1017" w:type="dxa"/>
            <w:vAlign w:val="center"/>
          </w:tcPr>
          <w:p>
            <w:pPr>
              <w:widowControl/>
              <w:jc w:val="center"/>
              <w:textAlignment w:val="center"/>
              <w:rPr>
                <w:b/>
                <w:color w:val="000000"/>
                <w:sz w:val="20"/>
              </w:rPr>
            </w:pPr>
            <w:r>
              <w:rPr>
                <w:b/>
                <w:color w:val="000000"/>
                <w:kern w:val="0"/>
                <w:sz w:val="20"/>
                <w:lang/>
              </w:rPr>
              <w:t>基准地价</w:t>
            </w:r>
          </w:p>
        </w:tc>
        <w:tc>
          <w:tcPr>
            <w:tcW w:w="893" w:type="dxa"/>
            <w:vAlign w:val="center"/>
          </w:tcPr>
          <w:p>
            <w:pPr>
              <w:widowControl/>
              <w:jc w:val="center"/>
              <w:textAlignment w:val="center"/>
              <w:rPr>
                <w:b/>
                <w:color w:val="000000"/>
                <w:sz w:val="20"/>
              </w:rPr>
            </w:pPr>
            <w:r>
              <w:rPr>
                <w:b/>
                <w:color w:val="000000"/>
                <w:kern w:val="0"/>
                <w:sz w:val="20"/>
                <w:lang/>
              </w:rPr>
              <w:t>路线价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1</w:t>
            </w:r>
          </w:p>
        </w:tc>
        <w:tc>
          <w:tcPr>
            <w:tcW w:w="1877" w:type="dxa"/>
            <w:vAlign w:val="center"/>
          </w:tcPr>
          <w:p>
            <w:pPr>
              <w:widowControl/>
              <w:jc w:val="center"/>
              <w:textAlignment w:val="center"/>
              <w:rPr>
                <w:color w:val="000000"/>
                <w:sz w:val="22"/>
                <w:szCs w:val="22"/>
              </w:rPr>
            </w:pPr>
            <w:r>
              <w:rPr>
                <w:color w:val="000000"/>
                <w:kern w:val="0"/>
                <w:sz w:val="22"/>
                <w:szCs w:val="22"/>
                <w:lang/>
              </w:rPr>
              <w:t>星沙大道-</w:t>
            </w:r>
            <w:r>
              <w:rPr>
                <w:rStyle w:val="163"/>
                <w:sz w:val="22"/>
                <w:szCs w:val="22"/>
                <w:lang/>
              </w:rPr>
              <w:t>Ⅰ-1</w:t>
            </w:r>
          </w:p>
        </w:tc>
        <w:tc>
          <w:tcPr>
            <w:tcW w:w="1192" w:type="dxa"/>
            <w:vAlign w:val="center"/>
          </w:tcPr>
          <w:p>
            <w:pPr>
              <w:widowControl/>
              <w:jc w:val="center"/>
              <w:textAlignment w:val="center"/>
              <w:rPr>
                <w:color w:val="000000"/>
                <w:sz w:val="22"/>
                <w:szCs w:val="22"/>
              </w:rPr>
            </w:pPr>
            <w:r>
              <w:rPr>
                <w:color w:val="000000"/>
                <w:kern w:val="0"/>
                <w:sz w:val="22"/>
                <w:szCs w:val="22"/>
                <w:lang/>
              </w:rPr>
              <w:t>望仙路</w:t>
            </w:r>
          </w:p>
        </w:tc>
        <w:tc>
          <w:tcPr>
            <w:tcW w:w="1491" w:type="dxa"/>
            <w:vAlign w:val="center"/>
          </w:tcPr>
          <w:p>
            <w:pPr>
              <w:widowControl/>
              <w:jc w:val="center"/>
              <w:textAlignment w:val="center"/>
              <w:rPr>
                <w:color w:val="000000"/>
                <w:sz w:val="22"/>
                <w:szCs w:val="22"/>
              </w:rPr>
            </w:pPr>
            <w:r>
              <w:rPr>
                <w:color w:val="000000"/>
                <w:kern w:val="0"/>
                <w:sz w:val="22"/>
                <w:szCs w:val="22"/>
                <w:lang/>
              </w:rPr>
              <w:t>开元东路</w:t>
            </w:r>
          </w:p>
        </w:tc>
        <w:tc>
          <w:tcPr>
            <w:tcW w:w="1071" w:type="dxa"/>
            <w:vMerge w:val="restart"/>
            <w:vAlign w:val="center"/>
          </w:tcPr>
          <w:p>
            <w:pPr>
              <w:widowControl/>
              <w:jc w:val="center"/>
              <w:textAlignment w:val="center"/>
              <w:rPr>
                <w:color w:val="000000"/>
                <w:sz w:val="20"/>
              </w:rPr>
            </w:pPr>
            <w:r>
              <w:rPr>
                <w:color w:val="000000"/>
                <w:kern w:val="0"/>
                <w:sz w:val="20"/>
                <w:lang/>
              </w:rPr>
              <w:t>Ⅰ级</w:t>
            </w: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7830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2</w:t>
            </w:r>
          </w:p>
        </w:tc>
        <w:tc>
          <w:tcPr>
            <w:tcW w:w="1877" w:type="dxa"/>
            <w:vAlign w:val="center"/>
          </w:tcPr>
          <w:p>
            <w:pPr>
              <w:widowControl/>
              <w:jc w:val="center"/>
              <w:textAlignment w:val="center"/>
              <w:rPr>
                <w:color w:val="000000"/>
                <w:sz w:val="22"/>
                <w:szCs w:val="22"/>
              </w:rPr>
            </w:pPr>
            <w:r>
              <w:rPr>
                <w:color w:val="000000"/>
                <w:kern w:val="0"/>
                <w:sz w:val="22"/>
                <w:szCs w:val="22"/>
                <w:lang/>
              </w:rPr>
              <w:t>星沙大道-</w:t>
            </w:r>
            <w:r>
              <w:rPr>
                <w:rStyle w:val="163"/>
                <w:sz w:val="22"/>
                <w:szCs w:val="22"/>
                <w:lang/>
              </w:rPr>
              <w:t>Ⅰ-2</w:t>
            </w:r>
          </w:p>
        </w:tc>
        <w:tc>
          <w:tcPr>
            <w:tcW w:w="1192" w:type="dxa"/>
            <w:vAlign w:val="center"/>
          </w:tcPr>
          <w:p>
            <w:pPr>
              <w:widowControl/>
              <w:jc w:val="center"/>
              <w:textAlignment w:val="center"/>
              <w:rPr>
                <w:color w:val="000000"/>
                <w:sz w:val="22"/>
                <w:szCs w:val="22"/>
              </w:rPr>
            </w:pPr>
            <w:r>
              <w:rPr>
                <w:color w:val="000000"/>
                <w:kern w:val="0"/>
                <w:sz w:val="22"/>
                <w:szCs w:val="22"/>
                <w:lang/>
              </w:rPr>
              <w:t>开元东路</w:t>
            </w:r>
          </w:p>
        </w:tc>
        <w:tc>
          <w:tcPr>
            <w:tcW w:w="1491" w:type="dxa"/>
            <w:vAlign w:val="center"/>
          </w:tcPr>
          <w:p>
            <w:pPr>
              <w:widowControl/>
              <w:jc w:val="center"/>
              <w:textAlignment w:val="center"/>
              <w:rPr>
                <w:color w:val="000000"/>
                <w:sz w:val="22"/>
                <w:szCs w:val="22"/>
              </w:rPr>
            </w:pPr>
            <w:r>
              <w:rPr>
                <w:color w:val="000000"/>
                <w:kern w:val="0"/>
                <w:sz w:val="22"/>
                <w:szCs w:val="22"/>
                <w:lang/>
              </w:rPr>
              <w:t>三一路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7540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3</w:t>
            </w:r>
          </w:p>
        </w:tc>
        <w:tc>
          <w:tcPr>
            <w:tcW w:w="1877" w:type="dxa"/>
            <w:vAlign w:val="center"/>
          </w:tcPr>
          <w:p>
            <w:pPr>
              <w:widowControl/>
              <w:jc w:val="center"/>
              <w:textAlignment w:val="center"/>
              <w:rPr>
                <w:color w:val="000000"/>
                <w:sz w:val="22"/>
                <w:szCs w:val="22"/>
              </w:rPr>
            </w:pPr>
            <w:r>
              <w:rPr>
                <w:color w:val="000000"/>
                <w:kern w:val="0"/>
                <w:sz w:val="22"/>
                <w:szCs w:val="22"/>
                <w:lang/>
              </w:rPr>
              <w:t>星沙大道-</w:t>
            </w:r>
            <w:r>
              <w:rPr>
                <w:rStyle w:val="163"/>
                <w:sz w:val="22"/>
                <w:szCs w:val="22"/>
                <w:lang/>
              </w:rPr>
              <w:t>Ⅰ-3</w:t>
            </w:r>
          </w:p>
        </w:tc>
        <w:tc>
          <w:tcPr>
            <w:tcW w:w="1192" w:type="dxa"/>
            <w:vAlign w:val="center"/>
          </w:tcPr>
          <w:p>
            <w:pPr>
              <w:widowControl/>
              <w:jc w:val="center"/>
              <w:textAlignment w:val="center"/>
              <w:rPr>
                <w:color w:val="000000"/>
                <w:sz w:val="22"/>
                <w:szCs w:val="22"/>
              </w:rPr>
            </w:pPr>
            <w:r>
              <w:rPr>
                <w:color w:val="000000"/>
                <w:kern w:val="0"/>
                <w:sz w:val="22"/>
                <w:szCs w:val="22"/>
                <w:lang/>
              </w:rPr>
              <w:t>三一路</w:t>
            </w:r>
          </w:p>
        </w:tc>
        <w:tc>
          <w:tcPr>
            <w:tcW w:w="1491" w:type="dxa"/>
            <w:vAlign w:val="center"/>
          </w:tcPr>
          <w:p>
            <w:pPr>
              <w:widowControl/>
              <w:jc w:val="center"/>
              <w:textAlignment w:val="center"/>
              <w:rPr>
                <w:color w:val="000000"/>
                <w:sz w:val="22"/>
                <w:szCs w:val="22"/>
              </w:rPr>
            </w:pPr>
            <w:r>
              <w:rPr>
                <w:color w:val="000000"/>
                <w:kern w:val="0"/>
                <w:sz w:val="22"/>
                <w:szCs w:val="22"/>
                <w:lang/>
              </w:rPr>
              <w:t>长浏高速</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7480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4</w:t>
            </w:r>
          </w:p>
        </w:tc>
        <w:tc>
          <w:tcPr>
            <w:tcW w:w="1877" w:type="dxa"/>
            <w:vAlign w:val="center"/>
          </w:tcPr>
          <w:p>
            <w:pPr>
              <w:widowControl/>
              <w:jc w:val="center"/>
              <w:textAlignment w:val="center"/>
              <w:rPr>
                <w:color w:val="000000"/>
                <w:sz w:val="22"/>
                <w:szCs w:val="22"/>
              </w:rPr>
            </w:pPr>
            <w:r>
              <w:rPr>
                <w:color w:val="000000"/>
                <w:kern w:val="0"/>
                <w:sz w:val="22"/>
                <w:szCs w:val="22"/>
                <w:lang/>
              </w:rPr>
              <w:t>板仓中路-</w:t>
            </w:r>
            <w:r>
              <w:rPr>
                <w:rStyle w:val="163"/>
                <w:sz w:val="22"/>
                <w:szCs w:val="22"/>
                <w:lang/>
              </w:rPr>
              <w:t>Ⅰ-1</w:t>
            </w:r>
          </w:p>
        </w:tc>
        <w:tc>
          <w:tcPr>
            <w:tcW w:w="1192" w:type="dxa"/>
            <w:vAlign w:val="center"/>
          </w:tcPr>
          <w:p>
            <w:pPr>
              <w:widowControl/>
              <w:jc w:val="center"/>
              <w:textAlignment w:val="center"/>
              <w:rPr>
                <w:color w:val="000000"/>
                <w:sz w:val="22"/>
                <w:szCs w:val="22"/>
              </w:rPr>
            </w:pPr>
            <w:r>
              <w:rPr>
                <w:color w:val="000000"/>
                <w:kern w:val="0"/>
                <w:sz w:val="22"/>
                <w:szCs w:val="22"/>
                <w:lang/>
              </w:rPr>
              <w:t>望仙路</w:t>
            </w:r>
          </w:p>
        </w:tc>
        <w:tc>
          <w:tcPr>
            <w:tcW w:w="1491" w:type="dxa"/>
            <w:vAlign w:val="center"/>
          </w:tcPr>
          <w:p>
            <w:pPr>
              <w:widowControl/>
              <w:jc w:val="center"/>
              <w:textAlignment w:val="center"/>
              <w:rPr>
                <w:color w:val="000000"/>
                <w:sz w:val="22"/>
                <w:szCs w:val="22"/>
              </w:rPr>
            </w:pPr>
            <w:r>
              <w:rPr>
                <w:color w:val="000000"/>
                <w:kern w:val="0"/>
                <w:sz w:val="22"/>
                <w:szCs w:val="22"/>
                <w:lang/>
              </w:rPr>
              <w:t>三一路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7440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5</w:t>
            </w:r>
          </w:p>
        </w:tc>
        <w:tc>
          <w:tcPr>
            <w:tcW w:w="1877" w:type="dxa"/>
            <w:vAlign w:val="center"/>
          </w:tcPr>
          <w:p>
            <w:pPr>
              <w:widowControl/>
              <w:jc w:val="center"/>
              <w:textAlignment w:val="center"/>
              <w:rPr>
                <w:color w:val="000000"/>
                <w:sz w:val="22"/>
                <w:szCs w:val="22"/>
              </w:rPr>
            </w:pPr>
            <w:r>
              <w:rPr>
                <w:color w:val="000000"/>
                <w:kern w:val="0"/>
                <w:sz w:val="22"/>
                <w:szCs w:val="22"/>
                <w:lang/>
              </w:rPr>
              <w:t>板仓中路-</w:t>
            </w:r>
            <w:r>
              <w:rPr>
                <w:rStyle w:val="163"/>
                <w:sz w:val="22"/>
                <w:szCs w:val="22"/>
                <w:lang/>
              </w:rPr>
              <w:t>Ⅰ-2</w:t>
            </w:r>
          </w:p>
        </w:tc>
        <w:tc>
          <w:tcPr>
            <w:tcW w:w="1192" w:type="dxa"/>
            <w:vAlign w:val="center"/>
          </w:tcPr>
          <w:p>
            <w:pPr>
              <w:widowControl/>
              <w:jc w:val="center"/>
              <w:textAlignment w:val="center"/>
              <w:rPr>
                <w:color w:val="000000"/>
                <w:sz w:val="22"/>
                <w:szCs w:val="22"/>
              </w:rPr>
            </w:pPr>
            <w:r>
              <w:rPr>
                <w:color w:val="000000"/>
                <w:kern w:val="0"/>
                <w:sz w:val="22"/>
                <w:szCs w:val="22"/>
                <w:lang/>
              </w:rPr>
              <w:t>三一路</w:t>
            </w:r>
          </w:p>
        </w:tc>
        <w:tc>
          <w:tcPr>
            <w:tcW w:w="1491" w:type="dxa"/>
            <w:vAlign w:val="center"/>
          </w:tcPr>
          <w:p>
            <w:pPr>
              <w:widowControl/>
              <w:jc w:val="center"/>
              <w:textAlignment w:val="center"/>
              <w:rPr>
                <w:color w:val="000000"/>
                <w:sz w:val="22"/>
                <w:szCs w:val="22"/>
              </w:rPr>
            </w:pPr>
            <w:r>
              <w:rPr>
                <w:color w:val="000000"/>
                <w:kern w:val="0"/>
                <w:sz w:val="22"/>
                <w:szCs w:val="22"/>
                <w:lang/>
              </w:rPr>
              <w:t>长浏高速</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7350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6</w:t>
            </w:r>
          </w:p>
        </w:tc>
        <w:tc>
          <w:tcPr>
            <w:tcW w:w="1877" w:type="dxa"/>
            <w:vAlign w:val="center"/>
          </w:tcPr>
          <w:p>
            <w:pPr>
              <w:widowControl/>
              <w:jc w:val="center"/>
              <w:textAlignment w:val="center"/>
              <w:rPr>
                <w:color w:val="000000"/>
                <w:sz w:val="22"/>
                <w:szCs w:val="22"/>
              </w:rPr>
            </w:pPr>
            <w:r>
              <w:rPr>
                <w:color w:val="000000"/>
                <w:kern w:val="0"/>
                <w:sz w:val="22"/>
                <w:szCs w:val="22"/>
                <w:lang/>
              </w:rPr>
              <w:t>天华路-</w:t>
            </w:r>
            <w:r>
              <w:rPr>
                <w:rStyle w:val="163"/>
                <w:sz w:val="22"/>
                <w:szCs w:val="22"/>
                <w:lang/>
              </w:rPr>
              <w:t>Ⅰ-1</w:t>
            </w:r>
          </w:p>
        </w:tc>
        <w:tc>
          <w:tcPr>
            <w:tcW w:w="1192" w:type="dxa"/>
            <w:vAlign w:val="center"/>
          </w:tcPr>
          <w:p>
            <w:pPr>
              <w:widowControl/>
              <w:jc w:val="center"/>
              <w:textAlignment w:val="center"/>
              <w:rPr>
                <w:color w:val="000000"/>
                <w:sz w:val="22"/>
                <w:szCs w:val="22"/>
              </w:rPr>
            </w:pPr>
            <w:r>
              <w:rPr>
                <w:color w:val="000000"/>
                <w:kern w:val="0"/>
                <w:sz w:val="22"/>
                <w:szCs w:val="22"/>
                <w:lang/>
              </w:rPr>
              <w:t>望仙路</w:t>
            </w:r>
          </w:p>
        </w:tc>
        <w:tc>
          <w:tcPr>
            <w:tcW w:w="1491" w:type="dxa"/>
            <w:vAlign w:val="center"/>
          </w:tcPr>
          <w:p>
            <w:pPr>
              <w:widowControl/>
              <w:jc w:val="center"/>
              <w:textAlignment w:val="center"/>
              <w:rPr>
                <w:color w:val="000000"/>
                <w:sz w:val="22"/>
                <w:szCs w:val="22"/>
              </w:rPr>
            </w:pPr>
            <w:r>
              <w:rPr>
                <w:color w:val="000000"/>
                <w:kern w:val="0"/>
                <w:sz w:val="22"/>
                <w:szCs w:val="22"/>
                <w:lang/>
              </w:rPr>
              <w:t>三一路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7710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7</w:t>
            </w:r>
          </w:p>
        </w:tc>
        <w:tc>
          <w:tcPr>
            <w:tcW w:w="1877" w:type="dxa"/>
            <w:vAlign w:val="center"/>
          </w:tcPr>
          <w:p>
            <w:pPr>
              <w:widowControl/>
              <w:jc w:val="center"/>
              <w:textAlignment w:val="center"/>
              <w:rPr>
                <w:color w:val="000000"/>
                <w:sz w:val="22"/>
                <w:szCs w:val="22"/>
              </w:rPr>
            </w:pPr>
            <w:r>
              <w:rPr>
                <w:color w:val="000000"/>
                <w:kern w:val="0"/>
                <w:sz w:val="22"/>
                <w:szCs w:val="22"/>
                <w:lang/>
              </w:rPr>
              <w:t>天华路-</w:t>
            </w:r>
            <w:r>
              <w:rPr>
                <w:rStyle w:val="163"/>
                <w:sz w:val="22"/>
                <w:szCs w:val="22"/>
                <w:lang/>
              </w:rPr>
              <w:t>Ⅰ-2</w:t>
            </w:r>
          </w:p>
        </w:tc>
        <w:tc>
          <w:tcPr>
            <w:tcW w:w="1192" w:type="dxa"/>
            <w:vAlign w:val="center"/>
          </w:tcPr>
          <w:p>
            <w:pPr>
              <w:widowControl/>
              <w:jc w:val="center"/>
              <w:textAlignment w:val="center"/>
              <w:rPr>
                <w:color w:val="000000"/>
                <w:sz w:val="22"/>
                <w:szCs w:val="22"/>
              </w:rPr>
            </w:pPr>
            <w:r>
              <w:rPr>
                <w:color w:val="000000"/>
                <w:kern w:val="0"/>
                <w:sz w:val="22"/>
                <w:szCs w:val="22"/>
                <w:lang/>
              </w:rPr>
              <w:t>三一路</w:t>
            </w:r>
          </w:p>
        </w:tc>
        <w:tc>
          <w:tcPr>
            <w:tcW w:w="1491" w:type="dxa"/>
            <w:vAlign w:val="center"/>
          </w:tcPr>
          <w:p>
            <w:pPr>
              <w:widowControl/>
              <w:jc w:val="center"/>
              <w:textAlignment w:val="center"/>
              <w:rPr>
                <w:color w:val="000000"/>
                <w:sz w:val="22"/>
                <w:szCs w:val="22"/>
              </w:rPr>
            </w:pPr>
            <w:r>
              <w:rPr>
                <w:color w:val="000000"/>
                <w:kern w:val="0"/>
                <w:sz w:val="22"/>
                <w:szCs w:val="22"/>
                <w:lang/>
              </w:rPr>
              <w:t>长浏高速</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7220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8</w:t>
            </w:r>
          </w:p>
        </w:tc>
        <w:tc>
          <w:tcPr>
            <w:tcW w:w="1877" w:type="dxa"/>
            <w:vAlign w:val="center"/>
          </w:tcPr>
          <w:p>
            <w:pPr>
              <w:widowControl/>
              <w:jc w:val="center"/>
              <w:textAlignment w:val="center"/>
              <w:rPr>
                <w:color w:val="000000"/>
                <w:sz w:val="22"/>
                <w:szCs w:val="22"/>
              </w:rPr>
            </w:pPr>
            <w:r>
              <w:rPr>
                <w:color w:val="000000"/>
                <w:kern w:val="0"/>
                <w:sz w:val="22"/>
                <w:szCs w:val="22"/>
                <w:lang/>
              </w:rPr>
              <w:t>东一线-</w:t>
            </w:r>
            <w:r>
              <w:rPr>
                <w:rStyle w:val="163"/>
                <w:sz w:val="22"/>
                <w:szCs w:val="22"/>
                <w:lang/>
              </w:rPr>
              <w:t>Ⅰ-1</w:t>
            </w:r>
          </w:p>
        </w:tc>
        <w:tc>
          <w:tcPr>
            <w:tcW w:w="1192" w:type="dxa"/>
            <w:vAlign w:val="center"/>
          </w:tcPr>
          <w:p>
            <w:pPr>
              <w:widowControl/>
              <w:jc w:val="center"/>
              <w:textAlignment w:val="center"/>
              <w:rPr>
                <w:color w:val="000000"/>
                <w:sz w:val="22"/>
                <w:szCs w:val="22"/>
              </w:rPr>
            </w:pPr>
            <w:r>
              <w:rPr>
                <w:color w:val="000000"/>
                <w:kern w:val="0"/>
                <w:sz w:val="22"/>
                <w:szCs w:val="22"/>
                <w:lang/>
              </w:rPr>
              <w:t>望仙路</w:t>
            </w:r>
          </w:p>
        </w:tc>
        <w:tc>
          <w:tcPr>
            <w:tcW w:w="1491" w:type="dxa"/>
            <w:vAlign w:val="center"/>
          </w:tcPr>
          <w:p>
            <w:pPr>
              <w:widowControl/>
              <w:jc w:val="center"/>
              <w:textAlignment w:val="center"/>
              <w:rPr>
                <w:color w:val="000000"/>
                <w:sz w:val="22"/>
                <w:szCs w:val="22"/>
              </w:rPr>
            </w:pPr>
            <w:r>
              <w:rPr>
                <w:color w:val="000000"/>
                <w:kern w:val="0"/>
                <w:sz w:val="22"/>
                <w:szCs w:val="22"/>
                <w:lang/>
              </w:rPr>
              <w:t>开元东路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6850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9</w:t>
            </w:r>
          </w:p>
        </w:tc>
        <w:tc>
          <w:tcPr>
            <w:tcW w:w="1877" w:type="dxa"/>
            <w:vAlign w:val="center"/>
          </w:tcPr>
          <w:p>
            <w:pPr>
              <w:widowControl/>
              <w:jc w:val="center"/>
              <w:textAlignment w:val="center"/>
              <w:rPr>
                <w:color w:val="000000"/>
                <w:sz w:val="22"/>
                <w:szCs w:val="22"/>
              </w:rPr>
            </w:pPr>
            <w:r>
              <w:rPr>
                <w:color w:val="000000"/>
                <w:kern w:val="0"/>
                <w:sz w:val="22"/>
                <w:szCs w:val="22"/>
                <w:lang/>
              </w:rPr>
              <w:t>东一线-</w:t>
            </w:r>
            <w:r>
              <w:rPr>
                <w:rStyle w:val="163"/>
                <w:sz w:val="22"/>
                <w:szCs w:val="22"/>
                <w:lang/>
              </w:rPr>
              <w:t>Ⅰ-2</w:t>
            </w:r>
          </w:p>
        </w:tc>
        <w:tc>
          <w:tcPr>
            <w:tcW w:w="1192" w:type="dxa"/>
            <w:vAlign w:val="center"/>
          </w:tcPr>
          <w:p>
            <w:pPr>
              <w:widowControl/>
              <w:jc w:val="center"/>
              <w:textAlignment w:val="center"/>
              <w:rPr>
                <w:color w:val="000000"/>
                <w:sz w:val="22"/>
                <w:szCs w:val="22"/>
              </w:rPr>
            </w:pPr>
            <w:r>
              <w:rPr>
                <w:color w:val="000000"/>
                <w:kern w:val="0"/>
                <w:sz w:val="22"/>
                <w:szCs w:val="22"/>
                <w:lang/>
              </w:rPr>
              <w:t>开元东路</w:t>
            </w:r>
          </w:p>
        </w:tc>
        <w:tc>
          <w:tcPr>
            <w:tcW w:w="1491" w:type="dxa"/>
            <w:vAlign w:val="center"/>
          </w:tcPr>
          <w:p>
            <w:pPr>
              <w:widowControl/>
              <w:jc w:val="center"/>
              <w:textAlignment w:val="center"/>
              <w:rPr>
                <w:color w:val="000000"/>
                <w:sz w:val="22"/>
                <w:szCs w:val="22"/>
              </w:rPr>
            </w:pPr>
            <w:r>
              <w:rPr>
                <w:color w:val="000000"/>
                <w:kern w:val="0"/>
                <w:sz w:val="22"/>
                <w:szCs w:val="22"/>
                <w:lang/>
              </w:rPr>
              <w:t>长浏高速</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6630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10</w:t>
            </w:r>
          </w:p>
        </w:tc>
        <w:tc>
          <w:tcPr>
            <w:tcW w:w="1877" w:type="dxa"/>
            <w:vAlign w:val="center"/>
          </w:tcPr>
          <w:p>
            <w:pPr>
              <w:widowControl/>
              <w:jc w:val="center"/>
              <w:textAlignment w:val="center"/>
              <w:rPr>
                <w:color w:val="000000"/>
                <w:sz w:val="22"/>
                <w:szCs w:val="22"/>
              </w:rPr>
            </w:pPr>
            <w:r>
              <w:rPr>
                <w:rStyle w:val="163"/>
                <w:sz w:val="22"/>
                <w:szCs w:val="22"/>
                <w:lang/>
              </w:rPr>
              <w:t>东二线</w:t>
            </w:r>
            <w:r>
              <w:rPr>
                <w:color w:val="000000"/>
                <w:kern w:val="0"/>
                <w:sz w:val="22"/>
                <w:szCs w:val="22"/>
                <w:lang/>
              </w:rPr>
              <w:t>-</w:t>
            </w:r>
            <w:r>
              <w:rPr>
                <w:rStyle w:val="163"/>
                <w:sz w:val="22"/>
                <w:szCs w:val="22"/>
                <w:lang/>
              </w:rPr>
              <w:t>Ⅰ</w:t>
            </w:r>
          </w:p>
        </w:tc>
        <w:tc>
          <w:tcPr>
            <w:tcW w:w="1192" w:type="dxa"/>
            <w:vAlign w:val="center"/>
          </w:tcPr>
          <w:p>
            <w:pPr>
              <w:widowControl/>
              <w:jc w:val="center"/>
              <w:textAlignment w:val="center"/>
              <w:rPr>
                <w:color w:val="000000"/>
                <w:sz w:val="22"/>
                <w:szCs w:val="22"/>
              </w:rPr>
            </w:pPr>
            <w:r>
              <w:rPr>
                <w:color w:val="000000"/>
                <w:kern w:val="0"/>
                <w:sz w:val="22"/>
                <w:szCs w:val="22"/>
                <w:lang/>
              </w:rPr>
              <w:t>望仙路</w:t>
            </w:r>
          </w:p>
        </w:tc>
        <w:tc>
          <w:tcPr>
            <w:tcW w:w="1491" w:type="dxa"/>
            <w:vAlign w:val="center"/>
          </w:tcPr>
          <w:p>
            <w:pPr>
              <w:widowControl/>
              <w:jc w:val="center"/>
              <w:textAlignment w:val="center"/>
              <w:rPr>
                <w:color w:val="000000"/>
                <w:sz w:val="22"/>
                <w:szCs w:val="22"/>
              </w:rPr>
            </w:pPr>
            <w:r>
              <w:rPr>
                <w:color w:val="000000"/>
                <w:kern w:val="0"/>
                <w:sz w:val="22"/>
                <w:szCs w:val="22"/>
                <w:lang/>
              </w:rPr>
              <w:t>开元东路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6775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11</w:t>
            </w:r>
          </w:p>
        </w:tc>
        <w:tc>
          <w:tcPr>
            <w:tcW w:w="1877" w:type="dxa"/>
            <w:vAlign w:val="center"/>
          </w:tcPr>
          <w:p>
            <w:pPr>
              <w:widowControl/>
              <w:jc w:val="center"/>
              <w:textAlignment w:val="center"/>
              <w:rPr>
                <w:color w:val="000000"/>
                <w:sz w:val="22"/>
                <w:szCs w:val="22"/>
              </w:rPr>
            </w:pPr>
            <w:r>
              <w:rPr>
                <w:rStyle w:val="163"/>
                <w:sz w:val="22"/>
                <w:szCs w:val="22"/>
                <w:lang/>
              </w:rPr>
              <w:t>东三线</w:t>
            </w:r>
            <w:r>
              <w:rPr>
                <w:color w:val="000000"/>
                <w:kern w:val="0"/>
                <w:sz w:val="22"/>
                <w:szCs w:val="22"/>
                <w:lang/>
              </w:rPr>
              <w:t>-</w:t>
            </w:r>
            <w:r>
              <w:rPr>
                <w:rStyle w:val="163"/>
                <w:sz w:val="22"/>
                <w:szCs w:val="22"/>
                <w:lang/>
              </w:rPr>
              <w:t>Ⅰ</w:t>
            </w:r>
          </w:p>
        </w:tc>
        <w:tc>
          <w:tcPr>
            <w:tcW w:w="1192" w:type="dxa"/>
            <w:vAlign w:val="center"/>
          </w:tcPr>
          <w:p>
            <w:pPr>
              <w:widowControl/>
              <w:jc w:val="center"/>
              <w:textAlignment w:val="center"/>
              <w:rPr>
                <w:color w:val="000000"/>
                <w:sz w:val="22"/>
                <w:szCs w:val="22"/>
              </w:rPr>
            </w:pPr>
            <w:r>
              <w:rPr>
                <w:color w:val="000000"/>
                <w:kern w:val="0"/>
                <w:sz w:val="22"/>
                <w:szCs w:val="22"/>
                <w:lang/>
              </w:rPr>
              <w:t>望仙路</w:t>
            </w:r>
          </w:p>
        </w:tc>
        <w:tc>
          <w:tcPr>
            <w:tcW w:w="1491" w:type="dxa"/>
            <w:vAlign w:val="center"/>
          </w:tcPr>
          <w:p>
            <w:pPr>
              <w:widowControl/>
              <w:jc w:val="center"/>
              <w:textAlignment w:val="center"/>
              <w:rPr>
                <w:color w:val="000000"/>
                <w:sz w:val="22"/>
                <w:szCs w:val="22"/>
              </w:rPr>
            </w:pPr>
            <w:r>
              <w:rPr>
                <w:color w:val="000000"/>
                <w:kern w:val="0"/>
                <w:sz w:val="22"/>
                <w:szCs w:val="22"/>
                <w:lang/>
              </w:rPr>
              <w:t>开元东路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6660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12</w:t>
            </w:r>
          </w:p>
        </w:tc>
        <w:tc>
          <w:tcPr>
            <w:tcW w:w="1877" w:type="dxa"/>
            <w:vAlign w:val="center"/>
          </w:tcPr>
          <w:p>
            <w:pPr>
              <w:widowControl/>
              <w:jc w:val="center"/>
              <w:textAlignment w:val="center"/>
              <w:rPr>
                <w:color w:val="000000"/>
                <w:sz w:val="22"/>
                <w:szCs w:val="22"/>
              </w:rPr>
            </w:pPr>
            <w:r>
              <w:rPr>
                <w:rStyle w:val="163"/>
                <w:sz w:val="22"/>
                <w:szCs w:val="22"/>
                <w:lang/>
              </w:rPr>
              <w:t>开元路中</w:t>
            </w:r>
            <w:r>
              <w:rPr>
                <w:color w:val="000000"/>
                <w:kern w:val="0"/>
                <w:sz w:val="22"/>
                <w:szCs w:val="22"/>
                <w:lang/>
              </w:rPr>
              <w:t>-</w:t>
            </w:r>
            <w:r>
              <w:rPr>
                <w:rStyle w:val="163"/>
                <w:sz w:val="22"/>
                <w:szCs w:val="22"/>
                <w:lang/>
              </w:rPr>
              <w:t>Ⅰ</w:t>
            </w:r>
          </w:p>
        </w:tc>
        <w:tc>
          <w:tcPr>
            <w:tcW w:w="1192" w:type="dxa"/>
            <w:vAlign w:val="center"/>
          </w:tcPr>
          <w:p>
            <w:pPr>
              <w:widowControl/>
              <w:jc w:val="center"/>
              <w:textAlignment w:val="center"/>
              <w:rPr>
                <w:color w:val="000000"/>
                <w:sz w:val="22"/>
                <w:szCs w:val="22"/>
              </w:rPr>
            </w:pPr>
            <w:r>
              <w:rPr>
                <w:color w:val="000000"/>
                <w:kern w:val="0"/>
                <w:sz w:val="22"/>
                <w:szCs w:val="22"/>
                <w:lang/>
              </w:rPr>
              <w:t>京珠高速</w:t>
            </w:r>
          </w:p>
        </w:tc>
        <w:tc>
          <w:tcPr>
            <w:tcW w:w="1491" w:type="dxa"/>
            <w:vAlign w:val="center"/>
          </w:tcPr>
          <w:p>
            <w:pPr>
              <w:widowControl/>
              <w:jc w:val="center"/>
              <w:textAlignment w:val="center"/>
              <w:rPr>
                <w:color w:val="000000"/>
                <w:sz w:val="22"/>
                <w:szCs w:val="22"/>
              </w:rPr>
            </w:pPr>
            <w:r>
              <w:rPr>
                <w:color w:val="000000"/>
                <w:kern w:val="0"/>
                <w:sz w:val="22"/>
                <w:szCs w:val="22"/>
                <w:lang/>
              </w:rPr>
              <w:t>东三线</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6900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13</w:t>
            </w:r>
          </w:p>
        </w:tc>
        <w:tc>
          <w:tcPr>
            <w:tcW w:w="1877" w:type="dxa"/>
            <w:vAlign w:val="center"/>
          </w:tcPr>
          <w:p>
            <w:pPr>
              <w:widowControl/>
              <w:jc w:val="center"/>
              <w:textAlignment w:val="center"/>
              <w:rPr>
                <w:color w:val="000000"/>
                <w:sz w:val="22"/>
                <w:szCs w:val="22"/>
              </w:rPr>
            </w:pPr>
            <w:r>
              <w:rPr>
                <w:rStyle w:val="163"/>
                <w:sz w:val="22"/>
                <w:szCs w:val="22"/>
                <w:lang/>
              </w:rPr>
              <w:t>棠坡路</w:t>
            </w:r>
            <w:r>
              <w:rPr>
                <w:color w:val="000000"/>
                <w:kern w:val="0"/>
                <w:sz w:val="22"/>
                <w:szCs w:val="22"/>
                <w:lang/>
              </w:rPr>
              <w:t>-</w:t>
            </w:r>
            <w:r>
              <w:rPr>
                <w:rStyle w:val="163"/>
                <w:sz w:val="22"/>
                <w:szCs w:val="22"/>
                <w:lang/>
              </w:rPr>
              <w:t>Ⅰ</w:t>
            </w:r>
          </w:p>
        </w:tc>
        <w:tc>
          <w:tcPr>
            <w:tcW w:w="1192" w:type="dxa"/>
            <w:vAlign w:val="center"/>
          </w:tcPr>
          <w:p>
            <w:pPr>
              <w:widowControl/>
              <w:jc w:val="center"/>
              <w:textAlignment w:val="center"/>
              <w:rPr>
                <w:color w:val="000000"/>
                <w:sz w:val="22"/>
                <w:szCs w:val="22"/>
              </w:rPr>
            </w:pPr>
            <w:r>
              <w:rPr>
                <w:color w:val="000000"/>
                <w:kern w:val="0"/>
                <w:sz w:val="22"/>
                <w:szCs w:val="22"/>
                <w:lang/>
              </w:rPr>
              <w:t>望仙路</w:t>
            </w:r>
          </w:p>
        </w:tc>
        <w:tc>
          <w:tcPr>
            <w:tcW w:w="1491" w:type="dxa"/>
            <w:vAlign w:val="center"/>
          </w:tcPr>
          <w:p>
            <w:pPr>
              <w:widowControl/>
              <w:jc w:val="center"/>
              <w:textAlignment w:val="center"/>
              <w:rPr>
                <w:color w:val="000000"/>
                <w:sz w:val="22"/>
                <w:szCs w:val="22"/>
              </w:rPr>
            </w:pPr>
            <w:r>
              <w:rPr>
                <w:color w:val="000000"/>
                <w:kern w:val="0"/>
                <w:sz w:val="22"/>
                <w:szCs w:val="22"/>
                <w:lang/>
              </w:rPr>
              <w:t>东三线</w:t>
            </w:r>
          </w:p>
        </w:tc>
        <w:tc>
          <w:tcPr>
            <w:tcW w:w="1071" w:type="dxa"/>
            <w:vMerge w:val="continue"/>
            <w:vAlign w:val="center"/>
          </w:tcPr>
          <w:p>
            <w:pPr>
              <w:widowControl/>
              <w:jc w:val="center"/>
              <w:textAlignment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6680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14</w:t>
            </w:r>
          </w:p>
        </w:tc>
        <w:tc>
          <w:tcPr>
            <w:tcW w:w="1877" w:type="dxa"/>
            <w:vAlign w:val="center"/>
          </w:tcPr>
          <w:p>
            <w:pPr>
              <w:widowControl/>
              <w:jc w:val="center"/>
              <w:textAlignment w:val="center"/>
              <w:rPr>
                <w:color w:val="000000"/>
                <w:sz w:val="22"/>
                <w:szCs w:val="22"/>
              </w:rPr>
            </w:pPr>
            <w:r>
              <w:rPr>
                <w:color w:val="000000"/>
                <w:kern w:val="0"/>
                <w:sz w:val="22"/>
                <w:szCs w:val="22"/>
                <w:lang/>
              </w:rPr>
              <w:t>望仙路-</w:t>
            </w:r>
            <w:r>
              <w:rPr>
                <w:rStyle w:val="163"/>
                <w:sz w:val="22"/>
                <w:szCs w:val="22"/>
                <w:lang/>
              </w:rPr>
              <w:t>Ⅰ-1</w:t>
            </w:r>
          </w:p>
        </w:tc>
        <w:tc>
          <w:tcPr>
            <w:tcW w:w="1192" w:type="dxa"/>
            <w:vAlign w:val="center"/>
          </w:tcPr>
          <w:p>
            <w:pPr>
              <w:widowControl/>
              <w:jc w:val="center"/>
              <w:textAlignment w:val="center"/>
              <w:rPr>
                <w:color w:val="000000"/>
                <w:sz w:val="22"/>
                <w:szCs w:val="22"/>
              </w:rPr>
            </w:pPr>
            <w:r>
              <w:rPr>
                <w:color w:val="000000"/>
                <w:kern w:val="0"/>
                <w:sz w:val="22"/>
                <w:szCs w:val="22"/>
                <w:lang/>
              </w:rPr>
              <w:t>京珠高速</w:t>
            </w:r>
          </w:p>
        </w:tc>
        <w:tc>
          <w:tcPr>
            <w:tcW w:w="1491" w:type="dxa"/>
            <w:vAlign w:val="center"/>
          </w:tcPr>
          <w:p>
            <w:pPr>
              <w:widowControl/>
              <w:jc w:val="center"/>
              <w:textAlignment w:val="center"/>
              <w:rPr>
                <w:color w:val="000000"/>
                <w:sz w:val="22"/>
                <w:szCs w:val="22"/>
              </w:rPr>
            </w:pPr>
            <w:r>
              <w:rPr>
                <w:color w:val="000000"/>
                <w:kern w:val="0"/>
                <w:sz w:val="22"/>
                <w:szCs w:val="22"/>
                <w:lang/>
              </w:rPr>
              <w:t>龙喜路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6680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15</w:t>
            </w:r>
          </w:p>
        </w:tc>
        <w:tc>
          <w:tcPr>
            <w:tcW w:w="1877" w:type="dxa"/>
            <w:vAlign w:val="center"/>
          </w:tcPr>
          <w:p>
            <w:pPr>
              <w:widowControl/>
              <w:jc w:val="center"/>
              <w:textAlignment w:val="center"/>
              <w:rPr>
                <w:color w:val="000000"/>
                <w:sz w:val="22"/>
                <w:szCs w:val="22"/>
              </w:rPr>
            </w:pPr>
            <w:r>
              <w:rPr>
                <w:color w:val="000000"/>
                <w:kern w:val="0"/>
                <w:sz w:val="22"/>
                <w:szCs w:val="22"/>
                <w:lang/>
              </w:rPr>
              <w:t>望仙路-</w:t>
            </w:r>
            <w:r>
              <w:rPr>
                <w:rStyle w:val="163"/>
                <w:sz w:val="22"/>
                <w:szCs w:val="22"/>
                <w:lang/>
              </w:rPr>
              <w:t>Ⅰ-2</w:t>
            </w:r>
          </w:p>
        </w:tc>
        <w:tc>
          <w:tcPr>
            <w:tcW w:w="1192" w:type="dxa"/>
            <w:vAlign w:val="center"/>
          </w:tcPr>
          <w:p>
            <w:pPr>
              <w:widowControl/>
              <w:jc w:val="center"/>
              <w:textAlignment w:val="center"/>
              <w:rPr>
                <w:color w:val="000000"/>
                <w:sz w:val="22"/>
                <w:szCs w:val="22"/>
              </w:rPr>
            </w:pPr>
            <w:r>
              <w:rPr>
                <w:color w:val="000000"/>
                <w:kern w:val="0"/>
                <w:sz w:val="22"/>
                <w:szCs w:val="22"/>
                <w:lang/>
              </w:rPr>
              <w:t>龙喜路</w:t>
            </w:r>
          </w:p>
        </w:tc>
        <w:tc>
          <w:tcPr>
            <w:tcW w:w="1491" w:type="dxa"/>
            <w:vAlign w:val="center"/>
          </w:tcPr>
          <w:p>
            <w:pPr>
              <w:widowControl/>
              <w:jc w:val="center"/>
              <w:textAlignment w:val="center"/>
              <w:rPr>
                <w:color w:val="000000"/>
                <w:sz w:val="22"/>
                <w:szCs w:val="22"/>
              </w:rPr>
            </w:pPr>
            <w:r>
              <w:rPr>
                <w:color w:val="000000"/>
                <w:kern w:val="0"/>
                <w:sz w:val="22"/>
                <w:szCs w:val="22"/>
                <w:lang/>
              </w:rPr>
              <w:t>东三线</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6610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16</w:t>
            </w:r>
          </w:p>
        </w:tc>
        <w:tc>
          <w:tcPr>
            <w:tcW w:w="1877" w:type="dxa"/>
            <w:vAlign w:val="center"/>
          </w:tcPr>
          <w:p>
            <w:pPr>
              <w:widowControl/>
              <w:jc w:val="center"/>
              <w:textAlignment w:val="center"/>
              <w:rPr>
                <w:color w:val="000000"/>
                <w:sz w:val="22"/>
                <w:szCs w:val="22"/>
              </w:rPr>
            </w:pPr>
            <w:r>
              <w:rPr>
                <w:color w:val="000000"/>
                <w:kern w:val="0"/>
                <w:sz w:val="22"/>
                <w:szCs w:val="22"/>
                <w:lang/>
              </w:rPr>
              <w:t>凉塘路-Ⅰ</w:t>
            </w:r>
          </w:p>
        </w:tc>
        <w:tc>
          <w:tcPr>
            <w:tcW w:w="1192" w:type="dxa"/>
            <w:vAlign w:val="center"/>
          </w:tcPr>
          <w:p>
            <w:pPr>
              <w:widowControl/>
              <w:jc w:val="center"/>
              <w:textAlignment w:val="center"/>
              <w:rPr>
                <w:color w:val="000000"/>
                <w:sz w:val="22"/>
                <w:szCs w:val="22"/>
              </w:rPr>
            </w:pPr>
            <w:r>
              <w:rPr>
                <w:color w:val="000000"/>
                <w:kern w:val="0"/>
                <w:sz w:val="22"/>
                <w:szCs w:val="22"/>
                <w:lang/>
              </w:rPr>
              <w:t>京珠高速</w:t>
            </w:r>
          </w:p>
        </w:tc>
        <w:tc>
          <w:tcPr>
            <w:tcW w:w="1491" w:type="dxa"/>
            <w:vAlign w:val="center"/>
          </w:tcPr>
          <w:p>
            <w:pPr>
              <w:widowControl/>
              <w:jc w:val="center"/>
              <w:textAlignment w:val="center"/>
              <w:rPr>
                <w:color w:val="000000"/>
                <w:sz w:val="22"/>
                <w:szCs w:val="22"/>
              </w:rPr>
            </w:pPr>
            <w:r>
              <w:rPr>
                <w:color w:val="000000"/>
                <w:kern w:val="0"/>
                <w:sz w:val="22"/>
                <w:szCs w:val="22"/>
                <w:lang/>
              </w:rPr>
              <w:t>东一线</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6780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17</w:t>
            </w:r>
          </w:p>
        </w:tc>
        <w:tc>
          <w:tcPr>
            <w:tcW w:w="1877" w:type="dxa"/>
            <w:vAlign w:val="center"/>
          </w:tcPr>
          <w:p>
            <w:pPr>
              <w:widowControl/>
              <w:jc w:val="center"/>
              <w:textAlignment w:val="center"/>
              <w:rPr>
                <w:color w:val="000000"/>
                <w:sz w:val="22"/>
                <w:szCs w:val="22"/>
              </w:rPr>
            </w:pPr>
            <w:r>
              <w:rPr>
                <w:color w:val="000000"/>
                <w:kern w:val="0"/>
                <w:sz w:val="22"/>
                <w:szCs w:val="22"/>
                <w:lang/>
              </w:rPr>
              <w:t>三一路-Ⅰ</w:t>
            </w:r>
          </w:p>
        </w:tc>
        <w:tc>
          <w:tcPr>
            <w:tcW w:w="1192" w:type="dxa"/>
            <w:vAlign w:val="center"/>
          </w:tcPr>
          <w:p>
            <w:pPr>
              <w:widowControl/>
              <w:jc w:val="center"/>
              <w:textAlignment w:val="center"/>
              <w:rPr>
                <w:color w:val="000000"/>
                <w:sz w:val="22"/>
                <w:szCs w:val="22"/>
              </w:rPr>
            </w:pPr>
            <w:r>
              <w:rPr>
                <w:color w:val="000000"/>
                <w:kern w:val="0"/>
                <w:sz w:val="22"/>
                <w:szCs w:val="22"/>
                <w:lang/>
              </w:rPr>
              <w:t>京珠高速</w:t>
            </w:r>
          </w:p>
        </w:tc>
        <w:tc>
          <w:tcPr>
            <w:tcW w:w="1491" w:type="dxa"/>
            <w:vAlign w:val="center"/>
          </w:tcPr>
          <w:p>
            <w:pPr>
              <w:widowControl/>
              <w:jc w:val="center"/>
              <w:textAlignment w:val="center"/>
              <w:rPr>
                <w:color w:val="000000"/>
                <w:sz w:val="22"/>
                <w:szCs w:val="22"/>
              </w:rPr>
            </w:pPr>
            <w:r>
              <w:rPr>
                <w:color w:val="000000"/>
                <w:kern w:val="0"/>
                <w:sz w:val="22"/>
                <w:szCs w:val="22"/>
                <w:lang/>
              </w:rPr>
              <w:t>东一线</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6610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18</w:t>
            </w:r>
          </w:p>
        </w:tc>
        <w:tc>
          <w:tcPr>
            <w:tcW w:w="1877" w:type="dxa"/>
            <w:vAlign w:val="center"/>
          </w:tcPr>
          <w:p>
            <w:pPr>
              <w:widowControl/>
              <w:jc w:val="center"/>
              <w:textAlignment w:val="center"/>
              <w:rPr>
                <w:color w:val="000000"/>
                <w:sz w:val="22"/>
                <w:szCs w:val="22"/>
              </w:rPr>
            </w:pPr>
            <w:r>
              <w:rPr>
                <w:color w:val="000000"/>
                <w:kern w:val="0"/>
                <w:sz w:val="22"/>
                <w:szCs w:val="22"/>
                <w:lang/>
              </w:rPr>
              <w:t>金茂路</w:t>
            </w:r>
          </w:p>
        </w:tc>
        <w:tc>
          <w:tcPr>
            <w:tcW w:w="1192" w:type="dxa"/>
            <w:vAlign w:val="center"/>
          </w:tcPr>
          <w:p>
            <w:pPr>
              <w:widowControl/>
              <w:jc w:val="center"/>
              <w:textAlignment w:val="center"/>
              <w:rPr>
                <w:color w:val="000000"/>
                <w:sz w:val="22"/>
                <w:szCs w:val="22"/>
              </w:rPr>
            </w:pPr>
            <w:r>
              <w:rPr>
                <w:color w:val="000000"/>
                <w:kern w:val="0"/>
                <w:sz w:val="22"/>
                <w:szCs w:val="22"/>
                <w:lang/>
              </w:rPr>
              <w:t>京珠高速</w:t>
            </w:r>
          </w:p>
        </w:tc>
        <w:tc>
          <w:tcPr>
            <w:tcW w:w="1491" w:type="dxa"/>
            <w:vAlign w:val="center"/>
          </w:tcPr>
          <w:p>
            <w:pPr>
              <w:widowControl/>
              <w:jc w:val="center"/>
              <w:textAlignment w:val="center"/>
              <w:rPr>
                <w:color w:val="000000"/>
                <w:sz w:val="22"/>
                <w:szCs w:val="22"/>
              </w:rPr>
            </w:pPr>
            <w:r>
              <w:rPr>
                <w:color w:val="000000"/>
                <w:kern w:val="0"/>
                <w:sz w:val="22"/>
                <w:szCs w:val="22"/>
                <w:lang/>
              </w:rPr>
              <w:t>东一线</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4590</w:t>
            </w:r>
          </w:p>
        </w:tc>
        <w:tc>
          <w:tcPr>
            <w:tcW w:w="893" w:type="dxa"/>
            <w:vAlign w:val="center"/>
          </w:tcPr>
          <w:p>
            <w:pPr>
              <w:widowControl/>
              <w:jc w:val="center"/>
              <w:textAlignment w:val="center"/>
              <w:rPr>
                <w:color w:val="000000"/>
                <w:sz w:val="20"/>
              </w:rPr>
            </w:pPr>
            <w:r>
              <w:rPr>
                <w:color w:val="000000"/>
                <w:kern w:val="0"/>
                <w:sz w:val="22"/>
                <w:szCs w:val="22"/>
                <w:lang/>
              </w:rPr>
              <w:t xml:space="preserve">7110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19</w:t>
            </w:r>
          </w:p>
        </w:tc>
        <w:tc>
          <w:tcPr>
            <w:tcW w:w="1877" w:type="dxa"/>
            <w:vAlign w:val="center"/>
          </w:tcPr>
          <w:p>
            <w:pPr>
              <w:widowControl/>
              <w:jc w:val="center"/>
              <w:textAlignment w:val="center"/>
              <w:rPr>
                <w:color w:val="000000"/>
                <w:sz w:val="22"/>
                <w:szCs w:val="22"/>
              </w:rPr>
            </w:pPr>
            <w:r>
              <w:rPr>
                <w:color w:val="000000"/>
                <w:kern w:val="0"/>
                <w:sz w:val="22"/>
                <w:szCs w:val="22"/>
                <w:lang/>
              </w:rPr>
              <w:t>星沙大道-Ⅱ-1</w:t>
            </w:r>
          </w:p>
        </w:tc>
        <w:tc>
          <w:tcPr>
            <w:tcW w:w="1192" w:type="dxa"/>
            <w:vAlign w:val="center"/>
          </w:tcPr>
          <w:p>
            <w:pPr>
              <w:widowControl/>
              <w:jc w:val="center"/>
              <w:textAlignment w:val="center"/>
              <w:rPr>
                <w:color w:val="000000"/>
                <w:sz w:val="22"/>
                <w:szCs w:val="22"/>
              </w:rPr>
            </w:pPr>
            <w:r>
              <w:rPr>
                <w:color w:val="000000"/>
                <w:kern w:val="0"/>
                <w:sz w:val="22"/>
                <w:szCs w:val="22"/>
                <w:lang/>
              </w:rPr>
              <w:t>滨湖中路</w:t>
            </w:r>
          </w:p>
        </w:tc>
        <w:tc>
          <w:tcPr>
            <w:tcW w:w="1491" w:type="dxa"/>
            <w:vAlign w:val="center"/>
          </w:tcPr>
          <w:p>
            <w:pPr>
              <w:widowControl/>
              <w:jc w:val="center"/>
              <w:textAlignment w:val="center"/>
              <w:rPr>
                <w:color w:val="000000"/>
                <w:sz w:val="22"/>
                <w:szCs w:val="22"/>
              </w:rPr>
            </w:pPr>
            <w:r>
              <w:rPr>
                <w:color w:val="000000"/>
                <w:kern w:val="0"/>
                <w:sz w:val="22"/>
                <w:szCs w:val="22"/>
                <w:lang/>
              </w:rPr>
              <w:t>望仙路</w:t>
            </w:r>
          </w:p>
        </w:tc>
        <w:tc>
          <w:tcPr>
            <w:tcW w:w="1071" w:type="dxa"/>
            <w:vMerge w:val="restart"/>
            <w:vAlign w:val="center"/>
          </w:tcPr>
          <w:p>
            <w:pPr>
              <w:jc w:val="center"/>
              <w:rPr>
                <w:color w:val="000000"/>
                <w:sz w:val="20"/>
              </w:rPr>
            </w:pPr>
            <w:r>
              <w:rPr>
                <w:color w:val="000000"/>
                <w:kern w:val="0"/>
                <w:sz w:val="20"/>
                <w:lang/>
              </w:rPr>
              <w:t>Ⅱ级</w:t>
            </w: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20</w:t>
            </w:r>
          </w:p>
        </w:tc>
        <w:tc>
          <w:tcPr>
            <w:tcW w:w="1877" w:type="dxa"/>
            <w:vAlign w:val="center"/>
          </w:tcPr>
          <w:p>
            <w:pPr>
              <w:widowControl/>
              <w:jc w:val="center"/>
              <w:textAlignment w:val="center"/>
              <w:rPr>
                <w:color w:val="000000"/>
                <w:sz w:val="22"/>
                <w:szCs w:val="22"/>
              </w:rPr>
            </w:pPr>
            <w:r>
              <w:rPr>
                <w:color w:val="000000"/>
                <w:kern w:val="0"/>
                <w:sz w:val="22"/>
                <w:szCs w:val="22"/>
                <w:lang/>
              </w:rPr>
              <w:t>星沙大道-Ⅱ-2</w:t>
            </w:r>
          </w:p>
        </w:tc>
        <w:tc>
          <w:tcPr>
            <w:tcW w:w="1192" w:type="dxa"/>
            <w:vAlign w:val="center"/>
          </w:tcPr>
          <w:p>
            <w:pPr>
              <w:widowControl/>
              <w:jc w:val="center"/>
              <w:textAlignment w:val="center"/>
              <w:rPr>
                <w:color w:val="000000"/>
                <w:sz w:val="22"/>
                <w:szCs w:val="22"/>
              </w:rPr>
            </w:pPr>
            <w:r>
              <w:rPr>
                <w:color w:val="000000"/>
                <w:kern w:val="0"/>
                <w:sz w:val="22"/>
                <w:szCs w:val="22"/>
                <w:lang/>
              </w:rPr>
              <w:t>长浏高速</w:t>
            </w:r>
          </w:p>
        </w:tc>
        <w:tc>
          <w:tcPr>
            <w:tcW w:w="1491" w:type="dxa"/>
            <w:vAlign w:val="center"/>
          </w:tcPr>
          <w:p>
            <w:pPr>
              <w:widowControl/>
              <w:jc w:val="center"/>
              <w:textAlignment w:val="center"/>
              <w:rPr>
                <w:color w:val="000000"/>
                <w:sz w:val="22"/>
                <w:szCs w:val="22"/>
              </w:rPr>
            </w:pPr>
            <w:r>
              <w:rPr>
                <w:color w:val="000000"/>
                <w:kern w:val="0"/>
                <w:sz w:val="22"/>
                <w:szCs w:val="22"/>
                <w:lang/>
              </w:rPr>
              <w:t>漓湘路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4810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21</w:t>
            </w:r>
          </w:p>
        </w:tc>
        <w:tc>
          <w:tcPr>
            <w:tcW w:w="1877" w:type="dxa"/>
            <w:vAlign w:val="center"/>
          </w:tcPr>
          <w:p>
            <w:pPr>
              <w:widowControl/>
              <w:jc w:val="center"/>
              <w:textAlignment w:val="center"/>
              <w:rPr>
                <w:color w:val="000000"/>
                <w:sz w:val="22"/>
                <w:szCs w:val="22"/>
              </w:rPr>
            </w:pPr>
            <w:r>
              <w:rPr>
                <w:color w:val="000000"/>
                <w:kern w:val="0"/>
                <w:sz w:val="22"/>
                <w:szCs w:val="22"/>
                <w:lang/>
              </w:rPr>
              <w:t>星沙大道-Ⅱ-3</w:t>
            </w:r>
          </w:p>
        </w:tc>
        <w:tc>
          <w:tcPr>
            <w:tcW w:w="1192" w:type="dxa"/>
            <w:vAlign w:val="center"/>
          </w:tcPr>
          <w:p>
            <w:pPr>
              <w:widowControl/>
              <w:jc w:val="center"/>
              <w:textAlignment w:val="center"/>
              <w:rPr>
                <w:color w:val="000000"/>
                <w:sz w:val="22"/>
                <w:szCs w:val="22"/>
              </w:rPr>
            </w:pPr>
            <w:r>
              <w:rPr>
                <w:color w:val="000000"/>
                <w:kern w:val="0"/>
                <w:sz w:val="22"/>
                <w:szCs w:val="22"/>
                <w:lang/>
              </w:rPr>
              <w:t>漓湘路</w:t>
            </w:r>
          </w:p>
        </w:tc>
        <w:tc>
          <w:tcPr>
            <w:tcW w:w="1491" w:type="dxa"/>
            <w:vAlign w:val="center"/>
          </w:tcPr>
          <w:p>
            <w:pPr>
              <w:widowControl/>
              <w:jc w:val="center"/>
              <w:textAlignment w:val="center"/>
              <w:rPr>
                <w:color w:val="000000"/>
                <w:sz w:val="22"/>
                <w:szCs w:val="22"/>
              </w:rPr>
            </w:pPr>
            <w:r>
              <w:rPr>
                <w:color w:val="000000"/>
                <w:kern w:val="0"/>
                <w:sz w:val="22"/>
                <w:szCs w:val="22"/>
                <w:lang/>
              </w:rPr>
              <w:t>新安路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4740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22</w:t>
            </w:r>
          </w:p>
        </w:tc>
        <w:tc>
          <w:tcPr>
            <w:tcW w:w="1877" w:type="dxa"/>
            <w:vAlign w:val="center"/>
          </w:tcPr>
          <w:p>
            <w:pPr>
              <w:widowControl/>
              <w:jc w:val="center"/>
              <w:textAlignment w:val="center"/>
              <w:rPr>
                <w:color w:val="000000"/>
                <w:sz w:val="22"/>
                <w:szCs w:val="22"/>
              </w:rPr>
            </w:pPr>
            <w:r>
              <w:rPr>
                <w:color w:val="000000"/>
                <w:kern w:val="0"/>
                <w:sz w:val="22"/>
                <w:szCs w:val="22"/>
                <w:lang/>
              </w:rPr>
              <w:t>天华路-Ⅱ-1</w:t>
            </w:r>
          </w:p>
        </w:tc>
        <w:tc>
          <w:tcPr>
            <w:tcW w:w="1192" w:type="dxa"/>
            <w:vAlign w:val="center"/>
          </w:tcPr>
          <w:p>
            <w:pPr>
              <w:widowControl/>
              <w:jc w:val="center"/>
              <w:textAlignment w:val="center"/>
              <w:rPr>
                <w:color w:val="000000"/>
                <w:sz w:val="22"/>
                <w:szCs w:val="22"/>
              </w:rPr>
            </w:pPr>
            <w:r>
              <w:rPr>
                <w:color w:val="000000"/>
                <w:kern w:val="0"/>
                <w:sz w:val="22"/>
                <w:szCs w:val="22"/>
                <w:lang/>
              </w:rPr>
              <w:t>明月路</w:t>
            </w:r>
          </w:p>
        </w:tc>
        <w:tc>
          <w:tcPr>
            <w:tcW w:w="1491" w:type="dxa"/>
            <w:vAlign w:val="center"/>
          </w:tcPr>
          <w:p>
            <w:pPr>
              <w:widowControl/>
              <w:jc w:val="center"/>
              <w:textAlignment w:val="center"/>
              <w:rPr>
                <w:color w:val="000000"/>
                <w:sz w:val="22"/>
                <w:szCs w:val="22"/>
              </w:rPr>
            </w:pPr>
            <w:r>
              <w:rPr>
                <w:color w:val="000000"/>
                <w:kern w:val="0"/>
                <w:sz w:val="22"/>
                <w:szCs w:val="22"/>
                <w:lang/>
              </w:rPr>
              <w:t>望仙路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4850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23</w:t>
            </w:r>
          </w:p>
        </w:tc>
        <w:tc>
          <w:tcPr>
            <w:tcW w:w="1877" w:type="dxa"/>
            <w:vAlign w:val="center"/>
          </w:tcPr>
          <w:p>
            <w:pPr>
              <w:widowControl/>
              <w:jc w:val="center"/>
              <w:textAlignment w:val="center"/>
              <w:rPr>
                <w:color w:val="000000"/>
                <w:sz w:val="22"/>
                <w:szCs w:val="22"/>
              </w:rPr>
            </w:pPr>
            <w:r>
              <w:rPr>
                <w:color w:val="000000"/>
                <w:kern w:val="0"/>
                <w:sz w:val="22"/>
                <w:szCs w:val="22"/>
                <w:lang/>
              </w:rPr>
              <w:t>天华路-Ⅱ-2</w:t>
            </w:r>
          </w:p>
        </w:tc>
        <w:tc>
          <w:tcPr>
            <w:tcW w:w="1192" w:type="dxa"/>
            <w:vAlign w:val="center"/>
          </w:tcPr>
          <w:p>
            <w:pPr>
              <w:widowControl/>
              <w:jc w:val="center"/>
              <w:textAlignment w:val="center"/>
              <w:rPr>
                <w:color w:val="000000"/>
                <w:sz w:val="22"/>
                <w:szCs w:val="22"/>
              </w:rPr>
            </w:pPr>
            <w:r>
              <w:rPr>
                <w:color w:val="000000"/>
                <w:kern w:val="0"/>
                <w:sz w:val="22"/>
                <w:szCs w:val="22"/>
                <w:lang/>
              </w:rPr>
              <w:t>长浏高速</w:t>
            </w:r>
          </w:p>
        </w:tc>
        <w:tc>
          <w:tcPr>
            <w:tcW w:w="1491" w:type="dxa"/>
            <w:vAlign w:val="center"/>
          </w:tcPr>
          <w:p>
            <w:pPr>
              <w:widowControl/>
              <w:jc w:val="center"/>
              <w:textAlignment w:val="center"/>
              <w:rPr>
                <w:color w:val="000000"/>
                <w:sz w:val="22"/>
                <w:szCs w:val="22"/>
              </w:rPr>
            </w:pPr>
            <w:r>
              <w:rPr>
                <w:color w:val="000000"/>
                <w:kern w:val="0"/>
                <w:sz w:val="22"/>
                <w:szCs w:val="22"/>
                <w:lang/>
              </w:rPr>
              <w:t>新安路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4740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24</w:t>
            </w:r>
          </w:p>
        </w:tc>
        <w:tc>
          <w:tcPr>
            <w:tcW w:w="1877" w:type="dxa"/>
            <w:vAlign w:val="center"/>
          </w:tcPr>
          <w:p>
            <w:pPr>
              <w:widowControl/>
              <w:jc w:val="center"/>
              <w:textAlignment w:val="center"/>
              <w:rPr>
                <w:color w:val="000000"/>
                <w:sz w:val="22"/>
                <w:szCs w:val="22"/>
              </w:rPr>
            </w:pPr>
            <w:r>
              <w:rPr>
                <w:color w:val="000000"/>
                <w:kern w:val="0"/>
                <w:sz w:val="22"/>
                <w:szCs w:val="22"/>
                <w:lang/>
              </w:rPr>
              <w:t>板仓北路</w:t>
            </w:r>
          </w:p>
        </w:tc>
        <w:tc>
          <w:tcPr>
            <w:tcW w:w="1192" w:type="dxa"/>
            <w:vAlign w:val="center"/>
          </w:tcPr>
          <w:p>
            <w:pPr>
              <w:widowControl/>
              <w:jc w:val="center"/>
              <w:textAlignment w:val="center"/>
              <w:rPr>
                <w:color w:val="000000"/>
                <w:sz w:val="22"/>
                <w:szCs w:val="22"/>
              </w:rPr>
            </w:pPr>
            <w:r>
              <w:rPr>
                <w:color w:val="000000"/>
                <w:kern w:val="0"/>
                <w:sz w:val="22"/>
                <w:szCs w:val="22"/>
                <w:lang/>
              </w:rPr>
              <w:t>明月路</w:t>
            </w:r>
          </w:p>
        </w:tc>
        <w:tc>
          <w:tcPr>
            <w:tcW w:w="1491" w:type="dxa"/>
            <w:vAlign w:val="center"/>
          </w:tcPr>
          <w:p>
            <w:pPr>
              <w:widowControl/>
              <w:jc w:val="center"/>
              <w:textAlignment w:val="center"/>
              <w:rPr>
                <w:color w:val="000000"/>
                <w:sz w:val="22"/>
                <w:szCs w:val="22"/>
              </w:rPr>
            </w:pPr>
            <w:r>
              <w:rPr>
                <w:color w:val="000000"/>
                <w:kern w:val="0"/>
                <w:sz w:val="22"/>
                <w:szCs w:val="22"/>
                <w:lang/>
              </w:rPr>
              <w:t>望仙路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4770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25</w:t>
            </w:r>
          </w:p>
        </w:tc>
        <w:tc>
          <w:tcPr>
            <w:tcW w:w="1877" w:type="dxa"/>
            <w:vAlign w:val="center"/>
          </w:tcPr>
          <w:p>
            <w:pPr>
              <w:widowControl/>
              <w:jc w:val="center"/>
              <w:textAlignment w:val="center"/>
              <w:rPr>
                <w:color w:val="000000"/>
                <w:sz w:val="22"/>
                <w:szCs w:val="22"/>
              </w:rPr>
            </w:pPr>
            <w:r>
              <w:rPr>
                <w:color w:val="000000"/>
                <w:kern w:val="0"/>
                <w:sz w:val="22"/>
                <w:szCs w:val="22"/>
                <w:lang/>
              </w:rPr>
              <w:t>板仓南路-1</w:t>
            </w:r>
          </w:p>
        </w:tc>
        <w:tc>
          <w:tcPr>
            <w:tcW w:w="1192" w:type="dxa"/>
            <w:vAlign w:val="center"/>
          </w:tcPr>
          <w:p>
            <w:pPr>
              <w:widowControl/>
              <w:jc w:val="center"/>
              <w:textAlignment w:val="center"/>
              <w:rPr>
                <w:color w:val="000000"/>
                <w:sz w:val="22"/>
                <w:szCs w:val="22"/>
              </w:rPr>
            </w:pPr>
            <w:r>
              <w:rPr>
                <w:color w:val="000000"/>
                <w:kern w:val="0"/>
                <w:sz w:val="22"/>
                <w:szCs w:val="22"/>
                <w:lang/>
              </w:rPr>
              <w:t>长浏高速</w:t>
            </w:r>
          </w:p>
        </w:tc>
        <w:tc>
          <w:tcPr>
            <w:tcW w:w="1491" w:type="dxa"/>
            <w:vAlign w:val="center"/>
          </w:tcPr>
          <w:p>
            <w:pPr>
              <w:widowControl/>
              <w:jc w:val="center"/>
              <w:textAlignment w:val="center"/>
              <w:rPr>
                <w:color w:val="000000"/>
                <w:sz w:val="22"/>
                <w:szCs w:val="22"/>
              </w:rPr>
            </w:pPr>
            <w:r>
              <w:rPr>
                <w:color w:val="000000"/>
                <w:kern w:val="0"/>
                <w:sz w:val="22"/>
                <w:szCs w:val="22"/>
                <w:lang/>
              </w:rPr>
              <w:t>漓湘路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4710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26</w:t>
            </w:r>
          </w:p>
        </w:tc>
        <w:tc>
          <w:tcPr>
            <w:tcW w:w="1877" w:type="dxa"/>
            <w:vAlign w:val="center"/>
          </w:tcPr>
          <w:p>
            <w:pPr>
              <w:widowControl/>
              <w:jc w:val="center"/>
              <w:textAlignment w:val="center"/>
              <w:rPr>
                <w:color w:val="000000"/>
                <w:sz w:val="22"/>
                <w:szCs w:val="22"/>
              </w:rPr>
            </w:pPr>
            <w:r>
              <w:rPr>
                <w:color w:val="000000"/>
                <w:kern w:val="0"/>
                <w:sz w:val="22"/>
                <w:szCs w:val="22"/>
                <w:lang/>
              </w:rPr>
              <w:t>板仓南路-2</w:t>
            </w:r>
          </w:p>
        </w:tc>
        <w:tc>
          <w:tcPr>
            <w:tcW w:w="1192" w:type="dxa"/>
            <w:vAlign w:val="center"/>
          </w:tcPr>
          <w:p>
            <w:pPr>
              <w:widowControl/>
              <w:jc w:val="center"/>
              <w:textAlignment w:val="center"/>
              <w:rPr>
                <w:color w:val="000000"/>
                <w:sz w:val="22"/>
                <w:szCs w:val="22"/>
              </w:rPr>
            </w:pPr>
            <w:r>
              <w:rPr>
                <w:color w:val="000000"/>
                <w:kern w:val="0"/>
                <w:sz w:val="22"/>
                <w:szCs w:val="22"/>
                <w:lang/>
              </w:rPr>
              <w:t>漓湘路</w:t>
            </w:r>
          </w:p>
        </w:tc>
        <w:tc>
          <w:tcPr>
            <w:tcW w:w="1491" w:type="dxa"/>
            <w:vAlign w:val="center"/>
          </w:tcPr>
          <w:p>
            <w:pPr>
              <w:widowControl/>
              <w:jc w:val="center"/>
              <w:textAlignment w:val="center"/>
              <w:rPr>
                <w:color w:val="000000"/>
                <w:sz w:val="22"/>
                <w:szCs w:val="22"/>
              </w:rPr>
            </w:pPr>
            <w:r>
              <w:rPr>
                <w:color w:val="000000"/>
                <w:kern w:val="0"/>
                <w:sz w:val="22"/>
                <w:szCs w:val="22"/>
                <w:lang/>
              </w:rPr>
              <w:t>新安路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4620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27</w:t>
            </w:r>
          </w:p>
        </w:tc>
        <w:tc>
          <w:tcPr>
            <w:tcW w:w="1877" w:type="dxa"/>
            <w:vAlign w:val="center"/>
          </w:tcPr>
          <w:p>
            <w:pPr>
              <w:widowControl/>
              <w:jc w:val="center"/>
              <w:textAlignment w:val="center"/>
              <w:rPr>
                <w:color w:val="000000"/>
                <w:sz w:val="22"/>
                <w:szCs w:val="22"/>
              </w:rPr>
            </w:pPr>
            <w:r>
              <w:rPr>
                <w:color w:val="000000"/>
                <w:kern w:val="0"/>
                <w:sz w:val="22"/>
                <w:szCs w:val="22"/>
                <w:lang/>
              </w:rPr>
              <w:t>东一线-Ⅱ</w:t>
            </w:r>
          </w:p>
        </w:tc>
        <w:tc>
          <w:tcPr>
            <w:tcW w:w="1192" w:type="dxa"/>
            <w:vAlign w:val="center"/>
          </w:tcPr>
          <w:p>
            <w:pPr>
              <w:widowControl/>
              <w:jc w:val="center"/>
              <w:textAlignment w:val="center"/>
              <w:rPr>
                <w:color w:val="000000"/>
                <w:sz w:val="22"/>
                <w:szCs w:val="22"/>
              </w:rPr>
            </w:pPr>
            <w:r>
              <w:rPr>
                <w:color w:val="000000"/>
                <w:kern w:val="0"/>
                <w:sz w:val="22"/>
                <w:szCs w:val="22"/>
                <w:lang/>
              </w:rPr>
              <w:t>滨湖中路</w:t>
            </w:r>
          </w:p>
        </w:tc>
        <w:tc>
          <w:tcPr>
            <w:tcW w:w="1491" w:type="dxa"/>
            <w:vAlign w:val="center"/>
          </w:tcPr>
          <w:p>
            <w:pPr>
              <w:widowControl/>
              <w:jc w:val="center"/>
              <w:textAlignment w:val="center"/>
              <w:rPr>
                <w:color w:val="000000"/>
                <w:sz w:val="22"/>
                <w:szCs w:val="22"/>
              </w:rPr>
            </w:pPr>
            <w:r>
              <w:rPr>
                <w:color w:val="000000"/>
                <w:kern w:val="0"/>
                <w:sz w:val="22"/>
                <w:szCs w:val="22"/>
                <w:lang/>
              </w:rPr>
              <w:t>望仙路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28</w:t>
            </w:r>
          </w:p>
        </w:tc>
        <w:tc>
          <w:tcPr>
            <w:tcW w:w="1877" w:type="dxa"/>
            <w:vAlign w:val="center"/>
          </w:tcPr>
          <w:p>
            <w:pPr>
              <w:widowControl/>
              <w:jc w:val="center"/>
              <w:textAlignment w:val="center"/>
              <w:rPr>
                <w:color w:val="000000"/>
                <w:sz w:val="22"/>
                <w:szCs w:val="22"/>
              </w:rPr>
            </w:pPr>
            <w:r>
              <w:rPr>
                <w:color w:val="000000"/>
                <w:kern w:val="0"/>
                <w:sz w:val="22"/>
                <w:szCs w:val="22"/>
                <w:lang/>
              </w:rPr>
              <w:t>东二线-Ⅱ-1</w:t>
            </w:r>
          </w:p>
        </w:tc>
        <w:tc>
          <w:tcPr>
            <w:tcW w:w="1192" w:type="dxa"/>
            <w:vAlign w:val="center"/>
          </w:tcPr>
          <w:p>
            <w:pPr>
              <w:widowControl/>
              <w:jc w:val="center"/>
              <w:textAlignment w:val="center"/>
              <w:rPr>
                <w:color w:val="000000"/>
                <w:sz w:val="22"/>
                <w:szCs w:val="22"/>
              </w:rPr>
            </w:pPr>
            <w:r>
              <w:rPr>
                <w:color w:val="000000"/>
                <w:kern w:val="0"/>
                <w:sz w:val="22"/>
                <w:szCs w:val="22"/>
                <w:lang/>
              </w:rPr>
              <w:t>滨湖中路</w:t>
            </w:r>
          </w:p>
        </w:tc>
        <w:tc>
          <w:tcPr>
            <w:tcW w:w="1491" w:type="dxa"/>
            <w:vAlign w:val="center"/>
          </w:tcPr>
          <w:p>
            <w:pPr>
              <w:widowControl/>
              <w:jc w:val="center"/>
              <w:textAlignment w:val="center"/>
              <w:rPr>
                <w:color w:val="000000"/>
                <w:sz w:val="22"/>
                <w:szCs w:val="22"/>
              </w:rPr>
            </w:pPr>
            <w:r>
              <w:rPr>
                <w:color w:val="000000"/>
                <w:kern w:val="0"/>
                <w:sz w:val="22"/>
                <w:szCs w:val="22"/>
                <w:lang/>
              </w:rPr>
              <w:t>望仙路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4520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29</w:t>
            </w:r>
          </w:p>
        </w:tc>
        <w:tc>
          <w:tcPr>
            <w:tcW w:w="1877" w:type="dxa"/>
            <w:vAlign w:val="center"/>
          </w:tcPr>
          <w:p>
            <w:pPr>
              <w:widowControl/>
              <w:jc w:val="center"/>
              <w:textAlignment w:val="center"/>
              <w:rPr>
                <w:color w:val="000000"/>
                <w:sz w:val="22"/>
                <w:szCs w:val="22"/>
              </w:rPr>
            </w:pPr>
            <w:r>
              <w:rPr>
                <w:color w:val="000000"/>
                <w:kern w:val="0"/>
                <w:sz w:val="22"/>
                <w:szCs w:val="22"/>
                <w:lang/>
              </w:rPr>
              <w:t>东二线-Ⅱ-2</w:t>
            </w:r>
          </w:p>
        </w:tc>
        <w:tc>
          <w:tcPr>
            <w:tcW w:w="1192" w:type="dxa"/>
            <w:vAlign w:val="center"/>
          </w:tcPr>
          <w:p>
            <w:pPr>
              <w:widowControl/>
              <w:jc w:val="center"/>
              <w:textAlignment w:val="center"/>
              <w:rPr>
                <w:color w:val="000000"/>
                <w:sz w:val="22"/>
                <w:szCs w:val="22"/>
              </w:rPr>
            </w:pPr>
            <w:r>
              <w:rPr>
                <w:color w:val="000000"/>
                <w:kern w:val="0"/>
                <w:sz w:val="22"/>
                <w:szCs w:val="22"/>
                <w:lang/>
              </w:rPr>
              <w:t>开元东路</w:t>
            </w:r>
          </w:p>
        </w:tc>
        <w:tc>
          <w:tcPr>
            <w:tcW w:w="1491" w:type="dxa"/>
            <w:vAlign w:val="center"/>
          </w:tcPr>
          <w:p>
            <w:pPr>
              <w:widowControl/>
              <w:jc w:val="center"/>
              <w:textAlignment w:val="center"/>
              <w:rPr>
                <w:color w:val="000000"/>
                <w:sz w:val="22"/>
                <w:szCs w:val="22"/>
              </w:rPr>
            </w:pPr>
            <w:r>
              <w:rPr>
                <w:color w:val="000000"/>
                <w:kern w:val="0"/>
                <w:sz w:val="22"/>
                <w:szCs w:val="22"/>
                <w:lang/>
              </w:rPr>
              <w:t>三一路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4575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30</w:t>
            </w:r>
          </w:p>
        </w:tc>
        <w:tc>
          <w:tcPr>
            <w:tcW w:w="1877" w:type="dxa"/>
            <w:vAlign w:val="center"/>
          </w:tcPr>
          <w:p>
            <w:pPr>
              <w:widowControl/>
              <w:jc w:val="center"/>
              <w:textAlignment w:val="center"/>
              <w:rPr>
                <w:color w:val="000000"/>
                <w:sz w:val="22"/>
                <w:szCs w:val="22"/>
              </w:rPr>
            </w:pPr>
            <w:r>
              <w:rPr>
                <w:color w:val="000000"/>
                <w:kern w:val="0"/>
                <w:sz w:val="22"/>
                <w:szCs w:val="22"/>
                <w:lang/>
              </w:rPr>
              <w:t>东二线-Ⅱ-3</w:t>
            </w:r>
          </w:p>
        </w:tc>
        <w:tc>
          <w:tcPr>
            <w:tcW w:w="1192" w:type="dxa"/>
            <w:vAlign w:val="center"/>
          </w:tcPr>
          <w:p>
            <w:pPr>
              <w:widowControl/>
              <w:jc w:val="center"/>
              <w:textAlignment w:val="center"/>
              <w:rPr>
                <w:color w:val="000000"/>
                <w:sz w:val="22"/>
                <w:szCs w:val="22"/>
              </w:rPr>
            </w:pPr>
            <w:r>
              <w:rPr>
                <w:color w:val="000000"/>
                <w:kern w:val="0"/>
                <w:sz w:val="22"/>
                <w:szCs w:val="22"/>
                <w:lang/>
              </w:rPr>
              <w:t>三一路</w:t>
            </w:r>
          </w:p>
        </w:tc>
        <w:tc>
          <w:tcPr>
            <w:tcW w:w="1491" w:type="dxa"/>
            <w:vAlign w:val="center"/>
          </w:tcPr>
          <w:p>
            <w:pPr>
              <w:widowControl/>
              <w:jc w:val="center"/>
              <w:textAlignment w:val="center"/>
              <w:rPr>
                <w:color w:val="000000"/>
                <w:sz w:val="22"/>
                <w:szCs w:val="22"/>
              </w:rPr>
            </w:pPr>
            <w:r>
              <w:rPr>
                <w:color w:val="000000"/>
                <w:kern w:val="0"/>
                <w:sz w:val="22"/>
                <w:szCs w:val="22"/>
                <w:lang/>
              </w:rPr>
              <w:t>长浏高速</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4490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31</w:t>
            </w:r>
          </w:p>
        </w:tc>
        <w:tc>
          <w:tcPr>
            <w:tcW w:w="1877" w:type="dxa"/>
            <w:vAlign w:val="center"/>
          </w:tcPr>
          <w:p>
            <w:pPr>
              <w:widowControl/>
              <w:jc w:val="center"/>
              <w:textAlignment w:val="center"/>
              <w:rPr>
                <w:color w:val="000000"/>
                <w:sz w:val="22"/>
                <w:szCs w:val="22"/>
              </w:rPr>
            </w:pPr>
            <w:r>
              <w:rPr>
                <w:color w:val="000000"/>
                <w:kern w:val="0"/>
                <w:sz w:val="22"/>
                <w:szCs w:val="22"/>
                <w:lang/>
              </w:rPr>
              <w:t>东三线-Ⅱ-1</w:t>
            </w:r>
          </w:p>
        </w:tc>
        <w:tc>
          <w:tcPr>
            <w:tcW w:w="1192" w:type="dxa"/>
            <w:vAlign w:val="center"/>
          </w:tcPr>
          <w:p>
            <w:pPr>
              <w:widowControl/>
              <w:jc w:val="center"/>
              <w:textAlignment w:val="center"/>
              <w:rPr>
                <w:color w:val="000000"/>
                <w:sz w:val="22"/>
                <w:szCs w:val="22"/>
              </w:rPr>
            </w:pPr>
            <w:r>
              <w:rPr>
                <w:color w:val="000000"/>
                <w:kern w:val="0"/>
                <w:sz w:val="22"/>
                <w:szCs w:val="22"/>
                <w:lang/>
              </w:rPr>
              <w:t>滨湖中路</w:t>
            </w:r>
          </w:p>
        </w:tc>
        <w:tc>
          <w:tcPr>
            <w:tcW w:w="1491" w:type="dxa"/>
            <w:vAlign w:val="center"/>
          </w:tcPr>
          <w:p>
            <w:pPr>
              <w:widowControl/>
              <w:jc w:val="center"/>
              <w:textAlignment w:val="center"/>
              <w:rPr>
                <w:color w:val="000000"/>
                <w:sz w:val="22"/>
                <w:szCs w:val="22"/>
              </w:rPr>
            </w:pPr>
            <w:r>
              <w:rPr>
                <w:color w:val="000000"/>
                <w:kern w:val="0"/>
                <w:sz w:val="22"/>
                <w:szCs w:val="22"/>
                <w:lang/>
              </w:rPr>
              <w:t>望仙路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4435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32</w:t>
            </w:r>
          </w:p>
        </w:tc>
        <w:tc>
          <w:tcPr>
            <w:tcW w:w="1877" w:type="dxa"/>
            <w:vAlign w:val="center"/>
          </w:tcPr>
          <w:p>
            <w:pPr>
              <w:widowControl/>
              <w:jc w:val="center"/>
              <w:textAlignment w:val="center"/>
              <w:rPr>
                <w:color w:val="000000"/>
                <w:sz w:val="22"/>
                <w:szCs w:val="22"/>
              </w:rPr>
            </w:pPr>
            <w:r>
              <w:rPr>
                <w:color w:val="000000"/>
                <w:kern w:val="0"/>
                <w:sz w:val="22"/>
                <w:szCs w:val="22"/>
                <w:lang/>
              </w:rPr>
              <w:t>东三线-Ⅱ-2</w:t>
            </w:r>
          </w:p>
        </w:tc>
        <w:tc>
          <w:tcPr>
            <w:tcW w:w="1192" w:type="dxa"/>
            <w:vAlign w:val="center"/>
          </w:tcPr>
          <w:p>
            <w:pPr>
              <w:widowControl/>
              <w:jc w:val="center"/>
              <w:textAlignment w:val="center"/>
              <w:rPr>
                <w:color w:val="000000"/>
                <w:sz w:val="22"/>
                <w:szCs w:val="22"/>
              </w:rPr>
            </w:pPr>
            <w:r>
              <w:rPr>
                <w:color w:val="000000"/>
                <w:kern w:val="0"/>
                <w:sz w:val="22"/>
                <w:szCs w:val="22"/>
                <w:lang/>
              </w:rPr>
              <w:t>开元东路</w:t>
            </w:r>
          </w:p>
        </w:tc>
        <w:tc>
          <w:tcPr>
            <w:tcW w:w="1491" w:type="dxa"/>
            <w:vAlign w:val="center"/>
          </w:tcPr>
          <w:p>
            <w:pPr>
              <w:widowControl/>
              <w:jc w:val="center"/>
              <w:textAlignment w:val="center"/>
              <w:rPr>
                <w:color w:val="000000"/>
                <w:sz w:val="22"/>
                <w:szCs w:val="22"/>
              </w:rPr>
            </w:pPr>
            <w:r>
              <w:rPr>
                <w:color w:val="000000"/>
                <w:kern w:val="0"/>
                <w:sz w:val="22"/>
                <w:szCs w:val="22"/>
                <w:lang/>
              </w:rPr>
              <w:t>凉塘路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4645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33</w:t>
            </w:r>
          </w:p>
        </w:tc>
        <w:tc>
          <w:tcPr>
            <w:tcW w:w="1877" w:type="dxa"/>
            <w:vAlign w:val="center"/>
          </w:tcPr>
          <w:p>
            <w:pPr>
              <w:widowControl/>
              <w:jc w:val="center"/>
              <w:textAlignment w:val="center"/>
              <w:rPr>
                <w:color w:val="000000"/>
                <w:sz w:val="22"/>
                <w:szCs w:val="22"/>
              </w:rPr>
            </w:pPr>
            <w:r>
              <w:rPr>
                <w:color w:val="000000"/>
                <w:kern w:val="0"/>
                <w:sz w:val="22"/>
                <w:szCs w:val="22"/>
                <w:lang/>
              </w:rPr>
              <w:t>东四线-Ⅱ-1</w:t>
            </w:r>
          </w:p>
        </w:tc>
        <w:tc>
          <w:tcPr>
            <w:tcW w:w="1192" w:type="dxa"/>
            <w:vAlign w:val="center"/>
          </w:tcPr>
          <w:p>
            <w:pPr>
              <w:widowControl/>
              <w:jc w:val="center"/>
              <w:textAlignment w:val="center"/>
              <w:rPr>
                <w:color w:val="000000"/>
                <w:sz w:val="22"/>
                <w:szCs w:val="22"/>
              </w:rPr>
            </w:pPr>
            <w:r>
              <w:rPr>
                <w:color w:val="000000"/>
                <w:kern w:val="0"/>
                <w:sz w:val="22"/>
                <w:szCs w:val="22"/>
                <w:lang/>
              </w:rPr>
              <w:t>滨湖中路</w:t>
            </w:r>
          </w:p>
        </w:tc>
        <w:tc>
          <w:tcPr>
            <w:tcW w:w="1491" w:type="dxa"/>
            <w:vAlign w:val="center"/>
          </w:tcPr>
          <w:p>
            <w:pPr>
              <w:widowControl/>
              <w:jc w:val="center"/>
              <w:textAlignment w:val="center"/>
              <w:rPr>
                <w:color w:val="000000"/>
                <w:sz w:val="22"/>
                <w:szCs w:val="22"/>
              </w:rPr>
            </w:pPr>
            <w:r>
              <w:rPr>
                <w:color w:val="000000"/>
                <w:kern w:val="0"/>
                <w:sz w:val="22"/>
                <w:szCs w:val="22"/>
                <w:lang/>
              </w:rPr>
              <w:t>凉塘路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4530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34</w:t>
            </w:r>
          </w:p>
        </w:tc>
        <w:tc>
          <w:tcPr>
            <w:tcW w:w="1877" w:type="dxa"/>
            <w:vAlign w:val="center"/>
          </w:tcPr>
          <w:p>
            <w:pPr>
              <w:widowControl/>
              <w:jc w:val="center"/>
              <w:textAlignment w:val="center"/>
              <w:rPr>
                <w:color w:val="000000"/>
                <w:sz w:val="22"/>
                <w:szCs w:val="22"/>
              </w:rPr>
            </w:pPr>
            <w:r>
              <w:rPr>
                <w:color w:val="000000"/>
                <w:kern w:val="0"/>
                <w:sz w:val="22"/>
                <w:szCs w:val="22"/>
                <w:lang/>
              </w:rPr>
              <w:t>东四线-Ⅱ-2</w:t>
            </w:r>
          </w:p>
        </w:tc>
        <w:tc>
          <w:tcPr>
            <w:tcW w:w="1192" w:type="dxa"/>
            <w:vAlign w:val="center"/>
          </w:tcPr>
          <w:p>
            <w:pPr>
              <w:widowControl/>
              <w:jc w:val="center"/>
              <w:textAlignment w:val="center"/>
              <w:rPr>
                <w:color w:val="000000"/>
                <w:sz w:val="22"/>
                <w:szCs w:val="22"/>
              </w:rPr>
            </w:pPr>
            <w:r>
              <w:rPr>
                <w:color w:val="000000"/>
                <w:kern w:val="0"/>
                <w:sz w:val="22"/>
                <w:szCs w:val="22"/>
                <w:lang/>
              </w:rPr>
              <w:t>凉塘路</w:t>
            </w:r>
          </w:p>
        </w:tc>
        <w:tc>
          <w:tcPr>
            <w:tcW w:w="1491" w:type="dxa"/>
            <w:vAlign w:val="center"/>
          </w:tcPr>
          <w:p>
            <w:pPr>
              <w:widowControl/>
              <w:jc w:val="center"/>
              <w:textAlignment w:val="center"/>
              <w:rPr>
                <w:color w:val="000000"/>
                <w:sz w:val="22"/>
                <w:szCs w:val="22"/>
              </w:rPr>
            </w:pPr>
            <w:r>
              <w:rPr>
                <w:color w:val="000000"/>
                <w:kern w:val="0"/>
                <w:sz w:val="22"/>
                <w:szCs w:val="22"/>
                <w:lang/>
              </w:rPr>
              <w:t>长浏高速</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35</w:t>
            </w:r>
          </w:p>
        </w:tc>
        <w:tc>
          <w:tcPr>
            <w:tcW w:w="1877" w:type="dxa"/>
            <w:vAlign w:val="center"/>
          </w:tcPr>
          <w:p>
            <w:pPr>
              <w:widowControl/>
              <w:jc w:val="center"/>
              <w:textAlignment w:val="center"/>
              <w:rPr>
                <w:color w:val="000000"/>
                <w:sz w:val="22"/>
                <w:szCs w:val="22"/>
              </w:rPr>
            </w:pPr>
            <w:r>
              <w:rPr>
                <w:color w:val="000000"/>
                <w:kern w:val="0"/>
                <w:sz w:val="22"/>
                <w:szCs w:val="22"/>
                <w:lang/>
              </w:rPr>
              <w:t>东四线-Ⅱ-3</w:t>
            </w:r>
          </w:p>
        </w:tc>
        <w:tc>
          <w:tcPr>
            <w:tcW w:w="1192" w:type="dxa"/>
            <w:vAlign w:val="center"/>
          </w:tcPr>
          <w:p>
            <w:pPr>
              <w:widowControl/>
              <w:jc w:val="center"/>
              <w:textAlignment w:val="center"/>
              <w:rPr>
                <w:color w:val="000000"/>
                <w:sz w:val="22"/>
                <w:szCs w:val="22"/>
              </w:rPr>
            </w:pPr>
            <w:r>
              <w:rPr>
                <w:color w:val="000000"/>
                <w:kern w:val="0"/>
                <w:sz w:val="22"/>
                <w:szCs w:val="22"/>
                <w:lang/>
              </w:rPr>
              <w:t>长浏高速</w:t>
            </w:r>
          </w:p>
        </w:tc>
        <w:tc>
          <w:tcPr>
            <w:tcW w:w="1491" w:type="dxa"/>
            <w:vAlign w:val="center"/>
          </w:tcPr>
          <w:p>
            <w:pPr>
              <w:widowControl/>
              <w:jc w:val="center"/>
              <w:textAlignment w:val="center"/>
              <w:rPr>
                <w:color w:val="000000"/>
                <w:sz w:val="22"/>
                <w:szCs w:val="22"/>
              </w:rPr>
            </w:pPr>
            <w:r>
              <w:rPr>
                <w:color w:val="000000"/>
                <w:kern w:val="0"/>
                <w:sz w:val="22"/>
                <w:szCs w:val="22"/>
                <w:lang/>
              </w:rPr>
              <w:t>远大路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4570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36</w:t>
            </w:r>
          </w:p>
        </w:tc>
        <w:tc>
          <w:tcPr>
            <w:tcW w:w="1877" w:type="dxa"/>
            <w:vAlign w:val="center"/>
          </w:tcPr>
          <w:p>
            <w:pPr>
              <w:widowControl/>
              <w:jc w:val="center"/>
              <w:textAlignment w:val="center"/>
              <w:rPr>
                <w:color w:val="000000"/>
                <w:sz w:val="22"/>
                <w:szCs w:val="22"/>
              </w:rPr>
            </w:pPr>
            <w:r>
              <w:rPr>
                <w:color w:val="000000"/>
                <w:kern w:val="0"/>
                <w:sz w:val="22"/>
                <w:szCs w:val="22"/>
                <w:lang/>
              </w:rPr>
              <w:t>东五线-Ⅱ-1</w:t>
            </w:r>
          </w:p>
        </w:tc>
        <w:tc>
          <w:tcPr>
            <w:tcW w:w="1192" w:type="dxa"/>
            <w:vAlign w:val="center"/>
          </w:tcPr>
          <w:p>
            <w:pPr>
              <w:widowControl/>
              <w:jc w:val="center"/>
              <w:textAlignment w:val="center"/>
              <w:rPr>
                <w:color w:val="000000"/>
                <w:sz w:val="22"/>
                <w:szCs w:val="22"/>
              </w:rPr>
            </w:pPr>
            <w:r>
              <w:rPr>
                <w:color w:val="000000"/>
                <w:kern w:val="0"/>
                <w:sz w:val="22"/>
                <w:szCs w:val="22"/>
                <w:lang/>
              </w:rPr>
              <w:t>滨湖中路</w:t>
            </w:r>
          </w:p>
        </w:tc>
        <w:tc>
          <w:tcPr>
            <w:tcW w:w="1491" w:type="dxa"/>
            <w:vAlign w:val="center"/>
          </w:tcPr>
          <w:p>
            <w:pPr>
              <w:widowControl/>
              <w:jc w:val="center"/>
              <w:textAlignment w:val="center"/>
              <w:rPr>
                <w:color w:val="000000"/>
                <w:sz w:val="22"/>
                <w:szCs w:val="22"/>
              </w:rPr>
            </w:pPr>
            <w:r>
              <w:rPr>
                <w:color w:val="000000"/>
                <w:kern w:val="0"/>
                <w:sz w:val="22"/>
                <w:szCs w:val="22"/>
                <w:lang/>
              </w:rPr>
              <w:t>望仙路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4370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37</w:t>
            </w:r>
          </w:p>
        </w:tc>
        <w:tc>
          <w:tcPr>
            <w:tcW w:w="1877" w:type="dxa"/>
            <w:vAlign w:val="center"/>
          </w:tcPr>
          <w:p>
            <w:pPr>
              <w:widowControl/>
              <w:jc w:val="center"/>
              <w:textAlignment w:val="center"/>
              <w:rPr>
                <w:color w:val="000000"/>
                <w:sz w:val="22"/>
                <w:szCs w:val="22"/>
              </w:rPr>
            </w:pPr>
            <w:r>
              <w:rPr>
                <w:color w:val="000000"/>
                <w:kern w:val="0"/>
                <w:sz w:val="22"/>
                <w:szCs w:val="22"/>
                <w:lang/>
              </w:rPr>
              <w:t>东五线-Ⅱ-2</w:t>
            </w:r>
          </w:p>
        </w:tc>
        <w:tc>
          <w:tcPr>
            <w:tcW w:w="1192" w:type="dxa"/>
            <w:vAlign w:val="center"/>
          </w:tcPr>
          <w:p>
            <w:pPr>
              <w:widowControl/>
              <w:jc w:val="center"/>
              <w:textAlignment w:val="center"/>
              <w:rPr>
                <w:color w:val="000000"/>
                <w:sz w:val="22"/>
                <w:szCs w:val="22"/>
              </w:rPr>
            </w:pPr>
            <w:r>
              <w:rPr>
                <w:color w:val="000000"/>
                <w:kern w:val="0"/>
                <w:sz w:val="22"/>
                <w:szCs w:val="22"/>
                <w:lang/>
              </w:rPr>
              <w:t>望仙路</w:t>
            </w:r>
          </w:p>
        </w:tc>
        <w:tc>
          <w:tcPr>
            <w:tcW w:w="1491" w:type="dxa"/>
            <w:vAlign w:val="center"/>
          </w:tcPr>
          <w:p>
            <w:pPr>
              <w:widowControl/>
              <w:jc w:val="center"/>
              <w:textAlignment w:val="center"/>
              <w:rPr>
                <w:color w:val="000000"/>
                <w:sz w:val="22"/>
                <w:szCs w:val="22"/>
              </w:rPr>
            </w:pPr>
            <w:r>
              <w:rPr>
                <w:color w:val="000000"/>
                <w:kern w:val="0"/>
                <w:sz w:val="22"/>
                <w:szCs w:val="22"/>
                <w:lang/>
              </w:rPr>
              <w:t>长浏高速</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38</w:t>
            </w:r>
          </w:p>
        </w:tc>
        <w:tc>
          <w:tcPr>
            <w:tcW w:w="1877" w:type="dxa"/>
            <w:vAlign w:val="center"/>
          </w:tcPr>
          <w:p>
            <w:pPr>
              <w:widowControl/>
              <w:jc w:val="center"/>
              <w:textAlignment w:val="center"/>
              <w:rPr>
                <w:color w:val="000000"/>
                <w:sz w:val="22"/>
                <w:szCs w:val="22"/>
              </w:rPr>
            </w:pPr>
            <w:r>
              <w:rPr>
                <w:color w:val="000000"/>
                <w:kern w:val="0"/>
                <w:sz w:val="22"/>
                <w:szCs w:val="22"/>
                <w:lang/>
              </w:rPr>
              <w:t>东六线-Ⅱ-1</w:t>
            </w:r>
          </w:p>
        </w:tc>
        <w:tc>
          <w:tcPr>
            <w:tcW w:w="1192" w:type="dxa"/>
            <w:vAlign w:val="center"/>
          </w:tcPr>
          <w:p>
            <w:pPr>
              <w:widowControl/>
              <w:jc w:val="center"/>
              <w:textAlignment w:val="center"/>
              <w:rPr>
                <w:color w:val="000000"/>
                <w:sz w:val="22"/>
                <w:szCs w:val="22"/>
              </w:rPr>
            </w:pPr>
            <w:r>
              <w:rPr>
                <w:color w:val="000000"/>
                <w:kern w:val="0"/>
                <w:sz w:val="22"/>
                <w:szCs w:val="22"/>
                <w:lang/>
              </w:rPr>
              <w:t>滨湖中路</w:t>
            </w:r>
          </w:p>
        </w:tc>
        <w:tc>
          <w:tcPr>
            <w:tcW w:w="1491" w:type="dxa"/>
            <w:vAlign w:val="center"/>
          </w:tcPr>
          <w:p>
            <w:pPr>
              <w:widowControl/>
              <w:jc w:val="center"/>
              <w:textAlignment w:val="center"/>
              <w:rPr>
                <w:color w:val="000000"/>
                <w:sz w:val="22"/>
                <w:szCs w:val="22"/>
              </w:rPr>
            </w:pPr>
            <w:r>
              <w:rPr>
                <w:color w:val="000000"/>
                <w:kern w:val="0"/>
                <w:sz w:val="22"/>
                <w:szCs w:val="22"/>
                <w:lang/>
              </w:rPr>
              <w:t>开元东路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4380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39</w:t>
            </w:r>
          </w:p>
        </w:tc>
        <w:tc>
          <w:tcPr>
            <w:tcW w:w="1877" w:type="dxa"/>
            <w:vAlign w:val="center"/>
          </w:tcPr>
          <w:p>
            <w:pPr>
              <w:widowControl/>
              <w:jc w:val="center"/>
              <w:textAlignment w:val="center"/>
              <w:rPr>
                <w:color w:val="000000"/>
                <w:sz w:val="22"/>
                <w:szCs w:val="22"/>
              </w:rPr>
            </w:pPr>
            <w:r>
              <w:rPr>
                <w:color w:val="000000"/>
                <w:kern w:val="0"/>
                <w:sz w:val="22"/>
                <w:szCs w:val="22"/>
                <w:lang/>
              </w:rPr>
              <w:t>东六线-Ⅱ-2</w:t>
            </w:r>
          </w:p>
        </w:tc>
        <w:tc>
          <w:tcPr>
            <w:tcW w:w="1192" w:type="dxa"/>
            <w:vAlign w:val="center"/>
          </w:tcPr>
          <w:p>
            <w:pPr>
              <w:widowControl/>
              <w:jc w:val="center"/>
              <w:textAlignment w:val="center"/>
              <w:rPr>
                <w:color w:val="000000"/>
                <w:sz w:val="22"/>
                <w:szCs w:val="22"/>
              </w:rPr>
            </w:pPr>
            <w:r>
              <w:rPr>
                <w:color w:val="000000"/>
                <w:kern w:val="0"/>
                <w:sz w:val="22"/>
                <w:szCs w:val="22"/>
                <w:lang/>
              </w:rPr>
              <w:t>开元东路</w:t>
            </w:r>
          </w:p>
        </w:tc>
        <w:tc>
          <w:tcPr>
            <w:tcW w:w="1491" w:type="dxa"/>
            <w:vAlign w:val="center"/>
          </w:tcPr>
          <w:p>
            <w:pPr>
              <w:widowControl/>
              <w:jc w:val="center"/>
              <w:textAlignment w:val="center"/>
              <w:rPr>
                <w:color w:val="000000"/>
                <w:sz w:val="22"/>
                <w:szCs w:val="22"/>
              </w:rPr>
            </w:pPr>
            <w:r>
              <w:rPr>
                <w:color w:val="000000"/>
                <w:kern w:val="0"/>
                <w:sz w:val="22"/>
                <w:szCs w:val="22"/>
                <w:lang/>
              </w:rPr>
              <w:t>长浏高速</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40</w:t>
            </w:r>
          </w:p>
        </w:tc>
        <w:tc>
          <w:tcPr>
            <w:tcW w:w="1877" w:type="dxa"/>
            <w:vAlign w:val="center"/>
          </w:tcPr>
          <w:p>
            <w:pPr>
              <w:widowControl/>
              <w:jc w:val="center"/>
              <w:textAlignment w:val="center"/>
              <w:rPr>
                <w:color w:val="000000"/>
                <w:sz w:val="22"/>
                <w:szCs w:val="22"/>
              </w:rPr>
            </w:pPr>
            <w:r>
              <w:rPr>
                <w:color w:val="000000"/>
                <w:kern w:val="0"/>
                <w:sz w:val="22"/>
                <w:szCs w:val="22"/>
                <w:lang/>
              </w:rPr>
              <w:t>东六线-Ⅱ-3</w:t>
            </w:r>
          </w:p>
        </w:tc>
        <w:tc>
          <w:tcPr>
            <w:tcW w:w="1192" w:type="dxa"/>
            <w:vAlign w:val="center"/>
          </w:tcPr>
          <w:p>
            <w:pPr>
              <w:widowControl/>
              <w:jc w:val="center"/>
              <w:textAlignment w:val="center"/>
              <w:rPr>
                <w:color w:val="000000"/>
                <w:sz w:val="22"/>
                <w:szCs w:val="22"/>
              </w:rPr>
            </w:pPr>
            <w:r>
              <w:rPr>
                <w:color w:val="000000"/>
                <w:kern w:val="0"/>
                <w:sz w:val="22"/>
                <w:szCs w:val="22"/>
                <w:lang/>
              </w:rPr>
              <w:t>长浏高速</w:t>
            </w:r>
          </w:p>
        </w:tc>
        <w:tc>
          <w:tcPr>
            <w:tcW w:w="1491" w:type="dxa"/>
            <w:vAlign w:val="center"/>
          </w:tcPr>
          <w:p>
            <w:pPr>
              <w:widowControl/>
              <w:jc w:val="center"/>
              <w:textAlignment w:val="center"/>
              <w:rPr>
                <w:color w:val="000000"/>
                <w:sz w:val="22"/>
                <w:szCs w:val="22"/>
              </w:rPr>
            </w:pPr>
            <w:r>
              <w:rPr>
                <w:color w:val="000000"/>
                <w:kern w:val="0"/>
                <w:sz w:val="22"/>
                <w:szCs w:val="22"/>
                <w:lang/>
              </w:rPr>
              <w:t>远大路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41</w:t>
            </w:r>
          </w:p>
        </w:tc>
        <w:tc>
          <w:tcPr>
            <w:tcW w:w="1877" w:type="dxa"/>
            <w:vAlign w:val="center"/>
          </w:tcPr>
          <w:p>
            <w:pPr>
              <w:widowControl/>
              <w:jc w:val="center"/>
              <w:textAlignment w:val="center"/>
              <w:rPr>
                <w:color w:val="000000"/>
                <w:sz w:val="22"/>
                <w:szCs w:val="22"/>
              </w:rPr>
            </w:pPr>
            <w:r>
              <w:rPr>
                <w:color w:val="000000"/>
                <w:kern w:val="0"/>
                <w:sz w:val="22"/>
                <w:szCs w:val="22"/>
                <w:lang/>
              </w:rPr>
              <w:t>东七线-Ⅱ-1</w:t>
            </w:r>
          </w:p>
        </w:tc>
        <w:tc>
          <w:tcPr>
            <w:tcW w:w="1192" w:type="dxa"/>
            <w:vAlign w:val="center"/>
          </w:tcPr>
          <w:p>
            <w:pPr>
              <w:widowControl/>
              <w:jc w:val="center"/>
              <w:textAlignment w:val="center"/>
              <w:rPr>
                <w:color w:val="000000"/>
                <w:sz w:val="22"/>
                <w:szCs w:val="22"/>
              </w:rPr>
            </w:pPr>
            <w:r>
              <w:rPr>
                <w:color w:val="000000"/>
                <w:kern w:val="0"/>
                <w:sz w:val="22"/>
                <w:szCs w:val="22"/>
                <w:lang/>
              </w:rPr>
              <w:t>滨湖中路</w:t>
            </w:r>
          </w:p>
        </w:tc>
        <w:tc>
          <w:tcPr>
            <w:tcW w:w="1491" w:type="dxa"/>
            <w:vAlign w:val="center"/>
          </w:tcPr>
          <w:p>
            <w:pPr>
              <w:widowControl/>
              <w:jc w:val="center"/>
              <w:textAlignment w:val="center"/>
              <w:rPr>
                <w:color w:val="000000"/>
                <w:sz w:val="22"/>
                <w:szCs w:val="22"/>
              </w:rPr>
            </w:pPr>
            <w:r>
              <w:rPr>
                <w:color w:val="000000"/>
                <w:kern w:val="0"/>
                <w:sz w:val="22"/>
                <w:szCs w:val="22"/>
                <w:lang/>
              </w:rPr>
              <w:t>开元东路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4430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42</w:t>
            </w:r>
          </w:p>
        </w:tc>
        <w:tc>
          <w:tcPr>
            <w:tcW w:w="1877" w:type="dxa"/>
            <w:vAlign w:val="center"/>
          </w:tcPr>
          <w:p>
            <w:pPr>
              <w:widowControl/>
              <w:jc w:val="center"/>
              <w:textAlignment w:val="center"/>
              <w:rPr>
                <w:color w:val="000000"/>
                <w:sz w:val="22"/>
                <w:szCs w:val="22"/>
              </w:rPr>
            </w:pPr>
            <w:r>
              <w:rPr>
                <w:color w:val="000000"/>
                <w:kern w:val="0"/>
                <w:sz w:val="22"/>
                <w:szCs w:val="22"/>
                <w:lang/>
              </w:rPr>
              <w:t>东七线-Ⅱ-2</w:t>
            </w:r>
          </w:p>
        </w:tc>
        <w:tc>
          <w:tcPr>
            <w:tcW w:w="1192" w:type="dxa"/>
            <w:vAlign w:val="center"/>
          </w:tcPr>
          <w:p>
            <w:pPr>
              <w:widowControl/>
              <w:jc w:val="center"/>
              <w:textAlignment w:val="center"/>
              <w:rPr>
                <w:color w:val="000000"/>
                <w:sz w:val="22"/>
                <w:szCs w:val="22"/>
              </w:rPr>
            </w:pPr>
            <w:r>
              <w:rPr>
                <w:color w:val="000000"/>
                <w:kern w:val="0"/>
                <w:sz w:val="22"/>
                <w:szCs w:val="22"/>
                <w:lang/>
              </w:rPr>
              <w:t>开元东路</w:t>
            </w:r>
          </w:p>
        </w:tc>
        <w:tc>
          <w:tcPr>
            <w:tcW w:w="1491" w:type="dxa"/>
            <w:vAlign w:val="center"/>
          </w:tcPr>
          <w:p>
            <w:pPr>
              <w:widowControl/>
              <w:jc w:val="center"/>
              <w:textAlignment w:val="center"/>
              <w:rPr>
                <w:color w:val="000000"/>
                <w:sz w:val="22"/>
                <w:szCs w:val="22"/>
              </w:rPr>
            </w:pPr>
            <w:r>
              <w:rPr>
                <w:color w:val="000000"/>
                <w:kern w:val="0"/>
                <w:sz w:val="22"/>
                <w:szCs w:val="22"/>
                <w:lang/>
              </w:rPr>
              <w:t>长浏高速</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43</w:t>
            </w:r>
          </w:p>
        </w:tc>
        <w:tc>
          <w:tcPr>
            <w:tcW w:w="1877" w:type="dxa"/>
            <w:vAlign w:val="center"/>
          </w:tcPr>
          <w:p>
            <w:pPr>
              <w:widowControl/>
              <w:jc w:val="center"/>
              <w:textAlignment w:val="center"/>
              <w:rPr>
                <w:color w:val="000000"/>
                <w:sz w:val="22"/>
                <w:szCs w:val="22"/>
              </w:rPr>
            </w:pPr>
            <w:r>
              <w:rPr>
                <w:color w:val="000000"/>
                <w:kern w:val="0"/>
                <w:sz w:val="22"/>
                <w:szCs w:val="22"/>
                <w:lang/>
              </w:rPr>
              <w:t>东七线-Ⅱ-3</w:t>
            </w:r>
          </w:p>
        </w:tc>
        <w:tc>
          <w:tcPr>
            <w:tcW w:w="1192" w:type="dxa"/>
            <w:vAlign w:val="center"/>
          </w:tcPr>
          <w:p>
            <w:pPr>
              <w:widowControl/>
              <w:jc w:val="center"/>
              <w:textAlignment w:val="center"/>
              <w:rPr>
                <w:color w:val="000000"/>
                <w:sz w:val="22"/>
                <w:szCs w:val="22"/>
              </w:rPr>
            </w:pPr>
            <w:r>
              <w:rPr>
                <w:color w:val="000000"/>
                <w:kern w:val="0"/>
                <w:sz w:val="22"/>
                <w:szCs w:val="22"/>
                <w:lang/>
              </w:rPr>
              <w:t>长浏高速</w:t>
            </w:r>
          </w:p>
        </w:tc>
        <w:tc>
          <w:tcPr>
            <w:tcW w:w="1491" w:type="dxa"/>
            <w:vAlign w:val="center"/>
          </w:tcPr>
          <w:p>
            <w:pPr>
              <w:widowControl/>
              <w:jc w:val="center"/>
              <w:textAlignment w:val="center"/>
              <w:rPr>
                <w:color w:val="000000"/>
                <w:sz w:val="22"/>
                <w:szCs w:val="22"/>
              </w:rPr>
            </w:pPr>
            <w:r>
              <w:rPr>
                <w:color w:val="000000"/>
                <w:kern w:val="0"/>
                <w:sz w:val="22"/>
                <w:szCs w:val="22"/>
                <w:lang/>
              </w:rPr>
              <w:t>漓湘路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44</w:t>
            </w:r>
          </w:p>
        </w:tc>
        <w:tc>
          <w:tcPr>
            <w:tcW w:w="1877" w:type="dxa"/>
            <w:vAlign w:val="center"/>
          </w:tcPr>
          <w:p>
            <w:pPr>
              <w:widowControl/>
              <w:jc w:val="center"/>
              <w:textAlignment w:val="center"/>
              <w:rPr>
                <w:color w:val="000000"/>
                <w:sz w:val="22"/>
                <w:szCs w:val="22"/>
              </w:rPr>
            </w:pPr>
            <w:r>
              <w:rPr>
                <w:color w:val="000000"/>
                <w:kern w:val="0"/>
                <w:sz w:val="22"/>
                <w:szCs w:val="22"/>
                <w:lang/>
              </w:rPr>
              <w:t>西霞路-Ⅱ-1</w:t>
            </w:r>
          </w:p>
        </w:tc>
        <w:tc>
          <w:tcPr>
            <w:tcW w:w="1192" w:type="dxa"/>
            <w:vAlign w:val="center"/>
          </w:tcPr>
          <w:p>
            <w:pPr>
              <w:widowControl/>
              <w:jc w:val="center"/>
              <w:textAlignment w:val="center"/>
              <w:rPr>
                <w:color w:val="000000"/>
                <w:sz w:val="22"/>
                <w:szCs w:val="22"/>
              </w:rPr>
            </w:pPr>
            <w:r>
              <w:rPr>
                <w:color w:val="000000"/>
                <w:kern w:val="0"/>
                <w:sz w:val="22"/>
                <w:szCs w:val="22"/>
                <w:lang/>
              </w:rPr>
              <w:t>捞刀河路</w:t>
            </w:r>
          </w:p>
        </w:tc>
        <w:tc>
          <w:tcPr>
            <w:tcW w:w="1491" w:type="dxa"/>
            <w:vAlign w:val="center"/>
          </w:tcPr>
          <w:p>
            <w:pPr>
              <w:widowControl/>
              <w:jc w:val="center"/>
              <w:textAlignment w:val="center"/>
              <w:rPr>
                <w:color w:val="000000"/>
                <w:sz w:val="22"/>
                <w:szCs w:val="22"/>
              </w:rPr>
            </w:pPr>
            <w:r>
              <w:rPr>
                <w:color w:val="000000"/>
                <w:kern w:val="0"/>
                <w:sz w:val="22"/>
                <w:szCs w:val="22"/>
                <w:lang/>
              </w:rPr>
              <w:t>特立路</w:t>
            </w:r>
          </w:p>
        </w:tc>
        <w:tc>
          <w:tcPr>
            <w:tcW w:w="1071" w:type="dxa"/>
            <w:vMerge w:val="continue"/>
            <w:vAlign w:val="center"/>
          </w:tcPr>
          <w:p>
            <w:pPr>
              <w:widowControl/>
              <w:jc w:val="center"/>
              <w:textAlignment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4295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45</w:t>
            </w:r>
          </w:p>
        </w:tc>
        <w:tc>
          <w:tcPr>
            <w:tcW w:w="1877" w:type="dxa"/>
            <w:vAlign w:val="center"/>
          </w:tcPr>
          <w:p>
            <w:pPr>
              <w:widowControl/>
              <w:jc w:val="center"/>
              <w:textAlignment w:val="center"/>
              <w:rPr>
                <w:color w:val="000000"/>
                <w:sz w:val="22"/>
                <w:szCs w:val="22"/>
              </w:rPr>
            </w:pPr>
            <w:r>
              <w:rPr>
                <w:color w:val="000000"/>
                <w:kern w:val="0"/>
                <w:sz w:val="22"/>
                <w:szCs w:val="22"/>
                <w:lang/>
              </w:rPr>
              <w:t>西霞路-Ⅱ-2</w:t>
            </w:r>
          </w:p>
        </w:tc>
        <w:tc>
          <w:tcPr>
            <w:tcW w:w="1192" w:type="dxa"/>
            <w:vAlign w:val="center"/>
          </w:tcPr>
          <w:p>
            <w:pPr>
              <w:widowControl/>
              <w:jc w:val="center"/>
              <w:textAlignment w:val="center"/>
              <w:rPr>
                <w:color w:val="000000"/>
                <w:sz w:val="22"/>
                <w:szCs w:val="22"/>
              </w:rPr>
            </w:pPr>
            <w:r>
              <w:rPr>
                <w:color w:val="000000"/>
                <w:kern w:val="0"/>
                <w:sz w:val="22"/>
                <w:szCs w:val="22"/>
                <w:lang/>
              </w:rPr>
              <w:t>特立路</w:t>
            </w:r>
          </w:p>
        </w:tc>
        <w:tc>
          <w:tcPr>
            <w:tcW w:w="1491" w:type="dxa"/>
            <w:vAlign w:val="center"/>
          </w:tcPr>
          <w:p>
            <w:pPr>
              <w:widowControl/>
              <w:jc w:val="center"/>
              <w:textAlignment w:val="center"/>
              <w:rPr>
                <w:color w:val="000000"/>
                <w:sz w:val="22"/>
                <w:szCs w:val="22"/>
              </w:rPr>
            </w:pPr>
            <w:r>
              <w:rPr>
                <w:color w:val="000000"/>
                <w:kern w:val="0"/>
                <w:sz w:val="22"/>
                <w:szCs w:val="22"/>
                <w:lang/>
              </w:rPr>
              <w:t>开元路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4410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46</w:t>
            </w:r>
          </w:p>
        </w:tc>
        <w:tc>
          <w:tcPr>
            <w:tcW w:w="1877" w:type="dxa"/>
            <w:vAlign w:val="center"/>
          </w:tcPr>
          <w:p>
            <w:pPr>
              <w:widowControl/>
              <w:jc w:val="center"/>
              <w:textAlignment w:val="center"/>
              <w:rPr>
                <w:color w:val="000000"/>
                <w:sz w:val="22"/>
                <w:szCs w:val="22"/>
              </w:rPr>
            </w:pPr>
            <w:r>
              <w:rPr>
                <w:color w:val="000000"/>
                <w:kern w:val="0"/>
                <w:sz w:val="22"/>
                <w:szCs w:val="22"/>
                <w:lang/>
              </w:rPr>
              <w:t>滨湖路-Ⅱ-1</w:t>
            </w:r>
          </w:p>
        </w:tc>
        <w:tc>
          <w:tcPr>
            <w:tcW w:w="1192" w:type="dxa"/>
            <w:vAlign w:val="center"/>
          </w:tcPr>
          <w:p>
            <w:pPr>
              <w:widowControl/>
              <w:jc w:val="center"/>
              <w:textAlignment w:val="center"/>
              <w:rPr>
                <w:color w:val="000000"/>
                <w:sz w:val="22"/>
                <w:szCs w:val="22"/>
              </w:rPr>
            </w:pPr>
            <w:r>
              <w:rPr>
                <w:color w:val="000000"/>
                <w:kern w:val="0"/>
                <w:sz w:val="22"/>
                <w:szCs w:val="22"/>
                <w:lang/>
              </w:rPr>
              <w:t>东升路</w:t>
            </w:r>
          </w:p>
        </w:tc>
        <w:tc>
          <w:tcPr>
            <w:tcW w:w="1491" w:type="dxa"/>
            <w:vAlign w:val="center"/>
          </w:tcPr>
          <w:p>
            <w:pPr>
              <w:widowControl/>
              <w:jc w:val="center"/>
              <w:textAlignment w:val="center"/>
              <w:rPr>
                <w:color w:val="000000"/>
                <w:sz w:val="22"/>
                <w:szCs w:val="22"/>
              </w:rPr>
            </w:pPr>
            <w:r>
              <w:rPr>
                <w:color w:val="000000"/>
                <w:kern w:val="0"/>
                <w:sz w:val="22"/>
                <w:szCs w:val="22"/>
                <w:lang/>
              </w:rPr>
              <w:t>星沙大道</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4380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47</w:t>
            </w:r>
          </w:p>
        </w:tc>
        <w:tc>
          <w:tcPr>
            <w:tcW w:w="1877" w:type="dxa"/>
            <w:vAlign w:val="center"/>
          </w:tcPr>
          <w:p>
            <w:pPr>
              <w:widowControl/>
              <w:jc w:val="center"/>
              <w:textAlignment w:val="center"/>
              <w:rPr>
                <w:color w:val="000000"/>
                <w:sz w:val="22"/>
                <w:szCs w:val="22"/>
              </w:rPr>
            </w:pPr>
            <w:r>
              <w:rPr>
                <w:color w:val="000000"/>
                <w:kern w:val="0"/>
                <w:sz w:val="22"/>
                <w:szCs w:val="22"/>
                <w:lang/>
              </w:rPr>
              <w:t>滨湖路-Ⅱ-2</w:t>
            </w:r>
          </w:p>
        </w:tc>
        <w:tc>
          <w:tcPr>
            <w:tcW w:w="1192" w:type="dxa"/>
            <w:vAlign w:val="center"/>
          </w:tcPr>
          <w:p>
            <w:pPr>
              <w:widowControl/>
              <w:jc w:val="center"/>
              <w:textAlignment w:val="center"/>
              <w:rPr>
                <w:color w:val="000000"/>
                <w:sz w:val="22"/>
                <w:szCs w:val="22"/>
              </w:rPr>
            </w:pPr>
            <w:r>
              <w:rPr>
                <w:color w:val="000000"/>
                <w:kern w:val="0"/>
                <w:sz w:val="22"/>
                <w:szCs w:val="22"/>
                <w:lang/>
              </w:rPr>
              <w:t>星沙大道</w:t>
            </w:r>
          </w:p>
        </w:tc>
        <w:tc>
          <w:tcPr>
            <w:tcW w:w="1491" w:type="dxa"/>
            <w:vAlign w:val="center"/>
          </w:tcPr>
          <w:p>
            <w:pPr>
              <w:widowControl/>
              <w:jc w:val="center"/>
              <w:textAlignment w:val="center"/>
              <w:rPr>
                <w:color w:val="000000"/>
                <w:sz w:val="22"/>
                <w:szCs w:val="22"/>
              </w:rPr>
            </w:pPr>
            <w:r>
              <w:rPr>
                <w:color w:val="000000"/>
                <w:kern w:val="0"/>
                <w:sz w:val="22"/>
                <w:szCs w:val="22"/>
                <w:lang/>
              </w:rPr>
              <w:t>东三线</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48</w:t>
            </w:r>
          </w:p>
        </w:tc>
        <w:tc>
          <w:tcPr>
            <w:tcW w:w="1877" w:type="dxa"/>
            <w:vAlign w:val="center"/>
          </w:tcPr>
          <w:p>
            <w:pPr>
              <w:widowControl/>
              <w:jc w:val="center"/>
              <w:textAlignment w:val="center"/>
              <w:rPr>
                <w:color w:val="000000"/>
                <w:sz w:val="22"/>
                <w:szCs w:val="22"/>
              </w:rPr>
            </w:pPr>
            <w:r>
              <w:rPr>
                <w:color w:val="000000"/>
                <w:kern w:val="0"/>
                <w:sz w:val="22"/>
                <w:szCs w:val="22"/>
                <w:lang/>
              </w:rPr>
              <w:t>滨湖路-Ⅱ-3</w:t>
            </w:r>
          </w:p>
        </w:tc>
        <w:tc>
          <w:tcPr>
            <w:tcW w:w="1192" w:type="dxa"/>
            <w:vAlign w:val="center"/>
          </w:tcPr>
          <w:p>
            <w:pPr>
              <w:widowControl/>
              <w:jc w:val="center"/>
              <w:textAlignment w:val="center"/>
              <w:rPr>
                <w:color w:val="000000"/>
                <w:sz w:val="22"/>
                <w:szCs w:val="22"/>
              </w:rPr>
            </w:pPr>
            <w:r>
              <w:rPr>
                <w:color w:val="000000"/>
                <w:kern w:val="0"/>
                <w:sz w:val="22"/>
                <w:szCs w:val="22"/>
                <w:lang/>
              </w:rPr>
              <w:t>东三线</w:t>
            </w:r>
          </w:p>
        </w:tc>
        <w:tc>
          <w:tcPr>
            <w:tcW w:w="1491" w:type="dxa"/>
            <w:vAlign w:val="center"/>
          </w:tcPr>
          <w:p>
            <w:pPr>
              <w:widowControl/>
              <w:jc w:val="center"/>
              <w:textAlignment w:val="center"/>
              <w:rPr>
                <w:color w:val="000000"/>
                <w:sz w:val="22"/>
                <w:szCs w:val="22"/>
              </w:rPr>
            </w:pPr>
            <w:r>
              <w:rPr>
                <w:color w:val="000000"/>
                <w:kern w:val="0"/>
                <w:sz w:val="22"/>
                <w:szCs w:val="22"/>
                <w:lang/>
              </w:rPr>
              <w:t>东七线</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4520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49</w:t>
            </w:r>
          </w:p>
        </w:tc>
        <w:tc>
          <w:tcPr>
            <w:tcW w:w="1877" w:type="dxa"/>
            <w:vAlign w:val="center"/>
          </w:tcPr>
          <w:p>
            <w:pPr>
              <w:widowControl/>
              <w:jc w:val="center"/>
              <w:textAlignment w:val="center"/>
              <w:rPr>
                <w:color w:val="000000"/>
                <w:sz w:val="22"/>
                <w:szCs w:val="22"/>
              </w:rPr>
            </w:pPr>
            <w:r>
              <w:rPr>
                <w:color w:val="000000"/>
                <w:kern w:val="0"/>
                <w:sz w:val="22"/>
                <w:szCs w:val="22"/>
                <w:lang/>
              </w:rPr>
              <w:t>漓湘西路</w:t>
            </w:r>
          </w:p>
        </w:tc>
        <w:tc>
          <w:tcPr>
            <w:tcW w:w="1192" w:type="dxa"/>
            <w:vAlign w:val="center"/>
          </w:tcPr>
          <w:p>
            <w:pPr>
              <w:widowControl/>
              <w:jc w:val="center"/>
              <w:textAlignment w:val="center"/>
              <w:rPr>
                <w:color w:val="000000"/>
                <w:sz w:val="22"/>
                <w:szCs w:val="22"/>
              </w:rPr>
            </w:pPr>
            <w:r>
              <w:rPr>
                <w:color w:val="000000"/>
                <w:kern w:val="0"/>
                <w:sz w:val="22"/>
                <w:szCs w:val="22"/>
                <w:lang/>
              </w:rPr>
              <w:t>万家丽路</w:t>
            </w:r>
          </w:p>
        </w:tc>
        <w:tc>
          <w:tcPr>
            <w:tcW w:w="1491" w:type="dxa"/>
            <w:vAlign w:val="center"/>
          </w:tcPr>
          <w:p>
            <w:pPr>
              <w:widowControl/>
              <w:jc w:val="center"/>
              <w:textAlignment w:val="center"/>
              <w:rPr>
                <w:color w:val="000000"/>
                <w:sz w:val="22"/>
                <w:szCs w:val="22"/>
              </w:rPr>
            </w:pPr>
            <w:r>
              <w:rPr>
                <w:color w:val="000000"/>
                <w:kern w:val="0"/>
                <w:sz w:val="22"/>
                <w:szCs w:val="22"/>
                <w:lang/>
              </w:rPr>
              <w:t>京珠高速</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sz w:val="20"/>
              </w:rPr>
            </w:pPr>
            <w:r>
              <w:rPr>
                <w:color w:val="000000"/>
                <w:kern w:val="0"/>
                <w:sz w:val="22"/>
                <w:szCs w:val="22"/>
                <w:lang/>
              </w:rPr>
              <w:t>50</w:t>
            </w:r>
          </w:p>
        </w:tc>
        <w:tc>
          <w:tcPr>
            <w:tcW w:w="1877" w:type="dxa"/>
            <w:vAlign w:val="center"/>
          </w:tcPr>
          <w:p>
            <w:pPr>
              <w:widowControl/>
              <w:jc w:val="center"/>
              <w:textAlignment w:val="center"/>
              <w:rPr>
                <w:color w:val="000000"/>
                <w:sz w:val="22"/>
                <w:szCs w:val="22"/>
              </w:rPr>
            </w:pPr>
            <w:r>
              <w:rPr>
                <w:color w:val="000000"/>
                <w:kern w:val="0"/>
                <w:sz w:val="22"/>
                <w:szCs w:val="22"/>
                <w:lang/>
              </w:rPr>
              <w:t>湘龙路</w:t>
            </w:r>
          </w:p>
        </w:tc>
        <w:tc>
          <w:tcPr>
            <w:tcW w:w="1192" w:type="dxa"/>
            <w:vAlign w:val="center"/>
          </w:tcPr>
          <w:p>
            <w:pPr>
              <w:widowControl/>
              <w:jc w:val="center"/>
              <w:textAlignment w:val="center"/>
              <w:rPr>
                <w:color w:val="000000"/>
                <w:sz w:val="22"/>
                <w:szCs w:val="22"/>
              </w:rPr>
            </w:pPr>
            <w:r>
              <w:rPr>
                <w:color w:val="000000"/>
                <w:kern w:val="0"/>
                <w:sz w:val="22"/>
                <w:szCs w:val="22"/>
                <w:lang/>
              </w:rPr>
              <w:t>万家丽路</w:t>
            </w:r>
          </w:p>
        </w:tc>
        <w:tc>
          <w:tcPr>
            <w:tcW w:w="1491" w:type="dxa"/>
            <w:vAlign w:val="center"/>
          </w:tcPr>
          <w:p>
            <w:pPr>
              <w:widowControl/>
              <w:jc w:val="center"/>
              <w:textAlignment w:val="center"/>
              <w:rPr>
                <w:color w:val="000000"/>
                <w:sz w:val="22"/>
                <w:szCs w:val="22"/>
              </w:rPr>
            </w:pPr>
            <w:r>
              <w:rPr>
                <w:color w:val="000000"/>
                <w:kern w:val="0"/>
                <w:sz w:val="22"/>
                <w:szCs w:val="22"/>
                <w:lang/>
              </w:rPr>
              <w:t>西霞路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sz w:val="20"/>
              </w:rPr>
            </w:pPr>
            <w:r>
              <w:rPr>
                <w:color w:val="000000"/>
                <w:kern w:val="0"/>
                <w:sz w:val="22"/>
                <w:szCs w:val="22"/>
                <w:lang/>
              </w:rPr>
              <w:t>3360</w:t>
            </w:r>
          </w:p>
        </w:tc>
        <w:tc>
          <w:tcPr>
            <w:tcW w:w="893" w:type="dxa"/>
            <w:vAlign w:val="center"/>
          </w:tcPr>
          <w:p>
            <w:pPr>
              <w:widowControl/>
              <w:jc w:val="center"/>
              <w:textAlignment w:val="center"/>
              <w:rPr>
                <w:color w:val="000000"/>
                <w:sz w:val="20"/>
              </w:rPr>
            </w:pPr>
            <w:r>
              <w:rPr>
                <w:color w:val="000000"/>
                <w:kern w:val="0"/>
                <w:sz w:val="22"/>
                <w:szCs w:val="22"/>
                <w:lang/>
              </w:rPr>
              <w:t xml:space="preserve">4420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51</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特立路-Ⅱ-1</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漓湘西路</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东升路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3360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4760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52</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特立路-Ⅱ-2</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东升路</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星沙大道</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3360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5120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53</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特立路-Ⅱ-3</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星沙大道</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东三线</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3360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5200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54</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特立路-Ⅱ-4</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东三线</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东七线</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3360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4970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55</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开元路中-Ⅱ-1</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漓湘西路</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京珠高速</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3360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4640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56</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开元路中-Ⅱ-2</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东三线</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东七线</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3360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4700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57</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望仙路-Ⅱ</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东三线</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东七线</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3360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4530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58</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棠坡路-Ⅱ</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东三线</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东七线</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3360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4635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59</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凉塘路-Ⅱ</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东一线</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东七线</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3360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4600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60</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漓湘路-Ⅱ-1</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京珠高速</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东一线</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3360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4500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61</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漓湘路-Ⅱ-2</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东一线</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东四线</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3360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5150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62</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漓湘路-Ⅱ-3</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东四线</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东七线</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3360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4860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89" w:hRule="atLeast"/>
        </w:trPr>
        <w:tc>
          <w:tcPr>
            <w:tcW w:w="795" w:type="dxa"/>
            <w:vAlign w:val="center"/>
          </w:tcPr>
          <w:p>
            <w:pPr>
              <w:widowControl/>
              <w:jc w:val="center"/>
              <w:textAlignment w:val="center"/>
              <w:rPr>
                <w:color w:val="000000"/>
                <w:kern w:val="0"/>
                <w:sz w:val="20"/>
                <w:lang/>
              </w:rPr>
            </w:pPr>
            <w:r>
              <w:rPr>
                <w:color w:val="000000"/>
                <w:kern w:val="0"/>
                <w:sz w:val="22"/>
                <w:szCs w:val="22"/>
                <w:lang/>
              </w:rPr>
              <w:t>63</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万家丽路-Ⅱ-1</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捞刀河路</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滨湖西路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3360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4355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64</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万家丽路-Ⅱ-2</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滨湖西路</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特立西路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3360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4560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65</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黄兴大道-Ⅲ-1</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滨湖中路</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长浏高速</w:t>
            </w:r>
          </w:p>
        </w:tc>
        <w:tc>
          <w:tcPr>
            <w:tcW w:w="1071" w:type="dxa"/>
            <w:vMerge w:val="restart"/>
            <w:vAlign w:val="center"/>
          </w:tcPr>
          <w:p>
            <w:pPr>
              <w:jc w:val="center"/>
              <w:rPr>
                <w:color w:val="000000"/>
                <w:sz w:val="20"/>
              </w:rPr>
            </w:pPr>
            <w:r>
              <w:rPr>
                <w:color w:val="000000"/>
                <w:kern w:val="0"/>
                <w:sz w:val="20"/>
                <w:lang/>
              </w:rPr>
              <w:t>Ⅲ级</w:t>
            </w:r>
          </w:p>
        </w:tc>
        <w:tc>
          <w:tcPr>
            <w:tcW w:w="1017" w:type="dxa"/>
            <w:vAlign w:val="center"/>
          </w:tcPr>
          <w:p>
            <w:pPr>
              <w:widowControl/>
              <w:jc w:val="center"/>
              <w:textAlignment w:val="center"/>
              <w:rPr>
                <w:color w:val="000000"/>
                <w:kern w:val="0"/>
                <w:sz w:val="20"/>
                <w:lang/>
              </w:rPr>
            </w:pPr>
            <w:r>
              <w:rPr>
                <w:color w:val="000000"/>
                <w:kern w:val="0"/>
                <w:sz w:val="22"/>
                <w:szCs w:val="22"/>
                <w:lang/>
              </w:rPr>
              <w:t>2550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3420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66</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黄兴大道-Ⅲ-2</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长浏高速</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远大二路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2550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3460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67</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黄兴大道-Ⅲ-3</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远大二路</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大元路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2550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3560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68</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黄兴大道-Ⅲ-4</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远大二路</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大元路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2550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3380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68</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东七线-Ⅲ</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高阳路</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远大二路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2550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3410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69</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开元路中-Ⅲ</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东七线</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龙塘路</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2550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3390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0"/>
                <w:lang/>
              </w:rPr>
            </w:pPr>
            <w:r>
              <w:rPr>
                <w:color w:val="000000"/>
                <w:kern w:val="0"/>
                <w:sz w:val="22"/>
                <w:szCs w:val="22"/>
                <w:lang/>
              </w:rPr>
              <w:t>70</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高阳路</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小塘路</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黄兴大道</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0"/>
                <w:lang/>
              </w:rPr>
            </w:pPr>
            <w:r>
              <w:rPr>
                <w:color w:val="000000"/>
                <w:kern w:val="0"/>
                <w:sz w:val="22"/>
                <w:szCs w:val="22"/>
                <w:lang/>
              </w:rPr>
              <w:t>2550</w:t>
            </w:r>
          </w:p>
        </w:tc>
        <w:tc>
          <w:tcPr>
            <w:tcW w:w="893" w:type="dxa"/>
            <w:vAlign w:val="center"/>
          </w:tcPr>
          <w:p>
            <w:pPr>
              <w:widowControl/>
              <w:jc w:val="center"/>
              <w:textAlignment w:val="center"/>
              <w:rPr>
                <w:color w:val="000000"/>
                <w:kern w:val="0"/>
                <w:sz w:val="20"/>
                <w:lang/>
              </w:rPr>
            </w:pPr>
            <w:r>
              <w:rPr>
                <w:color w:val="000000"/>
                <w:kern w:val="0"/>
                <w:sz w:val="22"/>
                <w:szCs w:val="22"/>
                <w:lang/>
              </w:rPr>
              <w:t xml:space="preserve">3380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795" w:type="dxa"/>
            <w:vAlign w:val="center"/>
          </w:tcPr>
          <w:p>
            <w:pPr>
              <w:widowControl/>
              <w:jc w:val="center"/>
              <w:textAlignment w:val="center"/>
              <w:rPr>
                <w:color w:val="000000"/>
                <w:kern w:val="0"/>
                <w:sz w:val="22"/>
                <w:szCs w:val="22"/>
                <w:lang/>
              </w:rPr>
            </w:pPr>
            <w:r>
              <w:rPr>
                <w:color w:val="000000"/>
                <w:kern w:val="0"/>
                <w:sz w:val="22"/>
                <w:szCs w:val="22"/>
                <w:lang/>
              </w:rPr>
              <w:t>71</w:t>
            </w:r>
          </w:p>
        </w:tc>
        <w:tc>
          <w:tcPr>
            <w:tcW w:w="1877" w:type="dxa"/>
            <w:vAlign w:val="center"/>
          </w:tcPr>
          <w:p>
            <w:pPr>
              <w:widowControl/>
              <w:jc w:val="center"/>
              <w:textAlignment w:val="center"/>
              <w:rPr>
                <w:color w:val="000000"/>
                <w:kern w:val="0"/>
                <w:sz w:val="22"/>
                <w:szCs w:val="22"/>
                <w:lang/>
              </w:rPr>
            </w:pPr>
            <w:r>
              <w:rPr>
                <w:color w:val="000000"/>
                <w:kern w:val="0"/>
                <w:sz w:val="22"/>
                <w:szCs w:val="22"/>
                <w:lang/>
              </w:rPr>
              <w:t>远大二路</w:t>
            </w:r>
          </w:p>
        </w:tc>
        <w:tc>
          <w:tcPr>
            <w:tcW w:w="1192" w:type="dxa"/>
            <w:vAlign w:val="center"/>
          </w:tcPr>
          <w:p>
            <w:pPr>
              <w:widowControl/>
              <w:jc w:val="center"/>
              <w:textAlignment w:val="center"/>
              <w:rPr>
                <w:color w:val="000000"/>
                <w:kern w:val="0"/>
                <w:sz w:val="22"/>
                <w:szCs w:val="22"/>
                <w:lang/>
              </w:rPr>
            </w:pPr>
            <w:r>
              <w:rPr>
                <w:color w:val="000000"/>
                <w:kern w:val="0"/>
                <w:sz w:val="22"/>
                <w:szCs w:val="22"/>
                <w:lang/>
              </w:rPr>
              <w:t>新建路</w:t>
            </w:r>
          </w:p>
        </w:tc>
        <w:tc>
          <w:tcPr>
            <w:tcW w:w="1491" w:type="dxa"/>
            <w:vAlign w:val="center"/>
          </w:tcPr>
          <w:p>
            <w:pPr>
              <w:widowControl/>
              <w:jc w:val="center"/>
              <w:textAlignment w:val="center"/>
              <w:rPr>
                <w:color w:val="000000"/>
                <w:kern w:val="0"/>
                <w:sz w:val="22"/>
                <w:szCs w:val="22"/>
                <w:lang/>
              </w:rPr>
            </w:pPr>
            <w:r>
              <w:rPr>
                <w:color w:val="000000"/>
                <w:kern w:val="0"/>
                <w:sz w:val="22"/>
                <w:szCs w:val="22"/>
                <w:lang/>
              </w:rPr>
              <w:t>黄兴大道</w:t>
            </w:r>
          </w:p>
        </w:tc>
        <w:tc>
          <w:tcPr>
            <w:tcW w:w="1071" w:type="dxa"/>
            <w:vMerge w:val="continue"/>
            <w:vAlign w:val="center"/>
          </w:tcPr>
          <w:p>
            <w:pPr>
              <w:jc w:val="center"/>
              <w:rPr>
                <w:color w:val="000000"/>
                <w:sz w:val="20"/>
              </w:rPr>
            </w:pPr>
          </w:p>
        </w:tc>
        <w:tc>
          <w:tcPr>
            <w:tcW w:w="1017" w:type="dxa"/>
            <w:vAlign w:val="center"/>
          </w:tcPr>
          <w:p>
            <w:pPr>
              <w:widowControl/>
              <w:jc w:val="center"/>
              <w:textAlignment w:val="center"/>
              <w:rPr>
                <w:color w:val="000000"/>
                <w:kern w:val="0"/>
                <w:sz w:val="22"/>
                <w:szCs w:val="22"/>
                <w:lang/>
              </w:rPr>
            </w:pPr>
            <w:r>
              <w:rPr>
                <w:color w:val="000000"/>
                <w:kern w:val="0"/>
                <w:sz w:val="22"/>
                <w:szCs w:val="22"/>
                <w:lang/>
              </w:rPr>
              <w:t>2550</w:t>
            </w:r>
          </w:p>
        </w:tc>
        <w:tc>
          <w:tcPr>
            <w:tcW w:w="893" w:type="dxa"/>
            <w:vAlign w:val="center"/>
          </w:tcPr>
          <w:p>
            <w:pPr>
              <w:widowControl/>
              <w:jc w:val="center"/>
              <w:textAlignment w:val="center"/>
              <w:rPr>
                <w:color w:val="000000"/>
                <w:kern w:val="0"/>
                <w:sz w:val="22"/>
                <w:szCs w:val="22"/>
                <w:lang/>
              </w:rPr>
            </w:pPr>
            <w:r>
              <w:rPr>
                <w:color w:val="000000"/>
                <w:kern w:val="0"/>
                <w:sz w:val="22"/>
                <w:szCs w:val="22"/>
                <w:lang/>
              </w:rPr>
              <w:t xml:space="preserve">3320 </w:t>
            </w:r>
          </w:p>
        </w:tc>
      </w:tr>
    </w:tbl>
    <w:p>
      <w:pPr>
        <w:pStyle w:val="22"/>
        <w:spacing w:line="240" w:lineRule="auto"/>
        <w:ind w:firstLine="400" w:firstLineChars="200"/>
        <w:rPr>
          <w:rFonts w:ascii="Times New Roman" w:hAnsi="Times New Roman"/>
          <w:szCs w:val="24"/>
        </w:rPr>
      </w:pPr>
      <w:r>
        <w:rPr>
          <w:rFonts w:ascii="Times New Roman" w:hAnsi="Times New Roman"/>
          <w:bCs/>
          <w:sz w:val="20"/>
        </w:rPr>
        <w:t>备注：标准深度内其它主次干道的的商服用地路线价按对应的均质区域价格的15%计算其路线价。标准深度：主干道为25米，次干道为20米，支路为15米。</w:t>
      </w:r>
      <w:bookmarkEnd w:id="620"/>
      <w:bookmarkEnd w:id="621"/>
      <w:bookmarkEnd w:id="622"/>
      <w:bookmarkEnd w:id="623"/>
    </w:p>
    <w:p>
      <w:pPr>
        <w:spacing w:line="360" w:lineRule="auto"/>
        <w:jc w:val="center"/>
        <w:textAlignment w:val="baseline"/>
        <w:outlineLvl w:val="1"/>
        <w:rPr>
          <w:rFonts w:eastAsia="黑体"/>
          <w:sz w:val="32"/>
          <w:szCs w:val="32"/>
        </w:rPr>
      </w:pPr>
      <w:bookmarkStart w:id="626" w:name="_Toc469296479"/>
      <w:bookmarkStart w:id="627" w:name="_Toc470721329"/>
      <w:bookmarkStart w:id="628" w:name="_Toc17206"/>
      <w:bookmarkStart w:id="629" w:name="_Toc467846903"/>
      <w:bookmarkStart w:id="630" w:name="_Toc9616"/>
      <w:r>
        <w:rPr>
          <w:rFonts w:eastAsia="黑体"/>
          <w:sz w:val="32"/>
          <w:szCs w:val="32"/>
        </w:rPr>
        <w:br w:type="page"/>
      </w:r>
      <w:bookmarkStart w:id="631" w:name="_Toc21271"/>
      <w:bookmarkStart w:id="632" w:name="_Toc12264"/>
      <w:r>
        <w:rPr>
          <w:rFonts w:eastAsia="黑体"/>
          <w:sz w:val="32"/>
          <w:szCs w:val="32"/>
        </w:rPr>
        <w:t>第六章  商服用地、住宅用地楼面基准地价评估</w:t>
      </w:r>
      <w:bookmarkEnd w:id="626"/>
      <w:bookmarkEnd w:id="627"/>
      <w:bookmarkEnd w:id="628"/>
      <w:bookmarkEnd w:id="629"/>
      <w:bookmarkEnd w:id="630"/>
      <w:bookmarkEnd w:id="631"/>
      <w:bookmarkEnd w:id="632"/>
    </w:p>
    <w:p>
      <w:pPr>
        <w:spacing w:line="600" w:lineRule="exact"/>
        <w:ind w:firstLine="560" w:firstLineChars="200"/>
        <w:outlineLvl w:val="2"/>
        <w:rPr>
          <w:rFonts w:eastAsia="黑体"/>
          <w:sz w:val="28"/>
          <w:szCs w:val="28"/>
          <w:lang w:val="zh-CN"/>
        </w:rPr>
      </w:pPr>
      <w:bookmarkStart w:id="633" w:name="_Toc23873"/>
      <w:bookmarkStart w:id="634" w:name="_Toc20281"/>
      <w:bookmarkStart w:id="635" w:name="_Toc466018363"/>
      <w:bookmarkStart w:id="636" w:name="_Toc469296480"/>
      <w:bookmarkStart w:id="637" w:name="_Toc453594051"/>
      <w:bookmarkStart w:id="638" w:name="_Toc470721330"/>
      <w:r>
        <w:rPr>
          <w:rFonts w:eastAsia="黑体"/>
          <w:sz w:val="28"/>
          <w:szCs w:val="28"/>
          <w:lang w:val="zh-CN"/>
        </w:rPr>
        <w:t>一、楼面基准地价的概况</w:t>
      </w:r>
      <w:bookmarkEnd w:id="633"/>
      <w:bookmarkEnd w:id="634"/>
    </w:p>
    <w:p>
      <w:pPr>
        <w:tabs>
          <w:tab w:val="right" w:pos="9298"/>
        </w:tabs>
        <w:spacing w:line="360" w:lineRule="auto"/>
        <w:ind w:firstLine="482" w:firstLineChars="200"/>
        <w:rPr>
          <w:b/>
          <w:sz w:val="24"/>
          <w:szCs w:val="22"/>
        </w:rPr>
      </w:pPr>
      <w:r>
        <w:rPr>
          <w:b/>
          <w:sz w:val="24"/>
          <w:szCs w:val="22"/>
        </w:rPr>
        <w:t>1、楼面基准地价的提出</w:t>
      </w:r>
    </w:p>
    <w:p>
      <w:pPr>
        <w:tabs>
          <w:tab w:val="right" w:pos="9298"/>
        </w:tabs>
        <w:spacing w:line="460" w:lineRule="exact"/>
        <w:ind w:firstLine="480" w:firstLineChars="200"/>
        <w:rPr>
          <w:sz w:val="24"/>
        </w:rPr>
      </w:pPr>
      <w:r>
        <w:rPr>
          <w:sz w:val="24"/>
        </w:rPr>
        <w:t>随着我国土地市场的不断完善，城镇土地出现了利用用途的不断拓展及开发程度的逐步加深，单一建筑物往往集商服、办公与住宅于一栋，纯用途的土地使用情况较少。特别是在大中城市及土地市场发育较完善的小城市中，沿街两侧的土地利用，一层多为商服店铺，二层以上一般为办公或住宅；住宅小区内的用地，地下室一般为车库或储藏间，一层以上为住宅，或布局有娱乐活动室等。因此，在进行基准地价评估时，如果采用地面地价的形式来表现基准地价，将不可能准确的反映同一土地级别上不同土地利用用途的土地价格，也不便于同一建筑物上不同土地使用者对地价的分摊及土地税费的缴纳。在此背景下，结合长沙县土地市场及房地产市场实际发展情况，为配合长沙县国有建设用地有偿规定及其配套测算规范的使用，本轮长沙县基准地价更新还设置楼面基准地价。</w:t>
      </w:r>
    </w:p>
    <w:p>
      <w:pPr>
        <w:tabs>
          <w:tab w:val="right" w:pos="9298"/>
        </w:tabs>
        <w:spacing w:line="460" w:lineRule="exact"/>
        <w:ind w:firstLine="482" w:firstLineChars="200"/>
        <w:rPr>
          <w:b/>
          <w:sz w:val="24"/>
        </w:rPr>
      </w:pPr>
      <w:r>
        <w:rPr>
          <w:b/>
          <w:sz w:val="24"/>
        </w:rPr>
        <w:t>2、楼面地价与地面地价的关系</w:t>
      </w:r>
    </w:p>
    <w:p>
      <w:pPr>
        <w:tabs>
          <w:tab w:val="right" w:pos="9298"/>
        </w:tabs>
        <w:spacing w:line="460" w:lineRule="exact"/>
        <w:ind w:firstLine="480" w:firstLineChars="200"/>
        <w:rPr>
          <w:sz w:val="24"/>
        </w:rPr>
      </w:pPr>
      <w:r>
        <w:rPr>
          <w:sz w:val="24"/>
        </w:rPr>
        <w:t>楼面地价是一种新的地价表现形式，是指单位建筑面积上分摊的土地价格，即宗地总价格与宗地总建筑面积的比值；而地面地价是指单位土地面积上分摊的土地价格，即宗地总价格与宗地总面积的比值。根据楼面地价与地面地价概念可知，两种地价表现形式一个是从空间上体现的土地价格，一个是从平面上体现的土地价格。因此，楼面地价是住宅、办公楼及商服房地产等土地立体开发特征显著的城市土地利用类型的地价，是将宗地价格与建筑面积、建筑用途及城市规划控制紧密结合在一起的，能更好的解决以往用地面地价表现基准地价的不足之处。</w:t>
      </w:r>
    </w:p>
    <w:p>
      <w:pPr>
        <w:tabs>
          <w:tab w:val="right" w:pos="9298"/>
        </w:tabs>
        <w:spacing w:line="460" w:lineRule="exact"/>
        <w:ind w:firstLine="480" w:firstLineChars="200"/>
        <w:rPr>
          <w:sz w:val="24"/>
        </w:rPr>
      </w:pPr>
      <w:r>
        <w:rPr>
          <w:sz w:val="24"/>
        </w:rPr>
        <w:t>根据楼面地价与地面地价的计算方式，两种地价相比即得到宗地总面积与宗地总建筑面积的比值，而宗地总建筑面积与宗地总面积的比值即为容积率，因此可得，楼面地价是指地面地价与容积率的比值，是城镇标准容积率下的楼面平均价格。在楼面地价与地面地价关系式的基础上，假定城镇某宗地上的标准容积率为r、宗地总面积及总地价分别用s与p表示、宗地上总建筑物面积为z，各层的建筑面积用z</w:t>
      </w:r>
      <w:r>
        <w:rPr>
          <w:sz w:val="24"/>
          <w:vertAlign w:val="subscript"/>
        </w:rPr>
        <w:t>i</w:t>
      </w:r>
      <w:r>
        <w:rPr>
          <w:sz w:val="24"/>
        </w:rPr>
        <w:t>表示，则存在以下公式：</w:t>
      </w:r>
    </w:p>
    <w:p>
      <w:pPr>
        <w:tabs>
          <w:tab w:val="right" w:pos="9298"/>
        </w:tabs>
        <w:spacing w:line="460" w:lineRule="exact"/>
        <w:ind w:firstLine="480" w:firstLineChars="200"/>
        <w:rPr>
          <w:sz w:val="24"/>
        </w:rPr>
      </w:pPr>
      <w:r>
        <w:rPr>
          <w:sz w:val="24"/>
        </w:rPr>
        <w:t xml:space="preserve">地面地价（d）=宗地总价格/宗地总面积=p/s         </w:t>
      </w:r>
    </w:p>
    <w:p>
      <w:pPr>
        <w:tabs>
          <w:tab w:val="right" w:pos="9298"/>
        </w:tabs>
        <w:spacing w:line="460" w:lineRule="exact"/>
        <w:ind w:firstLine="480" w:firstLineChars="200"/>
        <w:rPr>
          <w:sz w:val="24"/>
        </w:rPr>
      </w:pPr>
      <w:r>
        <w:rPr>
          <w:sz w:val="24"/>
        </w:rPr>
        <w:t xml:space="preserve">楼面地价（l）=宗地总价格/宗地总建筑面积=p/z     </w:t>
      </w:r>
    </w:p>
    <w:p>
      <w:pPr>
        <w:tabs>
          <w:tab w:val="right" w:pos="9298"/>
        </w:tabs>
        <w:spacing w:line="460" w:lineRule="exact"/>
        <w:ind w:firstLine="480" w:firstLineChars="200"/>
        <w:rPr>
          <w:sz w:val="24"/>
        </w:rPr>
      </w:pPr>
      <w:r>
        <w:rPr>
          <w:sz w:val="24"/>
        </w:rPr>
        <w:t xml:space="preserve">则存在：d*s=l*z                                 </w:t>
      </w:r>
    </w:p>
    <w:p>
      <w:pPr>
        <w:tabs>
          <w:tab w:val="right" w:pos="9298"/>
        </w:tabs>
        <w:spacing w:line="460" w:lineRule="exact"/>
        <w:ind w:firstLine="480" w:firstLineChars="200"/>
        <w:rPr>
          <w:sz w:val="24"/>
        </w:rPr>
      </w:pPr>
      <w:r>
        <w:rPr>
          <w:sz w:val="24"/>
        </w:rPr>
        <w:t xml:space="preserve">d=l*(z/s)=l*r                           </w:t>
      </w:r>
    </w:p>
    <w:p>
      <w:pPr>
        <w:tabs>
          <w:tab w:val="right" w:pos="9298"/>
        </w:tabs>
        <w:spacing w:line="460" w:lineRule="exact"/>
        <w:ind w:firstLine="480" w:firstLineChars="200"/>
        <w:rPr>
          <w:sz w:val="24"/>
        </w:rPr>
      </w:pPr>
      <w:r>
        <w:rPr>
          <w:sz w:val="24"/>
        </w:rPr>
        <w:t>当宗地总面积（s）与各层的建筑面积（z</w:t>
      </w:r>
      <w:r>
        <w:rPr>
          <w:sz w:val="24"/>
          <w:vertAlign w:val="subscript"/>
        </w:rPr>
        <w:t>i</w:t>
      </w:r>
      <w:r>
        <w:rPr>
          <w:sz w:val="24"/>
        </w:rPr>
        <w:t>）相等时，如下图所示，则存在：</w:t>
      </w:r>
    </w:p>
    <w:p>
      <w:pPr>
        <w:tabs>
          <w:tab w:val="right" w:pos="9298"/>
        </w:tabs>
        <w:spacing w:line="460" w:lineRule="exact"/>
        <w:ind w:firstLine="480" w:firstLineChars="200"/>
        <w:rPr>
          <w:sz w:val="24"/>
        </w:rPr>
      </w:pPr>
      <w:r>
        <w:rPr>
          <w:sz w:val="24"/>
        </w:rPr>
        <w:t>a=(z/s)=(∑z</w:t>
      </w:r>
      <w:r>
        <w:rPr>
          <w:sz w:val="24"/>
          <w:vertAlign w:val="subscript"/>
        </w:rPr>
        <w:t>i</w:t>
      </w:r>
      <w:r>
        <w:rPr>
          <w:sz w:val="24"/>
        </w:rPr>
        <w:t xml:space="preserve">)/s=m （m表示建筑物的层数） </w:t>
      </w:r>
    </w:p>
    <w:p>
      <w:pPr>
        <w:tabs>
          <w:tab w:val="right" w:pos="9298"/>
        </w:tabs>
        <w:spacing w:line="460" w:lineRule="exact"/>
        <w:ind w:firstLine="480" w:firstLineChars="200"/>
        <w:rPr>
          <w:sz w:val="24"/>
        </w:rPr>
      </w:pPr>
      <w:r>
        <w:rPr>
          <w:sz w:val="24"/>
        </w:rPr>
        <w:t xml:space="preserve">d=p*m                                   </w:t>
      </w:r>
    </w:p>
    <w:p>
      <w:pPr>
        <w:tabs>
          <w:tab w:val="right" w:pos="9298"/>
        </w:tabs>
        <w:jc w:val="center"/>
        <w:rPr>
          <w:sz w:val="24"/>
        </w:rPr>
      </w:pPr>
      <w:r>
        <w:rPr>
          <w:rFonts w:ascii="Times New Roman" w:hAnsi="Times New Roman" w:eastAsia="宋体" w:cs="Times New Roman"/>
          <w:kern w:val="2"/>
          <w:sz w:val="24"/>
          <w:lang w:val="en-US" w:eastAsia="zh-CN" w:bidi="ar-SA"/>
        </w:rPr>
        <w:pict>
          <v:shape id="图片 1688" o:spid="_x0000_s1290" type="#_x0000_t75" style="height:298.9pt;width:415.25pt;rotation:0f;" o:ole="f" fillcolor="#FFFFFF" filled="f" o:preferrelative="t" stroked="f" coordorigin="0,0" coordsize="21600,21600">
            <v:fill on="f" color2="#FFFFFF" focus="0%"/>
            <v:imagedata gain="65536f" blacklevel="0f" gamma="0" o:title="" r:id="rId124"/>
            <o:lock v:ext="edit" position="f" selection="f" grouping="f" rotation="f" cropping="f" text="f" aspectratio="t"/>
            <w10:wrap type="none"/>
            <w10:anchorlock/>
          </v:shape>
        </w:pict>
      </w:r>
    </w:p>
    <w:p>
      <w:pPr>
        <w:jc w:val="center"/>
        <w:rPr>
          <w:b/>
          <w:sz w:val="24"/>
        </w:rPr>
      </w:pPr>
      <w:r>
        <w:rPr>
          <w:b/>
          <w:sz w:val="24"/>
        </w:rPr>
        <w:t>图3-6-1 楼面地价与地面地价的关系示意图</w:t>
      </w:r>
    </w:p>
    <w:p>
      <w:pPr>
        <w:widowControl/>
        <w:ind w:firstLine="560" w:firstLineChars="200"/>
        <w:jc w:val="left"/>
        <w:rPr>
          <w:rFonts w:eastAsia="黑体"/>
          <w:sz w:val="28"/>
          <w:szCs w:val="28"/>
        </w:rPr>
      </w:pPr>
      <w:r>
        <w:rPr>
          <w:rFonts w:eastAsia="黑体"/>
          <w:sz w:val="28"/>
          <w:szCs w:val="28"/>
        </w:rPr>
        <w:br w:type="page"/>
      </w:r>
    </w:p>
    <w:p>
      <w:pPr>
        <w:spacing w:line="600" w:lineRule="exact"/>
        <w:ind w:firstLine="560" w:firstLineChars="200"/>
        <w:outlineLvl w:val="2"/>
        <w:rPr>
          <w:rFonts w:eastAsia="黑体"/>
          <w:sz w:val="28"/>
          <w:szCs w:val="28"/>
          <w:lang w:val="zh-CN"/>
        </w:rPr>
      </w:pPr>
      <w:bookmarkStart w:id="639" w:name="_Toc19139"/>
      <w:bookmarkStart w:id="640" w:name="_Toc31087"/>
      <w:r>
        <w:rPr>
          <w:rFonts w:eastAsia="黑体"/>
          <w:sz w:val="28"/>
          <w:szCs w:val="28"/>
          <w:lang w:val="zh-CN"/>
        </w:rPr>
        <w:t>二、楼面基准地价评估的技术路线</w:t>
      </w:r>
      <w:bookmarkEnd w:id="639"/>
      <w:bookmarkEnd w:id="640"/>
    </w:p>
    <w:p>
      <w:pPr>
        <w:tabs>
          <w:tab w:val="right" w:pos="9298"/>
        </w:tabs>
        <w:spacing w:line="460" w:lineRule="exact"/>
        <w:ind w:firstLine="456" w:firstLineChars="200"/>
        <w:rPr>
          <w:spacing w:val="-6"/>
          <w:sz w:val="24"/>
        </w:rPr>
      </w:pPr>
      <w:r>
        <w:rPr>
          <w:spacing w:val="-6"/>
          <w:sz w:val="24"/>
        </w:rPr>
        <w:t>楼面基准地价评估是在收集与整理大量商服、住宅样点资料的基础上，通过计算各样点的楼面地价，将其修正到标准容积率下的楼面平均价格。具体技术路线流程图见下图：</w:t>
      </w:r>
    </w:p>
    <w:p>
      <w:pPr>
        <w:tabs>
          <w:tab w:val="right" w:pos="9298"/>
        </w:tabs>
        <w:spacing w:line="460" w:lineRule="exact"/>
        <w:rPr>
          <w:sz w:val="24"/>
        </w:rPr>
      </w:pPr>
      <w:r>
        <w:rPr>
          <w:rFonts w:ascii="Times New Roman" w:hAnsi="Times New Roman" w:eastAsia="宋体" w:cs="Times New Roman"/>
          <w:kern w:val="2"/>
          <w:sz w:val="24"/>
          <w:lang w:val="en-US" w:eastAsia="zh-CN" w:bidi="ar-SA"/>
        </w:rPr>
        <w:pict>
          <v:group id="组合 302" o:spid="_x0000_s1291" style="position:absolute;left:0;margin-left:34.4pt;margin-top:7.2pt;height:304.2pt;width:387pt;mso-wrap-distance-bottom:0pt;mso-wrap-distance-top:0pt;rotation:0f;z-index:251687936;" coordorigin="1965,2064" coordsize="7740,6084">
            <o:lock v:ext="edit" position="f" selection="f" grouping="f" rotation="f" cropping="f" text="f" aspectratio="f"/>
            <v:rect id="矩形 798" o:spid="_x0000_s1292" style="position:absolute;left:7005;top:3156;height:1716;width:1995;rotation:0f;" o:ole="f" fillcolor="#FFFFFF" filled="t" o:preferrelative="t" stroked="t" coordsize="21600,21600">
              <v:stroke color="#000000" color2="#FFFFFF" miterlimit="2" dashstyle="dash"/>
              <v:imagedata gain="65536f" blacklevel="0f" gamma="0"/>
              <o:lock v:ext="edit" position="f" selection="f" grouping="f" rotation="f" cropping="f" text="f" aspectratio="f"/>
            </v:rect>
            <v:rect id="矩形 799" o:spid="_x0000_s1293" style="position:absolute;left:7005;top:5028;height:2184;width:2700;rotation:0f;" o:ole="f" fillcolor="#FFFFFF" filled="t" o:preferrelative="t" stroked="t" coordsize="21600,21600">
              <v:stroke color="#000000" color2="#FFFFFF" miterlimit="2" dashstyle="dash"/>
              <v:imagedata gain="65536f" blacklevel="0f" gamma="0"/>
              <o:lock v:ext="edit" position="f" selection="f" grouping="f" rotation="f" cropping="f" text="f" aspectratio="f"/>
            </v:rect>
            <v:rect id="矩形 800" o:spid="_x0000_s1294" style="position:absolute;left:1965;top:2064;height:780;width:216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sz w:val="24"/>
                        <w:szCs w:val="24"/>
                      </w:rPr>
                    </w:pPr>
                    <w:r>
                      <w:rPr>
                        <w:rFonts w:hint="eastAsia"/>
                        <w:sz w:val="24"/>
                        <w:szCs w:val="24"/>
                      </w:rPr>
                      <w:t>土地定级成果的获取</w:t>
                    </w:r>
                  </w:p>
                </w:txbxContent>
              </v:textbox>
            </v:rect>
            <v:rect id="矩形 801" o:spid="_x0000_s1295" style="position:absolute;left:7185;top:4248;height:468;width:162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sz w:val="24"/>
                        <w:szCs w:val="24"/>
                      </w:rPr>
                    </w:pPr>
                    <w:r>
                      <w:rPr>
                        <w:rFonts w:hint="eastAsia"/>
                        <w:sz w:val="24"/>
                        <w:szCs w:val="24"/>
                      </w:rPr>
                      <w:t>剩余法等</w:t>
                    </w:r>
                  </w:p>
                </w:txbxContent>
              </v:textbox>
            </v:rect>
            <v:rect id="矩形 802" o:spid="_x0000_s1296" style="position:absolute;left:7185;top:3312;height:468;width:162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sz w:val="24"/>
                        <w:szCs w:val="24"/>
                      </w:rPr>
                    </w:pPr>
                    <w:r>
                      <w:rPr>
                        <w:rFonts w:hint="eastAsia"/>
                        <w:sz w:val="24"/>
                        <w:szCs w:val="24"/>
                      </w:rPr>
                      <w:t>收益还原法</w:t>
                    </w:r>
                  </w:p>
                </w:txbxContent>
              </v:textbox>
            </v:rect>
            <v:rect id="矩形 803" o:spid="_x0000_s1297" style="position:absolute;left:7185;top:3780;height:468;width:162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sz w:val="24"/>
                        <w:szCs w:val="24"/>
                      </w:rPr>
                    </w:pPr>
                    <w:r>
                      <w:rPr>
                        <w:rFonts w:hint="eastAsia"/>
                        <w:sz w:val="24"/>
                        <w:szCs w:val="24"/>
                      </w:rPr>
                      <w:t>市场比较法</w:t>
                    </w:r>
                  </w:p>
                </w:txbxContent>
              </v:textbox>
            </v:rect>
            <v:rect id="矩形 804" o:spid="_x0000_s1298" style="position:absolute;left:2685;top:4248;height:468;width:378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sz w:val="24"/>
                        <w:szCs w:val="24"/>
                      </w:rPr>
                    </w:pPr>
                    <w:r>
                      <w:rPr>
                        <w:rFonts w:hint="eastAsia"/>
                        <w:sz w:val="24"/>
                        <w:szCs w:val="24"/>
                      </w:rPr>
                      <w:t>样点楼面地价的测算</w:t>
                    </w:r>
                  </w:p>
                </w:txbxContent>
              </v:textbox>
            </v:rect>
            <v:rect id="矩形 805" o:spid="_x0000_s1299" style="position:absolute;left:2685;top:5496;height:468;width:378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sz w:val="24"/>
                        <w:szCs w:val="24"/>
                      </w:rPr>
                    </w:pPr>
                    <w:r>
                      <w:rPr>
                        <w:rFonts w:hint="eastAsia"/>
                        <w:sz w:val="24"/>
                        <w:szCs w:val="24"/>
                      </w:rPr>
                      <w:t>样点楼面地价的修正</w:t>
                    </w:r>
                  </w:p>
                </w:txbxContent>
              </v:textbox>
            </v:rect>
            <v:rect id="矩形 806" o:spid="_x0000_s1300" style="position:absolute;left:2685;top:6588;height:468;width:378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sz w:val="24"/>
                        <w:szCs w:val="24"/>
                      </w:rPr>
                    </w:pPr>
                    <w:r>
                      <w:rPr>
                        <w:rFonts w:hint="eastAsia"/>
                        <w:sz w:val="24"/>
                        <w:szCs w:val="24"/>
                      </w:rPr>
                      <w:t>样点楼面地价的检验</w:t>
                    </w:r>
                  </w:p>
                </w:txbxContent>
              </v:textbox>
            </v:rect>
            <v:rect id="矩形 807" o:spid="_x0000_s1301" style="position:absolute;left:2685;top:7680;height:468;width:378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sz w:val="24"/>
                        <w:szCs w:val="24"/>
                      </w:rPr>
                    </w:pPr>
                    <w:r>
                      <w:rPr>
                        <w:rFonts w:hint="eastAsia"/>
                        <w:sz w:val="24"/>
                        <w:szCs w:val="24"/>
                      </w:rPr>
                      <w:t>楼面基准地价的确定</w:t>
                    </w:r>
                  </w:p>
                </w:txbxContent>
              </v:textbox>
            </v:rect>
            <v:rect id="矩形 808" o:spid="_x0000_s1302" style="position:absolute;left:5025;top:2064;height:780;width:270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sz w:val="24"/>
                        <w:szCs w:val="24"/>
                      </w:rPr>
                    </w:pPr>
                    <w:r>
                      <w:rPr>
                        <w:rFonts w:hint="eastAsia"/>
                        <w:sz w:val="24"/>
                        <w:szCs w:val="24"/>
                      </w:rPr>
                      <w:t>不同土地级别内样点资料的收集、整理</w:t>
                    </w:r>
                  </w:p>
                </w:txbxContent>
              </v:textbox>
            </v:rect>
            <v:rect id="矩形 809" o:spid="_x0000_s1303" style="position:absolute;left:7215;top:5184;height:468;width:234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sz w:val="24"/>
                        <w:szCs w:val="24"/>
                      </w:rPr>
                    </w:pPr>
                    <w:r>
                      <w:rPr>
                        <w:rFonts w:hint="eastAsia"/>
                        <w:sz w:val="24"/>
                        <w:szCs w:val="24"/>
                      </w:rPr>
                      <w:t>年期修正</w:t>
                    </w:r>
                  </w:p>
                </w:txbxContent>
              </v:textbox>
            </v:rect>
            <v:rect id="矩形 810" o:spid="_x0000_s1304" style="position:absolute;left:7215;top:5652;height:468;width:234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sz w:val="24"/>
                        <w:szCs w:val="24"/>
                      </w:rPr>
                    </w:pPr>
                    <w:r>
                      <w:rPr>
                        <w:rFonts w:hint="eastAsia"/>
                        <w:sz w:val="24"/>
                        <w:szCs w:val="24"/>
                      </w:rPr>
                      <w:t>交易时间修正</w:t>
                    </w:r>
                  </w:p>
                </w:txbxContent>
              </v:textbox>
            </v:rect>
            <v:rect id="矩形 811" o:spid="_x0000_s1305" style="position:absolute;left:7215;top:6120;height:468;width:234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sz w:val="24"/>
                        <w:szCs w:val="24"/>
                      </w:rPr>
                    </w:pPr>
                    <w:r>
                      <w:rPr>
                        <w:rFonts w:hint="eastAsia"/>
                        <w:sz w:val="24"/>
                        <w:szCs w:val="24"/>
                      </w:rPr>
                      <w:t>楼层分配率修正</w:t>
                    </w:r>
                  </w:p>
                </w:txbxContent>
              </v:textbox>
            </v:rect>
            <v:rect id="矩形 812" o:spid="_x0000_s1306" style="position:absolute;left:7215;top:6588;height:468;width:234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sz w:val="24"/>
                        <w:szCs w:val="24"/>
                      </w:rPr>
                    </w:pPr>
                    <w:r>
                      <w:rPr>
                        <w:rFonts w:hint="eastAsia"/>
                        <w:sz w:val="24"/>
                        <w:szCs w:val="24"/>
                      </w:rPr>
                      <w:t>容积率修正</w:t>
                    </w:r>
                  </w:p>
                </w:txbxContent>
              </v:textbox>
            </v:rect>
            <v:line id="直线 813" o:spid="_x0000_s1307" style="position:absolute;left:3045;top:2844;height:780;width: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814" o:spid="_x0000_s1308" style="position:absolute;left:6105;top:2844;height:780;width: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815" o:spid="_x0000_s1309" style="position:absolute;left:3060;top:3656;height:0;width:3060;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line id="直线 816" o:spid="_x0000_s1310" style="position:absolute;left:4590;top:3624;height:624;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817" o:spid="_x0000_s1311" style="position:absolute;left:4590;top:4716;height:780;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818" o:spid="_x0000_s1312" style="position:absolute;left:4590;top:5964;height:624;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819" o:spid="_x0000_s1313" style="position:absolute;left:4590;top:7056;height:624;width:0;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820" o:spid="_x0000_s1314" style="position:absolute;left:6480;top:4404;flip:x;height:0;width:525;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v:line id="直线 821" o:spid="_x0000_s1315" style="position:absolute;left:6480;top:5652;flip:x;height:0;width:525;rotation:0f;" o:ole="f" fillcolor="#FFFFFF" filled="f" o:preferrelative="t" stroked="t" coordsize="21600,21600">
              <v:fill on="f" color2="#FFFFFF" focus="0%"/>
              <v:stroke color="#000000" color2="#FFFFFF" joinstyle="round" endarrow="block"/>
              <v:imagedata gain="65536f" blacklevel="0f" gamma="0"/>
              <o:lock v:ext="edit" position="f" selection="f" grouping="f" rotation="f" cropping="f" text="f" aspectratio="f"/>
            </v:line>
            <w10:wrap type="topAndBottom"/>
          </v:group>
        </w:pict>
      </w:r>
    </w:p>
    <w:p>
      <w:pPr>
        <w:tabs>
          <w:tab w:val="right" w:pos="9298"/>
        </w:tabs>
        <w:spacing w:line="460" w:lineRule="exact"/>
        <w:jc w:val="center"/>
        <w:rPr>
          <w:b/>
          <w:sz w:val="24"/>
        </w:rPr>
      </w:pPr>
      <w:r>
        <w:rPr>
          <w:b/>
          <w:sz w:val="24"/>
        </w:rPr>
        <w:t>图3-6-2  楼面基准地价评估技术路线图</w:t>
      </w:r>
    </w:p>
    <w:p>
      <w:pPr>
        <w:tabs>
          <w:tab w:val="right" w:pos="9298"/>
        </w:tabs>
        <w:spacing w:line="460" w:lineRule="exact"/>
        <w:ind w:firstLine="480" w:firstLineChars="200"/>
        <w:rPr>
          <w:sz w:val="24"/>
        </w:rPr>
      </w:pPr>
      <w:r>
        <w:rPr>
          <w:sz w:val="24"/>
        </w:rPr>
        <w:t>根据楼面基准地价的评估技术路线图，在样点楼面地价的测算中，主要采用收益还原法、市场比较法及剩余法等评估方法相结合，分别对房地产开发销售的样点资料、房屋（铺面）出租样点资料、房屋买卖样点资料及土地出转让样点资料四种类型样点的楼面地价进行测算；在样点楼面地价的修正时，主要分析楼层分配率修正及容积率修正，年期修正及交易时间修正与以样点地价的基准地价方法相同，前文以阐述；而样点楼面地价的检验将采用前文阐述的以地面地价表现的基准地价样点的检验方法，本节不再做说明。在进行样点楼面地价的修正与检验后，根据基准地价的确定原则，确定长沙县本轮楼面基准地价。</w:t>
      </w:r>
    </w:p>
    <w:p>
      <w:pPr>
        <w:spacing w:line="600" w:lineRule="exact"/>
        <w:ind w:firstLine="560" w:firstLineChars="200"/>
        <w:outlineLvl w:val="2"/>
        <w:rPr>
          <w:rFonts w:eastAsia="黑体"/>
          <w:sz w:val="28"/>
          <w:szCs w:val="28"/>
          <w:lang w:val="zh-CN"/>
        </w:rPr>
      </w:pPr>
      <w:bookmarkStart w:id="641" w:name="_Toc29764"/>
      <w:bookmarkStart w:id="642" w:name="_Toc2068"/>
      <w:r>
        <w:rPr>
          <w:rFonts w:eastAsia="黑体"/>
          <w:sz w:val="28"/>
          <w:szCs w:val="28"/>
          <w:lang w:val="zh-CN"/>
        </w:rPr>
        <w:t>三、样点楼面地价的计算</w:t>
      </w:r>
      <w:bookmarkEnd w:id="641"/>
      <w:bookmarkEnd w:id="642"/>
    </w:p>
    <w:p>
      <w:pPr>
        <w:tabs>
          <w:tab w:val="right" w:pos="9298"/>
        </w:tabs>
        <w:spacing w:line="460" w:lineRule="exact"/>
        <w:ind w:firstLine="464" w:firstLineChars="200"/>
        <w:rPr>
          <w:spacing w:val="-4"/>
          <w:sz w:val="24"/>
        </w:rPr>
      </w:pPr>
      <w:r>
        <w:rPr>
          <w:spacing w:val="-4"/>
          <w:sz w:val="24"/>
        </w:rPr>
        <w:t>样点楼面地价的计算，与样点地价的计算一样，是在确定估价参数之后，按照一定的估价方法，对样点楼面地价进行测算。估价参数与前文样点地价测算的估价参数相同。</w:t>
      </w:r>
    </w:p>
    <w:p>
      <w:pPr>
        <w:tabs>
          <w:tab w:val="right" w:pos="9298"/>
        </w:tabs>
        <w:spacing w:line="360" w:lineRule="auto"/>
        <w:ind w:firstLine="482" w:firstLineChars="200"/>
        <w:rPr>
          <w:b/>
          <w:sz w:val="24"/>
          <w:szCs w:val="22"/>
        </w:rPr>
      </w:pPr>
      <w:r>
        <w:rPr>
          <w:b/>
          <w:sz w:val="24"/>
          <w:szCs w:val="22"/>
        </w:rPr>
        <w:t>1、房地产开发销售样点楼面地价的计算</w:t>
      </w:r>
    </w:p>
    <w:p>
      <w:pPr>
        <w:tabs>
          <w:tab w:val="right" w:pos="9298"/>
        </w:tabs>
        <w:spacing w:line="460" w:lineRule="exact"/>
        <w:ind w:firstLine="480" w:firstLineChars="200"/>
        <w:rPr>
          <w:sz w:val="24"/>
        </w:rPr>
      </w:pPr>
      <w:r>
        <w:rPr>
          <w:sz w:val="24"/>
        </w:rPr>
        <w:t>房地产开发销售资料主要反映了房地产开发商根据当时的市场同类房地产的供需情况，结合房地产的特征提出的一个可供潜在购买者接受的价格，也是房地产开发商能够接受和同意出售其房地产的价格。由于该项资料涉及大量的房地产建设开发成本以及售价信息，因此根据资料特点应选择剩余法进行评估。开发商设定销售价格时考虑的价格构成要素主要包括：</w:t>
      </w:r>
    </w:p>
    <w:p>
      <w:pPr>
        <w:tabs>
          <w:tab w:val="right" w:pos="9298"/>
        </w:tabs>
        <w:spacing w:line="460" w:lineRule="exact"/>
        <w:jc w:val="center"/>
        <w:rPr>
          <w:sz w:val="24"/>
        </w:rPr>
      </w:pPr>
      <w:r>
        <w:rPr>
          <w:sz w:val="24"/>
        </w:rPr>
        <w:t>P=B+L+S+I+Q+T</w:t>
      </w:r>
    </w:p>
    <w:p>
      <w:pPr>
        <w:tabs>
          <w:tab w:val="right" w:pos="9298"/>
        </w:tabs>
        <w:spacing w:line="460" w:lineRule="exact"/>
        <w:ind w:firstLine="480" w:firstLineChars="200"/>
        <w:rPr>
          <w:sz w:val="24"/>
        </w:rPr>
      </w:pPr>
      <w:r>
        <w:rPr>
          <w:sz w:val="24"/>
        </w:rPr>
        <w:t>其中P：房地产价格</w:t>
      </w:r>
    </w:p>
    <w:p>
      <w:pPr>
        <w:tabs>
          <w:tab w:val="right" w:pos="9298"/>
        </w:tabs>
        <w:spacing w:line="460" w:lineRule="exact"/>
        <w:ind w:firstLine="480" w:firstLineChars="200"/>
        <w:rPr>
          <w:sz w:val="24"/>
        </w:rPr>
      </w:pPr>
      <w:r>
        <w:rPr>
          <w:sz w:val="24"/>
        </w:rPr>
        <w:t>B：房屋价格（建造房屋及有关定着设施的费用，除地价外各种附着物建造费）</w:t>
      </w:r>
    </w:p>
    <w:p>
      <w:pPr>
        <w:tabs>
          <w:tab w:val="right" w:pos="9298"/>
        </w:tabs>
        <w:spacing w:line="460" w:lineRule="exact"/>
        <w:ind w:firstLine="480" w:firstLineChars="200"/>
        <w:rPr>
          <w:sz w:val="24"/>
        </w:rPr>
      </w:pPr>
      <w:r>
        <w:rPr>
          <w:sz w:val="24"/>
        </w:rPr>
        <w:t>L：土地价格（已达到开发要求的，可直接建房的熟地价格）</w:t>
      </w:r>
    </w:p>
    <w:p>
      <w:pPr>
        <w:tabs>
          <w:tab w:val="right" w:pos="9298"/>
        </w:tabs>
        <w:spacing w:line="460" w:lineRule="exact"/>
        <w:ind w:firstLine="480" w:firstLineChars="200"/>
        <w:rPr>
          <w:sz w:val="24"/>
        </w:rPr>
      </w:pPr>
      <w:r>
        <w:rPr>
          <w:sz w:val="24"/>
        </w:rPr>
        <w:t>S：各项专业费用（规划费用、经济分析和可行性研究费用，促销费用等与实现建设工程有关的但未包括在建设工程造价中的各项费用）</w:t>
      </w:r>
    </w:p>
    <w:p>
      <w:pPr>
        <w:tabs>
          <w:tab w:val="right" w:pos="9298"/>
        </w:tabs>
        <w:spacing w:line="460" w:lineRule="exact"/>
        <w:ind w:firstLine="480" w:firstLineChars="200"/>
        <w:rPr>
          <w:sz w:val="24"/>
        </w:rPr>
      </w:pPr>
      <w:r>
        <w:rPr>
          <w:sz w:val="24"/>
        </w:rPr>
        <w:t>I：投资利息</w:t>
      </w:r>
    </w:p>
    <w:p>
      <w:pPr>
        <w:tabs>
          <w:tab w:val="right" w:pos="9298"/>
        </w:tabs>
        <w:spacing w:line="460" w:lineRule="exact"/>
        <w:ind w:firstLine="480" w:firstLineChars="200"/>
        <w:rPr>
          <w:sz w:val="24"/>
        </w:rPr>
      </w:pPr>
      <w:r>
        <w:rPr>
          <w:sz w:val="24"/>
        </w:rPr>
        <w:t>Q：房地产开发商合理利润</w:t>
      </w:r>
    </w:p>
    <w:p>
      <w:pPr>
        <w:tabs>
          <w:tab w:val="right" w:pos="9298"/>
        </w:tabs>
        <w:spacing w:line="460" w:lineRule="exact"/>
        <w:ind w:firstLine="480" w:firstLineChars="200"/>
        <w:rPr>
          <w:sz w:val="24"/>
        </w:rPr>
      </w:pPr>
      <w:r>
        <w:rPr>
          <w:sz w:val="24"/>
        </w:rPr>
        <w:t>T:：相关税金</w:t>
      </w:r>
    </w:p>
    <w:p>
      <w:pPr>
        <w:tabs>
          <w:tab w:val="right" w:pos="9298"/>
        </w:tabs>
        <w:spacing w:line="460" w:lineRule="exact"/>
        <w:ind w:firstLine="480" w:firstLineChars="200"/>
        <w:rPr>
          <w:sz w:val="24"/>
        </w:rPr>
      </w:pPr>
      <w:r>
        <w:rPr>
          <w:sz w:val="24"/>
        </w:rPr>
        <w:t>对于商品住宅来讲，开发商多以户为销售单位，以单位面积售价表示。当房地产为多高层建筑物时，公式中地价（L）即为楼面地价，若已知P、B、S、I、T等各项资料的单户价格，则有:</w:t>
      </w:r>
    </w:p>
    <w:p>
      <w:pPr>
        <w:tabs>
          <w:tab w:val="right" w:pos="9298"/>
        </w:tabs>
        <w:spacing w:line="460" w:lineRule="exact"/>
        <w:jc w:val="center"/>
        <w:rPr>
          <w:sz w:val="24"/>
        </w:rPr>
      </w:pPr>
      <w:r>
        <w:rPr>
          <w:sz w:val="24"/>
        </w:rPr>
        <w:t>L=（P-B-S-I-Q-T ）/S</w:t>
      </w:r>
      <w:r>
        <w:rPr>
          <w:sz w:val="24"/>
          <w:vertAlign w:val="subscript"/>
        </w:rPr>
        <w:t>B</w:t>
      </w:r>
      <w:r>
        <w:rPr>
          <w:sz w:val="24"/>
        </w:rPr>
        <w:t xml:space="preserve"> </w:t>
      </w:r>
    </w:p>
    <w:p>
      <w:pPr>
        <w:tabs>
          <w:tab w:val="right" w:pos="9298"/>
        </w:tabs>
        <w:spacing w:line="460" w:lineRule="exact"/>
        <w:ind w:firstLine="480" w:firstLineChars="200"/>
        <w:rPr>
          <w:sz w:val="24"/>
        </w:rPr>
      </w:pPr>
      <w:r>
        <w:rPr>
          <w:sz w:val="24"/>
        </w:rPr>
        <w:t>其中L：楼面地价</w:t>
      </w:r>
    </w:p>
    <w:p>
      <w:pPr>
        <w:tabs>
          <w:tab w:val="right" w:pos="9298"/>
        </w:tabs>
        <w:spacing w:line="460" w:lineRule="exact"/>
        <w:ind w:firstLine="480" w:firstLineChars="200"/>
        <w:rPr>
          <w:sz w:val="24"/>
        </w:rPr>
      </w:pPr>
      <w:r>
        <w:rPr>
          <w:sz w:val="24"/>
        </w:rPr>
        <w:t>S</w:t>
      </w:r>
      <w:r>
        <w:rPr>
          <w:sz w:val="24"/>
          <w:vertAlign w:val="subscript"/>
        </w:rPr>
        <w:t>B</w:t>
      </w:r>
      <w:r>
        <w:rPr>
          <w:sz w:val="24"/>
        </w:rPr>
        <w:t>：某单户房屋的建筑面积</w:t>
      </w:r>
    </w:p>
    <w:p>
      <w:pPr>
        <w:tabs>
          <w:tab w:val="right" w:pos="9298"/>
        </w:tabs>
        <w:spacing w:line="460" w:lineRule="exact"/>
        <w:ind w:firstLine="480" w:firstLineChars="200"/>
        <w:rPr>
          <w:sz w:val="24"/>
        </w:rPr>
      </w:pPr>
      <w:r>
        <w:rPr>
          <w:sz w:val="24"/>
        </w:rPr>
        <w:t>当开发商以楼层或整栋楼为销售单位时，其价格以某楼层或建筑物总建筑面积售价表示。在楼面地价的计算时应考虑建筑面积因素或建筑容积率，则有：</w:t>
      </w:r>
    </w:p>
    <w:p>
      <w:pPr>
        <w:tabs>
          <w:tab w:val="right" w:pos="9298"/>
        </w:tabs>
        <w:spacing w:line="460" w:lineRule="exact"/>
        <w:jc w:val="center"/>
        <w:rPr>
          <w:sz w:val="24"/>
        </w:rPr>
      </w:pPr>
      <w:r>
        <w:rPr>
          <w:sz w:val="24"/>
        </w:rPr>
        <w:t>L=（P’-B-S-I-Q-T ）/S</w:t>
      </w:r>
      <w:r>
        <w:rPr>
          <w:sz w:val="24"/>
          <w:vertAlign w:val="subscript"/>
        </w:rPr>
        <w:t>B</w:t>
      </w:r>
      <w:r>
        <w:rPr>
          <w:sz w:val="24"/>
        </w:rPr>
        <w:t xml:space="preserve"> </w:t>
      </w:r>
    </w:p>
    <w:p>
      <w:pPr>
        <w:tabs>
          <w:tab w:val="right" w:pos="9298"/>
        </w:tabs>
        <w:spacing w:line="460" w:lineRule="exact"/>
        <w:ind w:firstLine="480" w:firstLineChars="200"/>
        <w:rPr>
          <w:sz w:val="24"/>
        </w:rPr>
      </w:pPr>
      <w:r>
        <w:rPr>
          <w:sz w:val="24"/>
        </w:rPr>
        <w:t>其中P’：某楼层或某建筑物总售价；</w:t>
      </w:r>
    </w:p>
    <w:p>
      <w:pPr>
        <w:tabs>
          <w:tab w:val="right" w:pos="9298"/>
        </w:tabs>
        <w:spacing w:line="460" w:lineRule="exact"/>
        <w:ind w:firstLine="480" w:firstLineChars="200"/>
        <w:rPr>
          <w:sz w:val="24"/>
        </w:rPr>
      </w:pPr>
      <w:r>
        <w:rPr>
          <w:sz w:val="24"/>
        </w:rPr>
        <w:t>S</w:t>
      </w:r>
      <w:r>
        <w:rPr>
          <w:sz w:val="24"/>
          <w:vertAlign w:val="subscript"/>
        </w:rPr>
        <w:t>B</w:t>
      </w:r>
      <w:r>
        <w:rPr>
          <w:sz w:val="24"/>
        </w:rPr>
        <w:t>’：某楼层建筑面积或某建筑物总建筑面积</w:t>
      </w:r>
    </w:p>
    <w:p>
      <w:pPr>
        <w:tabs>
          <w:tab w:val="right" w:pos="9298"/>
        </w:tabs>
        <w:spacing w:line="460" w:lineRule="exact"/>
        <w:ind w:firstLine="482" w:firstLineChars="200"/>
        <w:rPr>
          <w:b/>
          <w:sz w:val="24"/>
        </w:rPr>
      </w:pPr>
      <w:r>
        <w:rPr>
          <w:b/>
          <w:sz w:val="24"/>
        </w:rPr>
        <w:t>2、房屋（铺面）出租样点楼面地价的计算</w:t>
      </w:r>
    </w:p>
    <w:p>
      <w:pPr>
        <w:tabs>
          <w:tab w:val="right" w:pos="9298"/>
        </w:tabs>
        <w:spacing w:line="460" w:lineRule="exact"/>
        <w:ind w:firstLine="480" w:firstLineChars="200"/>
        <w:rPr>
          <w:sz w:val="24"/>
        </w:rPr>
      </w:pPr>
      <w:r>
        <w:rPr>
          <w:sz w:val="24"/>
        </w:rPr>
        <w:t>对于房屋（铺面）出租，出租方主要通过租金收益来收回房地产开发成本，并获取合理的经营利润。我们可以直接获取的资料主要为租金以及出租所涉及的各项费用，可以通过出租收益进行价格还原，因此这里选用收益还原法作为样点楼面地价的评估方法。通过租金及费用的剥离逐步求取土地纯收益，结合前文阐述的房屋出租样点土地价格的测算公式，房屋出租样点楼面地价的计算公式如下：</w:t>
      </w:r>
    </w:p>
    <w:p>
      <w:pPr>
        <w:tabs>
          <w:tab w:val="right" w:pos="9298"/>
        </w:tabs>
        <w:spacing w:line="460" w:lineRule="exact"/>
        <w:jc w:val="center"/>
        <w:rPr>
          <w:sz w:val="24"/>
        </w:rPr>
      </w:pPr>
      <w:r>
        <w:rPr>
          <w:sz w:val="24"/>
        </w:rPr>
        <w:t xml:space="preserve">L=V/S                 </w:t>
      </w:r>
    </w:p>
    <w:p>
      <w:pPr>
        <w:tabs>
          <w:tab w:val="right" w:pos="9298"/>
        </w:tabs>
        <w:spacing w:line="460" w:lineRule="exact"/>
        <w:ind w:firstLine="480" w:firstLineChars="200"/>
        <w:rPr>
          <w:sz w:val="24"/>
        </w:rPr>
      </w:pPr>
      <w:r>
        <w:rPr>
          <w:sz w:val="24"/>
        </w:rPr>
        <w:t>其中L：楼面地价</w:t>
      </w:r>
    </w:p>
    <w:p>
      <w:pPr>
        <w:tabs>
          <w:tab w:val="right" w:pos="9298"/>
        </w:tabs>
        <w:spacing w:line="460" w:lineRule="exact"/>
        <w:ind w:firstLine="480" w:firstLineChars="200"/>
        <w:rPr>
          <w:sz w:val="24"/>
        </w:rPr>
      </w:pPr>
      <w:r>
        <w:rPr>
          <w:sz w:val="24"/>
        </w:rPr>
        <w:t>V：土地价格</w:t>
      </w:r>
    </w:p>
    <w:p>
      <w:pPr>
        <w:tabs>
          <w:tab w:val="right" w:pos="9298"/>
        </w:tabs>
        <w:spacing w:line="460" w:lineRule="exact"/>
        <w:ind w:firstLine="480" w:firstLineChars="200"/>
        <w:rPr>
          <w:sz w:val="24"/>
        </w:rPr>
      </w:pPr>
      <w:r>
        <w:rPr>
          <w:sz w:val="24"/>
        </w:rPr>
        <w:t>S：房屋（铺面）出租的建筑面积</w:t>
      </w:r>
    </w:p>
    <w:p>
      <w:pPr>
        <w:tabs>
          <w:tab w:val="right" w:pos="9298"/>
        </w:tabs>
        <w:spacing w:line="460" w:lineRule="exact"/>
        <w:ind w:firstLine="482" w:firstLineChars="200"/>
        <w:rPr>
          <w:b/>
          <w:sz w:val="24"/>
        </w:rPr>
      </w:pPr>
      <w:r>
        <w:rPr>
          <w:b/>
          <w:sz w:val="24"/>
        </w:rPr>
        <w:t>3、房屋买卖样点楼面地价的计算</w:t>
      </w:r>
    </w:p>
    <w:p>
      <w:pPr>
        <w:tabs>
          <w:tab w:val="right" w:pos="9298"/>
        </w:tabs>
        <w:spacing w:line="460" w:lineRule="exact"/>
        <w:ind w:firstLine="480" w:firstLineChars="200"/>
        <w:rPr>
          <w:sz w:val="24"/>
        </w:rPr>
      </w:pPr>
      <w:r>
        <w:rPr>
          <w:sz w:val="24"/>
        </w:rPr>
        <w:t>长沙县房地产市场中最为活跃，交易量最大的是房屋买卖。房地产交易中的价格主体—地价，隐含于房价之中。因而可以根据剩余法，从房屋交易和总价额之中，扣除房屋本身的实际价值、交易应缴税金和管理费，即得到楼面地价，具体计算公式如下：</w:t>
      </w:r>
    </w:p>
    <w:p>
      <w:pPr>
        <w:tabs>
          <w:tab w:val="right" w:pos="9298"/>
        </w:tabs>
        <w:spacing w:line="460" w:lineRule="exact"/>
        <w:jc w:val="center"/>
        <w:rPr>
          <w:sz w:val="24"/>
        </w:rPr>
      </w:pPr>
      <w:r>
        <w:rPr>
          <w:sz w:val="24"/>
        </w:rPr>
        <w:t xml:space="preserve">L=（P-B-T-C）/S            </w:t>
      </w:r>
    </w:p>
    <w:p>
      <w:pPr>
        <w:tabs>
          <w:tab w:val="right" w:pos="9298"/>
        </w:tabs>
        <w:spacing w:line="460" w:lineRule="exact"/>
        <w:ind w:firstLine="480" w:firstLineChars="200"/>
        <w:rPr>
          <w:sz w:val="24"/>
        </w:rPr>
      </w:pPr>
      <w:r>
        <w:rPr>
          <w:sz w:val="24"/>
        </w:rPr>
        <w:t>其中L：楼面地价                   P:房地产交易价格</w:t>
      </w:r>
    </w:p>
    <w:p>
      <w:pPr>
        <w:tabs>
          <w:tab w:val="right" w:pos="9298"/>
        </w:tabs>
        <w:spacing w:line="460" w:lineRule="exact"/>
        <w:ind w:firstLine="480" w:firstLineChars="200"/>
        <w:rPr>
          <w:sz w:val="24"/>
        </w:rPr>
      </w:pPr>
      <w:r>
        <w:rPr>
          <w:sz w:val="24"/>
        </w:rPr>
        <w:t>B：房屋现值                   T:税金</w:t>
      </w:r>
    </w:p>
    <w:p>
      <w:pPr>
        <w:tabs>
          <w:tab w:val="right" w:pos="9298"/>
        </w:tabs>
        <w:spacing w:line="460" w:lineRule="exact"/>
        <w:ind w:firstLine="480" w:firstLineChars="200"/>
        <w:rPr>
          <w:sz w:val="24"/>
        </w:rPr>
      </w:pPr>
      <w:r>
        <w:rPr>
          <w:sz w:val="24"/>
        </w:rPr>
        <w:t>C：管理法                     S:交易建筑面积</w:t>
      </w:r>
    </w:p>
    <w:p>
      <w:pPr>
        <w:tabs>
          <w:tab w:val="right" w:pos="9298"/>
        </w:tabs>
        <w:spacing w:line="460" w:lineRule="exact"/>
        <w:ind w:firstLine="482" w:firstLineChars="200"/>
        <w:rPr>
          <w:b/>
          <w:sz w:val="24"/>
        </w:rPr>
      </w:pPr>
      <w:r>
        <w:rPr>
          <w:b/>
          <w:sz w:val="24"/>
        </w:rPr>
        <w:t>4、土地出转让样点楼面地价的计算</w:t>
      </w:r>
    </w:p>
    <w:p>
      <w:pPr>
        <w:tabs>
          <w:tab w:val="right" w:pos="9298"/>
        </w:tabs>
        <w:spacing w:line="460" w:lineRule="exact"/>
        <w:ind w:firstLine="480" w:firstLineChars="200"/>
        <w:rPr>
          <w:sz w:val="24"/>
        </w:rPr>
      </w:pPr>
      <w:r>
        <w:rPr>
          <w:sz w:val="24"/>
        </w:rPr>
        <w:t>城镇土地交易类型主要包括土地出让、转让等类型，其表达形式以地面地价为主，若己知总规划建筑面积或建筑容积率，可直接进行楼面地价的计算：</w:t>
      </w:r>
    </w:p>
    <w:p>
      <w:pPr>
        <w:tabs>
          <w:tab w:val="right" w:pos="9298"/>
        </w:tabs>
        <w:spacing w:line="460" w:lineRule="exact"/>
        <w:ind w:firstLine="480" w:firstLineChars="200"/>
        <w:jc w:val="center"/>
        <w:rPr>
          <w:sz w:val="24"/>
        </w:rPr>
      </w:pPr>
      <w:r>
        <w:rPr>
          <w:sz w:val="24"/>
        </w:rPr>
        <w:t>L=P</w:t>
      </w:r>
      <w:r>
        <w:rPr>
          <w:sz w:val="24"/>
          <w:vertAlign w:val="subscript"/>
        </w:rPr>
        <w:t>D</w:t>
      </w:r>
      <w:r>
        <w:rPr>
          <w:sz w:val="24"/>
        </w:rPr>
        <w:t xml:space="preserve">/r                    </w:t>
      </w:r>
    </w:p>
    <w:p>
      <w:pPr>
        <w:tabs>
          <w:tab w:val="right" w:pos="9298"/>
        </w:tabs>
        <w:spacing w:line="460" w:lineRule="exact"/>
        <w:ind w:firstLine="480" w:firstLineChars="200"/>
        <w:rPr>
          <w:sz w:val="24"/>
        </w:rPr>
      </w:pPr>
      <w:r>
        <w:rPr>
          <w:sz w:val="24"/>
        </w:rPr>
        <w:t>其中L：楼面地价</w:t>
      </w:r>
    </w:p>
    <w:p>
      <w:pPr>
        <w:tabs>
          <w:tab w:val="right" w:pos="9298"/>
        </w:tabs>
        <w:spacing w:line="360" w:lineRule="auto"/>
        <w:ind w:firstLine="480" w:firstLineChars="200"/>
        <w:rPr>
          <w:sz w:val="24"/>
        </w:rPr>
      </w:pPr>
      <w:r>
        <w:rPr>
          <w:sz w:val="24"/>
        </w:rPr>
        <w:t>P</w:t>
      </w:r>
      <w:r>
        <w:rPr>
          <w:sz w:val="24"/>
          <w:vertAlign w:val="subscript"/>
        </w:rPr>
        <w:t>D</w:t>
      </w:r>
      <w:r>
        <w:rPr>
          <w:sz w:val="24"/>
        </w:rPr>
        <w:t>：土地出让、转让总价格              r：建筑（规划）容积率</w:t>
      </w:r>
    </w:p>
    <w:p>
      <w:pPr>
        <w:spacing w:line="600" w:lineRule="exact"/>
        <w:ind w:firstLine="560" w:firstLineChars="200"/>
        <w:outlineLvl w:val="2"/>
        <w:rPr>
          <w:rFonts w:eastAsia="黑体"/>
          <w:sz w:val="28"/>
          <w:szCs w:val="28"/>
          <w:lang w:val="zh-CN"/>
        </w:rPr>
      </w:pPr>
      <w:bookmarkStart w:id="643" w:name="_Toc21077"/>
      <w:bookmarkStart w:id="644" w:name="_Toc14600"/>
      <w:r>
        <w:rPr>
          <w:rFonts w:eastAsia="黑体"/>
          <w:sz w:val="28"/>
          <w:szCs w:val="28"/>
          <w:lang w:val="zh-CN"/>
        </w:rPr>
        <w:t>四、样点楼面地价的修正</w:t>
      </w:r>
      <w:bookmarkEnd w:id="643"/>
      <w:bookmarkEnd w:id="644"/>
    </w:p>
    <w:p>
      <w:pPr>
        <w:tabs>
          <w:tab w:val="right" w:pos="9298"/>
        </w:tabs>
        <w:spacing w:line="460" w:lineRule="exact"/>
        <w:ind w:firstLine="480" w:firstLineChars="200"/>
        <w:rPr>
          <w:sz w:val="24"/>
        </w:rPr>
      </w:pPr>
      <w:r>
        <w:rPr>
          <w:sz w:val="24"/>
        </w:rPr>
        <w:t>基准地价是指设定条件下的区域平均价格，因此采用样点楼面地价评估基准地价，需要对样点楼面地价进行修正，使基准地价具有可比性。前文已对样点地价的修正方法进行了详细说明，样点楼面地价的修正中，其使用年期修正与交易时间修正与样点地价的修正相同，本节将重点分析样点楼面地价的楼层分配率修正与容积率修正。</w:t>
      </w:r>
    </w:p>
    <w:p>
      <w:pPr>
        <w:tabs>
          <w:tab w:val="right" w:pos="9298"/>
        </w:tabs>
        <w:spacing w:line="460" w:lineRule="exact"/>
        <w:ind w:firstLine="482" w:firstLineChars="200"/>
        <w:rPr>
          <w:b/>
          <w:sz w:val="24"/>
        </w:rPr>
      </w:pPr>
      <w:r>
        <w:rPr>
          <w:b/>
          <w:sz w:val="24"/>
        </w:rPr>
        <w:t>1、楼层分配率修正</w:t>
      </w:r>
    </w:p>
    <w:p>
      <w:pPr>
        <w:tabs>
          <w:tab w:val="right" w:pos="9298"/>
        </w:tabs>
        <w:spacing w:line="460" w:lineRule="exact"/>
        <w:ind w:firstLine="480" w:firstLineChars="200"/>
        <w:rPr>
          <w:sz w:val="24"/>
        </w:rPr>
      </w:pPr>
      <w:r>
        <w:rPr>
          <w:sz w:val="24"/>
        </w:rPr>
        <w:t>根据“高层建筑”各层的售价情况，各楼层的价值差异甚大，特别是商服用地对楼层的敏感性较明显。“高层建筑”的这种楼层价值差异，并非由建筑物引起，而是由土地空间位置的不同导致的。而楼层分配率是基于立体地价理论提出的地价空间分配概念，是按各楼层所处土地立体空间的位置给予分配的比率。前文测算的样点楼面地价是个别容积率下某一层的楼面地价，而楼面基准地价是指平均容积率的平均楼面价格。因此，首先需对样点楼面地价进行楼层分配率修正，然后进行容积率修正。通过收集长沙县各土地级别内商服及住宅用途的典型楼宇样本资料，求取各楼宇各楼层效用比，并将各楼宇各楼层的建筑物效用比分离出来，即可得到每个楼宇的楼层分配率；通过进一步统计分析，可以得到不同土地级别内商服及住宅用途的楼层分配率；楼层分配率修正系数即为各楼层的楼层分配率与平均楼层分配率的比值。</w:t>
      </w:r>
    </w:p>
    <w:p>
      <w:pPr>
        <w:tabs>
          <w:tab w:val="right" w:pos="9298"/>
        </w:tabs>
        <w:spacing w:line="460" w:lineRule="exact"/>
        <w:ind w:firstLine="480" w:firstLineChars="200"/>
        <w:rPr>
          <w:sz w:val="24"/>
        </w:rPr>
      </w:pPr>
      <w:r>
        <w:rPr>
          <w:sz w:val="24"/>
        </w:rPr>
        <w:t>（1）楼层分配率的计算</w:t>
      </w:r>
    </w:p>
    <w:p>
      <w:pPr>
        <w:tabs>
          <w:tab w:val="right" w:pos="9298"/>
        </w:tabs>
        <w:spacing w:line="460" w:lineRule="exact"/>
        <w:ind w:firstLine="480" w:firstLineChars="200"/>
        <w:rPr>
          <w:sz w:val="24"/>
        </w:rPr>
      </w:pPr>
      <w:r>
        <w:rPr>
          <w:sz w:val="24"/>
        </w:rPr>
        <w:t>1）楼层效用比的测算</w:t>
      </w:r>
    </w:p>
    <w:p>
      <w:pPr>
        <w:tabs>
          <w:tab w:val="right" w:pos="9298"/>
        </w:tabs>
        <w:spacing w:line="460" w:lineRule="exact"/>
        <w:ind w:firstLine="480" w:firstLineChars="200"/>
        <w:rPr>
          <w:sz w:val="24"/>
        </w:rPr>
      </w:pPr>
      <w:r>
        <w:rPr>
          <w:sz w:val="24"/>
        </w:rPr>
        <w:t>由于“高层建筑”各层楼的效用不同，造成了售价之间的差别，将各楼层的单价以百分率方法来表示，即称为楼层效用比。计算时测得各楼层的平均单价，以最低单价为基数，各楼层单价与最低单价之比即为各楼层的效用比率，可以简易求得。楼层效用比是利用市场支付意愿差异程度来观察各地段高层楼房各层间存在的差异比率，是求算地价分摊的基础资料。具体公式如下：</w:t>
      </w:r>
    </w:p>
    <w:p>
      <w:pPr>
        <w:tabs>
          <w:tab w:val="right" w:pos="9298"/>
        </w:tabs>
        <w:spacing w:line="460" w:lineRule="exact"/>
        <w:ind w:firstLine="480" w:firstLineChars="200"/>
        <w:rPr>
          <w:sz w:val="24"/>
        </w:rPr>
      </w:pPr>
      <w:r>
        <w:rPr>
          <w:sz w:val="24"/>
        </w:rPr>
        <w:t>设某大楼共有m层，各层的平均单位楼价为P</w:t>
      </w:r>
      <w:r>
        <w:rPr>
          <w:sz w:val="24"/>
          <w:vertAlign w:val="subscript"/>
        </w:rPr>
        <w:t>i</w:t>
      </w:r>
      <w:r>
        <w:rPr>
          <w:sz w:val="24"/>
        </w:rPr>
        <w:t xml:space="preserve"> ( 1，2，…，m)，建筑物总价格为C，房地产总价格为P，各楼层的效用比率为a</w:t>
      </w:r>
      <w:r>
        <w:rPr>
          <w:sz w:val="24"/>
          <w:vertAlign w:val="subscript"/>
        </w:rPr>
        <w:t>i</w:t>
      </w:r>
      <w:r>
        <w:rPr>
          <w:sz w:val="24"/>
        </w:rPr>
        <w:t xml:space="preserve"> (i_1，2，…，m)，建筑物的效用为b，楼层地价分配率为c</w:t>
      </w:r>
      <w:r>
        <w:rPr>
          <w:sz w:val="24"/>
          <w:vertAlign w:val="subscript"/>
        </w:rPr>
        <w:t>i</w:t>
      </w:r>
      <w:r>
        <w:rPr>
          <w:sz w:val="24"/>
        </w:rPr>
        <w:t xml:space="preserve"> (i=1，2，…，m)。则根据上述思路，各楼层单价与最低单价之比即为各楼层的效用比率，即：</w:t>
      </w:r>
    </w:p>
    <w:p>
      <w:pPr>
        <w:tabs>
          <w:tab w:val="right" w:pos="9298"/>
        </w:tabs>
        <w:spacing w:line="460" w:lineRule="exact"/>
        <w:jc w:val="center"/>
        <w:rPr>
          <w:sz w:val="24"/>
        </w:rPr>
      </w:pPr>
      <w:r>
        <w:rPr>
          <w:sz w:val="24"/>
        </w:rPr>
        <w:t>a</w:t>
      </w:r>
      <w:r>
        <w:rPr>
          <w:sz w:val="24"/>
          <w:vertAlign w:val="subscript"/>
        </w:rPr>
        <w:t>i</w:t>
      </w:r>
      <w:r>
        <w:rPr>
          <w:sz w:val="24"/>
        </w:rPr>
        <w:t>=P</w:t>
      </w:r>
      <w:r>
        <w:rPr>
          <w:sz w:val="24"/>
          <w:vertAlign w:val="subscript"/>
        </w:rPr>
        <w:t>i</w:t>
      </w:r>
      <w:r>
        <w:rPr>
          <w:sz w:val="24"/>
        </w:rPr>
        <w:t>／minP</w:t>
      </w:r>
      <w:r>
        <w:rPr>
          <w:sz w:val="24"/>
          <w:vertAlign w:val="subscript"/>
        </w:rPr>
        <w:t>i</w:t>
      </w:r>
      <w:r>
        <w:rPr>
          <w:sz w:val="24"/>
        </w:rPr>
        <w:t xml:space="preserve">                   </w:t>
      </w:r>
    </w:p>
    <w:p>
      <w:pPr>
        <w:tabs>
          <w:tab w:val="right" w:pos="9298"/>
        </w:tabs>
        <w:spacing w:line="460" w:lineRule="exact"/>
        <w:ind w:firstLine="480" w:firstLineChars="200"/>
        <w:rPr>
          <w:sz w:val="24"/>
        </w:rPr>
      </w:pPr>
      <w:r>
        <w:rPr>
          <w:sz w:val="24"/>
        </w:rPr>
        <w:t>2）建筑物效用比的测算</w:t>
      </w:r>
    </w:p>
    <w:p>
      <w:pPr>
        <w:tabs>
          <w:tab w:val="right" w:pos="9298"/>
        </w:tabs>
        <w:spacing w:line="460" w:lineRule="exact"/>
        <w:ind w:firstLine="480" w:firstLineChars="200"/>
        <w:rPr>
          <w:sz w:val="24"/>
        </w:rPr>
      </w:pPr>
      <w:r>
        <w:rPr>
          <w:sz w:val="24"/>
        </w:rPr>
        <w:t>建筑物效用比是建筑物部分在整个楼层效用比中所占的比率。其计算方法是建筑物总价格与房地产总价格(即楼价)的比值与楼层效用比的平均值的乘积。建筑物价格由建造建筑物的土建安装、内部固定设备、室外配套及专业、管理费等全部直接和间接的成本费用组成，并含正常的利息、利润。一般认为各楼层、各部位的建筑物单位价格是相同的，是将建筑物总价按总面积分摊后的平均价格，若为特殊设备、特殊装修的楼层和部位，建筑费有明显差异的，应根据实际情况进行个别部位的调整，尽量排除因装修、设备而造成的建筑成本差异。具体公式如下：</w:t>
      </w:r>
    </w:p>
    <w:p>
      <w:pPr>
        <w:tabs>
          <w:tab w:val="right" w:pos="9298"/>
        </w:tabs>
        <w:spacing w:line="460" w:lineRule="exact"/>
        <w:jc w:val="center"/>
        <w:rPr>
          <w:sz w:val="24"/>
        </w:rPr>
      </w:pPr>
      <w:r>
        <w:rPr>
          <w:sz w:val="24"/>
        </w:rPr>
        <w:t>b=（1/m）Σa</w:t>
      </w:r>
      <w:r>
        <w:rPr>
          <w:sz w:val="24"/>
          <w:vertAlign w:val="subscript"/>
        </w:rPr>
        <w:t>i</w:t>
      </w:r>
      <w:r>
        <w:rPr>
          <w:sz w:val="24"/>
        </w:rPr>
        <w:t xml:space="preserve">*(C／P)                </w:t>
      </w:r>
    </w:p>
    <w:p>
      <w:pPr>
        <w:tabs>
          <w:tab w:val="right" w:pos="9298"/>
        </w:tabs>
        <w:spacing w:line="460" w:lineRule="exact"/>
        <w:ind w:firstLine="480" w:firstLineChars="200"/>
        <w:rPr>
          <w:sz w:val="24"/>
        </w:rPr>
      </w:pPr>
      <w:r>
        <w:rPr>
          <w:sz w:val="24"/>
        </w:rPr>
        <w:t>3）楼层分配率的确定</w:t>
      </w:r>
    </w:p>
    <w:p>
      <w:pPr>
        <w:tabs>
          <w:tab w:val="right" w:pos="9298"/>
        </w:tabs>
        <w:spacing w:line="460" w:lineRule="exact"/>
        <w:ind w:firstLine="480" w:firstLineChars="200"/>
        <w:rPr>
          <w:sz w:val="24"/>
        </w:rPr>
      </w:pPr>
      <w:r>
        <w:rPr>
          <w:sz w:val="24"/>
        </w:rPr>
        <w:t>依据前文楼层分配率的计算方法，在确定各楼宇的楼层效用比及建筑物效用比后，二者的差值即为各楼层的楼层分配率。具体公式如下：</w:t>
      </w:r>
    </w:p>
    <w:p>
      <w:pPr>
        <w:tabs>
          <w:tab w:val="right" w:pos="9298"/>
        </w:tabs>
        <w:spacing w:line="460" w:lineRule="exact"/>
        <w:jc w:val="center"/>
        <w:rPr>
          <w:sz w:val="24"/>
        </w:rPr>
      </w:pPr>
      <w:r>
        <w:rPr>
          <w:sz w:val="24"/>
        </w:rPr>
        <w:t>c</w:t>
      </w:r>
      <w:r>
        <w:rPr>
          <w:sz w:val="24"/>
          <w:vertAlign w:val="subscript"/>
        </w:rPr>
        <w:t>i</w:t>
      </w:r>
      <w:r>
        <w:rPr>
          <w:sz w:val="24"/>
        </w:rPr>
        <w:t>=a</w:t>
      </w:r>
      <w:r>
        <w:rPr>
          <w:sz w:val="24"/>
          <w:vertAlign w:val="subscript"/>
        </w:rPr>
        <w:t>i</w:t>
      </w:r>
      <w:r>
        <w:rPr>
          <w:sz w:val="24"/>
        </w:rPr>
        <w:t xml:space="preserve">-b                           </w:t>
      </w:r>
    </w:p>
    <w:p>
      <w:pPr>
        <w:tabs>
          <w:tab w:val="right" w:pos="9298"/>
        </w:tabs>
        <w:spacing w:line="440" w:lineRule="exact"/>
        <w:ind w:firstLine="480" w:firstLineChars="200"/>
        <w:rPr>
          <w:sz w:val="24"/>
        </w:rPr>
      </w:pPr>
      <w:r>
        <w:rPr>
          <w:sz w:val="24"/>
        </w:rPr>
        <w:t>（2）楼层分配率修正系数</w:t>
      </w:r>
    </w:p>
    <w:p>
      <w:pPr>
        <w:tabs>
          <w:tab w:val="right" w:pos="9298"/>
        </w:tabs>
        <w:spacing w:line="440" w:lineRule="exact"/>
        <w:ind w:firstLine="480" w:firstLineChars="200"/>
        <w:rPr>
          <w:sz w:val="24"/>
        </w:rPr>
      </w:pPr>
      <w:r>
        <w:rPr>
          <w:sz w:val="24"/>
        </w:rPr>
        <w:t>前文阐述了楼层分配率系数是指同一土地级别、同一土地利用用途上相同层数的各楼宇各层的楼层分配率与楼层平均楼层分配率的比值。用P</w:t>
      </w:r>
      <w:r>
        <w:rPr>
          <w:sz w:val="24"/>
          <w:vertAlign w:val="subscript"/>
        </w:rPr>
        <w:t>ij</w:t>
      </w:r>
      <w:r>
        <w:rPr>
          <w:sz w:val="24"/>
        </w:rPr>
        <w:t>表示i层楼第j层的楼层分配率修正系数，C</w:t>
      </w:r>
      <w:r>
        <w:rPr>
          <w:sz w:val="24"/>
          <w:vertAlign w:val="subscript"/>
        </w:rPr>
        <w:t>ij</w:t>
      </w:r>
      <w:r>
        <w:rPr>
          <w:sz w:val="24"/>
        </w:rPr>
        <w:t>表示i层楼第j层的楼层分配率，C</w:t>
      </w:r>
      <w:r>
        <w:rPr>
          <w:sz w:val="24"/>
          <w:vertAlign w:val="subscript"/>
        </w:rPr>
        <w:t>il</w:t>
      </w:r>
      <w:r>
        <w:rPr>
          <w:sz w:val="24"/>
        </w:rPr>
        <w:t>表示i层楼的平均楼层分配率。具体计算公式如下：</w:t>
      </w:r>
    </w:p>
    <w:p>
      <w:pPr>
        <w:tabs>
          <w:tab w:val="right" w:pos="9298"/>
        </w:tabs>
        <w:spacing w:line="460" w:lineRule="exact"/>
        <w:jc w:val="center"/>
        <w:rPr>
          <w:sz w:val="24"/>
        </w:rPr>
      </w:pPr>
      <w:r>
        <w:rPr>
          <w:sz w:val="24"/>
        </w:rPr>
        <w:t>P</w:t>
      </w:r>
      <w:r>
        <w:rPr>
          <w:sz w:val="24"/>
          <w:vertAlign w:val="subscript"/>
        </w:rPr>
        <w:t>ij</w:t>
      </w:r>
      <w:r>
        <w:rPr>
          <w:sz w:val="24"/>
        </w:rPr>
        <w:t>=C</w:t>
      </w:r>
      <w:r>
        <w:rPr>
          <w:sz w:val="24"/>
          <w:vertAlign w:val="subscript"/>
        </w:rPr>
        <w:t>ij</w:t>
      </w:r>
      <w:r>
        <w:rPr>
          <w:sz w:val="24"/>
        </w:rPr>
        <w:t>/C</w:t>
      </w:r>
      <w:r>
        <w:rPr>
          <w:sz w:val="24"/>
          <w:vertAlign w:val="subscript"/>
        </w:rPr>
        <w:t>il</w:t>
      </w:r>
      <w:r>
        <w:rPr>
          <w:sz w:val="24"/>
        </w:rPr>
        <w:t xml:space="preserve">                      </w:t>
      </w:r>
    </w:p>
    <w:p>
      <w:pPr>
        <w:tabs>
          <w:tab w:val="right" w:pos="9298"/>
        </w:tabs>
        <w:spacing w:line="440" w:lineRule="exact"/>
        <w:ind w:firstLine="480" w:firstLineChars="200"/>
        <w:rPr>
          <w:sz w:val="24"/>
        </w:rPr>
      </w:pPr>
      <w:r>
        <w:rPr>
          <w:sz w:val="24"/>
        </w:rPr>
        <w:t>其中i层楼的平均楼层分配率C</w:t>
      </w:r>
      <w:r>
        <w:rPr>
          <w:sz w:val="24"/>
          <w:vertAlign w:val="subscript"/>
        </w:rPr>
        <w:t>il</w:t>
      </w:r>
      <w:r>
        <w:rPr>
          <w:sz w:val="24"/>
        </w:rPr>
        <w:t>=（1/j）∑C</w:t>
      </w:r>
      <w:r>
        <w:rPr>
          <w:sz w:val="24"/>
          <w:vertAlign w:val="subscript"/>
        </w:rPr>
        <w:t>ij</w:t>
      </w:r>
    </w:p>
    <w:p>
      <w:pPr>
        <w:tabs>
          <w:tab w:val="right" w:pos="9298"/>
        </w:tabs>
        <w:spacing w:line="440" w:lineRule="exact"/>
        <w:ind w:firstLine="480" w:firstLineChars="200"/>
        <w:rPr>
          <w:sz w:val="24"/>
        </w:rPr>
      </w:pPr>
      <w:r>
        <w:rPr>
          <w:sz w:val="24"/>
        </w:rPr>
        <w:t>在求得楼层分配率修正系数后，结合建筑物的平均楼面地价，则i层楼建筑第j层的楼面地价计算公式为：</w:t>
      </w:r>
    </w:p>
    <w:p>
      <w:pPr>
        <w:tabs>
          <w:tab w:val="right" w:pos="9298"/>
        </w:tabs>
        <w:spacing w:line="460" w:lineRule="exact"/>
        <w:jc w:val="center"/>
        <w:rPr>
          <w:sz w:val="24"/>
        </w:rPr>
      </w:pPr>
      <w:r>
        <w:rPr>
          <w:sz w:val="24"/>
        </w:rPr>
        <w:t>L</w:t>
      </w:r>
      <w:r>
        <w:rPr>
          <w:sz w:val="24"/>
          <w:vertAlign w:val="subscript"/>
        </w:rPr>
        <w:t>ij</w:t>
      </w:r>
      <w:r>
        <w:rPr>
          <w:sz w:val="24"/>
        </w:rPr>
        <w:t>=L</w:t>
      </w:r>
      <w:r>
        <w:rPr>
          <w:sz w:val="24"/>
          <w:vertAlign w:val="subscript"/>
        </w:rPr>
        <w:t>i</w:t>
      </w:r>
      <w:r>
        <w:rPr>
          <w:sz w:val="24"/>
        </w:rPr>
        <w:t>*P</w:t>
      </w:r>
      <w:r>
        <w:rPr>
          <w:sz w:val="24"/>
          <w:vertAlign w:val="subscript"/>
        </w:rPr>
        <w:t>ij</w:t>
      </w:r>
      <w:r>
        <w:rPr>
          <w:sz w:val="24"/>
        </w:rPr>
        <w:t xml:space="preserve">                     </w:t>
      </w:r>
    </w:p>
    <w:p>
      <w:pPr>
        <w:tabs>
          <w:tab w:val="right" w:pos="9298"/>
        </w:tabs>
        <w:spacing w:line="440" w:lineRule="exact"/>
        <w:ind w:firstLine="480" w:firstLineChars="200"/>
        <w:rPr>
          <w:sz w:val="24"/>
        </w:rPr>
      </w:pPr>
      <w:r>
        <w:rPr>
          <w:sz w:val="24"/>
        </w:rPr>
        <w:t>其中：L</w:t>
      </w:r>
      <w:r>
        <w:rPr>
          <w:sz w:val="24"/>
          <w:vertAlign w:val="subscript"/>
        </w:rPr>
        <w:t>ij</w:t>
      </w:r>
      <w:r>
        <w:rPr>
          <w:sz w:val="24"/>
        </w:rPr>
        <w:t xml:space="preserve"> 表示i层楼建筑第j层的楼面地价；</w:t>
      </w:r>
    </w:p>
    <w:p>
      <w:pPr>
        <w:tabs>
          <w:tab w:val="right" w:pos="9298"/>
        </w:tabs>
        <w:spacing w:line="440" w:lineRule="exact"/>
        <w:ind w:firstLine="480" w:firstLineChars="200"/>
        <w:rPr>
          <w:sz w:val="24"/>
        </w:rPr>
      </w:pPr>
      <w:r>
        <w:rPr>
          <w:sz w:val="24"/>
        </w:rPr>
        <w:t>L</w:t>
      </w:r>
      <w:r>
        <w:rPr>
          <w:sz w:val="24"/>
          <w:vertAlign w:val="subscript"/>
        </w:rPr>
        <w:t>i</w:t>
      </w:r>
      <w:r>
        <w:rPr>
          <w:sz w:val="24"/>
        </w:rPr>
        <w:t>表示i层楼的平均楼面地价。</w:t>
      </w:r>
    </w:p>
    <w:p>
      <w:pPr>
        <w:tabs>
          <w:tab w:val="right" w:pos="9298"/>
        </w:tabs>
        <w:spacing w:line="440" w:lineRule="exact"/>
        <w:ind w:firstLine="480" w:firstLineChars="200"/>
        <w:rPr>
          <w:sz w:val="24"/>
        </w:rPr>
      </w:pPr>
      <w:r>
        <w:rPr>
          <w:sz w:val="24"/>
        </w:rPr>
        <w:t>（3）楼层分配率修正系数的计算</w:t>
      </w:r>
    </w:p>
    <w:p>
      <w:pPr>
        <w:tabs>
          <w:tab w:val="right" w:pos="9298"/>
        </w:tabs>
        <w:spacing w:line="440" w:lineRule="exact"/>
        <w:ind w:firstLine="480" w:firstLineChars="200"/>
        <w:rPr>
          <w:sz w:val="24"/>
        </w:rPr>
      </w:pPr>
      <w:r>
        <w:rPr>
          <w:sz w:val="24"/>
        </w:rPr>
        <w:t>根据不同土地级别商服建筑物及住宅建筑物售价对楼层的影响关系敏感度可知，商服用地与住宅用地的建筑物层数与楼层分配率的关系不同，本节将分别对商服用地与住宅用地的建筑物层数及楼层分配率进行分析，测算商服用地及住宅用地的楼层分配率修正系数。</w:t>
      </w:r>
    </w:p>
    <w:p>
      <w:pPr>
        <w:tabs>
          <w:tab w:val="right" w:pos="9298"/>
        </w:tabs>
        <w:spacing w:line="440" w:lineRule="exact"/>
        <w:ind w:firstLine="480" w:firstLineChars="200"/>
        <w:rPr>
          <w:sz w:val="24"/>
        </w:rPr>
      </w:pPr>
      <w:r>
        <w:rPr>
          <w:sz w:val="24"/>
        </w:rPr>
        <w:t>（4）商服用地楼层分配率的确定</w:t>
      </w:r>
    </w:p>
    <w:p>
      <w:pPr>
        <w:spacing w:line="460" w:lineRule="exact"/>
        <w:ind w:firstLine="480" w:firstLineChars="200"/>
        <w:rPr>
          <w:sz w:val="24"/>
        </w:rPr>
      </w:pPr>
      <w:r>
        <w:rPr>
          <w:sz w:val="24"/>
        </w:rPr>
        <w:t>楼层分配率即地价楼层分配率，是基于立体地价理论提出的地价空间分配概念，反映了城市不同土地类型的地价空间分布规律和平均价格水平。根据评估区域内不同用地类型的特点，楼层分配率的有着不同的变化特征。一般对于商服用地地价的空间分配率主要受商服建筑对于高度的敏感性强的特点影响，越靠近地面，其土地利用价值越高，其首层所持地价远高于其他楼层，随楼层的增加相邻楼层分摊的土地价格的差异呈缓慢递减态势。</w:t>
      </w:r>
    </w:p>
    <w:p>
      <w:pPr>
        <w:tabs>
          <w:tab w:val="left" w:pos="360"/>
          <w:tab w:val="left" w:pos="540"/>
        </w:tabs>
        <w:spacing w:beforeLines="50" w:line="360" w:lineRule="auto"/>
        <w:ind w:firstLine="420" w:firstLineChars="200"/>
        <w:rPr>
          <w:sz w:val="28"/>
        </w:rPr>
      </w:pPr>
      <w:r>
        <w:rPr>
          <w:rFonts w:ascii="Times New Roman" w:hAnsi="Times New Roman" w:eastAsia="宋体" w:cs="Times New Roman"/>
          <w:kern w:val="2"/>
          <w:sz w:val="21"/>
          <w:lang w:val="en-US" w:eastAsia="zh-CN" w:bidi="ar-SA"/>
        </w:rPr>
        <w:pict>
          <v:shape id="图片 1575" o:spid="_x0000_s1316" type="#_x0000_t75" style="height:186.75pt;width:382.5pt;rotation:0f;" o:ole="f" fillcolor="#FFFFFF" filled="f" o:preferrelative="t" stroked="f" coordorigin="0,0" coordsize="21600,21600">
            <v:fill on="f" color2="#FFFFFF" focus="0%"/>
            <v:imagedata gain="65536f" blacklevel="0f" gamma="0" o:title="" r:id="rId125"/>
            <o:lock v:ext="edit" position="f" selection="f" grouping="f" rotation="f" cropping="f" text="f" aspectratio="t"/>
            <w10:wrap type="none"/>
            <w10:anchorlock/>
          </v:shape>
        </w:pict>
      </w:r>
    </w:p>
    <w:p>
      <w:pPr>
        <w:tabs>
          <w:tab w:val="right" w:pos="9298"/>
        </w:tabs>
        <w:spacing w:line="460" w:lineRule="exact"/>
        <w:jc w:val="center"/>
        <w:rPr>
          <w:b/>
          <w:sz w:val="24"/>
        </w:rPr>
      </w:pPr>
      <w:r>
        <w:rPr>
          <w:b/>
          <w:sz w:val="24"/>
        </w:rPr>
        <w:t>图3-6-3 商服用地地价的空间分配率</w:t>
      </w:r>
    </w:p>
    <w:p>
      <w:pPr>
        <w:spacing w:line="460" w:lineRule="exact"/>
        <w:ind w:firstLine="480" w:firstLineChars="200"/>
        <w:rPr>
          <w:sz w:val="24"/>
        </w:rPr>
      </w:pPr>
      <w:r>
        <w:rPr>
          <w:sz w:val="24"/>
        </w:rPr>
        <w:t>选取长沙县通程商业广场、华润万象汇、昌和购物中心、魔方泉塘商业中心、龙禧商业街、新长海数码广场等6家商服用地为研究对象，通过楼面地价计算各商服建筑不同楼层的楼层分配率并对楼层分配率作统计分析，得到各商服建筑的“建筑物层数一楼层分配率”折线图：</w:t>
      </w:r>
    </w:p>
    <w:p>
      <w:pPr>
        <w:jc w:val="center"/>
      </w:pPr>
      <w:r>
        <w:rPr>
          <w:rFonts w:ascii="Times New Roman" w:hAnsi="Times New Roman" w:eastAsia="宋体" w:cs="Times New Roman"/>
          <w:kern w:val="2"/>
          <w:sz w:val="21"/>
          <w:lang w:val="en-US" w:eastAsia="zh-CN" w:bidi="ar-SA"/>
        </w:rPr>
        <w:pict>
          <v:shape id="图表 1" o:spid="_x0000_s1317" type="" style="height:271.5pt;width:393pt;rotation:0f;" o:ole="f" fillcolor="#FFFFFF" filled="t" o:preferrelative="t" stroked="t" coordorigin="0,0" coordsize="21600,21600">
            <v:stroke color="#000000" color2="#FFFFFF" miterlimit="2"/>
            <v:imagedata gain="65536f" blacklevel="0f" gamma="0"/>
            <o:lock v:ext="edit" position="f" selection="f" grouping="f" rotation="f" cropping="f" text="f" aspectratio="f"/>
            <w10:wrap type="none"/>
            <w10:anchorlock/>
          </v:shape>
        </w:pict>
      </w:r>
    </w:p>
    <w:p>
      <w:pPr>
        <w:tabs>
          <w:tab w:val="right" w:pos="9298"/>
        </w:tabs>
        <w:spacing w:line="460" w:lineRule="exact"/>
        <w:jc w:val="center"/>
        <w:rPr>
          <w:b/>
          <w:sz w:val="24"/>
        </w:rPr>
      </w:pPr>
      <w:r>
        <w:rPr>
          <w:b/>
          <w:sz w:val="24"/>
        </w:rPr>
        <w:t>图3-6-4 商服用地“建筑物层数-楼层地价分配率”图</w:t>
      </w:r>
    </w:p>
    <w:p>
      <w:pPr>
        <w:spacing w:line="360" w:lineRule="auto"/>
        <w:ind w:firstLine="480" w:firstLineChars="200"/>
        <w:rPr>
          <w:sz w:val="24"/>
        </w:rPr>
      </w:pPr>
      <w:r>
        <w:rPr>
          <w:sz w:val="24"/>
        </w:rPr>
        <w:t>上图反映出，越靠近地面，首层所持地价远高于其他楼层，随楼层的增加相邻楼层分摊的土地价格的差异呈缓慢递减态势，符合商服用地楼层土地收益的一般规律。根据图形特征，选取不同的曲线进行拟合。以通程商业广场、华润万象汇、昌和购物中心和魔方泉塘商业中心为例，分别选取指数模型、对数模型、乘幂模型进行曲线拟合分析，拟合结果为:</w:t>
      </w:r>
    </w:p>
    <w:p>
      <w:pPr>
        <w:pStyle w:val="34"/>
        <w:spacing w:before="0" w:after="0"/>
        <w:ind w:left="0" w:firstLine="482" w:firstLineChars="200"/>
        <w:rPr>
          <w:rFonts w:eastAsia="宋体"/>
          <w:b/>
          <w:sz w:val="24"/>
        </w:rPr>
      </w:pPr>
      <w:r>
        <w:rPr>
          <w:rFonts w:eastAsia="宋体"/>
          <w:b/>
          <w:sz w:val="24"/>
        </w:rPr>
        <w:t>表3-6-1 楼层分配率模型计算表</w:t>
      </w:r>
    </w:p>
    <w:tbl>
      <w:tblPr>
        <w:tblW w:w="7770" w:type="dxa"/>
        <w:jc w:val="center"/>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190"/>
        <w:gridCol w:w="1650"/>
        <w:gridCol w:w="2280"/>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40" w:hRule="atLeast"/>
          <w:jc w:val="center"/>
        </w:trPr>
        <w:tc>
          <w:tcPr>
            <w:tcW w:w="2190" w:type="dxa"/>
            <w:vAlign w:val="center"/>
          </w:tcPr>
          <w:p>
            <w:pPr>
              <w:widowControl/>
              <w:jc w:val="center"/>
              <w:textAlignment w:val="center"/>
              <w:rPr>
                <w:b/>
                <w:color w:val="000000"/>
                <w:szCs w:val="21"/>
              </w:rPr>
            </w:pPr>
            <w:r>
              <w:rPr>
                <w:b/>
                <w:color w:val="000000"/>
                <w:kern w:val="0"/>
                <w:szCs w:val="21"/>
                <w:lang/>
              </w:rPr>
              <w:t>样例</w:t>
            </w:r>
          </w:p>
        </w:tc>
        <w:tc>
          <w:tcPr>
            <w:tcW w:w="3930" w:type="dxa"/>
            <w:gridSpan w:val="2"/>
            <w:vAlign w:val="center"/>
          </w:tcPr>
          <w:p>
            <w:pPr>
              <w:widowControl/>
              <w:jc w:val="center"/>
              <w:textAlignment w:val="center"/>
              <w:rPr>
                <w:b/>
                <w:color w:val="000000"/>
                <w:szCs w:val="21"/>
              </w:rPr>
            </w:pPr>
            <w:r>
              <w:rPr>
                <w:b/>
                <w:color w:val="000000"/>
                <w:kern w:val="0"/>
                <w:szCs w:val="21"/>
                <w:lang/>
              </w:rPr>
              <w:t>模型测算</w:t>
            </w:r>
          </w:p>
        </w:tc>
        <w:tc>
          <w:tcPr>
            <w:tcW w:w="1650" w:type="dxa"/>
            <w:vAlign w:val="center"/>
          </w:tcPr>
          <w:p>
            <w:pPr>
              <w:widowControl/>
              <w:jc w:val="center"/>
              <w:textAlignment w:val="center"/>
              <w:rPr>
                <w:b/>
                <w:color w:val="000000"/>
                <w:szCs w:val="21"/>
              </w:rPr>
            </w:pPr>
            <w:r>
              <w:rPr>
                <w:b/>
                <w:color w:val="000000"/>
                <w:kern w:val="0"/>
                <w:szCs w:val="21"/>
                <w:lang/>
              </w:rPr>
              <w:t>相关系数R</w:t>
            </w:r>
            <w:r>
              <w:rPr>
                <w:rStyle w:val="150"/>
                <w:lang/>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2190" w:type="dxa"/>
            <w:vMerge w:val="restart"/>
            <w:vAlign w:val="center"/>
          </w:tcPr>
          <w:p>
            <w:pPr>
              <w:widowControl/>
              <w:jc w:val="center"/>
              <w:textAlignment w:val="center"/>
              <w:rPr>
                <w:color w:val="000000"/>
                <w:szCs w:val="21"/>
              </w:rPr>
            </w:pPr>
            <w:r>
              <w:rPr>
                <w:color w:val="000000"/>
                <w:kern w:val="0"/>
                <w:szCs w:val="21"/>
                <w:lang/>
              </w:rPr>
              <w:t>通程商业广场</w:t>
            </w:r>
          </w:p>
        </w:tc>
        <w:tc>
          <w:tcPr>
            <w:tcW w:w="1650" w:type="dxa"/>
            <w:vAlign w:val="center"/>
          </w:tcPr>
          <w:p>
            <w:pPr>
              <w:widowControl/>
              <w:jc w:val="center"/>
              <w:textAlignment w:val="center"/>
              <w:rPr>
                <w:color w:val="000000"/>
                <w:szCs w:val="21"/>
              </w:rPr>
            </w:pPr>
            <w:r>
              <w:rPr>
                <w:color w:val="000000"/>
                <w:kern w:val="0"/>
                <w:szCs w:val="21"/>
                <w:lang/>
              </w:rPr>
              <w:t>指数模型</w:t>
            </w:r>
          </w:p>
        </w:tc>
        <w:tc>
          <w:tcPr>
            <w:tcW w:w="2280" w:type="dxa"/>
            <w:vAlign w:val="center"/>
          </w:tcPr>
          <w:p>
            <w:pPr>
              <w:widowControl/>
              <w:textAlignment w:val="center"/>
              <w:rPr>
                <w:color w:val="000000"/>
                <w:szCs w:val="21"/>
              </w:rPr>
            </w:pPr>
            <w:r>
              <w:rPr>
                <w:color w:val="000000"/>
                <w:kern w:val="0"/>
                <w:szCs w:val="21"/>
                <w:lang/>
              </w:rPr>
              <w:t>y= 0.4427e</w:t>
            </w:r>
            <w:r>
              <w:rPr>
                <w:rStyle w:val="182"/>
                <w:lang/>
              </w:rPr>
              <w:t>-0.34x</w:t>
            </w:r>
          </w:p>
        </w:tc>
        <w:tc>
          <w:tcPr>
            <w:tcW w:w="1650" w:type="dxa"/>
            <w:vAlign w:val="center"/>
          </w:tcPr>
          <w:p>
            <w:pPr>
              <w:widowControl/>
              <w:jc w:val="center"/>
              <w:textAlignment w:val="center"/>
              <w:rPr>
                <w:color w:val="000000"/>
                <w:szCs w:val="21"/>
              </w:rPr>
            </w:pPr>
            <w:r>
              <w:rPr>
                <w:color w:val="000000"/>
                <w:kern w:val="0"/>
                <w:szCs w:val="21"/>
                <w:lang/>
              </w:rPr>
              <w:t xml:space="preserve">0.8757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2190" w:type="dxa"/>
            <w:vMerge w:val="continue"/>
            <w:vAlign w:val="center"/>
          </w:tcPr>
          <w:p>
            <w:pPr>
              <w:jc w:val="center"/>
              <w:rPr>
                <w:color w:val="000000"/>
                <w:szCs w:val="21"/>
              </w:rPr>
            </w:pPr>
          </w:p>
        </w:tc>
        <w:tc>
          <w:tcPr>
            <w:tcW w:w="1650" w:type="dxa"/>
            <w:vAlign w:val="center"/>
          </w:tcPr>
          <w:p>
            <w:pPr>
              <w:widowControl/>
              <w:jc w:val="center"/>
              <w:textAlignment w:val="center"/>
              <w:rPr>
                <w:color w:val="000000"/>
                <w:szCs w:val="21"/>
              </w:rPr>
            </w:pPr>
            <w:r>
              <w:rPr>
                <w:color w:val="000000"/>
                <w:kern w:val="0"/>
                <w:szCs w:val="21"/>
                <w:lang/>
              </w:rPr>
              <w:t>对数模型</w:t>
            </w:r>
          </w:p>
        </w:tc>
        <w:tc>
          <w:tcPr>
            <w:tcW w:w="2280" w:type="dxa"/>
            <w:vAlign w:val="center"/>
          </w:tcPr>
          <w:p>
            <w:pPr>
              <w:widowControl/>
              <w:textAlignment w:val="center"/>
              <w:rPr>
                <w:color w:val="000000"/>
                <w:szCs w:val="21"/>
              </w:rPr>
            </w:pPr>
            <w:r>
              <w:rPr>
                <w:color w:val="000000"/>
                <w:kern w:val="0"/>
                <w:szCs w:val="21"/>
                <w:lang/>
              </w:rPr>
              <w:t>y=-0.189ln(x)+0.3739</w:t>
            </w:r>
          </w:p>
        </w:tc>
        <w:tc>
          <w:tcPr>
            <w:tcW w:w="1650" w:type="dxa"/>
            <w:vAlign w:val="center"/>
          </w:tcPr>
          <w:p>
            <w:pPr>
              <w:widowControl/>
              <w:jc w:val="center"/>
              <w:textAlignment w:val="center"/>
              <w:rPr>
                <w:color w:val="000000"/>
                <w:szCs w:val="21"/>
              </w:rPr>
            </w:pPr>
            <w:r>
              <w:rPr>
                <w:color w:val="000000"/>
                <w:kern w:val="0"/>
                <w:szCs w:val="21"/>
                <w:lang/>
              </w:rPr>
              <w:t>0.9319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2190" w:type="dxa"/>
            <w:vMerge w:val="continue"/>
            <w:vAlign w:val="center"/>
          </w:tcPr>
          <w:p>
            <w:pPr>
              <w:jc w:val="center"/>
              <w:rPr>
                <w:color w:val="000000"/>
                <w:szCs w:val="21"/>
              </w:rPr>
            </w:pPr>
          </w:p>
        </w:tc>
        <w:tc>
          <w:tcPr>
            <w:tcW w:w="1650" w:type="dxa"/>
            <w:vAlign w:val="center"/>
          </w:tcPr>
          <w:p>
            <w:pPr>
              <w:widowControl/>
              <w:jc w:val="center"/>
              <w:textAlignment w:val="center"/>
              <w:rPr>
                <w:color w:val="000000"/>
                <w:szCs w:val="21"/>
              </w:rPr>
            </w:pPr>
            <w:r>
              <w:rPr>
                <w:color w:val="000000"/>
                <w:kern w:val="0"/>
                <w:szCs w:val="21"/>
                <w:lang/>
              </w:rPr>
              <w:t>乘幂模型</w:t>
            </w:r>
          </w:p>
        </w:tc>
        <w:tc>
          <w:tcPr>
            <w:tcW w:w="2280" w:type="dxa"/>
            <w:vAlign w:val="center"/>
          </w:tcPr>
          <w:p>
            <w:pPr>
              <w:widowControl/>
              <w:textAlignment w:val="center"/>
              <w:rPr>
                <w:color w:val="000000"/>
                <w:szCs w:val="21"/>
              </w:rPr>
            </w:pPr>
            <w:r>
              <w:rPr>
                <w:color w:val="000000"/>
                <w:kern w:val="0"/>
                <w:szCs w:val="21"/>
                <w:lang/>
              </w:rPr>
              <w:t>y=0.4065x</w:t>
            </w:r>
            <w:r>
              <w:rPr>
                <w:rStyle w:val="182"/>
                <w:lang/>
              </w:rPr>
              <w:t>-1.0065</w:t>
            </w:r>
          </w:p>
        </w:tc>
        <w:tc>
          <w:tcPr>
            <w:tcW w:w="1650" w:type="dxa"/>
            <w:vAlign w:val="center"/>
          </w:tcPr>
          <w:p>
            <w:pPr>
              <w:widowControl/>
              <w:jc w:val="center"/>
              <w:textAlignment w:val="center"/>
              <w:rPr>
                <w:color w:val="000000"/>
                <w:szCs w:val="21"/>
              </w:rPr>
            </w:pPr>
            <w:r>
              <w:rPr>
                <w:color w:val="000000"/>
                <w:kern w:val="0"/>
                <w:szCs w:val="21"/>
                <w:lang/>
              </w:rPr>
              <w:t>0.9643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2190" w:type="dxa"/>
            <w:vMerge w:val="restart"/>
            <w:vAlign w:val="center"/>
          </w:tcPr>
          <w:p>
            <w:pPr>
              <w:widowControl/>
              <w:jc w:val="center"/>
              <w:textAlignment w:val="center"/>
              <w:rPr>
                <w:color w:val="000000"/>
                <w:szCs w:val="21"/>
              </w:rPr>
            </w:pPr>
            <w:r>
              <w:rPr>
                <w:color w:val="000000"/>
                <w:kern w:val="0"/>
                <w:szCs w:val="21"/>
                <w:lang/>
              </w:rPr>
              <w:t>华润万象汇</w:t>
            </w:r>
          </w:p>
        </w:tc>
        <w:tc>
          <w:tcPr>
            <w:tcW w:w="1650" w:type="dxa"/>
            <w:vAlign w:val="center"/>
          </w:tcPr>
          <w:p>
            <w:pPr>
              <w:widowControl/>
              <w:jc w:val="center"/>
              <w:textAlignment w:val="center"/>
              <w:rPr>
                <w:color w:val="000000"/>
                <w:szCs w:val="21"/>
              </w:rPr>
            </w:pPr>
            <w:r>
              <w:rPr>
                <w:color w:val="000000"/>
                <w:kern w:val="0"/>
                <w:szCs w:val="21"/>
                <w:lang/>
              </w:rPr>
              <w:t>指数模型</w:t>
            </w:r>
          </w:p>
        </w:tc>
        <w:tc>
          <w:tcPr>
            <w:tcW w:w="2280" w:type="dxa"/>
            <w:vAlign w:val="center"/>
          </w:tcPr>
          <w:p>
            <w:pPr>
              <w:widowControl/>
              <w:textAlignment w:val="center"/>
              <w:rPr>
                <w:color w:val="000000"/>
                <w:szCs w:val="21"/>
              </w:rPr>
            </w:pPr>
            <w:r>
              <w:rPr>
                <w:color w:val="000000"/>
                <w:kern w:val="0"/>
                <w:szCs w:val="21"/>
                <w:lang/>
              </w:rPr>
              <w:t>y=0.4378e</w:t>
            </w:r>
            <w:r>
              <w:rPr>
                <w:rStyle w:val="182"/>
                <w:lang/>
              </w:rPr>
              <w:t>-0.337x</w:t>
            </w:r>
          </w:p>
        </w:tc>
        <w:tc>
          <w:tcPr>
            <w:tcW w:w="1650" w:type="dxa"/>
            <w:vAlign w:val="center"/>
          </w:tcPr>
          <w:p>
            <w:pPr>
              <w:widowControl/>
              <w:jc w:val="center"/>
              <w:textAlignment w:val="center"/>
              <w:rPr>
                <w:color w:val="000000"/>
                <w:szCs w:val="21"/>
              </w:rPr>
            </w:pPr>
            <w:r>
              <w:rPr>
                <w:color w:val="000000"/>
                <w:kern w:val="0"/>
                <w:szCs w:val="21"/>
                <w:lang/>
              </w:rPr>
              <w:t>0.8648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2190" w:type="dxa"/>
            <w:vMerge w:val="continue"/>
            <w:vAlign w:val="center"/>
          </w:tcPr>
          <w:p>
            <w:pPr>
              <w:jc w:val="center"/>
              <w:rPr>
                <w:color w:val="000000"/>
                <w:szCs w:val="21"/>
              </w:rPr>
            </w:pPr>
          </w:p>
        </w:tc>
        <w:tc>
          <w:tcPr>
            <w:tcW w:w="1650" w:type="dxa"/>
            <w:vAlign w:val="center"/>
          </w:tcPr>
          <w:p>
            <w:pPr>
              <w:widowControl/>
              <w:jc w:val="center"/>
              <w:textAlignment w:val="center"/>
              <w:rPr>
                <w:color w:val="000000"/>
                <w:szCs w:val="21"/>
              </w:rPr>
            </w:pPr>
            <w:r>
              <w:rPr>
                <w:color w:val="000000"/>
                <w:kern w:val="0"/>
                <w:szCs w:val="21"/>
                <w:lang/>
              </w:rPr>
              <w:t>对数模型</w:t>
            </w:r>
          </w:p>
        </w:tc>
        <w:tc>
          <w:tcPr>
            <w:tcW w:w="2280" w:type="dxa"/>
            <w:vAlign w:val="center"/>
          </w:tcPr>
          <w:p>
            <w:pPr>
              <w:widowControl/>
              <w:textAlignment w:val="center"/>
              <w:rPr>
                <w:color w:val="000000"/>
                <w:szCs w:val="21"/>
              </w:rPr>
            </w:pPr>
            <w:r>
              <w:rPr>
                <w:color w:val="000000"/>
                <w:kern w:val="0"/>
                <w:szCs w:val="21"/>
                <w:lang/>
              </w:rPr>
              <w:t>y=-0.192ln(x)+0.3771</w:t>
            </w:r>
          </w:p>
        </w:tc>
        <w:tc>
          <w:tcPr>
            <w:tcW w:w="1650" w:type="dxa"/>
            <w:vAlign w:val="center"/>
          </w:tcPr>
          <w:p>
            <w:pPr>
              <w:widowControl/>
              <w:jc w:val="center"/>
              <w:textAlignment w:val="center"/>
              <w:rPr>
                <w:color w:val="000000"/>
                <w:szCs w:val="21"/>
              </w:rPr>
            </w:pPr>
            <w:r>
              <w:rPr>
                <w:color w:val="000000"/>
                <w:kern w:val="0"/>
                <w:szCs w:val="21"/>
                <w:lang/>
              </w:rPr>
              <w:t>0.9247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2190" w:type="dxa"/>
            <w:vMerge w:val="continue"/>
            <w:vAlign w:val="center"/>
          </w:tcPr>
          <w:p>
            <w:pPr>
              <w:jc w:val="center"/>
              <w:rPr>
                <w:color w:val="000000"/>
                <w:szCs w:val="21"/>
              </w:rPr>
            </w:pPr>
          </w:p>
        </w:tc>
        <w:tc>
          <w:tcPr>
            <w:tcW w:w="1650" w:type="dxa"/>
            <w:vAlign w:val="center"/>
          </w:tcPr>
          <w:p>
            <w:pPr>
              <w:widowControl/>
              <w:jc w:val="center"/>
              <w:textAlignment w:val="center"/>
              <w:rPr>
                <w:color w:val="000000"/>
                <w:szCs w:val="21"/>
              </w:rPr>
            </w:pPr>
            <w:r>
              <w:rPr>
                <w:color w:val="000000"/>
                <w:kern w:val="0"/>
                <w:szCs w:val="21"/>
                <w:lang/>
              </w:rPr>
              <w:t>乘幂模型</w:t>
            </w:r>
          </w:p>
        </w:tc>
        <w:tc>
          <w:tcPr>
            <w:tcW w:w="2280" w:type="dxa"/>
            <w:vAlign w:val="center"/>
          </w:tcPr>
          <w:p>
            <w:pPr>
              <w:widowControl/>
              <w:textAlignment w:val="center"/>
              <w:rPr>
                <w:color w:val="000000"/>
                <w:szCs w:val="21"/>
              </w:rPr>
            </w:pPr>
            <w:r>
              <w:rPr>
                <w:color w:val="000000"/>
                <w:kern w:val="0"/>
                <w:szCs w:val="21"/>
                <w:lang/>
              </w:rPr>
              <w:t>y= 0.4059x</w:t>
            </w:r>
            <w:r>
              <w:rPr>
                <w:rStyle w:val="182"/>
                <w:lang/>
              </w:rPr>
              <w:t>-1.0075</w:t>
            </w:r>
          </w:p>
        </w:tc>
        <w:tc>
          <w:tcPr>
            <w:tcW w:w="1650" w:type="dxa"/>
            <w:vAlign w:val="center"/>
          </w:tcPr>
          <w:p>
            <w:pPr>
              <w:widowControl/>
              <w:jc w:val="center"/>
              <w:textAlignment w:val="center"/>
              <w:rPr>
                <w:color w:val="000000"/>
                <w:szCs w:val="21"/>
              </w:rPr>
            </w:pPr>
            <w:r>
              <w:rPr>
                <w:color w:val="000000"/>
                <w:kern w:val="0"/>
                <w:szCs w:val="21"/>
                <w:lang/>
              </w:rPr>
              <w:t>0.9682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2190" w:type="dxa"/>
            <w:vMerge w:val="restart"/>
            <w:vAlign w:val="center"/>
          </w:tcPr>
          <w:p>
            <w:pPr>
              <w:widowControl/>
              <w:jc w:val="center"/>
              <w:textAlignment w:val="center"/>
              <w:rPr>
                <w:color w:val="000000"/>
                <w:szCs w:val="21"/>
              </w:rPr>
            </w:pPr>
            <w:r>
              <w:rPr>
                <w:color w:val="000000"/>
                <w:kern w:val="0"/>
                <w:szCs w:val="21"/>
                <w:lang/>
              </w:rPr>
              <w:t>昌和购物中心</w:t>
            </w:r>
          </w:p>
        </w:tc>
        <w:tc>
          <w:tcPr>
            <w:tcW w:w="1650" w:type="dxa"/>
            <w:vAlign w:val="center"/>
          </w:tcPr>
          <w:p>
            <w:pPr>
              <w:widowControl/>
              <w:jc w:val="center"/>
              <w:textAlignment w:val="center"/>
              <w:rPr>
                <w:color w:val="000000"/>
                <w:szCs w:val="21"/>
              </w:rPr>
            </w:pPr>
            <w:r>
              <w:rPr>
                <w:color w:val="000000"/>
                <w:kern w:val="0"/>
                <w:szCs w:val="21"/>
                <w:lang/>
              </w:rPr>
              <w:t>指数模型</w:t>
            </w:r>
          </w:p>
        </w:tc>
        <w:tc>
          <w:tcPr>
            <w:tcW w:w="2280" w:type="dxa"/>
            <w:vAlign w:val="center"/>
          </w:tcPr>
          <w:p>
            <w:pPr>
              <w:widowControl/>
              <w:textAlignment w:val="center"/>
              <w:rPr>
                <w:color w:val="000000"/>
                <w:szCs w:val="21"/>
              </w:rPr>
            </w:pPr>
            <w:r>
              <w:rPr>
                <w:color w:val="000000"/>
                <w:kern w:val="0"/>
                <w:szCs w:val="21"/>
                <w:lang/>
              </w:rPr>
              <w:t>y=0.4321e</w:t>
            </w:r>
            <w:r>
              <w:rPr>
                <w:rStyle w:val="182"/>
                <w:lang/>
              </w:rPr>
              <w:t>-0.33x</w:t>
            </w:r>
          </w:p>
        </w:tc>
        <w:tc>
          <w:tcPr>
            <w:tcW w:w="1650" w:type="dxa"/>
            <w:vAlign w:val="center"/>
          </w:tcPr>
          <w:p>
            <w:pPr>
              <w:widowControl/>
              <w:jc w:val="center"/>
              <w:textAlignment w:val="center"/>
              <w:rPr>
                <w:color w:val="000000"/>
                <w:szCs w:val="21"/>
              </w:rPr>
            </w:pPr>
            <w:r>
              <w:rPr>
                <w:color w:val="000000"/>
                <w:kern w:val="0"/>
                <w:szCs w:val="21"/>
                <w:lang/>
              </w:rPr>
              <w:t>0.8739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2190" w:type="dxa"/>
            <w:vMerge w:val="continue"/>
            <w:vAlign w:val="center"/>
          </w:tcPr>
          <w:p>
            <w:pPr>
              <w:jc w:val="center"/>
              <w:rPr>
                <w:color w:val="000000"/>
                <w:szCs w:val="21"/>
              </w:rPr>
            </w:pPr>
          </w:p>
        </w:tc>
        <w:tc>
          <w:tcPr>
            <w:tcW w:w="1650" w:type="dxa"/>
            <w:vAlign w:val="center"/>
          </w:tcPr>
          <w:p>
            <w:pPr>
              <w:widowControl/>
              <w:jc w:val="center"/>
              <w:textAlignment w:val="center"/>
              <w:rPr>
                <w:color w:val="000000"/>
                <w:szCs w:val="21"/>
              </w:rPr>
            </w:pPr>
            <w:r>
              <w:rPr>
                <w:color w:val="000000"/>
                <w:kern w:val="0"/>
                <w:szCs w:val="21"/>
                <w:lang/>
              </w:rPr>
              <w:t>对数模型</w:t>
            </w:r>
          </w:p>
        </w:tc>
        <w:tc>
          <w:tcPr>
            <w:tcW w:w="2280" w:type="dxa"/>
            <w:vAlign w:val="center"/>
          </w:tcPr>
          <w:p>
            <w:pPr>
              <w:widowControl/>
              <w:textAlignment w:val="center"/>
              <w:rPr>
                <w:color w:val="000000"/>
                <w:szCs w:val="21"/>
              </w:rPr>
            </w:pPr>
            <w:r>
              <w:rPr>
                <w:color w:val="000000"/>
                <w:kern w:val="0"/>
                <w:szCs w:val="21"/>
                <w:lang/>
              </w:rPr>
              <w:t>y=-0.186ln(x)+0.3708</w:t>
            </w:r>
          </w:p>
        </w:tc>
        <w:tc>
          <w:tcPr>
            <w:tcW w:w="1650" w:type="dxa"/>
            <w:vAlign w:val="center"/>
          </w:tcPr>
          <w:p>
            <w:pPr>
              <w:widowControl/>
              <w:jc w:val="center"/>
              <w:textAlignment w:val="center"/>
              <w:rPr>
                <w:color w:val="000000"/>
                <w:szCs w:val="21"/>
              </w:rPr>
            </w:pPr>
            <w:r>
              <w:rPr>
                <w:color w:val="000000"/>
                <w:kern w:val="0"/>
                <w:szCs w:val="21"/>
                <w:lang/>
              </w:rPr>
              <w:t>0.9305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2190" w:type="dxa"/>
            <w:vMerge w:val="continue"/>
            <w:vAlign w:val="center"/>
          </w:tcPr>
          <w:p>
            <w:pPr>
              <w:jc w:val="center"/>
              <w:rPr>
                <w:color w:val="000000"/>
                <w:szCs w:val="21"/>
              </w:rPr>
            </w:pPr>
          </w:p>
        </w:tc>
        <w:tc>
          <w:tcPr>
            <w:tcW w:w="1650" w:type="dxa"/>
            <w:vAlign w:val="center"/>
          </w:tcPr>
          <w:p>
            <w:pPr>
              <w:widowControl/>
              <w:jc w:val="center"/>
              <w:textAlignment w:val="center"/>
              <w:rPr>
                <w:color w:val="000000"/>
                <w:szCs w:val="21"/>
              </w:rPr>
            </w:pPr>
            <w:r>
              <w:rPr>
                <w:color w:val="000000"/>
                <w:kern w:val="0"/>
                <w:szCs w:val="21"/>
                <w:lang/>
              </w:rPr>
              <w:t>乘幂模型</w:t>
            </w:r>
          </w:p>
        </w:tc>
        <w:tc>
          <w:tcPr>
            <w:tcW w:w="2280" w:type="dxa"/>
            <w:vAlign w:val="center"/>
          </w:tcPr>
          <w:p>
            <w:pPr>
              <w:widowControl/>
              <w:textAlignment w:val="center"/>
              <w:rPr>
                <w:color w:val="000000"/>
                <w:szCs w:val="21"/>
              </w:rPr>
            </w:pPr>
            <w:r>
              <w:rPr>
                <w:color w:val="000000"/>
                <w:kern w:val="0"/>
                <w:szCs w:val="21"/>
                <w:lang/>
              </w:rPr>
              <w:t>y= 0.3998x</w:t>
            </w:r>
            <w:r>
              <w:rPr>
                <w:rStyle w:val="182"/>
                <w:lang/>
              </w:rPr>
              <w:t>-0.982</w:t>
            </w:r>
          </w:p>
        </w:tc>
        <w:tc>
          <w:tcPr>
            <w:tcW w:w="1650" w:type="dxa"/>
            <w:vAlign w:val="center"/>
          </w:tcPr>
          <w:p>
            <w:pPr>
              <w:widowControl/>
              <w:jc w:val="center"/>
              <w:textAlignment w:val="center"/>
              <w:rPr>
                <w:color w:val="000000"/>
                <w:szCs w:val="21"/>
              </w:rPr>
            </w:pPr>
            <w:r>
              <w:rPr>
                <w:color w:val="000000"/>
                <w:kern w:val="0"/>
                <w:szCs w:val="21"/>
                <w:lang/>
              </w:rPr>
              <w:t>0.9714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2190" w:type="dxa"/>
            <w:vMerge w:val="restart"/>
            <w:vAlign w:val="center"/>
          </w:tcPr>
          <w:p>
            <w:pPr>
              <w:widowControl/>
              <w:jc w:val="center"/>
              <w:textAlignment w:val="center"/>
              <w:rPr>
                <w:color w:val="000000"/>
                <w:szCs w:val="21"/>
              </w:rPr>
            </w:pPr>
            <w:r>
              <w:rPr>
                <w:color w:val="000000"/>
                <w:kern w:val="0"/>
                <w:szCs w:val="21"/>
                <w:lang/>
              </w:rPr>
              <w:t>华润万象汇</w:t>
            </w:r>
          </w:p>
        </w:tc>
        <w:tc>
          <w:tcPr>
            <w:tcW w:w="1650" w:type="dxa"/>
            <w:vAlign w:val="center"/>
          </w:tcPr>
          <w:p>
            <w:pPr>
              <w:widowControl/>
              <w:jc w:val="center"/>
              <w:textAlignment w:val="center"/>
              <w:rPr>
                <w:color w:val="000000"/>
                <w:szCs w:val="21"/>
              </w:rPr>
            </w:pPr>
            <w:r>
              <w:rPr>
                <w:color w:val="000000"/>
                <w:kern w:val="0"/>
                <w:szCs w:val="21"/>
                <w:lang/>
              </w:rPr>
              <w:t>指数模型</w:t>
            </w:r>
          </w:p>
        </w:tc>
        <w:tc>
          <w:tcPr>
            <w:tcW w:w="2280" w:type="dxa"/>
            <w:vAlign w:val="center"/>
          </w:tcPr>
          <w:p>
            <w:pPr>
              <w:widowControl/>
              <w:textAlignment w:val="center"/>
              <w:rPr>
                <w:color w:val="000000"/>
                <w:szCs w:val="21"/>
              </w:rPr>
            </w:pPr>
            <w:r>
              <w:rPr>
                <w:color w:val="000000"/>
                <w:kern w:val="0"/>
                <w:szCs w:val="21"/>
                <w:lang/>
              </w:rPr>
              <w:t>y=0.4383e</w:t>
            </w:r>
            <w:r>
              <w:rPr>
                <w:rStyle w:val="182"/>
                <w:lang/>
              </w:rPr>
              <w:t>-0.338x</w:t>
            </w:r>
          </w:p>
        </w:tc>
        <w:tc>
          <w:tcPr>
            <w:tcW w:w="1650" w:type="dxa"/>
            <w:vAlign w:val="center"/>
          </w:tcPr>
          <w:p>
            <w:pPr>
              <w:widowControl/>
              <w:jc w:val="center"/>
              <w:textAlignment w:val="center"/>
              <w:rPr>
                <w:color w:val="000000"/>
                <w:szCs w:val="21"/>
              </w:rPr>
            </w:pPr>
            <w:r>
              <w:rPr>
                <w:color w:val="000000"/>
                <w:kern w:val="0"/>
                <w:szCs w:val="21"/>
                <w:lang/>
              </w:rPr>
              <w:t>0.8572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2190" w:type="dxa"/>
            <w:vMerge w:val="continue"/>
            <w:vAlign w:val="center"/>
          </w:tcPr>
          <w:p>
            <w:pPr>
              <w:jc w:val="center"/>
              <w:rPr>
                <w:color w:val="000000"/>
                <w:szCs w:val="21"/>
              </w:rPr>
            </w:pPr>
          </w:p>
        </w:tc>
        <w:tc>
          <w:tcPr>
            <w:tcW w:w="1650" w:type="dxa"/>
            <w:vAlign w:val="center"/>
          </w:tcPr>
          <w:p>
            <w:pPr>
              <w:widowControl/>
              <w:jc w:val="center"/>
              <w:textAlignment w:val="center"/>
              <w:rPr>
                <w:color w:val="000000"/>
                <w:szCs w:val="21"/>
              </w:rPr>
            </w:pPr>
            <w:r>
              <w:rPr>
                <w:color w:val="000000"/>
                <w:kern w:val="0"/>
                <w:szCs w:val="21"/>
                <w:lang/>
              </w:rPr>
              <w:t>对数模型</w:t>
            </w:r>
          </w:p>
        </w:tc>
        <w:tc>
          <w:tcPr>
            <w:tcW w:w="2280" w:type="dxa"/>
            <w:vAlign w:val="center"/>
          </w:tcPr>
          <w:p>
            <w:pPr>
              <w:widowControl/>
              <w:textAlignment w:val="center"/>
              <w:rPr>
                <w:color w:val="000000"/>
                <w:szCs w:val="21"/>
              </w:rPr>
            </w:pPr>
            <w:r>
              <w:rPr>
                <w:color w:val="000000"/>
                <w:kern w:val="0"/>
                <w:szCs w:val="21"/>
                <w:lang/>
              </w:rPr>
              <w:t>y=-0.190ln(x)+0.3754</w:t>
            </w:r>
          </w:p>
        </w:tc>
        <w:tc>
          <w:tcPr>
            <w:tcW w:w="1650" w:type="dxa"/>
            <w:vAlign w:val="center"/>
          </w:tcPr>
          <w:p>
            <w:pPr>
              <w:widowControl/>
              <w:jc w:val="center"/>
              <w:textAlignment w:val="center"/>
              <w:rPr>
                <w:color w:val="000000"/>
                <w:szCs w:val="21"/>
              </w:rPr>
            </w:pPr>
            <w:r>
              <w:rPr>
                <w:color w:val="000000"/>
                <w:kern w:val="0"/>
                <w:szCs w:val="21"/>
                <w:lang/>
              </w:rPr>
              <w:t>0.9275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2190" w:type="dxa"/>
            <w:vMerge w:val="continue"/>
            <w:vAlign w:val="center"/>
          </w:tcPr>
          <w:p>
            <w:pPr>
              <w:jc w:val="center"/>
              <w:rPr>
                <w:color w:val="000000"/>
                <w:szCs w:val="21"/>
              </w:rPr>
            </w:pPr>
          </w:p>
        </w:tc>
        <w:tc>
          <w:tcPr>
            <w:tcW w:w="1650" w:type="dxa"/>
            <w:vAlign w:val="center"/>
          </w:tcPr>
          <w:p>
            <w:pPr>
              <w:widowControl/>
              <w:jc w:val="center"/>
              <w:textAlignment w:val="center"/>
              <w:rPr>
                <w:color w:val="000000"/>
                <w:szCs w:val="21"/>
              </w:rPr>
            </w:pPr>
            <w:r>
              <w:rPr>
                <w:color w:val="000000"/>
                <w:kern w:val="0"/>
                <w:szCs w:val="21"/>
                <w:lang/>
              </w:rPr>
              <w:t>乘幂模型</w:t>
            </w:r>
          </w:p>
        </w:tc>
        <w:tc>
          <w:tcPr>
            <w:tcW w:w="2280" w:type="dxa"/>
            <w:vAlign w:val="center"/>
          </w:tcPr>
          <w:p>
            <w:pPr>
              <w:widowControl/>
              <w:textAlignment w:val="center"/>
              <w:rPr>
                <w:color w:val="000000"/>
                <w:szCs w:val="21"/>
              </w:rPr>
            </w:pPr>
            <w:r>
              <w:rPr>
                <w:color w:val="000000"/>
                <w:kern w:val="0"/>
                <w:szCs w:val="21"/>
                <w:lang/>
              </w:rPr>
              <w:t>y= 0.4058x</w:t>
            </w:r>
            <w:r>
              <w:rPr>
                <w:rStyle w:val="182"/>
                <w:lang/>
              </w:rPr>
              <w:t>-1.008</w:t>
            </w:r>
          </w:p>
        </w:tc>
        <w:tc>
          <w:tcPr>
            <w:tcW w:w="1650" w:type="dxa"/>
            <w:vAlign w:val="center"/>
          </w:tcPr>
          <w:p>
            <w:pPr>
              <w:widowControl/>
              <w:jc w:val="center"/>
              <w:textAlignment w:val="center"/>
              <w:rPr>
                <w:color w:val="000000"/>
                <w:szCs w:val="21"/>
              </w:rPr>
            </w:pPr>
            <w:r>
              <w:rPr>
                <w:color w:val="000000"/>
                <w:kern w:val="0"/>
                <w:szCs w:val="21"/>
                <w:lang/>
              </w:rPr>
              <w:t>0.9576</w:t>
            </w:r>
          </w:p>
        </w:tc>
      </w:tr>
    </w:tbl>
    <w:p>
      <w:pPr>
        <w:ind w:firstLine="360" w:firstLineChars="200"/>
        <w:rPr>
          <w:sz w:val="18"/>
          <w:szCs w:val="18"/>
        </w:rPr>
      </w:pPr>
      <w:r>
        <w:rPr>
          <w:sz w:val="18"/>
          <w:szCs w:val="18"/>
        </w:rPr>
        <w:t>注:y为楼层分配率，x为建筑物层数(下同)。</w:t>
      </w:r>
    </w:p>
    <w:p>
      <w:pPr>
        <w:spacing w:line="460" w:lineRule="exact"/>
        <w:ind w:firstLine="480" w:firstLineChars="200"/>
        <w:rPr>
          <w:sz w:val="24"/>
        </w:rPr>
      </w:pPr>
      <w:r>
        <w:rPr>
          <w:sz w:val="24"/>
        </w:rPr>
        <w:t>通过多种模型的拟合，可知指数模型和对数模型拟合效果较差，乘幂模型的相关性最佳，R</w:t>
      </w:r>
      <w:r>
        <w:rPr>
          <w:sz w:val="24"/>
          <w:vertAlign w:val="superscript"/>
        </w:rPr>
        <w:t>2</w:t>
      </w:r>
      <w:r>
        <w:rPr>
          <w:sz w:val="24"/>
        </w:rPr>
        <w:t>达到0.95以上。因此判断建筑物层数一楼层地价分配率关系模型为乘幂模型：y=ax</w:t>
      </w:r>
      <w:r>
        <w:rPr>
          <w:sz w:val="24"/>
          <w:vertAlign w:val="superscript"/>
        </w:rPr>
        <w:t>-b</w:t>
      </w:r>
      <w:r>
        <w:rPr>
          <w:sz w:val="24"/>
        </w:rPr>
        <w:t>，据此计算商服用地中不同建筑层数的建筑物层数一楼层地价分配率模型。</w:t>
      </w:r>
    </w:p>
    <w:p>
      <w:pPr>
        <w:spacing w:line="460" w:lineRule="exact"/>
        <w:ind w:firstLine="480" w:firstLineChars="200"/>
        <w:rPr>
          <w:sz w:val="24"/>
        </w:rPr>
      </w:pPr>
      <w:r>
        <w:rPr>
          <w:sz w:val="24"/>
        </w:rPr>
        <w:t>将经营层数相同的商服用地模型归为一类，得到一组曲线，运用最小二乘法对该组曲线进行拟合，即得到楼层数为i的商服用地楼层分配率模型。以楼层数为6的商服用地为例测不同建筑层数的商服用地平均楼层分配率模型。评估区域内满足楼层数为6的商服用地，运用最小二乘法对该组曲线做拟合，得到楼层为6的商服用地的楼层分配率模型:</w:t>
      </w:r>
    </w:p>
    <w:p>
      <w:pPr>
        <w:spacing w:line="460" w:lineRule="exact"/>
        <w:ind w:firstLine="480" w:firstLineChars="200"/>
        <w:jc w:val="center"/>
        <w:rPr>
          <w:sz w:val="28"/>
        </w:rPr>
      </w:pPr>
      <w:r>
        <w:rPr>
          <w:sz w:val="24"/>
        </w:rPr>
        <w:t>y</w:t>
      </w:r>
      <w:r>
        <w:rPr>
          <w:sz w:val="28"/>
        </w:rPr>
        <w:t>=0.4071x</w:t>
      </w:r>
      <w:r>
        <w:rPr>
          <w:sz w:val="28"/>
          <w:vertAlign w:val="superscript"/>
        </w:rPr>
        <w:t>-0.9925</w:t>
      </w:r>
    </w:p>
    <w:p>
      <w:pPr>
        <w:spacing w:line="460" w:lineRule="exact"/>
        <w:ind w:firstLine="480" w:firstLineChars="200"/>
        <w:rPr>
          <w:sz w:val="24"/>
        </w:rPr>
      </w:pPr>
      <w:r>
        <w:rPr>
          <w:sz w:val="24"/>
        </w:rPr>
        <w:t>经过计算R</w:t>
      </w:r>
      <w:r>
        <w:rPr>
          <w:sz w:val="24"/>
          <w:vertAlign w:val="superscript"/>
        </w:rPr>
        <w:t>2</w:t>
      </w:r>
      <w:r>
        <w:rPr>
          <w:sz w:val="24"/>
        </w:rPr>
        <w:t>=0.9842，模型相关性非常好，可以作为商服经营层数为6的商服用地平均楼层分配率测算模型。其他经营层数的商服建筑平均楼层分配率模型可按上述方法求取，这里不再一一赘述。②楼层地价分配率计算</w:t>
      </w:r>
    </w:p>
    <w:p>
      <w:pPr>
        <w:spacing w:line="460" w:lineRule="exact"/>
        <w:ind w:firstLine="480" w:firstLineChars="200"/>
        <w:rPr>
          <w:sz w:val="24"/>
        </w:rPr>
      </w:pPr>
      <w:r>
        <w:rPr>
          <w:sz w:val="24"/>
        </w:rPr>
        <w:t>通过模型，可以计算得到长沙县商服用地不同层数建筑物各个楼层的平均楼层分配率:</w:t>
      </w:r>
    </w:p>
    <w:p>
      <w:pPr>
        <w:pStyle w:val="34"/>
        <w:spacing w:before="0" w:after="0"/>
        <w:ind w:left="0" w:firstLine="482" w:firstLineChars="200"/>
        <w:rPr>
          <w:rFonts w:eastAsia="宋体"/>
          <w:b/>
          <w:sz w:val="24"/>
        </w:rPr>
      </w:pPr>
      <w:r>
        <w:rPr>
          <w:rFonts w:eastAsia="宋体"/>
          <w:b/>
          <w:sz w:val="24"/>
        </w:rPr>
        <w:br w:type="page"/>
      </w:r>
      <w:r>
        <w:rPr>
          <w:rFonts w:eastAsia="宋体"/>
          <w:b/>
          <w:sz w:val="24"/>
        </w:rPr>
        <w:t>表3-6-2 商服用地平均楼层分配率表（％）</w:t>
      </w:r>
    </w:p>
    <w:tbl>
      <w:tblPr>
        <w:tblW w:w="6990" w:type="dxa"/>
        <w:jc w:val="center"/>
        <w:tblInd w:w="6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80"/>
        <w:gridCol w:w="915"/>
        <w:gridCol w:w="1020"/>
        <w:gridCol w:w="870"/>
        <w:gridCol w:w="1080"/>
        <w:gridCol w:w="945"/>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1080" w:type="dxa"/>
            <w:vAlign w:val="center"/>
          </w:tcPr>
          <w:p>
            <w:pPr>
              <w:widowControl/>
              <w:jc w:val="center"/>
              <w:textAlignment w:val="center"/>
              <w:rPr>
                <w:color w:val="000000"/>
                <w:sz w:val="24"/>
                <w:szCs w:val="24"/>
              </w:rPr>
            </w:pPr>
            <w:r>
              <w:rPr>
                <w:color w:val="000000"/>
                <w:kern w:val="0"/>
                <w:sz w:val="24"/>
                <w:szCs w:val="24"/>
                <w:lang/>
              </w:rPr>
              <w:t>建筑层数</w:t>
            </w:r>
          </w:p>
        </w:tc>
        <w:tc>
          <w:tcPr>
            <w:tcW w:w="915" w:type="dxa"/>
            <w:vAlign w:val="center"/>
          </w:tcPr>
          <w:p>
            <w:pPr>
              <w:widowControl/>
              <w:jc w:val="center"/>
              <w:textAlignment w:val="center"/>
              <w:rPr>
                <w:color w:val="000000"/>
                <w:sz w:val="24"/>
                <w:szCs w:val="24"/>
              </w:rPr>
            </w:pPr>
            <w:r>
              <w:rPr>
                <w:color w:val="000000"/>
                <w:kern w:val="0"/>
                <w:sz w:val="24"/>
                <w:szCs w:val="24"/>
                <w:lang/>
              </w:rPr>
              <w:t>共6层</w:t>
            </w:r>
          </w:p>
        </w:tc>
        <w:tc>
          <w:tcPr>
            <w:tcW w:w="1020" w:type="dxa"/>
            <w:vAlign w:val="center"/>
          </w:tcPr>
          <w:p>
            <w:pPr>
              <w:widowControl/>
              <w:jc w:val="center"/>
              <w:textAlignment w:val="center"/>
              <w:rPr>
                <w:color w:val="000000"/>
                <w:sz w:val="24"/>
                <w:szCs w:val="24"/>
              </w:rPr>
            </w:pPr>
            <w:r>
              <w:rPr>
                <w:color w:val="000000"/>
                <w:kern w:val="0"/>
                <w:sz w:val="24"/>
                <w:szCs w:val="24"/>
                <w:lang/>
              </w:rPr>
              <w:t>共5层</w:t>
            </w:r>
          </w:p>
        </w:tc>
        <w:tc>
          <w:tcPr>
            <w:tcW w:w="870" w:type="dxa"/>
            <w:vAlign w:val="center"/>
          </w:tcPr>
          <w:p>
            <w:pPr>
              <w:widowControl/>
              <w:jc w:val="center"/>
              <w:textAlignment w:val="center"/>
              <w:rPr>
                <w:color w:val="000000"/>
                <w:sz w:val="24"/>
                <w:szCs w:val="24"/>
              </w:rPr>
            </w:pPr>
            <w:r>
              <w:rPr>
                <w:color w:val="000000"/>
                <w:kern w:val="0"/>
                <w:sz w:val="24"/>
                <w:szCs w:val="24"/>
                <w:lang/>
              </w:rPr>
              <w:t>共4层</w:t>
            </w:r>
          </w:p>
        </w:tc>
        <w:tc>
          <w:tcPr>
            <w:tcW w:w="1080" w:type="dxa"/>
            <w:vAlign w:val="center"/>
          </w:tcPr>
          <w:p>
            <w:pPr>
              <w:widowControl/>
              <w:jc w:val="center"/>
              <w:textAlignment w:val="center"/>
              <w:rPr>
                <w:color w:val="000000"/>
                <w:sz w:val="24"/>
                <w:szCs w:val="24"/>
              </w:rPr>
            </w:pPr>
            <w:r>
              <w:rPr>
                <w:color w:val="000000"/>
                <w:kern w:val="0"/>
                <w:sz w:val="24"/>
                <w:szCs w:val="24"/>
                <w:lang/>
              </w:rPr>
              <w:t>共3层</w:t>
            </w:r>
          </w:p>
        </w:tc>
        <w:tc>
          <w:tcPr>
            <w:tcW w:w="945" w:type="dxa"/>
            <w:vAlign w:val="center"/>
          </w:tcPr>
          <w:p>
            <w:pPr>
              <w:widowControl/>
              <w:jc w:val="center"/>
              <w:textAlignment w:val="center"/>
              <w:rPr>
                <w:color w:val="000000"/>
                <w:sz w:val="24"/>
                <w:szCs w:val="24"/>
              </w:rPr>
            </w:pPr>
            <w:r>
              <w:rPr>
                <w:color w:val="000000"/>
                <w:kern w:val="0"/>
                <w:sz w:val="24"/>
                <w:szCs w:val="24"/>
                <w:lang/>
              </w:rPr>
              <w:t>共2层</w:t>
            </w:r>
          </w:p>
        </w:tc>
        <w:tc>
          <w:tcPr>
            <w:tcW w:w="1080" w:type="dxa"/>
            <w:vAlign w:val="center"/>
          </w:tcPr>
          <w:p>
            <w:pPr>
              <w:widowControl/>
              <w:jc w:val="center"/>
              <w:textAlignment w:val="center"/>
              <w:rPr>
                <w:color w:val="000000"/>
                <w:sz w:val="24"/>
                <w:szCs w:val="24"/>
              </w:rPr>
            </w:pPr>
            <w:r>
              <w:rPr>
                <w:color w:val="000000"/>
                <w:kern w:val="0"/>
                <w:sz w:val="24"/>
                <w:szCs w:val="24"/>
                <w:lang/>
              </w:rPr>
              <w:t>共1层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1080" w:type="dxa"/>
            <w:vAlign w:val="center"/>
          </w:tcPr>
          <w:p>
            <w:pPr>
              <w:widowControl/>
              <w:jc w:val="center"/>
              <w:textAlignment w:val="center"/>
              <w:rPr>
                <w:color w:val="000000"/>
                <w:sz w:val="24"/>
                <w:szCs w:val="24"/>
              </w:rPr>
            </w:pPr>
            <w:r>
              <w:rPr>
                <w:color w:val="000000"/>
                <w:kern w:val="0"/>
                <w:sz w:val="24"/>
                <w:szCs w:val="24"/>
                <w:lang/>
              </w:rPr>
              <w:t>第1层</w:t>
            </w:r>
          </w:p>
        </w:tc>
        <w:tc>
          <w:tcPr>
            <w:tcW w:w="915" w:type="dxa"/>
            <w:vAlign w:val="center"/>
          </w:tcPr>
          <w:p>
            <w:pPr>
              <w:widowControl/>
              <w:jc w:val="center"/>
              <w:textAlignment w:val="center"/>
              <w:rPr>
                <w:color w:val="000000"/>
                <w:sz w:val="24"/>
                <w:szCs w:val="24"/>
              </w:rPr>
            </w:pPr>
            <w:r>
              <w:rPr>
                <w:color w:val="000000"/>
                <w:kern w:val="0"/>
                <w:sz w:val="24"/>
                <w:szCs w:val="24"/>
                <w:lang/>
              </w:rPr>
              <w:t>40.37</w:t>
            </w:r>
          </w:p>
        </w:tc>
        <w:tc>
          <w:tcPr>
            <w:tcW w:w="1020" w:type="dxa"/>
            <w:vAlign w:val="center"/>
          </w:tcPr>
          <w:p>
            <w:pPr>
              <w:widowControl/>
              <w:jc w:val="center"/>
              <w:textAlignment w:val="center"/>
              <w:rPr>
                <w:color w:val="000000"/>
                <w:sz w:val="24"/>
                <w:szCs w:val="24"/>
              </w:rPr>
            </w:pPr>
            <w:r>
              <w:rPr>
                <w:color w:val="000000"/>
                <w:kern w:val="0"/>
                <w:sz w:val="24"/>
                <w:szCs w:val="24"/>
                <w:lang/>
              </w:rPr>
              <w:t>42.33</w:t>
            </w:r>
          </w:p>
        </w:tc>
        <w:tc>
          <w:tcPr>
            <w:tcW w:w="870" w:type="dxa"/>
            <w:vAlign w:val="center"/>
          </w:tcPr>
          <w:p>
            <w:pPr>
              <w:widowControl/>
              <w:jc w:val="center"/>
              <w:textAlignment w:val="center"/>
              <w:rPr>
                <w:color w:val="000000"/>
                <w:sz w:val="24"/>
                <w:szCs w:val="24"/>
              </w:rPr>
            </w:pPr>
            <w:r>
              <w:rPr>
                <w:color w:val="000000"/>
                <w:kern w:val="0"/>
                <w:sz w:val="24"/>
                <w:szCs w:val="24"/>
                <w:lang/>
              </w:rPr>
              <w:t>43.86</w:t>
            </w:r>
          </w:p>
        </w:tc>
        <w:tc>
          <w:tcPr>
            <w:tcW w:w="1080" w:type="dxa"/>
            <w:vAlign w:val="center"/>
          </w:tcPr>
          <w:p>
            <w:pPr>
              <w:widowControl/>
              <w:jc w:val="center"/>
              <w:textAlignment w:val="center"/>
              <w:rPr>
                <w:color w:val="000000"/>
                <w:sz w:val="24"/>
                <w:szCs w:val="24"/>
              </w:rPr>
            </w:pPr>
            <w:r>
              <w:rPr>
                <w:color w:val="000000"/>
                <w:kern w:val="0"/>
                <w:sz w:val="24"/>
                <w:szCs w:val="24"/>
                <w:lang/>
              </w:rPr>
              <w:t>46.09</w:t>
            </w:r>
          </w:p>
        </w:tc>
        <w:tc>
          <w:tcPr>
            <w:tcW w:w="945" w:type="dxa"/>
            <w:vAlign w:val="center"/>
          </w:tcPr>
          <w:p>
            <w:pPr>
              <w:widowControl/>
              <w:jc w:val="center"/>
              <w:textAlignment w:val="center"/>
              <w:rPr>
                <w:color w:val="000000"/>
                <w:sz w:val="24"/>
                <w:szCs w:val="24"/>
              </w:rPr>
            </w:pPr>
            <w:r>
              <w:rPr>
                <w:color w:val="000000"/>
                <w:kern w:val="0"/>
                <w:sz w:val="24"/>
                <w:szCs w:val="24"/>
                <w:lang/>
              </w:rPr>
              <w:t>61.56</w:t>
            </w:r>
          </w:p>
        </w:tc>
        <w:tc>
          <w:tcPr>
            <w:tcW w:w="1080" w:type="dxa"/>
            <w:vAlign w:val="center"/>
          </w:tcPr>
          <w:p>
            <w:pPr>
              <w:widowControl/>
              <w:jc w:val="center"/>
              <w:textAlignment w:val="center"/>
              <w:rPr>
                <w:color w:val="000000"/>
                <w:sz w:val="24"/>
                <w:szCs w:val="24"/>
              </w:rPr>
            </w:pPr>
            <w:r>
              <w:rPr>
                <w:color w:val="000000"/>
                <w:kern w:val="0"/>
                <w:sz w:val="24"/>
                <w:szCs w:val="24"/>
                <w:lang/>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1080" w:type="dxa"/>
            <w:vAlign w:val="center"/>
          </w:tcPr>
          <w:p>
            <w:pPr>
              <w:widowControl/>
              <w:jc w:val="center"/>
              <w:textAlignment w:val="center"/>
              <w:rPr>
                <w:color w:val="000000"/>
                <w:sz w:val="24"/>
                <w:szCs w:val="24"/>
              </w:rPr>
            </w:pPr>
            <w:r>
              <w:rPr>
                <w:color w:val="000000"/>
                <w:kern w:val="0"/>
                <w:sz w:val="24"/>
                <w:szCs w:val="24"/>
                <w:lang/>
              </w:rPr>
              <w:t>第2层</w:t>
            </w:r>
          </w:p>
        </w:tc>
        <w:tc>
          <w:tcPr>
            <w:tcW w:w="915" w:type="dxa"/>
            <w:vAlign w:val="center"/>
          </w:tcPr>
          <w:p>
            <w:pPr>
              <w:widowControl/>
              <w:jc w:val="center"/>
              <w:textAlignment w:val="center"/>
              <w:rPr>
                <w:color w:val="000000"/>
                <w:sz w:val="24"/>
                <w:szCs w:val="24"/>
              </w:rPr>
            </w:pPr>
            <w:r>
              <w:rPr>
                <w:color w:val="000000"/>
                <w:kern w:val="0"/>
                <w:sz w:val="24"/>
                <w:szCs w:val="24"/>
                <w:lang/>
              </w:rPr>
              <w:t>20.57</w:t>
            </w:r>
          </w:p>
        </w:tc>
        <w:tc>
          <w:tcPr>
            <w:tcW w:w="1020" w:type="dxa"/>
            <w:vAlign w:val="center"/>
          </w:tcPr>
          <w:p>
            <w:pPr>
              <w:widowControl/>
              <w:jc w:val="center"/>
              <w:textAlignment w:val="center"/>
              <w:rPr>
                <w:color w:val="000000"/>
                <w:sz w:val="24"/>
                <w:szCs w:val="24"/>
              </w:rPr>
            </w:pPr>
            <w:r>
              <w:rPr>
                <w:color w:val="000000"/>
                <w:kern w:val="0"/>
                <w:sz w:val="24"/>
                <w:szCs w:val="24"/>
                <w:lang/>
              </w:rPr>
              <w:t>21.99</w:t>
            </w:r>
          </w:p>
        </w:tc>
        <w:tc>
          <w:tcPr>
            <w:tcW w:w="870" w:type="dxa"/>
            <w:vAlign w:val="center"/>
          </w:tcPr>
          <w:p>
            <w:pPr>
              <w:widowControl/>
              <w:jc w:val="center"/>
              <w:textAlignment w:val="center"/>
              <w:rPr>
                <w:color w:val="000000"/>
                <w:sz w:val="24"/>
                <w:szCs w:val="24"/>
              </w:rPr>
            </w:pPr>
            <w:r>
              <w:rPr>
                <w:color w:val="000000"/>
                <w:kern w:val="0"/>
                <w:sz w:val="24"/>
                <w:szCs w:val="24"/>
                <w:lang/>
              </w:rPr>
              <w:t>24.68</w:t>
            </w:r>
          </w:p>
        </w:tc>
        <w:tc>
          <w:tcPr>
            <w:tcW w:w="1080" w:type="dxa"/>
            <w:vAlign w:val="center"/>
          </w:tcPr>
          <w:p>
            <w:pPr>
              <w:widowControl/>
              <w:jc w:val="center"/>
              <w:textAlignment w:val="center"/>
              <w:rPr>
                <w:color w:val="000000"/>
                <w:sz w:val="24"/>
                <w:szCs w:val="24"/>
              </w:rPr>
            </w:pPr>
            <w:r>
              <w:rPr>
                <w:color w:val="000000"/>
                <w:kern w:val="0"/>
                <w:sz w:val="24"/>
                <w:szCs w:val="24"/>
                <w:lang/>
              </w:rPr>
              <w:t>30.24</w:t>
            </w:r>
          </w:p>
        </w:tc>
        <w:tc>
          <w:tcPr>
            <w:tcW w:w="945" w:type="dxa"/>
            <w:vAlign w:val="center"/>
          </w:tcPr>
          <w:p>
            <w:pPr>
              <w:widowControl/>
              <w:jc w:val="center"/>
              <w:textAlignment w:val="center"/>
              <w:rPr>
                <w:color w:val="000000"/>
                <w:sz w:val="24"/>
                <w:szCs w:val="24"/>
              </w:rPr>
            </w:pPr>
            <w:r>
              <w:rPr>
                <w:color w:val="000000"/>
                <w:kern w:val="0"/>
                <w:sz w:val="24"/>
                <w:szCs w:val="24"/>
                <w:lang/>
              </w:rPr>
              <w:t>37.44</w:t>
            </w:r>
          </w:p>
        </w:tc>
        <w:tc>
          <w:tcPr>
            <w:tcW w:w="1080" w:type="dxa"/>
            <w:vAlign w:val="center"/>
          </w:tcPr>
          <w:p>
            <w:pPr>
              <w:widowControl/>
              <w:jc w:val="center"/>
              <w:textAlignment w:val="center"/>
              <w:rPr>
                <w:color w:val="000000"/>
                <w:sz w:val="24"/>
                <w:szCs w:val="24"/>
              </w:rPr>
            </w:pPr>
            <w:r>
              <w:rPr>
                <w:color w:val="000000"/>
                <w:kern w:val="0"/>
                <w:sz w:val="24"/>
                <w:szCs w:val="24"/>
                <w:lang/>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1080" w:type="dxa"/>
            <w:vAlign w:val="center"/>
          </w:tcPr>
          <w:p>
            <w:pPr>
              <w:widowControl/>
              <w:jc w:val="center"/>
              <w:textAlignment w:val="center"/>
              <w:rPr>
                <w:color w:val="000000"/>
                <w:sz w:val="24"/>
                <w:szCs w:val="24"/>
              </w:rPr>
            </w:pPr>
            <w:r>
              <w:rPr>
                <w:color w:val="000000"/>
                <w:kern w:val="0"/>
                <w:sz w:val="24"/>
                <w:szCs w:val="24"/>
                <w:lang/>
              </w:rPr>
              <w:t>第3层</w:t>
            </w:r>
          </w:p>
        </w:tc>
        <w:tc>
          <w:tcPr>
            <w:tcW w:w="915" w:type="dxa"/>
            <w:vAlign w:val="center"/>
          </w:tcPr>
          <w:p>
            <w:pPr>
              <w:widowControl/>
              <w:jc w:val="center"/>
              <w:textAlignment w:val="center"/>
              <w:rPr>
                <w:color w:val="000000"/>
                <w:sz w:val="24"/>
                <w:szCs w:val="24"/>
              </w:rPr>
            </w:pPr>
            <w:r>
              <w:rPr>
                <w:color w:val="000000"/>
                <w:kern w:val="0"/>
                <w:sz w:val="24"/>
                <w:szCs w:val="24"/>
                <w:lang/>
              </w:rPr>
              <w:t>13.56</w:t>
            </w:r>
          </w:p>
        </w:tc>
        <w:tc>
          <w:tcPr>
            <w:tcW w:w="1020" w:type="dxa"/>
            <w:vAlign w:val="center"/>
          </w:tcPr>
          <w:p>
            <w:pPr>
              <w:widowControl/>
              <w:jc w:val="center"/>
              <w:textAlignment w:val="center"/>
              <w:rPr>
                <w:color w:val="000000"/>
                <w:sz w:val="24"/>
                <w:szCs w:val="24"/>
              </w:rPr>
            </w:pPr>
            <w:r>
              <w:rPr>
                <w:color w:val="000000"/>
                <w:kern w:val="0"/>
                <w:sz w:val="24"/>
                <w:szCs w:val="24"/>
                <w:lang/>
              </w:rPr>
              <w:t>14.99</w:t>
            </w:r>
          </w:p>
        </w:tc>
        <w:tc>
          <w:tcPr>
            <w:tcW w:w="870" w:type="dxa"/>
            <w:vAlign w:val="center"/>
          </w:tcPr>
          <w:p>
            <w:pPr>
              <w:widowControl/>
              <w:jc w:val="center"/>
              <w:textAlignment w:val="center"/>
              <w:rPr>
                <w:color w:val="000000"/>
                <w:sz w:val="24"/>
                <w:szCs w:val="24"/>
              </w:rPr>
            </w:pPr>
            <w:r>
              <w:rPr>
                <w:color w:val="000000"/>
                <w:kern w:val="0"/>
                <w:sz w:val="24"/>
                <w:szCs w:val="24"/>
                <w:lang/>
              </w:rPr>
              <w:t>17.59</w:t>
            </w:r>
          </w:p>
        </w:tc>
        <w:tc>
          <w:tcPr>
            <w:tcW w:w="1080" w:type="dxa"/>
            <w:vAlign w:val="center"/>
          </w:tcPr>
          <w:p>
            <w:pPr>
              <w:widowControl/>
              <w:jc w:val="center"/>
              <w:textAlignment w:val="center"/>
              <w:rPr>
                <w:color w:val="000000"/>
                <w:sz w:val="24"/>
                <w:szCs w:val="24"/>
              </w:rPr>
            </w:pPr>
            <w:r>
              <w:rPr>
                <w:color w:val="000000"/>
                <w:kern w:val="0"/>
                <w:sz w:val="24"/>
                <w:szCs w:val="24"/>
                <w:lang/>
              </w:rPr>
              <w:t>23.67</w:t>
            </w:r>
          </w:p>
        </w:tc>
        <w:tc>
          <w:tcPr>
            <w:tcW w:w="945" w:type="dxa"/>
            <w:vAlign w:val="center"/>
          </w:tcPr>
          <w:p>
            <w:pPr>
              <w:widowControl/>
              <w:jc w:val="center"/>
              <w:textAlignment w:val="center"/>
              <w:rPr>
                <w:color w:val="000000"/>
                <w:sz w:val="24"/>
                <w:szCs w:val="24"/>
              </w:rPr>
            </w:pPr>
            <w:r>
              <w:rPr>
                <w:color w:val="000000"/>
                <w:kern w:val="0"/>
                <w:sz w:val="24"/>
                <w:szCs w:val="24"/>
                <w:lang/>
              </w:rPr>
              <w:t>-</w:t>
            </w:r>
          </w:p>
        </w:tc>
        <w:tc>
          <w:tcPr>
            <w:tcW w:w="1080" w:type="dxa"/>
            <w:vAlign w:val="center"/>
          </w:tcPr>
          <w:p>
            <w:pPr>
              <w:widowControl/>
              <w:jc w:val="center"/>
              <w:textAlignment w:val="center"/>
              <w:rPr>
                <w:color w:val="000000"/>
                <w:sz w:val="24"/>
                <w:szCs w:val="24"/>
              </w:rPr>
            </w:pPr>
            <w:r>
              <w:rPr>
                <w:color w:val="000000"/>
                <w:kern w:val="0"/>
                <w:sz w:val="24"/>
                <w:szCs w:val="24"/>
                <w:lang/>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1080" w:type="dxa"/>
            <w:vAlign w:val="center"/>
          </w:tcPr>
          <w:p>
            <w:pPr>
              <w:widowControl/>
              <w:jc w:val="center"/>
              <w:textAlignment w:val="center"/>
              <w:rPr>
                <w:color w:val="000000"/>
                <w:sz w:val="24"/>
                <w:szCs w:val="24"/>
              </w:rPr>
            </w:pPr>
            <w:r>
              <w:rPr>
                <w:color w:val="000000"/>
                <w:kern w:val="0"/>
                <w:sz w:val="24"/>
                <w:szCs w:val="24"/>
                <w:lang/>
              </w:rPr>
              <w:t>第4层</w:t>
            </w:r>
          </w:p>
        </w:tc>
        <w:tc>
          <w:tcPr>
            <w:tcW w:w="915" w:type="dxa"/>
            <w:vAlign w:val="center"/>
          </w:tcPr>
          <w:p>
            <w:pPr>
              <w:widowControl/>
              <w:jc w:val="center"/>
              <w:textAlignment w:val="center"/>
              <w:rPr>
                <w:color w:val="000000"/>
                <w:sz w:val="24"/>
                <w:szCs w:val="24"/>
              </w:rPr>
            </w:pPr>
            <w:r>
              <w:rPr>
                <w:color w:val="000000"/>
                <w:kern w:val="0"/>
                <w:sz w:val="24"/>
                <w:szCs w:val="24"/>
                <w:lang/>
              </w:rPr>
              <w:t>10.29</w:t>
            </w:r>
          </w:p>
        </w:tc>
        <w:tc>
          <w:tcPr>
            <w:tcW w:w="1020" w:type="dxa"/>
            <w:vAlign w:val="center"/>
          </w:tcPr>
          <w:p>
            <w:pPr>
              <w:widowControl/>
              <w:jc w:val="center"/>
              <w:textAlignment w:val="center"/>
              <w:rPr>
                <w:color w:val="000000"/>
                <w:sz w:val="24"/>
                <w:szCs w:val="24"/>
              </w:rPr>
            </w:pPr>
            <w:r>
              <w:rPr>
                <w:color w:val="000000"/>
                <w:kern w:val="0"/>
                <w:sz w:val="24"/>
                <w:szCs w:val="24"/>
                <w:lang/>
              </w:rPr>
              <w:t>11.42</w:t>
            </w:r>
          </w:p>
        </w:tc>
        <w:tc>
          <w:tcPr>
            <w:tcW w:w="870" w:type="dxa"/>
            <w:vAlign w:val="center"/>
          </w:tcPr>
          <w:p>
            <w:pPr>
              <w:widowControl/>
              <w:jc w:val="center"/>
              <w:textAlignment w:val="center"/>
              <w:rPr>
                <w:color w:val="000000"/>
                <w:sz w:val="24"/>
                <w:szCs w:val="24"/>
              </w:rPr>
            </w:pPr>
            <w:r>
              <w:rPr>
                <w:color w:val="000000"/>
                <w:kern w:val="0"/>
                <w:sz w:val="24"/>
                <w:szCs w:val="24"/>
                <w:lang/>
              </w:rPr>
              <w:t>13.87</w:t>
            </w:r>
          </w:p>
        </w:tc>
        <w:tc>
          <w:tcPr>
            <w:tcW w:w="1080" w:type="dxa"/>
            <w:vAlign w:val="center"/>
          </w:tcPr>
          <w:p>
            <w:pPr>
              <w:widowControl/>
              <w:jc w:val="center"/>
              <w:textAlignment w:val="center"/>
              <w:rPr>
                <w:color w:val="000000"/>
                <w:sz w:val="24"/>
                <w:szCs w:val="24"/>
              </w:rPr>
            </w:pPr>
            <w:r>
              <w:rPr>
                <w:color w:val="000000"/>
                <w:kern w:val="0"/>
                <w:sz w:val="24"/>
                <w:szCs w:val="24"/>
                <w:lang/>
              </w:rPr>
              <w:t>-</w:t>
            </w:r>
          </w:p>
        </w:tc>
        <w:tc>
          <w:tcPr>
            <w:tcW w:w="945" w:type="dxa"/>
            <w:vAlign w:val="center"/>
          </w:tcPr>
          <w:p>
            <w:pPr>
              <w:widowControl/>
              <w:jc w:val="center"/>
              <w:textAlignment w:val="center"/>
              <w:rPr>
                <w:color w:val="000000"/>
                <w:sz w:val="24"/>
                <w:szCs w:val="24"/>
              </w:rPr>
            </w:pPr>
            <w:r>
              <w:rPr>
                <w:color w:val="000000"/>
                <w:kern w:val="0"/>
                <w:sz w:val="24"/>
                <w:szCs w:val="24"/>
                <w:lang/>
              </w:rPr>
              <w:t>-</w:t>
            </w:r>
          </w:p>
        </w:tc>
        <w:tc>
          <w:tcPr>
            <w:tcW w:w="1080" w:type="dxa"/>
            <w:vAlign w:val="center"/>
          </w:tcPr>
          <w:p>
            <w:pPr>
              <w:widowControl/>
              <w:jc w:val="center"/>
              <w:textAlignment w:val="center"/>
              <w:rPr>
                <w:color w:val="000000"/>
                <w:sz w:val="24"/>
                <w:szCs w:val="24"/>
              </w:rPr>
            </w:pPr>
            <w:r>
              <w:rPr>
                <w:color w:val="000000"/>
                <w:kern w:val="0"/>
                <w:sz w:val="24"/>
                <w:szCs w:val="24"/>
                <w:lang/>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1080" w:type="dxa"/>
            <w:vAlign w:val="center"/>
          </w:tcPr>
          <w:p>
            <w:pPr>
              <w:widowControl/>
              <w:jc w:val="center"/>
              <w:textAlignment w:val="center"/>
              <w:rPr>
                <w:color w:val="000000"/>
                <w:sz w:val="24"/>
                <w:szCs w:val="24"/>
              </w:rPr>
            </w:pPr>
            <w:r>
              <w:rPr>
                <w:color w:val="000000"/>
                <w:kern w:val="0"/>
                <w:sz w:val="24"/>
                <w:szCs w:val="24"/>
                <w:lang/>
              </w:rPr>
              <w:t>第5层</w:t>
            </w:r>
          </w:p>
        </w:tc>
        <w:tc>
          <w:tcPr>
            <w:tcW w:w="915" w:type="dxa"/>
            <w:vAlign w:val="center"/>
          </w:tcPr>
          <w:p>
            <w:pPr>
              <w:widowControl/>
              <w:jc w:val="center"/>
              <w:textAlignment w:val="center"/>
              <w:rPr>
                <w:color w:val="000000"/>
                <w:sz w:val="24"/>
                <w:szCs w:val="24"/>
              </w:rPr>
            </w:pPr>
            <w:r>
              <w:rPr>
                <w:color w:val="000000"/>
                <w:kern w:val="0"/>
                <w:sz w:val="24"/>
                <w:szCs w:val="24"/>
                <w:lang/>
              </w:rPr>
              <w:t>8.38</w:t>
            </w:r>
          </w:p>
        </w:tc>
        <w:tc>
          <w:tcPr>
            <w:tcW w:w="1020" w:type="dxa"/>
            <w:vAlign w:val="center"/>
          </w:tcPr>
          <w:p>
            <w:pPr>
              <w:widowControl/>
              <w:jc w:val="center"/>
              <w:textAlignment w:val="center"/>
              <w:rPr>
                <w:color w:val="000000"/>
                <w:sz w:val="24"/>
                <w:szCs w:val="24"/>
              </w:rPr>
            </w:pPr>
            <w:r>
              <w:rPr>
                <w:color w:val="000000"/>
                <w:kern w:val="0"/>
                <w:sz w:val="24"/>
                <w:szCs w:val="24"/>
                <w:lang/>
              </w:rPr>
              <w:t>9.27</w:t>
            </w:r>
          </w:p>
        </w:tc>
        <w:tc>
          <w:tcPr>
            <w:tcW w:w="870" w:type="dxa"/>
            <w:vAlign w:val="center"/>
          </w:tcPr>
          <w:p>
            <w:pPr>
              <w:widowControl/>
              <w:jc w:val="center"/>
              <w:textAlignment w:val="center"/>
              <w:rPr>
                <w:color w:val="000000"/>
                <w:sz w:val="24"/>
                <w:szCs w:val="24"/>
              </w:rPr>
            </w:pPr>
            <w:r>
              <w:rPr>
                <w:color w:val="000000"/>
                <w:kern w:val="0"/>
                <w:sz w:val="24"/>
                <w:szCs w:val="24"/>
                <w:lang/>
              </w:rPr>
              <w:t>-</w:t>
            </w:r>
          </w:p>
        </w:tc>
        <w:tc>
          <w:tcPr>
            <w:tcW w:w="1080" w:type="dxa"/>
            <w:vAlign w:val="center"/>
          </w:tcPr>
          <w:p>
            <w:pPr>
              <w:widowControl/>
              <w:jc w:val="center"/>
              <w:textAlignment w:val="center"/>
              <w:rPr>
                <w:color w:val="000000"/>
                <w:sz w:val="24"/>
                <w:szCs w:val="24"/>
              </w:rPr>
            </w:pPr>
            <w:r>
              <w:rPr>
                <w:color w:val="000000"/>
                <w:kern w:val="0"/>
                <w:sz w:val="24"/>
                <w:szCs w:val="24"/>
                <w:lang/>
              </w:rPr>
              <w:t>-</w:t>
            </w:r>
          </w:p>
        </w:tc>
        <w:tc>
          <w:tcPr>
            <w:tcW w:w="945" w:type="dxa"/>
            <w:vAlign w:val="center"/>
          </w:tcPr>
          <w:p>
            <w:pPr>
              <w:widowControl/>
              <w:jc w:val="center"/>
              <w:textAlignment w:val="center"/>
              <w:rPr>
                <w:color w:val="000000"/>
                <w:sz w:val="24"/>
                <w:szCs w:val="24"/>
              </w:rPr>
            </w:pPr>
            <w:r>
              <w:rPr>
                <w:color w:val="000000"/>
                <w:kern w:val="0"/>
                <w:sz w:val="24"/>
                <w:szCs w:val="24"/>
                <w:lang/>
              </w:rPr>
              <w:t>-</w:t>
            </w:r>
          </w:p>
        </w:tc>
        <w:tc>
          <w:tcPr>
            <w:tcW w:w="1080" w:type="dxa"/>
            <w:vAlign w:val="center"/>
          </w:tcPr>
          <w:p>
            <w:pPr>
              <w:widowControl/>
              <w:jc w:val="center"/>
              <w:textAlignment w:val="center"/>
              <w:rPr>
                <w:color w:val="000000"/>
                <w:sz w:val="24"/>
                <w:szCs w:val="24"/>
              </w:rPr>
            </w:pPr>
            <w:r>
              <w:rPr>
                <w:color w:val="000000"/>
                <w:kern w:val="0"/>
                <w:sz w:val="24"/>
                <w:szCs w:val="24"/>
                <w:lang/>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1080" w:type="dxa"/>
            <w:vAlign w:val="center"/>
          </w:tcPr>
          <w:p>
            <w:pPr>
              <w:widowControl/>
              <w:jc w:val="center"/>
              <w:textAlignment w:val="center"/>
              <w:rPr>
                <w:color w:val="000000"/>
                <w:sz w:val="24"/>
                <w:szCs w:val="24"/>
              </w:rPr>
            </w:pPr>
            <w:r>
              <w:rPr>
                <w:color w:val="000000"/>
                <w:kern w:val="0"/>
                <w:sz w:val="24"/>
                <w:szCs w:val="24"/>
                <w:lang/>
              </w:rPr>
              <w:t>第6层</w:t>
            </w:r>
          </w:p>
        </w:tc>
        <w:tc>
          <w:tcPr>
            <w:tcW w:w="915" w:type="dxa"/>
            <w:vAlign w:val="center"/>
          </w:tcPr>
          <w:p>
            <w:pPr>
              <w:widowControl/>
              <w:jc w:val="center"/>
              <w:textAlignment w:val="center"/>
              <w:rPr>
                <w:color w:val="000000"/>
                <w:sz w:val="24"/>
                <w:szCs w:val="24"/>
              </w:rPr>
            </w:pPr>
            <w:r>
              <w:rPr>
                <w:color w:val="000000"/>
                <w:kern w:val="0"/>
                <w:sz w:val="24"/>
                <w:szCs w:val="24"/>
                <w:lang/>
              </w:rPr>
              <w:t>6.83</w:t>
            </w:r>
          </w:p>
        </w:tc>
        <w:tc>
          <w:tcPr>
            <w:tcW w:w="1020" w:type="dxa"/>
            <w:vAlign w:val="center"/>
          </w:tcPr>
          <w:p>
            <w:pPr>
              <w:widowControl/>
              <w:jc w:val="center"/>
              <w:textAlignment w:val="center"/>
              <w:rPr>
                <w:color w:val="000000"/>
                <w:sz w:val="24"/>
                <w:szCs w:val="24"/>
              </w:rPr>
            </w:pPr>
            <w:r>
              <w:rPr>
                <w:color w:val="000000"/>
                <w:kern w:val="0"/>
                <w:sz w:val="24"/>
                <w:szCs w:val="24"/>
                <w:lang/>
              </w:rPr>
              <w:t>-</w:t>
            </w:r>
          </w:p>
        </w:tc>
        <w:tc>
          <w:tcPr>
            <w:tcW w:w="870" w:type="dxa"/>
            <w:vAlign w:val="center"/>
          </w:tcPr>
          <w:p>
            <w:pPr>
              <w:widowControl/>
              <w:jc w:val="center"/>
              <w:textAlignment w:val="center"/>
              <w:rPr>
                <w:color w:val="000000"/>
                <w:sz w:val="24"/>
                <w:szCs w:val="24"/>
              </w:rPr>
            </w:pPr>
            <w:r>
              <w:rPr>
                <w:color w:val="000000"/>
                <w:kern w:val="0"/>
                <w:sz w:val="24"/>
                <w:szCs w:val="24"/>
                <w:lang/>
              </w:rPr>
              <w:t>-</w:t>
            </w:r>
          </w:p>
        </w:tc>
        <w:tc>
          <w:tcPr>
            <w:tcW w:w="1080" w:type="dxa"/>
            <w:vAlign w:val="center"/>
          </w:tcPr>
          <w:p>
            <w:pPr>
              <w:widowControl/>
              <w:jc w:val="center"/>
              <w:textAlignment w:val="center"/>
              <w:rPr>
                <w:color w:val="000000"/>
                <w:sz w:val="24"/>
                <w:szCs w:val="24"/>
              </w:rPr>
            </w:pPr>
            <w:r>
              <w:rPr>
                <w:color w:val="000000"/>
                <w:kern w:val="0"/>
                <w:sz w:val="24"/>
                <w:szCs w:val="24"/>
                <w:lang/>
              </w:rPr>
              <w:t>-</w:t>
            </w:r>
          </w:p>
        </w:tc>
        <w:tc>
          <w:tcPr>
            <w:tcW w:w="945" w:type="dxa"/>
            <w:vAlign w:val="center"/>
          </w:tcPr>
          <w:p>
            <w:pPr>
              <w:widowControl/>
              <w:jc w:val="center"/>
              <w:textAlignment w:val="center"/>
              <w:rPr>
                <w:color w:val="000000"/>
                <w:sz w:val="24"/>
                <w:szCs w:val="24"/>
              </w:rPr>
            </w:pPr>
            <w:r>
              <w:rPr>
                <w:color w:val="000000"/>
                <w:kern w:val="0"/>
                <w:sz w:val="24"/>
                <w:szCs w:val="24"/>
                <w:lang/>
              </w:rPr>
              <w:t>-</w:t>
            </w:r>
          </w:p>
        </w:tc>
        <w:tc>
          <w:tcPr>
            <w:tcW w:w="1080" w:type="dxa"/>
            <w:vAlign w:val="center"/>
          </w:tcPr>
          <w:p>
            <w:pPr>
              <w:widowControl/>
              <w:jc w:val="center"/>
              <w:textAlignment w:val="center"/>
              <w:rPr>
                <w:color w:val="000000"/>
                <w:sz w:val="24"/>
                <w:szCs w:val="24"/>
              </w:rPr>
            </w:pPr>
            <w:r>
              <w:rPr>
                <w:color w:val="000000"/>
                <w:kern w:val="0"/>
                <w:sz w:val="24"/>
                <w:szCs w:val="24"/>
                <w:lang/>
              </w:rPr>
              <w:t>-</w:t>
            </w:r>
          </w:p>
        </w:tc>
      </w:tr>
    </w:tbl>
    <w:p>
      <w:pPr>
        <w:tabs>
          <w:tab w:val="right" w:pos="9298"/>
        </w:tabs>
        <w:spacing w:line="460" w:lineRule="exact"/>
        <w:ind w:firstLine="480" w:firstLineChars="200"/>
        <w:rPr>
          <w:sz w:val="24"/>
        </w:rPr>
      </w:pPr>
      <w:r>
        <w:rPr>
          <w:sz w:val="24"/>
        </w:rPr>
        <w:t>（5）住宅用地楼层分配率的确定</w:t>
      </w:r>
    </w:p>
    <w:p>
      <w:pPr>
        <w:spacing w:line="460" w:lineRule="exact"/>
        <w:ind w:firstLine="480" w:firstLineChars="200"/>
        <w:rPr>
          <w:sz w:val="24"/>
        </w:rPr>
      </w:pPr>
      <w:r>
        <w:rPr>
          <w:sz w:val="24"/>
        </w:rPr>
        <w:t>住宅用地楼层分配率与商服有所不同，住宅的土地空间价值分配呈两头低中间各层较均匀分布态势。对于总层数为八层的住宅楼来说，最大值多分布三、四、五层（见图2-5）。高层住宅中，电梯设备的增加消除了高对价值的负面影响，因此高层住宅地价分布由首层起变大，达到一定高度后，各层地价分配趋于均等（见图2-6）。</w:t>
      </w:r>
    </w:p>
    <w:p>
      <w:pPr>
        <w:tabs>
          <w:tab w:val="left" w:pos="360"/>
          <w:tab w:val="left" w:pos="540"/>
        </w:tabs>
        <w:spacing w:beforeLines="50" w:line="360" w:lineRule="auto"/>
        <w:ind w:firstLine="420" w:firstLineChars="200"/>
        <w:jc w:val="center"/>
        <w:rPr>
          <w:sz w:val="28"/>
        </w:rPr>
      </w:pPr>
      <w:r>
        <w:rPr>
          <w:rFonts w:ascii="Times New Roman" w:hAnsi="Times New Roman" w:eastAsia="宋体" w:cs="Times New Roman"/>
          <w:kern w:val="2"/>
          <w:sz w:val="21"/>
          <w:lang w:val="en-US" w:eastAsia="zh-CN" w:bidi="ar-SA"/>
        </w:rPr>
        <w:pict>
          <v:shape id="图片 1573" o:spid="_x0000_s1318" type="#_x0000_t75" style="height:142.4pt;width:279.75pt;rotation:0f;" o:ole="f" fillcolor="#FFFFFF" filled="f" o:preferrelative="t" stroked="f" coordorigin="0,0" coordsize="21600,21600">
            <v:fill on="f" color2="#FFFFFF" focus="0%"/>
            <v:imagedata gain="65536f" blacklevel="0f" gamma="0" o:title="" r:id="rId126"/>
            <o:lock v:ext="edit" position="f" selection="f" grouping="f" rotation="f" cropping="f" text="f" aspectratio="t"/>
            <w10:wrap type="none"/>
            <w10:anchorlock/>
          </v:shape>
        </w:pict>
      </w:r>
    </w:p>
    <w:p>
      <w:pPr>
        <w:pStyle w:val="34"/>
        <w:spacing w:line="300" w:lineRule="auto"/>
        <w:ind w:left="0" w:firstLine="482" w:firstLineChars="200"/>
        <w:rPr>
          <w:rFonts w:eastAsia="宋体"/>
          <w:b/>
          <w:sz w:val="24"/>
        </w:rPr>
      </w:pPr>
      <w:r>
        <w:rPr>
          <w:rFonts w:eastAsia="宋体"/>
          <w:b/>
          <w:sz w:val="24"/>
        </w:rPr>
        <w:t>图3-6-5 住宅用地地价的空间分配率（多层）</w:t>
      </w:r>
    </w:p>
    <w:p>
      <w:pPr>
        <w:tabs>
          <w:tab w:val="left" w:pos="360"/>
          <w:tab w:val="left" w:pos="540"/>
        </w:tabs>
        <w:spacing w:beforeLines="50" w:line="360" w:lineRule="auto"/>
        <w:ind w:firstLine="420" w:firstLineChars="200"/>
        <w:jc w:val="center"/>
        <w:rPr>
          <w:sz w:val="28"/>
        </w:rPr>
      </w:pPr>
      <w:r>
        <w:rPr>
          <w:rFonts w:ascii="Times New Roman" w:hAnsi="Times New Roman" w:eastAsia="宋体" w:cs="Times New Roman"/>
          <w:kern w:val="2"/>
          <w:sz w:val="21"/>
          <w:lang w:val="en-US" w:eastAsia="zh-CN" w:bidi="ar-SA"/>
        </w:rPr>
        <w:pict>
          <v:shape id="图片 1572" o:spid="_x0000_s1319" type="#_x0000_t75" style="height:137.5pt;width:291.75pt;rotation:0f;" o:ole="f" fillcolor="#FFFFFF" filled="f" o:preferrelative="t" stroked="f" coordorigin="0,0" coordsize="21600,21600">
            <v:fill on="f" color2="#FFFFFF" focus="0%"/>
            <v:imagedata gain="65536f" blacklevel="0f" gamma="0" o:title="" r:id="rId127"/>
            <o:lock v:ext="edit" position="f" selection="f" grouping="f" rotation="f" cropping="f" text="f" aspectratio="t"/>
            <w10:wrap type="none"/>
            <w10:anchorlock/>
          </v:shape>
        </w:pict>
      </w:r>
    </w:p>
    <w:p>
      <w:pPr>
        <w:pStyle w:val="34"/>
        <w:spacing w:line="300" w:lineRule="auto"/>
        <w:ind w:left="0" w:firstLine="482" w:firstLineChars="200"/>
        <w:rPr>
          <w:rFonts w:eastAsia="宋体"/>
          <w:b/>
          <w:sz w:val="24"/>
        </w:rPr>
      </w:pPr>
      <w:r>
        <w:rPr>
          <w:rFonts w:eastAsia="宋体"/>
          <w:b/>
          <w:sz w:val="24"/>
        </w:rPr>
        <w:t>图3-6-6 住宅用地地价的空间分配率（高层）</w:t>
      </w:r>
    </w:p>
    <w:p>
      <w:pPr>
        <w:spacing w:line="460" w:lineRule="exact"/>
        <w:ind w:firstLine="480" w:firstLineChars="200"/>
        <w:rPr>
          <w:sz w:val="24"/>
        </w:rPr>
      </w:pPr>
      <w:r>
        <w:rPr>
          <w:sz w:val="24"/>
        </w:rPr>
        <w:t>住宅用地楼层分配率采用和前部分商服用地同样的计算过程，通过构建模型，可以计算得到住宅用地不同楼层数建筑物各个楼层的平均楼层分配率:</w:t>
      </w:r>
    </w:p>
    <w:p>
      <w:pPr>
        <w:spacing w:line="460" w:lineRule="exact"/>
        <w:ind w:firstLine="482" w:firstLineChars="200"/>
        <w:jc w:val="center"/>
        <w:rPr>
          <w:b/>
          <w:sz w:val="24"/>
        </w:rPr>
      </w:pPr>
      <w:r>
        <w:rPr>
          <w:b/>
          <w:sz w:val="24"/>
        </w:rPr>
        <w:br w:type="page"/>
      </w:r>
    </w:p>
    <w:p>
      <w:pPr>
        <w:spacing w:line="460" w:lineRule="exact"/>
        <w:ind w:firstLine="482" w:firstLineChars="200"/>
        <w:jc w:val="center"/>
        <w:rPr>
          <w:sz w:val="24"/>
        </w:rPr>
      </w:pPr>
      <w:r>
        <w:rPr>
          <w:b/>
          <w:sz w:val="24"/>
        </w:rPr>
        <w:t>表3-6-3长沙县城住宅用地平均楼层分配率表（％）</w:t>
      </w:r>
    </w:p>
    <w:tbl>
      <w:tblPr>
        <w:tblW w:w="83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143"/>
        <w:gridCol w:w="1798"/>
        <w:gridCol w:w="1798"/>
        <w:gridCol w:w="1798"/>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795" w:hRule="atLeast"/>
          <w:jc w:val="center"/>
        </w:trPr>
        <w:tc>
          <w:tcPr>
            <w:tcW w:w="1143" w:type="dxa"/>
            <w:vAlign w:val="center"/>
          </w:tcPr>
          <w:p>
            <w:pPr>
              <w:widowControl/>
              <w:jc w:val="center"/>
              <w:textAlignment w:val="top"/>
              <w:rPr>
                <w:color w:val="000000"/>
                <w:szCs w:val="21"/>
              </w:rPr>
            </w:pPr>
            <w:r>
              <w:rPr>
                <w:color w:val="000000"/>
                <w:kern w:val="0"/>
                <w:szCs w:val="21"/>
                <w:lang/>
              </w:rPr>
              <w:t>楼层</w:t>
            </w:r>
          </w:p>
        </w:tc>
        <w:tc>
          <w:tcPr>
            <w:tcW w:w="1798" w:type="dxa"/>
            <w:vAlign w:val="center"/>
          </w:tcPr>
          <w:p>
            <w:pPr>
              <w:widowControl/>
              <w:jc w:val="center"/>
              <w:textAlignment w:val="top"/>
              <w:rPr>
                <w:color w:val="000000"/>
                <w:szCs w:val="21"/>
              </w:rPr>
            </w:pPr>
            <w:r>
              <w:rPr>
                <w:color w:val="000000"/>
                <w:kern w:val="0"/>
                <w:szCs w:val="21"/>
                <w:lang/>
              </w:rPr>
              <w:t>低层（</w:t>
            </w:r>
            <w:r>
              <w:rPr>
                <w:rStyle w:val="165"/>
                <w:lang/>
              </w:rPr>
              <w:t>1-3</w:t>
            </w:r>
            <w:r>
              <w:rPr>
                <w:rStyle w:val="149"/>
                <w:rFonts w:hint="default" w:ascii="Times New Roman" w:hAnsi="Times New Roman" w:cs="Times New Roman"/>
                <w:lang/>
              </w:rPr>
              <w:t>层）</w:t>
            </w:r>
          </w:p>
        </w:tc>
        <w:tc>
          <w:tcPr>
            <w:tcW w:w="1798" w:type="dxa"/>
            <w:vAlign w:val="center"/>
          </w:tcPr>
          <w:p>
            <w:pPr>
              <w:widowControl/>
              <w:jc w:val="center"/>
              <w:textAlignment w:val="top"/>
              <w:rPr>
                <w:color w:val="000000"/>
                <w:szCs w:val="21"/>
              </w:rPr>
            </w:pPr>
            <w:r>
              <w:rPr>
                <w:color w:val="000000"/>
                <w:kern w:val="0"/>
                <w:szCs w:val="21"/>
                <w:lang/>
              </w:rPr>
              <w:t>小高层（</w:t>
            </w:r>
            <w:r>
              <w:rPr>
                <w:rStyle w:val="165"/>
                <w:lang/>
              </w:rPr>
              <w:t>4-6</w:t>
            </w:r>
            <w:r>
              <w:rPr>
                <w:rStyle w:val="149"/>
                <w:rFonts w:hint="default" w:ascii="Times New Roman" w:hAnsi="Times New Roman" w:cs="Times New Roman"/>
                <w:lang/>
              </w:rPr>
              <w:t>层）</w:t>
            </w:r>
          </w:p>
        </w:tc>
        <w:tc>
          <w:tcPr>
            <w:tcW w:w="1798" w:type="dxa"/>
            <w:vAlign w:val="center"/>
          </w:tcPr>
          <w:p>
            <w:pPr>
              <w:widowControl/>
              <w:jc w:val="center"/>
              <w:textAlignment w:val="top"/>
              <w:rPr>
                <w:color w:val="000000"/>
                <w:szCs w:val="21"/>
              </w:rPr>
            </w:pPr>
            <w:r>
              <w:rPr>
                <w:color w:val="000000"/>
                <w:kern w:val="0"/>
                <w:szCs w:val="21"/>
                <w:lang/>
              </w:rPr>
              <w:t>中高层（</w:t>
            </w:r>
            <w:r>
              <w:rPr>
                <w:rStyle w:val="165"/>
                <w:lang/>
              </w:rPr>
              <w:t>7-9</w:t>
            </w:r>
            <w:r>
              <w:rPr>
                <w:rStyle w:val="149"/>
                <w:rFonts w:hint="default" w:ascii="Times New Roman" w:hAnsi="Times New Roman" w:cs="Times New Roman"/>
                <w:lang/>
              </w:rPr>
              <w:t>层）</w:t>
            </w:r>
          </w:p>
        </w:tc>
        <w:tc>
          <w:tcPr>
            <w:tcW w:w="1799" w:type="dxa"/>
            <w:vAlign w:val="center"/>
          </w:tcPr>
          <w:p>
            <w:pPr>
              <w:widowControl/>
              <w:jc w:val="center"/>
              <w:textAlignment w:val="top"/>
              <w:rPr>
                <w:color w:val="000000"/>
                <w:szCs w:val="21"/>
              </w:rPr>
            </w:pPr>
            <w:r>
              <w:rPr>
                <w:color w:val="000000"/>
                <w:kern w:val="0"/>
                <w:szCs w:val="21"/>
                <w:lang/>
              </w:rPr>
              <w:t>高层</w:t>
            </w:r>
            <w:r>
              <w:rPr>
                <w:rStyle w:val="165"/>
                <w:lang/>
              </w:rPr>
              <w:t>(10</w:t>
            </w:r>
            <w:r>
              <w:rPr>
                <w:rStyle w:val="149"/>
                <w:rFonts w:hint="default" w:ascii="Times New Roman" w:hAnsi="Times New Roman" w:cs="Times New Roman"/>
                <w:lang/>
              </w:rPr>
              <w:t>层以上</w:t>
            </w:r>
            <w:r>
              <w:rPr>
                <w:rStyle w:val="165"/>
                <w:lang/>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1143" w:type="dxa"/>
            <w:vAlign w:val="center"/>
          </w:tcPr>
          <w:p>
            <w:pPr>
              <w:widowControl/>
              <w:jc w:val="center"/>
              <w:textAlignment w:val="top"/>
              <w:rPr>
                <w:color w:val="000000"/>
                <w:szCs w:val="21"/>
              </w:rPr>
            </w:pPr>
            <w:r>
              <w:rPr>
                <w:color w:val="000000"/>
                <w:kern w:val="0"/>
                <w:szCs w:val="21"/>
                <w:lang/>
              </w:rPr>
              <w:t>1</w:t>
            </w:r>
          </w:p>
        </w:tc>
        <w:tc>
          <w:tcPr>
            <w:tcW w:w="1798" w:type="dxa"/>
            <w:vAlign w:val="center"/>
          </w:tcPr>
          <w:p>
            <w:pPr>
              <w:widowControl/>
              <w:jc w:val="center"/>
              <w:textAlignment w:val="top"/>
              <w:rPr>
                <w:color w:val="000000"/>
                <w:szCs w:val="21"/>
              </w:rPr>
            </w:pPr>
            <w:r>
              <w:rPr>
                <w:color w:val="000000"/>
                <w:kern w:val="0"/>
                <w:szCs w:val="21"/>
                <w:lang/>
              </w:rPr>
              <w:t>31.42</w:t>
            </w:r>
          </w:p>
        </w:tc>
        <w:tc>
          <w:tcPr>
            <w:tcW w:w="1798" w:type="dxa"/>
            <w:vAlign w:val="center"/>
          </w:tcPr>
          <w:p>
            <w:pPr>
              <w:widowControl/>
              <w:jc w:val="center"/>
              <w:textAlignment w:val="top"/>
              <w:rPr>
                <w:color w:val="000000"/>
                <w:szCs w:val="21"/>
              </w:rPr>
            </w:pPr>
            <w:r>
              <w:rPr>
                <w:color w:val="000000"/>
                <w:kern w:val="0"/>
                <w:szCs w:val="21"/>
                <w:lang/>
              </w:rPr>
              <w:t>14.23</w:t>
            </w:r>
          </w:p>
        </w:tc>
        <w:tc>
          <w:tcPr>
            <w:tcW w:w="1798" w:type="dxa"/>
            <w:vAlign w:val="center"/>
          </w:tcPr>
          <w:p>
            <w:pPr>
              <w:widowControl/>
              <w:jc w:val="center"/>
              <w:textAlignment w:val="top"/>
              <w:rPr>
                <w:color w:val="000000"/>
                <w:szCs w:val="21"/>
              </w:rPr>
            </w:pPr>
            <w:r>
              <w:rPr>
                <w:color w:val="000000"/>
                <w:kern w:val="0"/>
                <w:szCs w:val="21"/>
                <w:lang/>
              </w:rPr>
              <w:t>7.95</w:t>
            </w:r>
          </w:p>
        </w:tc>
        <w:tc>
          <w:tcPr>
            <w:tcW w:w="1799" w:type="dxa"/>
            <w:vAlign w:val="center"/>
          </w:tcPr>
          <w:p>
            <w:pPr>
              <w:widowControl/>
              <w:jc w:val="center"/>
              <w:textAlignment w:val="top"/>
              <w:rPr>
                <w:color w:val="000000"/>
                <w:szCs w:val="21"/>
              </w:rPr>
            </w:pPr>
            <w:r>
              <w:rPr>
                <w:color w:val="000000"/>
                <w:kern w:val="0"/>
                <w:szCs w:val="21"/>
                <w:lang/>
              </w:rPr>
              <w:t>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1143" w:type="dxa"/>
            <w:vAlign w:val="center"/>
          </w:tcPr>
          <w:p>
            <w:pPr>
              <w:widowControl/>
              <w:jc w:val="center"/>
              <w:textAlignment w:val="top"/>
              <w:rPr>
                <w:color w:val="000000"/>
                <w:szCs w:val="21"/>
              </w:rPr>
            </w:pPr>
            <w:r>
              <w:rPr>
                <w:color w:val="000000"/>
                <w:kern w:val="0"/>
                <w:szCs w:val="21"/>
                <w:lang/>
              </w:rPr>
              <w:t>2</w:t>
            </w:r>
          </w:p>
        </w:tc>
        <w:tc>
          <w:tcPr>
            <w:tcW w:w="1798" w:type="dxa"/>
            <w:vAlign w:val="center"/>
          </w:tcPr>
          <w:p>
            <w:pPr>
              <w:widowControl/>
              <w:jc w:val="center"/>
              <w:textAlignment w:val="top"/>
              <w:rPr>
                <w:color w:val="000000"/>
                <w:szCs w:val="21"/>
              </w:rPr>
            </w:pPr>
            <w:r>
              <w:rPr>
                <w:color w:val="000000"/>
                <w:kern w:val="0"/>
                <w:szCs w:val="21"/>
                <w:lang/>
              </w:rPr>
              <w:t>33.23</w:t>
            </w:r>
          </w:p>
        </w:tc>
        <w:tc>
          <w:tcPr>
            <w:tcW w:w="1798" w:type="dxa"/>
            <w:vAlign w:val="center"/>
          </w:tcPr>
          <w:p>
            <w:pPr>
              <w:widowControl/>
              <w:jc w:val="center"/>
              <w:textAlignment w:val="top"/>
              <w:rPr>
                <w:color w:val="000000"/>
                <w:szCs w:val="21"/>
              </w:rPr>
            </w:pPr>
            <w:r>
              <w:rPr>
                <w:color w:val="000000"/>
                <w:kern w:val="0"/>
                <w:szCs w:val="21"/>
                <w:lang/>
              </w:rPr>
              <w:t>15.42</w:t>
            </w:r>
          </w:p>
        </w:tc>
        <w:tc>
          <w:tcPr>
            <w:tcW w:w="1798" w:type="dxa"/>
            <w:vAlign w:val="center"/>
          </w:tcPr>
          <w:p>
            <w:pPr>
              <w:widowControl/>
              <w:jc w:val="center"/>
              <w:textAlignment w:val="top"/>
              <w:rPr>
                <w:color w:val="000000"/>
                <w:szCs w:val="21"/>
              </w:rPr>
            </w:pPr>
            <w:r>
              <w:rPr>
                <w:color w:val="000000"/>
                <w:kern w:val="0"/>
                <w:szCs w:val="21"/>
                <w:lang/>
              </w:rPr>
              <w:t>9.45</w:t>
            </w:r>
          </w:p>
        </w:tc>
        <w:tc>
          <w:tcPr>
            <w:tcW w:w="1799" w:type="dxa"/>
            <w:vAlign w:val="center"/>
          </w:tcPr>
          <w:p>
            <w:pPr>
              <w:widowControl/>
              <w:jc w:val="center"/>
              <w:textAlignment w:val="top"/>
              <w:rPr>
                <w:color w:val="000000"/>
                <w:szCs w:val="21"/>
              </w:rPr>
            </w:pPr>
            <w:r>
              <w:rPr>
                <w:color w:val="000000"/>
                <w:kern w:val="0"/>
                <w:szCs w:val="21"/>
                <w:lang/>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1143" w:type="dxa"/>
            <w:vAlign w:val="center"/>
          </w:tcPr>
          <w:p>
            <w:pPr>
              <w:widowControl/>
              <w:jc w:val="center"/>
              <w:textAlignment w:val="top"/>
              <w:rPr>
                <w:color w:val="000000"/>
                <w:szCs w:val="21"/>
              </w:rPr>
            </w:pPr>
            <w:r>
              <w:rPr>
                <w:color w:val="000000"/>
                <w:kern w:val="0"/>
                <w:szCs w:val="21"/>
                <w:lang/>
              </w:rPr>
              <w:t>3</w:t>
            </w:r>
          </w:p>
        </w:tc>
        <w:tc>
          <w:tcPr>
            <w:tcW w:w="1798" w:type="dxa"/>
            <w:vAlign w:val="center"/>
          </w:tcPr>
          <w:p>
            <w:pPr>
              <w:widowControl/>
              <w:jc w:val="center"/>
              <w:textAlignment w:val="top"/>
              <w:rPr>
                <w:color w:val="000000"/>
                <w:szCs w:val="21"/>
              </w:rPr>
            </w:pPr>
            <w:r>
              <w:rPr>
                <w:color w:val="000000"/>
                <w:kern w:val="0"/>
                <w:szCs w:val="21"/>
                <w:lang/>
              </w:rPr>
              <w:t>35.34</w:t>
            </w:r>
          </w:p>
        </w:tc>
        <w:tc>
          <w:tcPr>
            <w:tcW w:w="1798" w:type="dxa"/>
            <w:vAlign w:val="center"/>
          </w:tcPr>
          <w:p>
            <w:pPr>
              <w:widowControl/>
              <w:jc w:val="center"/>
              <w:textAlignment w:val="top"/>
              <w:rPr>
                <w:color w:val="000000"/>
                <w:szCs w:val="21"/>
              </w:rPr>
            </w:pPr>
            <w:r>
              <w:rPr>
                <w:color w:val="000000"/>
                <w:kern w:val="0"/>
                <w:szCs w:val="21"/>
                <w:lang/>
              </w:rPr>
              <w:t>19.65</w:t>
            </w:r>
          </w:p>
        </w:tc>
        <w:tc>
          <w:tcPr>
            <w:tcW w:w="1798" w:type="dxa"/>
            <w:vAlign w:val="center"/>
          </w:tcPr>
          <w:p>
            <w:pPr>
              <w:widowControl/>
              <w:jc w:val="center"/>
              <w:textAlignment w:val="top"/>
              <w:rPr>
                <w:color w:val="000000"/>
                <w:szCs w:val="21"/>
              </w:rPr>
            </w:pPr>
            <w:r>
              <w:rPr>
                <w:color w:val="000000"/>
                <w:kern w:val="0"/>
                <w:szCs w:val="21"/>
                <w:lang/>
              </w:rPr>
              <w:t>11.52</w:t>
            </w:r>
          </w:p>
        </w:tc>
        <w:tc>
          <w:tcPr>
            <w:tcW w:w="1799" w:type="dxa"/>
            <w:vAlign w:val="center"/>
          </w:tcPr>
          <w:p>
            <w:pPr>
              <w:widowControl/>
              <w:jc w:val="center"/>
              <w:textAlignment w:val="top"/>
              <w:rPr>
                <w:color w:val="000000"/>
                <w:szCs w:val="21"/>
              </w:rPr>
            </w:pPr>
            <w:r>
              <w:rPr>
                <w:color w:val="000000"/>
                <w:kern w:val="0"/>
                <w:szCs w:val="21"/>
                <w:lang/>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1143" w:type="dxa"/>
            <w:vAlign w:val="center"/>
          </w:tcPr>
          <w:p>
            <w:pPr>
              <w:widowControl/>
              <w:jc w:val="center"/>
              <w:textAlignment w:val="top"/>
              <w:rPr>
                <w:color w:val="000000"/>
                <w:szCs w:val="21"/>
              </w:rPr>
            </w:pPr>
            <w:r>
              <w:rPr>
                <w:color w:val="000000"/>
                <w:kern w:val="0"/>
                <w:szCs w:val="21"/>
                <w:lang/>
              </w:rPr>
              <w:t>4</w:t>
            </w:r>
          </w:p>
        </w:tc>
        <w:tc>
          <w:tcPr>
            <w:tcW w:w="1798" w:type="dxa"/>
            <w:vAlign w:val="center"/>
          </w:tcPr>
          <w:p>
            <w:pPr>
              <w:widowControl/>
              <w:jc w:val="center"/>
              <w:textAlignment w:val="top"/>
              <w:rPr>
                <w:color w:val="000000"/>
                <w:szCs w:val="21"/>
              </w:rPr>
            </w:pPr>
            <w:r>
              <w:rPr>
                <w:color w:val="000000"/>
                <w:kern w:val="0"/>
                <w:szCs w:val="21"/>
                <w:lang/>
              </w:rPr>
              <w:t>/</w:t>
            </w:r>
          </w:p>
        </w:tc>
        <w:tc>
          <w:tcPr>
            <w:tcW w:w="1798" w:type="dxa"/>
            <w:vAlign w:val="center"/>
          </w:tcPr>
          <w:p>
            <w:pPr>
              <w:widowControl/>
              <w:jc w:val="center"/>
              <w:textAlignment w:val="top"/>
              <w:rPr>
                <w:color w:val="000000"/>
                <w:szCs w:val="21"/>
              </w:rPr>
            </w:pPr>
            <w:r>
              <w:rPr>
                <w:color w:val="000000"/>
                <w:kern w:val="0"/>
                <w:szCs w:val="21"/>
                <w:lang/>
              </w:rPr>
              <w:t>20.42</w:t>
            </w:r>
          </w:p>
        </w:tc>
        <w:tc>
          <w:tcPr>
            <w:tcW w:w="1798" w:type="dxa"/>
            <w:vAlign w:val="center"/>
          </w:tcPr>
          <w:p>
            <w:pPr>
              <w:widowControl/>
              <w:jc w:val="center"/>
              <w:textAlignment w:val="top"/>
              <w:rPr>
                <w:color w:val="000000"/>
                <w:szCs w:val="21"/>
              </w:rPr>
            </w:pPr>
            <w:r>
              <w:rPr>
                <w:color w:val="000000"/>
                <w:kern w:val="0"/>
                <w:szCs w:val="21"/>
                <w:lang/>
              </w:rPr>
              <w:t>11.52</w:t>
            </w:r>
          </w:p>
        </w:tc>
        <w:tc>
          <w:tcPr>
            <w:tcW w:w="1799" w:type="dxa"/>
            <w:vAlign w:val="center"/>
          </w:tcPr>
          <w:p>
            <w:pPr>
              <w:widowControl/>
              <w:jc w:val="center"/>
              <w:textAlignment w:val="top"/>
              <w:rPr>
                <w:color w:val="000000"/>
                <w:szCs w:val="21"/>
              </w:rPr>
            </w:pPr>
            <w:r>
              <w:rPr>
                <w:color w:val="000000"/>
                <w:kern w:val="0"/>
                <w:szCs w:val="21"/>
                <w:lang/>
              </w:rPr>
              <w:t>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00" w:hRule="atLeast"/>
          <w:jc w:val="center"/>
        </w:trPr>
        <w:tc>
          <w:tcPr>
            <w:tcW w:w="1143" w:type="dxa"/>
            <w:vAlign w:val="center"/>
          </w:tcPr>
          <w:p>
            <w:pPr>
              <w:widowControl/>
              <w:jc w:val="center"/>
              <w:textAlignment w:val="top"/>
              <w:rPr>
                <w:color w:val="000000"/>
                <w:szCs w:val="21"/>
              </w:rPr>
            </w:pPr>
            <w:r>
              <w:rPr>
                <w:color w:val="000000"/>
                <w:kern w:val="0"/>
                <w:szCs w:val="21"/>
                <w:lang/>
              </w:rPr>
              <w:t>5</w:t>
            </w:r>
          </w:p>
        </w:tc>
        <w:tc>
          <w:tcPr>
            <w:tcW w:w="1798" w:type="dxa"/>
            <w:vAlign w:val="center"/>
          </w:tcPr>
          <w:p>
            <w:pPr>
              <w:widowControl/>
              <w:jc w:val="center"/>
              <w:textAlignment w:val="top"/>
              <w:rPr>
                <w:color w:val="000000"/>
                <w:szCs w:val="21"/>
              </w:rPr>
            </w:pPr>
            <w:r>
              <w:rPr>
                <w:color w:val="000000"/>
                <w:kern w:val="0"/>
                <w:szCs w:val="21"/>
                <w:lang/>
              </w:rPr>
              <w:t>/</w:t>
            </w:r>
          </w:p>
        </w:tc>
        <w:tc>
          <w:tcPr>
            <w:tcW w:w="1798" w:type="dxa"/>
            <w:vAlign w:val="center"/>
          </w:tcPr>
          <w:p>
            <w:pPr>
              <w:widowControl/>
              <w:jc w:val="center"/>
              <w:textAlignment w:val="top"/>
              <w:rPr>
                <w:color w:val="000000"/>
                <w:szCs w:val="21"/>
              </w:rPr>
            </w:pPr>
            <w:r>
              <w:rPr>
                <w:color w:val="000000"/>
                <w:kern w:val="0"/>
                <w:szCs w:val="21"/>
                <w:lang/>
              </w:rPr>
              <w:t>15.56</w:t>
            </w:r>
          </w:p>
        </w:tc>
        <w:tc>
          <w:tcPr>
            <w:tcW w:w="1798" w:type="dxa"/>
            <w:vAlign w:val="center"/>
          </w:tcPr>
          <w:p>
            <w:pPr>
              <w:widowControl/>
              <w:jc w:val="center"/>
              <w:textAlignment w:val="top"/>
              <w:rPr>
                <w:color w:val="000000"/>
                <w:szCs w:val="21"/>
              </w:rPr>
            </w:pPr>
            <w:r>
              <w:rPr>
                <w:color w:val="000000"/>
                <w:kern w:val="0"/>
                <w:szCs w:val="21"/>
                <w:lang/>
              </w:rPr>
              <w:t>11.52</w:t>
            </w:r>
          </w:p>
        </w:tc>
        <w:tc>
          <w:tcPr>
            <w:tcW w:w="1799" w:type="dxa"/>
            <w:vAlign w:val="center"/>
          </w:tcPr>
          <w:p>
            <w:pPr>
              <w:widowControl/>
              <w:jc w:val="center"/>
              <w:textAlignment w:val="top"/>
              <w:rPr>
                <w:color w:val="000000"/>
                <w:szCs w:val="21"/>
              </w:rPr>
            </w:pPr>
            <w:r>
              <w:rPr>
                <w:color w:val="000000"/>
                <w:kern w:val="0"/>
                <w:szCs w:val="21"/>
                <w:lang/>
              </w:rPr>
              <w:t>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1143" w:type="dxa"/>
            <w:vAlign w:val="center"/>
          </w:tcPr>
          <w:p>
            <w:pPr>
              <w:widowControl/>
              <w:jc w:val="center"/>
              <w:textAlignment w:val="top"/>
              <w:rPr>
                <w:color w:val="000000"/>
                <w:szCs w:val="21"/>
              </w:rPr>
            </w:pPr>
            <w:r>
              <w:rPr>
                <w:color w:val="000000"/>
                <w:kern w:val="0"/>
                <w:szCs w:val="21"/>
                <w:lang/>
              </w:rPr>
              <w:t>6</w:t>
            </w:r>
          </w:p>
        </w:tc>
        <w:tc>
          <w:tcPr>
            <w:tcW w:w="1798" w:type="dxa"/>
            <w:vAlign w:val="center"/>
          </w:tcPr>
          <w:p>
            <w:pPr>
              <w:widowControl/>
              <w:jc w:val="center"/>
              <w:textAlignment w:val="top"/>
              <w:rPr>
                <w:color w:val="000000"/>
                <w:szCs w:val="21"/>
              </w:rPr>
            </w:pPr>
            <w:r>
              <w:rPr>
                <w:color w:val="000000"/>
                <w:kern w:val="0"/>
                <w:szCs w:val="21"/>
                <w:lang/>
              </w:rPr>
              <w:t>/</w:t>
            </w:r>
          </w:p>
        </w:tc>
        <w:tc>
          <w:tcPr>
            <w:tcW w:w="1798" w:type="dxa"/>
            <w:vAlign w:val="center"/>
          </w:tcPr>
          <w:p>
            <w:pPr>
              <w:widowControl/>
              <w:jc w:val="center"/>
              <w:textAlignment w:val="top"/>
              <w:rPr>
                <w:color w:val="000000"/>
                <w:szCs w:val="21"/>
              </w:rPr>
            </w:pPr>
            <w:r>
              <w:rPr>
                <w:color w:val="000000"/>
                <w:kern w:val="0"/>
                <w:szCs w:val="21"/>
                <w:lang/>
              </w:rPr>
              <w:t>14.72</w:t>
            </w:r>
          </w:p>
        </w:tc>
        <w:tc>
          <w:tcPr>
            <w:tcW w:w="1798" w:type="dxa"/>
            <w:vAlign w:val="center"/>
          </w:tcPr>
          <w:p>
            <w:pPr>
              <w:widowControl/>
              <w:jc w:val="center"/>
              <w:textAlignment w:val="top"/>
              <w:rPr>
                <w:color w:val="000000"/>
                <w:szCs w:val="21"/>
              </w:rPr>
            </w:pPr>
            <w:r>
              <w:rPr>
                <w:color w:val="000000"/>
                <w:kern w:val="0"/>
                <w:szCs w:val="21"/>
                <w:lang/>
              </w:rPr>
              <w:t>13.36</w:t>
            </w:r>
          </w:p>
        </w:tc>
        <w:tc>
          <w:tcPr>
            <w:tcW w:w="1799" w:type="dxa"/>
            <w:vAlign w:val="center"/>
          </w:tcPr>
          <w:p>
            <w:pPr>
              <w:widowControl/>
              <w:jc w:val="center"/>
              <w:textAlignment w:val="top"/>
              <w:rPr>
                <w:color w:val="000000"/>
                <w:szCs w:val="21"/>
              </w:rPr>
            </w:pPr>
            <w:r>
              <w:rPr>
                <w:color w:val="000000"/>
                <w:kern w:val="0"/>
                <w:szCs w:val="21"/>
                <w:lang/>
              </w:rPr>
              <w:t>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1143" w:type="dxa"/>
            <w:vAlign w:val="center"/>
          </w:tcPr>
          <w:p>
            <w:pPr>
              <w:widowControl/>
              <w:jc w:val="center"/>
              <w:textAlignment w:val="top"/>
              <w:rPr>
                <w:color w:val="000000"/>
                <w:szCs w:val="21"/>
              </w:rPr>
            </w:pPr>
            <w:r>
              <w:rPr>
                <w:color w:val="000000"/>
                <w:kern w:val="0"/>
                <w:szCs w:val="21"/>
                <w:lang/>
              </w:rPr>
              <w:t>7</w:t>
            </w:r>
          </w:p>
        </w:tc>
        <w:tc>
          <w:tcPr>
            <w:tcW w:w="1798" w:type="dxa"/>
            <w:vAlign w:val="center"/>
          </w:tcPr>
          <w:p>
            <w:pPr>
              <w:widowControl/>
              <w:jc w:val="center"/>
              <w:textAlignment w:val="top"/>
              <w:rPr>
                <w:color w:val="000000"/>
                <w:szCs w:val="21"/>
              </w:rPr>
            </w:pPr>
            <w:r>
              <w:rPr>
                <w:color w:val="000000"/>
                <w:kern w:val="0"/>
                <w:szCs w:val="21"/>
                <w:lang/>
              </w:rPr>
              <w:t>/</w:t>
            </w:r>
          </w:p>
        </w:tc>
        <w:tc>
          <w:tcPr>
            <w:tcW w:w="1798" w:type="dxa"/>
            <w:vAlign w:val="center"/>
          </w:tcPr>
          <w:p>
            <w:pPr>
              <w:jc w:val="center"/>
              <w:rPr>
                <w:color w:val="000000"/>
                <w:szCs w:val="21"/>
              </w:rPr>
            </w:pPr>
          </w:p>
        </w:tc>
        <w:tc>
          <w:tcPr>
            <w:tcW w:w="1798" w:type="dxa"/>
            <w:vAlign w:val="center"/>
          </w:tcPr>
          <w:p>
            <w:pPr>
              <w:widowControl/>
              <w:jc w:val="center"/>
              <w:textAlignment w:val="top"/>
              <w:rPr>
                <w:color w:val="000000"/>
                <w:szCs w:val="21"/>
              </w:rPr>
            </w:pPr>
            <w:r>
              <w:rPr>
                <w:color w:val="000000"/>
                <w:kern w:val="0"/>
                <w:szCs w:val="21"/>
                <w:lang/>
              </w:rPr>
              <w:t>13.36</w:t>
            </w:r>
          </w:p>
        </w:tc>
        <w:tc>
          <w:tcPr>
            <w:tcW w:w="1799" w:type="dxa"/>
            <w:vAlign w:val="center"/>
          </w:tcPr>
          <w:p>
            <w:pPr>
              <w:widowControl/>
              <w:jc w:val="center"/>
              <w:textAlignment w:val="top"/>
              <w:rPr>
                <w:color w:val="000000"/>
                <w:szCs w:val="21"/>
              </w:rPr>
            </w:pPr>
            <w:r>
              <w:rPr>
                <w:color w:val="000000"/>
                <w:kern w:val="0"/>
                <w:szCs w:val="21"/>
                <w:lang/>
              </w:rPr>
              <w:t>10.97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1143" w:type="dxa"/>
            <w:vAlign w:val="center"/>
          </w:tcPr>
          <w:p>
            <w:pPr>
              <w:widowControl/>
              <w:jc w:val="center"/>
              <w:textAlignment w:val="top"/>
              <w:rPr>
                <w:color w:val="000000"/>
                <w:szCs w:val="21"/>
              </w:rPr>
            </w:pPr>
            <w:r>
              <w:rPr>
                <w:color w:val="000000"/>
                <w:kern w:val="0"/>
                <w:szCs w:val="21"/>
                <w:lang/>
              </w:rPr>
              <w:t>8</w:t>
            </w:r>
          </w:p>
        </w:tc>
        <w:tc>
          <w:tcPr>
            <w:tcW w:w="1798" w:type="dxa"/>
            <w:vAlign w:val="center"/>
          </w:tcPr>
          <w:p>
            <w:pPr>
              <w:widowControl/>
              <w:jc w:val="center"/>
              <w:textAlignment w:val="top"/>
              <w:rPr>
                <w:color w:val="000000"/>
                <w:szCs w:val="21"/>
              </w:rPr>
            </w:pPr>
            <w:r>
              <w:rPr>
                <w:color w:val="000000"/>
                <w:kern w:val="0"/>
                <w:szCs w:val="21"/>
                <w:lang/>
              </w:rPr>
              <w:t>/</w:t>
            </w:r>
          </w:p>
        </w:tc>
        <w:tc>
          <w:tcPr>
            <w:tcW w:w="1798" w:type="dxa"/>
            <w:vAlign w:val="center"/>
          </w:tcPr>
          <w:p>
            <w:pPr>
              <w:jc w:val="center"/>
              <w:rPr>
                <w:color w:val="000000"/>
                <w:szCs w:val="21"/>
              </w:rPr>
            </w:pPr>
          </w:p>
        </w:tc>
        <w:tc>
          <w:tcPr>
            <w:tcW w:w="1798" w:type="dxa"/>
            <w:vAlign w:val="center"/>
          </w:tcPr>
          <w:p>
            <w:pPr>
              <w:widowControl/>
              <w:jc w:val="center"/>
              <w:textAlignment w:val="top"/>
              <w:rPr>
                <w:color w:val="000000"/>
                <w:szCs w:val="21"/>
              </w:rPr>
            </w:pPr>
            <w:r>
              <w:rPr>
                <w:color w:val="000000"/>
                <w:kern w:val="0"/>
                <w:szCs w:val="21"/>
                <w:lang/>
              </w:rPr>
              <w:t>13.36</w:t>
            </w:r>
          </w:p>
        </w:tc>
        <w:tc>
          <w:tcPr>
            <w:tcW w:w="1799" w:type="dxa"/>
            <w:vAlign w:val="center"/>
          </w:tcPr>
          <w:p>
            <w:pPr>
              <w:widowControl/>
              <w:jc w:val="center"/>
              <w:textAlignment w:val="top"/>
              <w:rPr>
                <w:color w:val="000000"/>
                <w:szCs w:val="21"/>
              </w:rPr>
            </w:pPr>
            <w:r>
              <w:rPr>
                <w:color w:val="000000"/>
                <w:kern w:val="0"/>
                <w:szCs w:val="21"/>
                <w:lang/>
              </w:rPr>
              <w:t>10.97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1143" w:type="dxa"/>
            <w:vAlign w:val="center"/>
          </w:tcPr>
          <w:p>
            <w:pPr>
              <w:widowControl/>
              <w:jc w:val="center"/>
              <w:textAlignment w:val="top"/>
              <w:rPr>
                <w:color w:val="000000"/>
                <w:szCs w:val="21"/>
              </w:rPr>
            </w:pPr>
            <w:r>
              <w:rPr>
                <w:color w:val="000000"/>
                <w:kern w:val="0"/>
                <w:szCs w:val="21"/>
                <w:lang/>
              </w:rPr>
              <w:t>9</w:t>
            </w:r>
          </w:p>
        </w:tc>
        <w:tc>
          <w:tcPr>
            <w:tcW w:w="1798" w:type="dxa"/>
            <w:vAlign w:val="center"/>
          </w:tcPr>
          <w:p>
            <w:pPr>
              <w:widowControl/>
              <w:jc w:val="center"/>
              <w:textAlignment w:val="top"/>
              <w:rPr>
                <w:color w:val="000000"/>
                <w:szCs w:val="21"/>
              </w:rPr>
            </w:pPr>
            <w:r>
              <w:rPr>
                <w:color w:val="000000"/>
                <w:kern w:val="0"/>
                <w:szCs w:val="21"/>
                <w:lang/>
              </w:rPr>
              <w:t>/</w:t>
            </w:r>
          </w:p>
        </w:tc>
        <w:tc>
          <w:tcPr>
            <w:tcW w:w="1798" w:type="dxa"/>
            <w:vAlign w:val="center"/>
          </w:tcPr>
          <w:p>
            <w:pPr>
              <w:jc w:val="center"/>
              <w:rPr>
                <w:color w:val="000000"/>
                <w:szCs w:val="21"/>
              </w:rPr>
            </w:pPr>
          </w:p>
        </w:tc>
        <w:tc>
          <w:tcPr>
            <w:tcW w:w="1798" w:type="dxa"/>
            <w:vAlign w:val="center"/>
          </w:tcPr>
          <w:p>
            <w:pPr>
              <w:widowControl/>
              <w:jc w:val="center"/>
              <w:textAlignment w:val="top"/>
              <w:rPr>
                <w:color w:val="000000"/>
                <w:szCs w:val="21"/>
              </w:rPr>
            </w:pPr>
            <w:r>
              <w:rPr>
                <w:color w:val="000000"/>
                <w:kern w:val="0"/>
                <w:szCs w:val="21"/>
                <w:lang/>
              </w:rPr>
              <w:t>7.96</w:t>
            </w:r>
          </w:p>
        </w:tc>
        <w:tc>
          <w:tcPr>
            <w:tcW w:w="1799" w:type="dxa"/>
            <w:vAlign w:val="center"/>
          </w:tcPr>
          <w:p>
            <w:pPr>
              <w:widowControl/>
              <w:jc w:val="center"/>
              <w:textAlignment w:val="top"/>
              <w:rPr>
                <w:color w:val="000000"/>
                <w:szCs w:val="21"/>
              </w:rPr>
            </w:pPr>
            <w:r>
              <w:rPr>
                <w:color w:val="000000"/>
                <w:kern w:val="0"/>
                <w:szCs w:val="21"/>
                <w:lang/>
              </w:rPr>
              <w:t>10.97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1143" w:type="dxa"/>
            <w:vAlign w:val="center"/>
          </w:tcPr>
          <w:p>
            <w:pPr>
              <w:widowControl/>
              <w:jc w:val="center"/>
              <w:textAlignment w:val="top"/>
              <w:rPr>
                <w:color w:val="000000"/>
                <w:szCs w:val="21"/>
              </w:rPr>
            </w:pPr>
            <w:r>
              <w:rPr>
                <w:color w:val="000000"/>
                <w:kern w:val="0"/>
                <w:szCs w:val="21"/>
                <w:lang/>
              </w:rPr>
              <w:t>10</w:t>
            </w:r>
          </w:p>
        </w:tc>
        <w:tc>
          <w:tcPr>
            <w:tcW w:w="1798" w:type="dxa"/>
            <w:vAlign w:val="center"/>
          </w:tcPr>
          <w:p>
            <w:pPr>
              <w:widowControl/>
              <w:jc w:val="center"/>
              <w:textAlignment w:val="top"/>
              <w:rPr>
                <w:color w:val="000000"/>
                <w:szCs w:val="21"/>
              </w:rPr>
            </w:pPr>
            <w:r>
              <w:rPr>
                <w:color w:val="000000"/>
                <w:kern w:val="0"/>
                <w:szCs w:val="21"/>
                <w:lang/>
              </w:rPr>
              <w:t>/</w:t>
            </w:r>
          </w:p>
        </w:tc>
        <w:tc>
          <w:tcPr>
            <w:tcW w:w="1798" w:type="dxa"/>
            <w:vAlign w:val="center"/>
          </w:tcPr>
          <w:p>
            <w:pPr>
              <w:jc w:val="center"/>
              <w:rPr>
                <w:color w:val="000000"/>
                <w:szCs w:val="21"/>
              </w:rPr>
            </w:pPr>
          </w:p>
        </w:tc>
        <w:tc>
          <w:tcPr>
            <w:tcW w:w="1798" w:type="dxa"/>
            <w:vAlign w:val="center"/>
          </w:tcPr>
          <w:p>
            <w:pPr>
              <w:jc w:val="center"/>
              <w:rPr>
                <w:color w:val="000000"/>
                <w:szCs w:val="21"/>
              </w:rPr>
            </w:pPr>
          </w:p>
        </w:tc>
        <w:tc>
          <w:tcPr>
            <w:tcW w:w="1799" w:type="dxa"/>
            <w:vAlign w:val="center"/>
          </w:tcPr>
          <w:p>
            <w:pPr>
              <w:widowControl/>
              <w:jc w:val="center"/>
              <w:textAlignment w:val="top"/>
              <w:rPr>
                <w:color w:val="000000"/>
                <w:szCs w:val="21"/>
              </w:rPr>
            </w:pPr>
            <w:r>
              <w:rPr>
                <w:color w:val="000000"/>
                <w:kern w:val="0"/>
                <w:szCs w:val="21"/>
                <w:lang/>
              </w:rPr>
              <w:t>10.97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1143" w:type="dxa"/>
            <w:vAlign w:val="center"/>
          </w:tcPr>
          <w:p>
            <w:pPr>
              <w:widowControl/>
              <w:jc w:val="center"/>
              <w:textAlignment w:val="top"/>
              <w:rPr>
                <w:color w:val="000000"/>
                <w:szCs w:val="21"/>
              </w:rPr>
            </w:pPr>
            <w:r>
              <w:rPr>
                <w:color w:val="000000"/>
                <w:kern w:val="0"/>
                <w:szCs w:val="21"/>
                <w:lang/>
              </w:rPr>
              <w:t>11</w:t>
            </w:r>
          </w:p>
        </w:tc>
        <w:tc>
          <w:tcPr>
            <w:tcW w:w="1798" w:type="dxa"/>
            <w:vAlign w:val="center"/>
          </w:tcPr>
          <w:p>
            <w:pPr>
              <w:widowControl/>
              <w:jc w:val="center"/>
              <w:textAlignment w:val="top"/>
              <w:rPr>
                <w:color w:val="000000"/>
                <w:szCs w:val="21"/>
              </w:rPr>
            </w:pPr>
            <w:r>
              <w:rPr>
                <w:color w:val="000000"/>
                <w:kern w:val="0"/>
                <w:szCs w:val="21"/>
                <w:lang/>
              </w:rPr>
              <w:t>/</w:t>
            </w:r>
          </w:p>
        </w:tc>
        <w:tc>
          <w:tcPr>
            <w:tcW w:w="1798" w:type="dxa"/>
            <w:vAlign w:val="center"/>
          </w:tcPr>
          <w:p>
            <w:pPr>
              <w:jc w:val="center"/>
              <w:rPr>
                <w:color w:val="000000"/>
                <w:szCs w:val="21"/>
              </w:rPr>
            </w:pPr>
          </w:p>
        </w:tc>
        <w:tc>
          <w:tcPr>
            <w:tcW w:w="1798" w:type="dxa"/>
            <w:vAlign w:val="center"/>
          </w:tcPr>
          <w:p>
            <w:pPr>
              <w:jc w:val="center"/>
              <w:rPr>
                <w:color w:val="000000"/>
                <w:szCs w:val="21"/>
              </w:rPr>
            </w:pPr>
          </w:p>
        </w:tc>
        <w:tc>
          <w:tcPr>
            <w:tcW w:w="1799" w:type="dxa"/>
            <w:vAlign w:val="center"/>
          </w:tcPr>
          <w:p>
            <w:pPr>
              <w:widowControl/>
              <w:jc w:val="center"/>
              <w:textAlignment w:val="top"/>
              <w:rPr>
                <w:color w:val="000000"/>
                <w:szCs w:val="21"/>
              </w:rPr>
            </w:pPr>
            <w:r>
              <w:rPr>
                <w:color w:val="000000"/>
                <w:kern w:val="0"/>
                <w:szCs w:val="21"/>
                <w:lang/>
              </w:rPr>
              <w:t>10.97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1143" w:type="dxa"/>
            <w:vAlign w:val="center"/>
          </w:tcPr>
          <w:p>
            <w:pPr>
              <w:widowControl/>
              <w:jc w:val="center"/>
              <w:textAlignment w:val="top"/>
              <w:rPr>
                <w:color w:val="000000"/>
                <w:szCs w:val="21"/>
              </w:rPr>
            </w:pPr>
            <w:r>
              <w:rPr>
                <w:color w:val="000000"/>
                <w:kern w:val="0"/>
                <w:szCs w:val="21"/>
                <w:lang/>
              </w:rPr>
              <w:t>12</w:t>
            </w:r>
          </w:p>
        </w:tc>
        <w:tc>
          <w:tcPr>
            <w:tcW w:w="1798" w:type="dxa"/>
            <w:vAlign w:val="center"/>
          </w:tcPr>
          <w:p>
            <w:pPr>
              <w:widowControl/>
              <w:jc w:val="center"/>
              <w:textAlignment w:val="top"/>
              <w:rPr>
                <w:color w:val="000000"/>
                <w:szCs w:val="21"/>
              </w:rPr>
            </w:pPr>
            <w:r>
              <w:rPr>
                <w:color w:val="000000"/>
                <w:kern w:val="0"/>
                <w:szCs w:val="21"/>
                <w:lang/>
              </w:rPr>
              <w:t>/</w:t>
            </w:r>
          </w:p>
        </w:tc>
        <w:tc>
          <w:tcPr>
            <w:tcW w:w="1798" w:type="dxa"/>
            <w:vAlign w:val="center"/>
          </w:tcPr>
          <w:p>
            <w:pPr>
              <w:jc w:val="center"/>
              <w:rPr>
                <w:color w:val="000000"/>
                <w:szCs w:val="21"/>
              </w:rPr>
            </w:pPr>
          </w:p>
        </w:tc>
        <w:tc>
          <w:tcPr>
            <w:tcW w:w="1798" w:type="dxa"/>
            <w:vAlign w:val="center"/>
          </w:tcPr>
          <w:p>
            <w:pPr>
              <w:jc w:val="center"/>
              <w:rPr>
                <w:color w:val="000000"/>
                <w:szCs w:val="21"/>
              </w:rPr>
            </w:pPr>
          </w:p>
        </w:tc>
        <w:tc>
          <w:tcPr>
            <w:tcW w:w="1799" w:type="dxa"/>
            <w:vAlign w:val="center"/>
          </w:tcPr>
          <w:p>
            <w:pPr>
              <w:widowControl/>
              <w:jc w:val="center"/>
              <w:textAlignment w:val="top"/>
              <w:rPr>
                <w:color w:val="000000"/>
                <w:szCs w:val="21"/>
              </w:rPr>
            </w:pPr>
            <w:r>
              <w:rPr>
                <w:color w:val="000000"/>
                <w:kern w:val="0"/>
                <w:szCs w:val="21"/>
                <w:lang/>
              </w:rPr>
              <w:t>5.77</w:t>
            </w:r>
          </w:p>
        </w:tc>
      </w:tr>
    </w:tbl>
    <w:p>
      <w:pPr>
        <w:ind w:firstLine="360" w:firstLineChars="200"/>
      </w:pPr>
      <w:r>
        <w:rPr>
          <w:sz w:val="18"/>
          <w:szCs w:val="18"/>
        </w:rPr>
        <w:t>备注：楼层数均取高值，未到达高值时按情况取值．</w:t>
      </w:r>
    </w:p>
    <w:p>
      <w:pPr>
        <w:tabs>
          <w:tab w:val="right" w:pos="9298"/>
        </w:tabs>
        <w:spacing w:beforeLines="50" w:line="460" w:lineRule="exact"/>
        <w:ind w:firstLine="482" w:firstLineChars="200"/>
        <w:rPr>
          <w:b/>
          <w:sz w:val="24"/>
        </w:rPr>
      </w:pPr>
      <w:r>
        <w:rPr>
          <w:b/>
          <w:sz w:val="24"/>
        </w:rPr>
        <w:t>2、容积率修正</w:t>
      </w:r>
    </w:p>
    <w:p>
      <w:pPr>
        <w:tabs>
          <w:tab w:val="right" w:pos="9298"/>
        </w:tabs>
        <w:spacing w:line="460" w:lineRule="exact"/>
        <w:ind w:firstLine="480" w:firstLineChars="200"/>
        <w:rPr>
          <w:sz w:val="24"/>
        </w:rPr>
      </w:pPr>
      <w:r>
        <w:rPr>
          <w:sz w:val="24"/>
        </w:rPr>
        <w:t>容积率是西方国家（主要是美国）在20世纪初推行城市土地区划管理制度所采用的一项重要指标，最早见于1917年美国纽约颁布的土地分区管理法，以地块内建筑规模控制替代了早期的单纯建筑高度和体量控制，为建筑设计提供了灵活性，并以无量纲比值表达，使用灵活、方便，利于管理控制。美、日、台地区称容积率为Floor Area Ration（FAR）,香港、英国则用Plot Ration表示。容积率在我国内陆的应用较晚，1987年在《民用建筑设计通则（JGJ37-87）》才开始列有“建筑容积率”指标，1994年实施的《城市居住区规划设计规范》对容积率指标具有明确的规定。容积率的使用是在城市规划过程中，为了防止建筑密度过高、土地使用强度过大，致使环境产生问题的而制定的一项控制指标。</w:t>
      </w:r>
    </w:p>
    <w:p>
      <w:pPr>
        <w:tabs>
          <w:tab w:val="right" w:pos="9298"/>
        </w:tabs>
        <w:spacing w:line="460" w:lineRule="exact"/>
        <w:ind w:firstLine="480" w:firstLineChars="200"/>
        <w:rPr>
          <w:sz w:val="24"/>
        </w:rPr>
      </w:pPr>
      <w:r>
        <w:rPr>
          <w:sz w:val="24"/>
        </w:rPr>
        <w:t>容积率，又称“建筑容积率”，按照中国《城市规划基本术语标准》的定义，容积率是在一定地块上，总建筑面积与地块面积的比值，即容积率（FAR）=总建筑面积（Sc）/用地总面积（S</w:t>
      </w:r>
      <w:r>
        <w:rPr>
          <w:sz w:val="24"/>
          <w:vertAlign w:val="subscript"/>
        </w:rPr>
        <w:t>l</w:t>
      </w:r>
      <w:r>
        <w:rPr>
          <w:sz w:val="24"/>
        </w:rPr>
        <w:t>）。一定地块的容积率反映了土地利用强度、土地利用效益的高低，同时也反映了城市地价水平的差异。</w:t>
      </w:r>
    </w:p>
    <w:p>
      <w:pPr>
        <w:tabs>
          <w:tab w:val="right" w:pos="9298"/>
        </w:tabs>
        <w:spacing w:line="460" w:lineRule="exact"/>
        <w:ind w:firstLine="480" w:firstLineChars="200"/>
        <w:rPr>
          <w:sz w:val="24"/>
        </w:rPr>
      </w:pPr>
      <w:r>
        <w:rPr>
          <w:sz w:val="24"/>
        </w:rPr>
        <w:t>（1）容积率的特性</w:t>
      </w:r>
    </w:p>
    <w:p>
      <w:pPr>
        <w:tabs>
          <w:tab w:val="right" w:pos="9298"/>
        </w:tabs>
        <w:spacing w:line="460" w:lineRule="exact"/>
        <w:ind w:firstLine="480" w:firstLineChars="200"/>
        <w:rPr>
          <w:sz w:val="24"/>
        </w:rPr>
      </w:pPr>
      <w:r>
        <w:rPr>
          <w:sz w:val="24"/>
        </w:rPr>
        <w:t>1）容积率反映了环境质量的优劣</w:t>
      </w:r>
    </w:p>
    <w:p>
      <w:pPr>
        <w:tabs>
          <w:tab w:val="right" w:pos="9298"/>
        </w:tabs>
        <w:spacing w:line="460" w:lineRule="exact"/>
        <w:ind w:firstLine="480" w:firstLineChars="200"/>
        <w:rPr>
          <w:sz w:val="24"/>
        </w:rPr>
      </w:pPr>
      <w:r>
        <w:rPr>
          <w:sz w:val="24"/>
        </w:rPr>
        <w:t>容积率也可以用地块上建筑密度与地块上建筑的平均层数的乘积来表示。在容积率一定的情况下，建筑密度与平均层数成反比，即建筑密度降低，意味着地块上建筑的平均层数提高。建筑密度与平均层数所反映的建筑体量正是体现建筑环境优劣的重要指标，建筑密度体现了基地内决定日照、绿化等条件的室外空间的多少；建筑体量反映了基地外部的审美要求，如街道景观、历史特色等。对于居住小区或某一地段而言，居住空间越开阔，绿地、停车场等设施的比重越大，整体的环境质量就越高。反之，高楼过于密集，绿色空间不足，环境质量下降。因此，环境的要求决定了容积率的大小，容积率的大小同样反映了环境的质量。如果将反映某一区域环境质量的相关指标进行转换，可引申出下列公式。</w:t>
      </w:r>
    </w:p>
    <w:p>
      <w:pPr>
        <w:tabs>
          <w:tab w:val="right" w:pos="9298"/>
        </w:tabs>
        <w:spacing w:line="460" w:lineRule="exact"/>
        <w:ind w:firstLine="480" w:firstLineChars="200"/>
        <w:jc w:val="center"/>
        <w:rPr>
          <w:sz w:val="24"/>
        </w:rPr>
      </w:pPr>
      <w:r>
        <w:rPr>
          <w:sz w:val="24"/>
        </w:rPr>
        <w:t>FAR=S</w:t>
      </w:r>
      <w:r>
        <w:rPr>
          <w:sz w:val="24"/>
          <w:vertAlign w:val="subscript"/>
        </w:rPr>
        <w:t>c</w:t>
      </w:r>
      <w:r>
        <w:rPr>
          <w:sz w:val="24"/>
        </w:rPr>
        <w:t>/S</w:t>
      </w:r>
      <w:r>
        <w:rPr>
          <w:sz w:val="24"/>
          <w:vertAlign w:val="subscript"/>
        </w:rPr>
        <w:t>l</w:t>
      </w:r>
      <w:r>
        <w:rPr>
          <w:sz w:val="24"/>
        </w:rPr>
        <w:t>=S</w:t>
      </w:r>
      <w:r>
        <w:rPr>
          <w:sz w:val="24"/>
          <w:vertAlign w:val="subscript"/>
        </w:rPr>
        <w:t>b</w:t>
      </w:r>
      <w:r>
        <w:rPr>
          <w:sz w:val="24"/>
        </w:rPr>
        <w:t>*N/S</w:t>
      </w:r>
      <w:r>
        <w:rPr>
          <w:sz w:val="24"/>
          <w:vertAlign w:val="subscript"/>
        </w:rPr>
        <w:t>l</w:t>
      </w:r>
      <w:r>
        <w:rPr>
          <w:sz w:val="24"/>
        </w:rPr>
        <w:t>=D</w:t>
      </w:r>
      <w:r>
        <w:rPr>
          <w:sz w:val="24"/>
          <w:vertAlign w:val="subscript"/>
        </w:rPr>
        <w:t>C</w:t>
      </w:r>
      <w:r>
        <w:rPr>
          <w:sz w:val="24"/>
        </w:rPr>
        <w:t>*N=(1-D</w:t>
      </w:r>
      <w:r>
        <w:rPr>
          <w:sz w:val="24"/>
          <w:vertAlign w:val="subscript"/>
        </w:rPr>
        <w:t>g</w:t>
      </w:r>
      <w:r>
        <w:rPr>
          <w:sz w:val="24"/>
        </w:rPr>
        <w:t>-D</w:t>
      </w:r>
      <w:r>
        <w:rPr>
          <w:sz w:val="24"/>
          <w:vertAlign w:val="subscript"/>
        </w:rPr>
        <w:t>p</w:t>
      </w:r>
      <w:r>
        <w:rPr>
          <w:sz w:val="24"/>
        </w:rPr>
        <w:t>-D</w:t>
      </w:r>
      <w:r>
        <w:rPr>
          <w:sz w:val="24"/>
          <w:vertAlign w:val="subscript"/>
        </w:rPr>
        <w:t>s</w:t>
      </w:r>
      <w:r>
        <w:rPr>
          <w:sz w:val="24"/>
        </w:rPr>
        <w:t xml:space="preserve">)*N    </w:t>
      </w:r>
    </w:p>
    <w:p>
      <w:pPr>
        <w:tabs>
          <w:tab w:val="right" w:pos="9298"/>
        </w:tabs>
        <w:spacing w:line="460" w:lineRule="exact"/>
        <w:ind w:firstLine="480" w:firstLineChars="200"/>
        <w:rPr>
          <w:sz w:val="24"/>
        </w:rPr>
      </w:pPr>
      <w:r>
        <w:rPr>
          <w:sz w:val="24"/>
        </w:rPr>
        <w:t>式中： S</w:t>
      </w:r>
      <w:r>
        <w:rPr>
          <w:sz w:val="24"/>
          <w:vertAlign w:val="subscript"/>
        </w:rPr>
        <w:t>b</w:t>
      </w:r>
      <w:r>
        <w:rPr>
          <w:sz w:val="24"/>
        </w:rPr>
        <w:t>：建筑基地面积总和；         N：平均层数；</w:t>
      </w:r>
    </w:p>
    <w:p>
      <w:pPr>
        <w:tabs>
          <w:tab w:val="right" w:pos="9298"/>
        </w:tabs>
        <w:spacing w:line="460" w:lineRule="exact"/>
        <w:ind w:firstLine="480" w:firstLineChars="200"/>
        <w:rPr>
          <w:sz w:val="24"/>
        </w:rPr>
      </w:pPr>
      <w:r>
        <w:rPr>
          <w:sz w:val="24"/>
        </w:rPr>
        <w:t>D</w:t>
      </w:r>
      <w:r>
        <w:rPr>
          <w:sz w:val="24"/>
          <w:vertAlign w:val="subscript"/>
        </w:rPr>
        <w:t>C</w:t>
      </w:r>
      <w:r>
        <w:rPr>
          <w:sz w:val="24"/>
        </w:rPr>
        <w:t>：建筑密度；                 D</w:t>
      </w:r>
      <w:r>
        <w:rPr>
          <w:sz w:val="24"/>
          <w:vertAlign w:val="subscript"/>
        </w:rPr>
        <w:t>g</w:t>
      </w:r>
      <w:r>
        <w:rPr>
          <w:sz w:val="24"/>
        </w:rPr>
        <w:t>：绿地率；</w:t>
      </w:r>
    </w:p>
    <w:p>
      <w:pPr>
        <w:tabs>
          <w:tab w:val="right" w:pos="9298"/>
        </w:tabs>
        <w:spacing w:line="460" w:lineRule="exact"/>
        <w:ind w:firstLine="480" w:firstLineChars="200"/>
        <w:rPr>
          <w:sz w:val="24"/>
        </w:rPr>
      </w:pPr>
      <w:r>
        <w:rPr>
          <w:sz w:val="24"/>
        </w:rPr>
        <w:t>D</w:t>
      </w:r>
      <w:r>
        <w:rPr>
          <w:sz w:val="24"/>
          <w:vertAlign w:val="subscript"/>
        </w:rPr>
        <w:t>p</w:t>
      </w:r>
      <w:r>
        <w:rPr>
          <w:sz w:val="24"/>
        </w:rPr>
        <w:t>：停车场覆盖率；             D</w:t>
      </w:r>
      <w:r>
        <w:rPr>
          <w:sz w:val="24"/>
          <w:vertAlign w:val="subscript"/>
        </w:rPr>
        <w:t>s</w:t>
      </w:r>
      <w:r>
        <w:rPr>
          <w:sz w:val="24"/>
        </w:rPr>
        <w:t>：空地比率</w:t>
      </w:r>
    </w:p>
    <w:p>
      <w:pPr>
        <w:tabs>
          <w:tab w:val="right" w:pos="9298"/>
        </w:tabs>
        <w:spacing w:line="460" w:lineRule="exact"/>
        <w:ind w:firstLine="480" w:firstLineChars="200"/>
        <w:rPr>
          <w:sz w:val="24"/>
        </w:rPr>
      </w:pPr>
      <w:r>
        <w:rPr>
          <w:sz w:val="24"/>
        </w:rPr>
        <w:t>2）容积率是有一定弹性的“相对指标”，存在理论上最佳值</w:t>
      </w:r>
    </w:p>
    <w:p>
      <w:pPr>
        <w:tabs>
          <w:tab w:val="right" w:pos="9298"/>
        </w:tabs>
        <w:spacing w:line="400" w:lineRule="exact"/>
        <w:ind w:firstLine="480" w:firstLineChars="200"/>
        <w:rPr>
          <w:sz w:val="24"/>
        </w:rPr>
      </w:pPr>
      <w:r>
        <w:rPr>
          <w:sz w:val="24"/>
        </w:rPr>
        <w:t>前文讲述了容积率是反映城市环境质量优劣的重要指标，当容积率处在在一定区间内，容积率越大，则说明土地利用程度越高，土地利用效益越大；但当容积率取值超过此区间时，则有可能突破整个城市合理的环境容量，从而导致城市“环境隐患”，使城市环境质量恶化，整体效益下降。因此，从城市环境容量而言，容积率在理论上存在一个最佳值。目前，城市最佳容积率一般由城市规划部门根据城市环境容量对建筑物的承载能力而确定，并对城市土地合理利用进行有效控制。因此，容积率不仅反映了土地的利用状况，也是影响宗地地价的主要因素之一，在用楼面地价评估基准地价时，必须将楼面地价修正到设定容积率下，通过容积率修正，可以消除容积率不同而造成地价水平的差异。</w:t>
      </w:r>
    </w:p>
    <w:p>
      <w:pPr>
        <w:tabs>
          <w:tab w:val="right" w:pos="9298"/>
        </w:tabs>
        <w:spacing w:line="400" w:lineRule="exact"/>
        <w:ind w:firstLine="480" w:firstLineChars="200"/>
        <w:rPr>
          <w:sz w:val="24"/>
        </w:rPr>
      </w:pPr>
      <w:r>
        <w:rPr>
          <w:sz w:val="24"/>
        </w:rPr>
        <w:t>3）不同土地利用用途的容积率不同</w:t>
      </w:r>
    </w:p>
    <w:p>
      <w:pPr>
        <w:tabs>
          <w:tab w:val="right" w:pos="9298"/>
        </w:tabs>
        <w:spacing w:line="400" w:lineRule="exact"/>
        <w:ind w:firstLine="480" w:firstLineChars="200"/>
        <w:rPr>
          <w:sz w:val="24"/>
        </w:rPr>
      </w:pPr>
      <w:r>
        <w:rPr>
          <w:sz w:val="24"/>
        </w:rPr>
        <w:t>从容积率的定义及容积率计算公式来看，容积率本身是不分土地利用用途的。但基准地价是指某一用途某一容积率下的地价，这就意味着容积率也应该是某一用途下的容积率，不同用地类型容积率对地价的影响程度不一样，如果不分用途来分析容积率与地价之间的关系，是没有意义的。因此，根据基准地价评估的需要及不同用地类型对土地需求不同，通常根据土地利用用途分为商服用地容积率、住宅用地容积率及工矿仓储用地容积率。商服用地容积率是指某一具体地块上商服用途总建筑面积（包括其附属设施）与地块面积比；住宅用地容积率是指在某一具体地块上，住宅用途总建筑面积（包括其附属设施）与地块面积的比值；工矿仓储用地容积率是指在某一具体地块上，工矿仓储用途总建筑面积（包括其附属设施）与地块面积的比值。</w:t>
      </w:r>
    </w:p>
    <w:p>
      <w:pPr>
        <w:tabs>
          <w:tab w:val="right" w:pos="9298"/>
        </w:tabs>
        <w:spacing w:line="400" w:lineRule="exact"/>
        <w:ind w:firstLine="480" w:firstLineChars="200"/>
        <w:rPr>
          <w:sz w:val="24"/>
        </w:rPr>
      </w:pPr>
      <w:r>
        <w:rPr>
          <w:sz w:val="24"/>
        </w:rPr>
        <w:t>（2）容积率对楼面地价的影响分析</w:t>
      </w:r>
    </w:p>
    <w:p>
      <w:pPr>
        <w:tabs>
          <w:tab w:val="right" w:pos="9298"/>
        </w:tabs>
        <w:spacing w:line="400" w:lineRule="exact"/>
        <w:ind w:firstLine="480" w:firstLineChars="200"/>
        <w:rPr>
          <w:sz w:val="24"/>
        </w:rPr>
      </w:pPr>
      <w:r>
        <w:rPr>
          <w:sz w:val="24"/>
        </w:rPr>
        <w:t>在前文介绍的容积率特性中，可知容积率在城市规划中存在一个理论上的最佳值，在一定地域内，宗地上单位建筑面积分摊的地价有随容积率升高而下降的趋势，则在容积率达到理论最佳值之前，单位建筑面积成本随容积率升高而降低，而土地投资者单位建筑面积的收益仍存在增加的空间。当土地投资者继续加大投资，在容积率达到最佳值之后，结合土地报酬递增递减理论，土地投资者单位建筑面积收益则降低。土地价格与容积率的关系图如下：</w:t>
      </w:r>
    </w:p>
    <w:p>
      <w:pPr>
        <w:tabs>
          <w:tab w:val="right" w:pos="9298"/>
        </w:tabs>
        <w:ind w:firstLine="480" w:firstLineChars="200"/>
        <w:jc w:val="center"/>
        <w:rPr>
          <w:sz w:val="24"/>
        </w:rPr>
      </w:pPr>
      <w:r>
        <w:rPr>
          <w:rFonts w:ascii="Times New Roman" w:hAnsi="Times New Roman" w:eastAsia="宋体" w:cs="Times New Roman"/>
          <w:kern w:val="2"/>
          <w:sz w:val="24"/>
          <w:lang w:val="en-US" w:eastAsia="zh-CN" w:bidi="ar-SA"/>
        </w:rPr>
        <w:pict>
          <v:shape id="图片 30" o:spid="_x0000_s1320" type="#_x0000_t75" style="height:153.25pt;width:350.8pt;rotation:0f;" o:ole="f" fillcolor="#FFFFFF" filled="f" o:preferrelative="t" stroked="f" coordorigin="0,0" coordsize="21600,21600">
            <v:fill on="f" color2="#FFFFFF" focus="0%"/>
            <v:imagedata gain="65536f" blacklevel="0f" gamma="0" o:title="" r:id="rId128"/>
            <o:lock v:ext="edit" position="f" selection="f" grouping="f" rotation="f" cropping="f" text="f" aspectratio="t"/>
            <w10:wrap type="none"/>
            <w10:anchorlock/>
          </v:shape>
        </w:pict>
      </w:r>
    </w:p>
    <w:p>
      <w:pPr>
        <w:tabs>
          <w:tab w:val="right" w:pos="9298"/>
        </w:tabs>
        <w:spacing w:line="460" w:lineRule="exact"/>
        <w:ind w:firstLine="482" w:firstLineChars="200"/>
        <w:jc w:val="center"/>
        <w:rPr>
          <w:b/>
          <w:sz w:val="24"/>
        </w:rPr>
      </w:pPr>
      <w:r>
        <w:rPr>
          <w:b/>
          <w:sz w:val="24"/>
        </w:rPr>
        <w:t>图3-6-7 地价与容积率的关系示意图</w:t>
      </w:r>
    </w:p>
    <w:p>
      <w:pPr>
        <w:tabs>
          <w:tab w:val="right" w:pos="9298"/>
        </w:tabs>
        <w:spacing w:line="460" w:lineRule="exact"/>
        <w:ind w:firstLine="480" w:firstLineChars="200"/>
        <w:rPr>
          <w:sz w:val="24"/>
        </w:rPr>
      </w:pPr>
      <w:r>
        <w:rPr>
          <w:sz w:val="24"/>
        </w:rPr>
        <w:t>从地价与容积率的关系示意图可知，由于容积率存在理论上的最佳值，故地价与容积率的关系示意图并非简单的线性关系，而是呈类似抛物线的关系。根据单位土地面积的楼面地价等于地价与容积率的差值可得，当图中的地价除以容积率时即得到楼面地价，楼面地价与容积率的关系示意图如下：</w:t>
      </w:r>
    </w:p>
    <w:p>
      <w:pPr>
        <w:tabs>
          <w:tab w:val="right" w:pos="9298"/>
        </w:tabs>
        <w:ind w:firstLine="480" w:firstLineChars="200"/>
        <w:jc w:val="center"/>
        <w:rPr>
          <w:sz w:val="24"/>
        </w:rPr>
      </w:pPr>
      <w:r>
        <w:rPr>
          <w:rFonts w:ascii="Times New Roman" w:hAnsi="Times New Roman" w:eastAsia="宋体" w:cs="Times New Roman"/>
          <w:kern w:val="2"/>
          <w:sz w:val="24"/>
          <w:lang w:val="en-US" w:eastAsia="zh-CN" w:bidi="ar-SA"/>
        </w:rPr>
        <w:pict>
          <v:shape id="图片 34" o:spid="_x0000_s1321" type="#_x0000_t75" style="height:156.55pt;width:349.1pt;rotation:0f;" o:ole="f" fillcolor="#FFFFFF" filled="f" o:preferrelative="t" stroked="f" coordorigin="0,0" coordsize="21600,21600">
            <v:fill on="f" color2="#FFFFFF" focus="0%"/>
            <v:imagedata gain="65536f" blacklevel="0f" gamma="0" o:title="" r:id="rId129"/>
            <o:lock v:ext="edit" position="f" selection="f" grouping="f" rotation="f" cropping="f" text="f" aspectratio="t"/>
            <w10:wrap type="none"/>
            <w10:anchorlock/>
          </v:shape>
        </w:pict>
      </w:r>
    </w:p>
    <w:p>
      <w:pPr>
        <w:tabs>
          <w:tab w:val="right" w:pos="9298"/>
        </w:tabs>
        <w:spacing w:line="460" w:lineRule="exact"/>
        <w:ind w:left="573" w:firstLine="482" w:firstLineChars="200"/>
        <w:jc w:val="center"/>
        <w:rPr>
          <w:b/>
          <w:sz w:val="24"/>
        </w:rPr>
      </w:pPr>
      <w:r>
        <w:rPr>
          <w:b/>
          <w:sz w:val="24"/>
        </w:rPr>
        <w:t>图3-6-8 楼面地价与容积率的关系示意图</w:t>
      </w:r>
    </w:p>
    <w:p>
      <w:pPr>
        <w:tabs>
          <w:tab w:val="right" w:pos="9298"/>
        </w:tabs>
        <w:spacing w:line="460" w:lineRule="exact"/>
        <w:ind w:firstLine="480" w:firstLineChars="200"/>
        <w:rPr>
          <w:sz w:val="24"/>
        </w:rPr>
      </w:pPr>
      <w:r>
        <w:rPr>
          <w:sz w:val="24"/>
        </w:rPr>
        <w:t>从楼面地价与容积率的关系示意图可知，楼面地价随容积率的增加先呈下降的趋势，在容积率达到一定值后，楼面地价又呈上升的趋势。前文已经对长沙县各土地级别上样点的楼面地价进行了测算，并对其进行了样点楼面地价的使用时间修正、年期修正及楼层分配率修正，得到个别容积率的楼面地价，而楼面基准地价是指设定容积率下的平均楼面地价，需对个别容积率下的楼面地价进行容积率修正后，得到设定容积率条件下的楼面地价。</w:t>
      </w:r>
    </w:p>
    <w:p>
      <w:pPr>
        <w:tabs>
          <w:tab w:val="right" w:pos="9298"/>
        </w:tabs>
        <w:spacing w:line="460" w:lineRule="exact"/>
        <w:ind w:firstLine="480" w:firstLineChars="200"/>
        <w:rPr>
          <w:sz w:val="24"/>
        </w:rPr>
      </w:pPr>
      <w:r>
        <w:rPr>
          <w:sz w:val="24"/>
        </w:rPr>
        <w:t>3）容积率—楼面地价的关系式分析</w:t>
      </w:r>
    </w:p>
    <w:p>
      <w:pPr>
        <w:tabs>
          <w:tab w:val="right" w:pos="9298"/>
        </w:tabs>
        <w:spacing w:afterLines="50" w:line="460" w:lineRule="exact"/>
        <w:ind w:firstLine="480" w:firstLineChars="200"/>
        <w:rPr>
          <w:sz w:val="24"/>
        </w:rPr>
      </w:pPr>
      <w:r>
        <w:rPr>
          <w:sz w:val="24"/>
        </w:rPr>
        <w:t>通过对长沙县各土地级别上个别容积率下的楼面地价进行楼面地价与容积率关系式分析，得到长沙县商服用地、住宅用地五个土地级别上样点楼面地价与容积率的关系图，见下图。</w:t>
      </w:r>
    </w:p>
    <w:p>
      <w:pPr>
        <w:spacing w:line="360" w:lineRule="auto"/>
        <w:ind w:firstLine="420" w:firstLineChars="200"/>
        <w:jc w:val="center"/>
      </w:pPr>
      <w:r>
        <w:rPr>
          <w:rFonts w:ascii="Times New Roman" w:hAnsi="Times New Roman" w:eastAsia="宋体" w:cs="Times New Roman"/>
          <w:kern w:val="2"/>
          <w:sz w:val="21"/>
          <w:lang w:val="en-US" w:eastAsia="zh-CN" w:bidi="ar-SA"/>
        </w:rPr>
        <w:pict>
          <v:shape id="图表 2" o:spid="_x0000_s1322" type="" style="height:193.5pt;width:372pt;rotation:0f;" o:ole="f" fillcolor="#FFFFFF" filled="t" o:preferrelative="t" stroked="t" coordorigin="0,0" coordsize="21600,21600">
            <v:stroke color="#000000" color2="#FFFFFF" miterlimit="2"/>
            <v:imagedata gain="65536f" blacklevel="0f" gamma="0"/>
            <o:lock v:ext="edit" position="f" selection="f" grouping="f" rotation="f" cropping="f" text="f" aspectratio="f"/>
            <w10:wrap type="none"/>
            <w10:anchorlock/>
          </v:shape>
        </w:pict>
      </w:r>
    </w:p>
    <w:p>
      <w:pPr>
        <w:spacing w:line="360" w:lineRule="auto"/>
        <w:ind w:firstLine="482" w:firstLineChars="200"/>
        <w:jc w:val="center"/>
      </w:pPr>
      <w:r>
        <w:rPr>
          <w:b/>
          <w:sz w:val="24"/>
        </w:rPr>
        <w:t>图3-6-9 长沙县商服用地楼面地价与容积率的关系图</w:t>
      </w:r>
    </w:p>
    <w:p>
      <w:pPr>
        <w:spacing w:line="360" w:lineRule="auto"/>
        <w:ind w:firstLine="420" w:firstLineChars="200"/>
        <w:jc w:val="center"/>
      </w:pPr>
      <w:r>
        <w:rPr>
          <w:rFonts w:ascii="Times New Roman" w:hAnsi="Times New Roman" w:eastAsia="宋体" w:cs="Times New Roman"/>
          <w:kern w:val="2"/>
          <w:sz w:val="21"/>
          <w:lang w:val="en-US" w:eastAsia="zh-CN" w:bidi="ar-SA"/>
        </w:rPr>
        <w:pict>
          <v:shape id="图表 1" o:spid="_x0000_s1323" type="" style="height:196.5pt;width:376.5pt;rotation:0f;" o:ole="f" fillcolor="#FFFFFF" filled="t" o:preferrelative="t" stroked="t" coordorigin="0,0" coordsize="21600,21600">
            <v:stroke color="#000000" color2="#FFFFFF" miterlimit="2"/>
            <v:imagedata gain="65536f" blacklevel="0f" gamma="0"/>
            <o:lock v:ext="edit" position="f" selection="f" grouping="f" rotation="f" cropping="f" text="f" aspectratio="f"/>
            <w10:wrap type="none"/>
            <w10:anchorlock/>
          </v:shape>
        </w:pict>
      </w:r>
    </w:p>
    <w:p>
      <w:pPr>
        <w:spacing w:line="360" w:lineRule="auto"/>
        <w:ind w:firstLine="482" w:firstLineChars="200"/>
        <w:jc w:val="center"/>
        <w:rPr>
          <w:b/>
          <w:sz w:val="24"/>
        </w:rPr>
      </w:pPr>
      <w:r>
        <w:rPr>
          <w:b/>
          <w:sz w:val="24"/>
        </w:rPr>
        <w:t>图3-6-10 长沙县住宅用地楼面地价与容积率的关系图</w:t>
      </w:r>
    </w:p>
    <w:p>
      <w:pPr>
        <w:tabs>
          <w:tab w:val="right" w:pos="9298"/>
        </w:tabs>
        <w:spacing w:line="460" w:lineRule="exact"/>
        <w:ind w:firstLine="480" w:firstLineChars="200"/>
        <w:rPr>
          <w:sz w:val="24"/>
        </w:rPr>
      </w:pPr>
      <w:r>
        <w:rPr>
          <w:sz w:val="24"/>
        </w:rPr>
        <w:t>通过对长沙县商服用地、住宅用地五个土地级别上样点的楼面地价与容积率进行数学模型拟合后，得到商服用地、住宅用地各土地级别的楼面地价与容积率的关系式及相关系数如下：</w:t>
      </w:r>
    </w:p>
    <w:p>
      <w:pPr>
        <w:widowControl/>
        <w:ind w:firstLine="482" w:firstLineChars="200"/>
        <w:jc w:val="center"/>
        <w:rPr>
          <w:b/>
          <w:sz w:val="24"/>
        </w:rPr>
      </w:pPr>
      <w:r>
        <w:rPr>
          <w:b/>
          <w:sz w:val="24"/>
        </w:rPr>
        <w:br w:type="page"/>
      </w:r>
    </w:p>
    <w:p>
      <w:pPr>
        <w:widowControl/>
        <w:ind w:firstLine="482" w:firstLineChars="200"/>
        <w:jc w:val="center"/>
        <w:rPr>
          <w:b/>
          <w:sz w:val="24"/>
        </w:rPr>
      </w:pPr>
      <w:r>
        <w:rPr>
          <w:b/>
          <w:sz w:val="24"/>
        </w:rPr>
        <w:t>表3-6-4 长沙县城区商服用地楼面地价与容积率的关系式</w:t>
      </w:r>
    </w:p>
    <w:tbl>
      <w:tblPr>
        <w:tblW w:w="92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1"/>
        <w:gridCol w:w="3551"/>
        <w:gridCol w:w="2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1" w:type="dxa"/>
            <w:vAlign w:val="center"/>
          </w:tcPr>
          <w:p>
            <w:pPr>
              <w:tabs>
                <w:tab w:val="right" w:pos="9298"/>
              </w:tabs>
              <w:jc w:val="center"/>
              <w:rPr>
                <w:sz w:val="24"/>
              </w:rPr>
            </w:pPr>
            <w:r>
              <w:rPr>
                <w:sz w:val="24"/>
              </w:rPr>
              <w:t>商服用地土地级别</w:t>
            </w:r>
          </w:p>
        </w:tc>
        <w:tc>
          <w:tcPr>
            <w:tcW w:w="3551" w:type="dxa"/>
            <w:vAlign w:val="center"/>
          </w:tcPr>
          <w:p>
            <w:pPr>
              <w:tabs>
                <w:tab w:val="right" w:pos="9298"/>
              </w:tabs>
              <w:jc w:val="center"/>
              <w:rPr>
                <w:sz w:val="24"/>
              </w:rPr>
            </w:pPr>
            <w:r>
              <w:rPr>
                <w:sz w:val="24"/>
              </w:rPr>
              <w:t>楼面地价与容积率的关系式</w:t>
            </w:r>
          </w:p>
        </w:tc>
        <w:tc>
          <w:tcPr>
            <w:tcW w:w="2611" w:type="dxa"/>
            <w:vAlign w:val="center"/>
          </w:tcPr>
          <w:p>
            <w:pPr>
              <w:tabs>
                <w:tab w:val="right" w:pos="9298"/>
              </w:tabs>
              <w:jc w:val="center"/>
              <w:rPr>
                <w:sz w:val="24"/>
              </w:rPr>
            </w:pPr>
            <w:r>
              <w:rPr>
                <w:sz w:val="24"/>
              </w:rPr>
              <w:t>相关系数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1" w:type="dxa"/>
            <w:vAlign w:val="center"/>
          </w:tcPr>
          <w:p>
            <w:pPr>
              <w:tabs>
                <w:tab w:val="right" w:pos="9298"/>
              </w:tabs>
              <w:jc w:val="center"/>
              <w:rPr>
                <w:sz w:val="24"/>
              </w:rPr>
            </w:pPr>
            <w:r>
              <w:rPr>
                <w:sz w:val="24"/>
              </w:rPr>
              <w:t>商服Ⅰ级</w:t>
            </w:r>
          </w:p>
        </w:tc>
        <w:tc>
          <w:tcPr>
            <w:tcW w:w="3551" w:type="dxa"/>
            <w:vAlign w:val="top"/>
          </w:tcPr>
          <w:p>
            <w:pPr>
              <w:jc w:val="center"/>
              <w:rPr>
                <w:sz w:val="24"/>
                <w:szCs w:val="24"/>
              </w:rPr>
            </w:pPr>
            <w:r>
              <w:rPr>
                <w:sz w:val="24"/>
                <w:szCs w:val="24"/>
              </w:rPr>
              <w:t>y=2936.7x</w:t>
            </w:r>
            <w:r>
              <w:rPr>
                <w:sz w:val="24"/>
                <w:szCs w:val="24"/>
                <w:vertAlign w:val="superscript"/>
              </w:rPr>
              <w:t>-0.178</w:t>
            </w:r>
          </w:p>
        </w:tc>
        <w:tc>
          <w:tcPr>
            <w:tcW w:w="2611" w:type="dxa"/>
            <w:vAlign w:val="center"/>
          </w:tcPr>
          <w:p>
            <w:pPr>
              <w:jc w:val="center"/>
              <w:rPr>
                <w:sz w:val="24"/>
                <w:szCs w:val="24"/>
              </w:rPr>
            </w:pPr>
            <w:r>
              <w:rPr>
                <w:sz w:val="24"/>
                <w:szCs w:val="24"/>
              </w:rPr>
              <w:t>R</w:t>
            </w:r>
            <w:r>
              <w:rPr>
                <w:sz w:val="24"/>
                <w:szCs w:val="24"/>
                <w:vertAlign w:val="superscript"/>
              </w:rPr>
              <w:t>2</w:t>
            </w:r>
            <w:r>
              <w:rPr>
                <w:sz w:val="24"/>
                <w:szCs w:val="24"/>
              </w:rPr>
              <w:t xml:space="preserve"> = 0.9670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1" w:type="dxa"/>
            <w:vAlign w:val="center"/>
          </w:tcPr>
          <w:p>
            <w:pPr>
              <w:tabs>
                <w:tab w:val="right" w:pos="9298"/>
              </w:tabs>
              <w:jc w:val="center"/>
              <w:rPr>
                <w:sz w:val="24"/>
              </w:rPr>
            </w:pPr>
            <w:r>
              <w:rPr>
                <w:sz w:val="24"/>
              </w:rPr>
              <w:t>商服Ⅱ级</w:t>
            </w:r>
          </w:p>
        </w:tc>
        <w:tc>
          <w:tcPr>
            <w:tcW w:w="3551" w:type="dxa"/>
            <w:vAlign w:val="top"/>
          </w:tcPr>
          <w:p>
            <w:pPr>
              <w:jc w:val="center"/>
              <w:rPr>
                <w:sz w:val="24"/>
                <w:szCs w:val="24"/>
              </w:rPr>
            </w:pPr>
            <w:r>
              <w:rPr>
                <w:sz w:val="24"/>
                <w:szCs w:val="24"/>
              </w:rPr>
              <w:t>y=2475.4x</w:t>
            </w:r>
            <w:r>
              <w:rPr>
                <w:sz w:val="24"/>
                <w:szCs w:val="24"/>
                <w:vertAlign w:val="superscript"/>
              </w:rPr>
              <w:t>-0.211</w:t>
            </w:r>
          </w:p>
        </w:tc>
        <w:tc>
          <w:tcPr>
            <w:tcW w:w="2611" w:type="dxa"/>
            <w:vAlign w:val="center"/>
          </w:tcPr>
          <w:p>
            <w:pPr>
              <w:jc w:val="center"/>
              <w:rPr>
                <w:sz w:val="24"/>
                <w:szCs w:val="24"/>
              </w:rPr>
            </w:pPr>
            <w:r>
              <w:rPr>
                <w:sz w:val="24"/>
                <w:szCs w:val="24"/>
              </w:rPr>
              <w:t>R</w:t>
            </w:r>
            <w:r>
              <w:rPr>
                <w:sz w:val="24"/>
                <w:szCs w:val="24"/>
                <w:vertAlign w:val="superscript"/>
              </w:rPr>
              <w:t>2</w:t>
            </w:r>
            <w:r>
              <w:rPr>
                <w:sz w:val="24"/>
                <w:szCs w:val="24"/>
              </w:rPr>
              <w:t xml:space="preserve"> = 0.9921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081" w:type="dxa"/>
            <w:vAlign w:val="center"/>
          </w:tcPr>
          <w:p>
            <w:pPr>
              <w:tabs>
                <w:tab w:val="right" w:pos="9298"/>
              </w:tabs>
              <w:jc w:val="center"/>
              <w:rPr>
                <w:sz w:val="24"/>
              </w:rPr>
            </w:pPr>
            <w:r>
              <w:rPr>
                <w:sz w:val="24"/>
              </w:rPr>
              <w:t>商服Ⅲ级</w:t>
            </w:r>
          </w:p>
        </w:tc>
        <w:tc>
          <w:tcPr>
            <w:tcW w:w="3551" w:type="dxa"/>
            <w:vAlign w:val="top"/>
          </w:tcPr>
          <w:p>
            <w:pPr>
              <w:jc w:val="center"/>
              <w:rPr>
                <w:sz w:val="24"/>
                <w:szCs w:val="24"/>
              </w:rPr>
            </w:pPr>
            <w:r>
              <w:rPr>
                <w:sz w:val="24"/>
                <w:szCs w:val="24"/>
              </w:rPr>
              <w:t>y=1932.8x</w:t>
            </w:r>
            <w:r>
              <w:rPr>
                <w:sz w:val="24"/>
                <w:szCs w:val="24"/>
                <w:vertAlign w:val="superscript"/>
              </w:rPr>
              <w:t>-0.188</w:t>
            </w:r>
          </w:p>
        </w:tc>
        <w:tc>
          <w:tcPr>
            <w:tcW w:w="2611" w:type="dxa"/>
            <w:vAlign w:val="center"/>
          </w:tcPr>
          <w:p>
            <w:pPr>
              <w:jc w:val="center"/>
              <w:rPr>
                <w:sz w:val="24"/>
                <w:szCs w:val="24"/>
              </w:rPr>
            </w:pPr>
            <w:r>
              <w:rPr>
                <w:sz w:val="24"/>
                <w:szCs w:val="24"/>
              </w:rPr>
              <w:t>R</w:t>
            </w:r>
            <w:r>
              <w:rPr>
                <w:sz w:val="24"/>
                <w:szCs w:val="24"/>
                <w:vertAlign w:val="superscript"/>
              </w:rPr>
              <w:t>2</w:t>
            </w:r>
            <w:r>
              <w:rPr>
                <w:sz w:val="24"/>
                <w:szCs w:val="24"/>
              </w:rPr>
              <w:t xml:space="preserve"> = 0.9816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1" w:type="dxa"/>
            <w:vAlign w:val="center"/>
          </w:tcPr>
          <w:p>
            <w:pPr>
              <w:tabs>
                <w:tab w:val="right" w:pos="9298"/>
              </w:tabs>
              <w:jc w:val="center"/>
              <w:rPr>
                <w:sz w:val="24"/>
              </w:rPr>
            </w:pPr>
            <w:r>
              <w:rPr>
                <w:sz w:val="24"/>
              </w:rPr>
              <w:t>商服Ⅳ级</w:t>
            </w:r>
          </w:p>
        </w:tc>
        <w:tc>
          <w:tcPr>
            <w:tcW w:w="3551" w:type="dxa"/>
            <w:vAlign w:val="top"/>
          </w:tcPr>
          <w:p>
            <w:pPr>
              <w:jc w:val="center"/>
              <w:rPr>
                <w:sz w:val="24"/>
                <w:szCs w:val="24"/>
              </w:rPr>
            </w:pPr>
            <w:r>
              <w:rPr>
                <w:sz w:val="24"/>
                <w:szCs w:val="24"/>
              </w:rPr>
              <w:t>y=1446.2x</w:t>
            </w:r>
            <w:r>
              <w:rPr>
                <w:sz w:val="24"/>
                <w:szCs w:val="24"/>
                <w:vertAlign w:val="superscript"/>
              </w:rPr>
              <w:t>-0.204</w:t>
            </w:r>
          </w:p>
        </w:tc>
        <w:tc>
          <w:tcPr>
            <w:tcW w:w="2611" w:type="dxa"/>
            <w:vAlign w:val="center"/>
          </w:tcPr>
          <w:p>
            <w:pPr>
              <w:jc w:val="center"/>
              <w:rPr>
                <w:sz w:val="24"/>
                <w:szCs w:val="24"/>
              </w:rPr>
            </w:pPr>
            <w:r>
              <w:rPr>
                <w:sz w:val="24"/>
                <w:szCs w:val="24"/>
              </w:rPr>
              <w:t>R</w:t>
            </w:r>
            <w:r>
              <w:rPr>
                <w:sz w:val="24"/>
                <w:szCs w:val="24"/>
                <w:vertAlign w:val="superscript"/>
              </w:rPr>
              <w:t>2</w:t>
            </w:r>
            <w:r>
              <w:rPr>
                <w:sz w:val="24"/>
                <w:szCs w:val="24"/>
              </w:rPr>
              <w:t xml:space="preserve"> = 0.9570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1" w:type="dxa"/>
            <w:vAlign w:val="center"/>
          </w:tcPr>
          <w:p>
            <w:pPr>
              <w:tabs>
                <w:tab w:val="right" w:pos="9298"/>
              </w:tabs>
              <w:jc w:val="center"/>
              <w:rPr>
                <w:sz w:val="24"/>
              </w:rPr>
            </w:pPr>
            <w:r>
              <w:rPr>
                <w:sz w:val="24"/>
              </w:rPr>
              <w:t>商服Ⅴ级</w:t>
            </w:r>
          </w:p>
        </w:tc>
        <w:tc>
          <w:tcPr>
            <w:tcW w:w="3551" w:type="dxa"/>
            <w:vAlign w:val="top"/>
          </w:tcPr>
          <w:p>
            <w:pPr>
              <w:jc w:val="center"/>
              <w:rPr>
                <w:sz w:val="24"/>
                <w:szCs w:val="24"/>
              </w:rPr>
            </w:pPr>
            <w:r>
              <w:rPr>
                <w:sz w:val="24"/>
                <w:szCs w:val="24"/>
              </w:rPr>
              <w:t>y=1469x</w:t>
            </w:r>
            <w:r>
              <w:rPr>
                <w:sz w:val="24"/>
                <w:szCs w:val="24"/>
                <w:vertAlign w:val="superscript"/>
              </w:rPr>
              <w:t>-0.334</w:t>
            </w:r>
          </w:p>
        </w:tc>
        <w:tc>
          <w:tcPr>
            <w:tcW w:w="2611" w:type="dxa"/>
            <w:vAlign w:val="center"/>
          </w:tcPr>
          <w:p>
            <w:pPr>
              <w:jc w:val="center"/>
              <w:rPr>
                <w:sz w:val="24"/>
                <w:szCs w:val="24"/>
              </w:rPr>
            </w:pPr>
            <w:r>
              <w:rPr>
                <w:sz w:val="24"/>
                <w:szCs w:val="24"/>
              </w:rPr>
              <w:t>R</w:t>
            </w:r>
            <w:r>
              <w:rPr>
                <w:sz w:val="24"/>
                <w:szCs w:val="24"/>
                <w:vertAlign w:val="superscript"/>
              </w:rPr>
              <w:t>2</w:t>
            </w:r>
            <w:r>
              <w:rPr>
                <w:sz w:val="24"/>
                <w:szCs w:val="24"/>
              </w:rPr>
              <w:t xml:space="preserve"> = 0.9250</w:t>
            </w:r>
          </w:p>
        </w:tc>
      </w:tr>
    </w:tbl>
    <w:p>
      <w:pPr>
        <w:tabs>
          <w:tab w:val="right" w:pos="9298"/>
        </w:tabs>
        <w:spacing w:beforeLines="100"/>
        <w:ind w:firstLine="482" w:firstLineChars="200"/>
        <w:jc w:val="center"/>
        <w:rPr>
          <w:b/>
          <w:sz w:val="24"/>
        </w:rPr>
      </w:pPr>
      <w:r>
        <w:rPr>
          <w:b/>
          <w:sz w:val="24"/>
        </w:rPr>
        <w:t>表3-6-5 长沙县城区住宅用地楼面地价与容积率的关系式</w:t>
      </w:r>
    </w:p>
    <w:tbl>
      <w:tblPr>
        <w:tblW w:w="92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8"/>
        <w:gridCol w:w="3724"/>
        <w:gridCol w:w="3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8" w:type="dxa"/>
            <w:vAlign w:val="center"/>
          </w:tcPr>
          <w:p>
            <w:pPr>
              <w:tabs>
                <w:tab w:val="right" w:pos="9298"/>
              </w:tabs>
              <w:jc w:val="center"/>
              <w:rPr>
                <w:sz w:val="24"/>
              </w:rPr>
            </w:pPr>
            <w:r>
              <w:rPr>
                <w:sz w:val="24"/>
              </w:rPr>
              <w:t>住宅用地土地级别</w:t>
            </w:r>
          </w:p>
        </w:tc>
        <w:tc>
          <w:tcPr>
            <w:tcW w:w="3724" w:type="dxa"/>
            <w:vAlign w:val="center"/>
          </w:tcPr>
          <w:p>
            <w:pPr>
              <w:tabs>
                <w:tab w:val="right" w:pos="9298"/>
              </w:tabs>
              <w:jc w:val="center"/>
              <w:rPr>
                <w:sz w:val="24"/>
              </w:rPr>
            </w:pPr>
            <w:r>
              <w:rPr>
                <w:sz w:val="24"/>
              </w:rPr>
              <w:t>楼面地价与容积率的关系式</w:t>
            </w:r>
          </w:p>
        </w:tc>
        <w:tc>
          <w:tcPr>
            <w:tcW w:w="3081" w:type="dxa"/>
            <w:vAlign w:val="center"/>
          </w:tcPr>
          <w:p>
            <w:pPr>
              <w:tabs>
                <w:tab w:val="right" w:pos="9298"/>
              </w:tabs>
              <w:jc w:val="center"/>
              <w:rPr>
                <w:sz w:val="24"/>
              </w:rPr>
            </w:pPr>
            <w:r>
              <w:rPr>
                <w:sz w:val="24"/>
              </w:rPr>
              <w:t>相关系数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8" w:type="dxa"/>
            <w:vAlign w:val="center"/>
          </w:tcPr>
          <w:p>
            <w:pPr>
              <w:tabs>
                <w:tab w:val="right" w:pos="9298"/>
              </w:tabs>
              <w:jc w:val="center"/>
              <w:rPr>
                <w:sz w:val="24"/>
              </w:rPr>
            </w:pPr>
            <w:r>
              <w:rPr>
                <w:sz w:val="24"/>
              </w:rPr>
              <w:t>住宅Ⅰ级</w:t>
            </w:r>
          </w:p>
        </w:tc>
        <w:tc>
          <w:tcPr>
            <w:tcW w:w="3724" w:type="dxa"/>
            <w:vAlign w:val="center"/>
          </w:tcPr>
          <w:p>
            <w:pPr>
              <w:jc w:val="center"/>
              <w:rPr>
                <w:sz w:val="24"/>
                <w:szCs w:val="24"/>
              </w:rPr>
            </w:pPr>
            <w:r>
              <w:rPr>
                <w:sz w:val="24"/>
                <w:szCs w:val="24"/>
              </w:rPr>
              <w:t>y=</w:t>
            </w:r>
            <w:r>
              <w:t>2673.6x</w:t>
            </w:r>
            <w:r>
              <w:rPr>
                <w:vertAlign w:val="superscript"/>
              </w:rPr>
              <w:t>-0.203</w:t>
            </w:r>
          </w:p>
        </w:tc>
        <w:tc>
          <w:tcPr>
            <w:tcW w:w="3081" w:type="dxa"/>
            <w:vAlign w:val="center"/>
          </w:tcPr>
          <w:p>
            <w:pPr>
              <w:jc w:val="center"/>
              <w:rPr>
                <w:sz w:val="24"/>
                <w:szCs w:val="24"/>
              </w:rPr>
            </w:pPr>
            <w:r>
              <w:rPr>
                <w:sz w:val="24"/>
                <w:szCs w:val="24"/>
              </w:rPr>
              <w:t>R</w:t>
            </w:r>
            <w:r>
              <w:rPr>
                <w:sz w:val="24"/>
                <w:szCs w:val="24"/>
                <w:vertAlign w:val="superscript"/>
              </w:rPr>
              <w:t>2</w:t>
            </w:r>
            <w:r>
              <w:rPr>
                <w:sz w:val="24"/>
                <w:szCs w:val="24"/>
              </w:rPr>
              <w:t xml:space="preserve"> = 0.9793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8" w:type="dxa"/>
            <w:vAlign w:val="center"/>
          </w:tcPr>
          <w:p>
            <w:pPr>
              <w:tabs>
                <w:tab w:val="right" w:pos="9298"/>
              </w:tabs>
              <w:jc w:val="center"/>
              <w:rPr>
                <w:sz w:val="24"/>
              </w:rPr>
            </w:pPr>
            <w:r>
              <w:rPr>
                <w:sz w:val="24"/>
              </w:rPr>
              <w:t>住宅Ⅱ级</w:t>
            </w:r>
          </w:p>
        </w:tc>
        <w:tc>
          <w:tcPr>
            <w:tcW w:w="3724" w:type="dxa"/>
            <w:vAlign w:val="center"/>
          </w:tcPr>
          <w:p>
            <w:pPr>
              <w:jc w:val="center"/>
              <w:rPr>
                <w:sz w:val="24"/>
                <w:szCs w:val="24"/>
              </w:rPr>
            </w:pPr>
            <w:r>
              <w:rPr>
                <w:sz w:val="24"/>
                <w:szCs w:val="24"/>
              </w:rPr>
              <w:t>y=</w:t>
            </w:r>
            <w:r>
              <w:t>2152.6x</w:t>
            </w:r>
            <w:r>
              <w:rPr>
                <w:vertAlign w:val="superscript"/>
              </w:rPr>
              <w:t>-0.209</w:t>
            </w:r>
          </w:p>
        </w:tc>
        <w:tc>
          <w:tcPr>
            <w:tcW w:w="3081" w:type="dxa"/>
            <w:vAlign w:val="center"/>
          </w:tcPr>
          <w:p>
            <w:pPr>
              <w:jc w:val="center"/>
              <w:rPr>
                <w:sz w:val="24"/>
                <w:szCs w:val="24"/>
              </w:rPr>
            </w:pPr>
            <w:r>
              <w:rPr>
                <w:sz w:val="24"/>
                <w:szCs w:val="24"/>
              </w:rPr>
              <w:t>R</w:t>
            </w:r>
            <w:r>
              <w:rPr>
                <w:sz w:val="24"/>
                <w:szCs w:val="24"/>
                <w:vertAlign w:val="superscript"/>
              </w:rPr>
              <w:t>2</w:t>
            </w:r>
            <w:r>
              <w:rPr>
                <w:sz w:val="24"/>
                <w:szCs w:val="24"/>
              </w:rPr>
              <w:t xml:space="preserve"> = 0.9580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438" w:type="dxa"/>
            <w:vAlign w:val="center"/>
          </w:tcPr>
          <w:p>
            <w:pPr>
              <w:tabs>
                <w:tab w:val="right" w:pos="9298"/>
              </w:tabs>
              <w:jc w:val="center"/>
              <w:rPr>
                <w:sz w:val="24"/>
              </w:rPr>
            </w:pPr>
            <w:r>
              <w:rPr>
                <w:sz w:val="24"/>
              </w:rPr>
              <w:t>住宅Ⅲ级</w:t>
            </w:r>
          </w:p>
        </w:tc>
        <w:tc>
          <w:tcPr>
            <w:tcW w:w="3724" w:type="dxa"/>
            <w:vAlign w:val="center"/>
          </w:tcPr>
          <w:p>
            <w:pPr>
              <w:jc w:val="center"/>
              <w:rPr>
                <w:sz w:val="24"/>
                <w:szCs w:val="24"/>
              </w:rPr>
            </w:pPr>
            <w:r>
              <w:rPr>
                <w:sz w:val="24"/>
                <w:szCs w:val="24"/>
              </w:rPr>
              <w:t>y=1740.9x</w:t>
            </w:r>
            <w:r>
              <w:rPr>
                <w:sz w:val="24"/>
                <w:szCs w:val="24"/>
                <w:vertAlign w:val="superscript"/>
              </w:rPr>
              <w:t>-0.223</w:t>
            </w:r>
          </w:p>
        </w:tc>
        <w:tc>
          <w:tcPr>
            <w:tcW w:w="3081" w:type="dxa"/>
            <w:vAlign w:val="center"/>
          </w:tcPr>
          <w:p>
            <w:pPr>
              <w:jc w:val="center"/>
              <w:rPr>
                <w:sz w:val="24"/>
                <w:szCs w:val="24"/>
              </w:rPr>
            </w:pPr>
            <w:r>
              <w:rPr>
                <w:sz w:val="24"/>
                <w:szCs w:val="24"/>
              </w:rPr>
              <w:t>R</w:t>
            </w:r>
            <w:r>
              <w:rPr>
                <w:sz w:val="24"/>
                <w:szCs w:val="24"/>
                <w:vertAlign w:val="superscript"/>
              </w:rPr>
              <w:t>2</w:t>
            </w:r>
            <w:r>
              <w:rPr>
                <w:sz w:val="24"/>
                <w:szCs w:val="24"/>
              </w:rPr>
              <w:t xml:space="preserve"> = 0.9712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8" w:type="dxa"/>
            <w:vAlign w:val="center"/>
          </w:tcPr>
          <w:p>
            <w:pPr>
              <w:tabs>
                <w:tab w:val="right" w:pos="9298"/>
              </w:tabs>
              <w:jc w:val="center"/>
              <w:rPr>
                <w:sz w:val="24"/>
              </w:rPr>
            </w:pPr>
            <w:r>
              <w:rPr>
                <w:sz w:val="24"/>
              </w:rPr>
              <w:t>住宅Ⅳ级</w:t>
            </w:r>
          </w:p>
        </w:tc>
        <w:tc>
          <w:tcPr>
            <w:tcW w:w="3724" w:type="dxa"/>
            <w:vAlign w:val="center"/>
          </w:tcPr>
          <w:p>
            <w:pPr>
              <w:jc w:val="center"/>
              <w:rPr>
                <w:sz w:val="24"/>
                <w:szCs w:val="24"/>
              </w:rPr>
            </w:pPr>
            <w:r>
              <w:rPr>
                <w:sz w:val="24"/>
                <w:szCs w:val="24"/>
              </w:rPr>
              <w:t>y=1290.3x</w:t>
            </w:r>
            <w:r>
              <w:rPr>
                <w:sz w:val="24"/>
                <w:szCs w:val="24"/>
                <w:vertAlign w:val="superscript"/>
              </w:rPr>
              <w:t>-0.160</w:t>
            </w:r>
          </w:p>
        </w:tc>
        <w:tc>
          <w:tcPr>
            <w:tcW w:w="3081" w:type="dxa"/>
            <w:vAlign w:val="center"/>
          </w:tcPr>
          <w:p>
            <w:pPr>
              <w:jc w:val="center"/>
              <w:rPr>
                <w:sz w:val="24"/>
                <w:szCs w:val="24"/>
              </w:rPr>
            </w:pPr>
            <w:r>
              <w:rPr>
                <w:sz w:val="24"/>
                <w:szCs w:val="24"/>
              </w:rPr>
              <w:t>R</w:t>
            </w:r>
            <w:r>
              <w:rPr>
                <w:sz w:val="24"/>
                <w:szCs w:val="24"/>
                <w:vertAlign w:val="superscript"/>
              </w:rPr>
              <w:t>2</w:t>
            </w:r>
            <w:r>
              <w:rPr>
                <w:sz w:val="24"/>
                <w:szCs w:val="24"/>
              </w:rPr>
              <w:t xml:space="preserve"> = 0.9693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8" w:type="dxa"/>
            <w:vAlign w:val="center"/>
          </w:tcPr>
          <w:p>
            <w:pPr>
              <w:tabs>
                <w:tab w:val="right" w:pos="9298"/>
              </w:tabs>
              <w:jc w:val="center"/>
              <w:rPr>
                <w:sz w:val="24"/>
              </w:rPr>
            </w:pPr>
            <w:r>
              <w:rPr>
                <w:sz w:val="24"/>
              </w:rPr>
              <w:t>住宅Ⅴ级</w:t>
            </w:r>
          </w:p>
        </w:tc>
        <w:tc>
          <w:tcPr>
            <w:tcW w:w="3724" w:type="dxa"/>
            <w:vAlign w:val="center"/>
          </w:tcPr>
          <w:p>
            <w:pPr>
              <w:jc w:val="center"/>
              <w:rPr>
                <w:sz w:val="24"/>
                <w:szCs w:val="24"/>
              </w:rPr>
            </w:pPr>
            <w:r>
              <w:rPr>
                <w:sz w:val="24"/>
                <w:szCs w:val="24"/>
              </w:rPr>
              <w:t>y=1155x</w:t>
            </w:r>
            <w:r>
              <w:rPr>
                <w:sz w:val="24"/>
                <w:szCs w:val="24"/>
                <w:vertAlign w:val="superscript"/>
              </w:rPr>
              <w:t>-0.234</w:t>
            </w:r>
          </w:p>
        </w:tc>
        <w:tc>
          <w:tcPr>
            <w:tcW w:w="3081" w:type="dxa"/>
            <w:vAlign w:val="center"/>
          </w:tcPr>
          <w:p>
            <w:pPr>
              <w:jc w:val="center"/>
              <w:rPr>
                <w:sz w:val="24"/>
                <w:szCs w:val="24"/>
              </w:rPr>
            </w:pPr>
            <w:r>
              <w:rPr>
                <w:sz w:val="24"/>
                <w:szCs w:val="24"/>
              </w:rPr>
              <w:t>R</w:t>
            </w:r>
            <w:r>
              <w:rPr>
                <w:sz w:val="24"/>
                <w:szCs w:val="24"/>
                <w:vertAlign w:val="superscript"/>
              </w:rPr>
              <w:t>2</w:t>
            </w:r>
            <w:r>
              <w:rPr>
                <w:sz w:val="24"/>
                <w:szCs w:val="24"/>
              </w:rPr>
              <w:t xml:space="preserve"> = 0.9928</w:t>
            </w:r>
          </w:p>
        </w:tc>
      </w:tr>
    </w:tbl>
    <w:p>
      <w:pPr>
        <w:tabs>
          <w:tab w:val="right" w:pos="9298"/>
        </w:tabs>
        <w:spacing w:line="460" w:lineRule="exact"/>
        <w:ind w:firstLine="480" w:firstLineChars="200"/>
        <w:rPr>
          <w:sz w:val="24"/>
        </w:rPr>
      </w:pPr>
      <w:r>
        <w:rPr>
          <w:sz w:val="24"/>
        </w:rPr>
        <w:t>从上表中可知，长沙县商服用地、住宅用地的楼面地价与容积率的数学模型拟合关系式相关系数均在0.95以上，拟合度非常好。</w:t>
      </w:r>
    </w:p>
    <w:p>
      <w:pPr>
        <w:spacing w:line="600" w:lineRule="exact"/>
        <w:ind w:firstLine="560" w:firstLineChars="200"/>
        <w:outlineLvl w:val="2"/>
        <w:rPr>
          <w:rFonts w:eastAsia="黑体"/>
          <w:sz w:val="28"/>
          <w:szCs w:val="28"/>
          <w:lang w:val="zh-CN"/>
        </w:rPr>
      </w:pPr>
      <w:bookmarkStart w:id="645" w:name="_Toc483296012"/>
      <w:bookmarkStart w:id="646" w:name="_Toc525807026"/>
      <w:bookmarkStart w:id="647" w:name="_Toc466018367"/>
      <w:bookmarkStart w:id="648" w:name="_Toc15410"/>
      <w:bookmarkStart w:id="649" w:name="_Toc23448"/>
      <w:r>
        <w:rPr>
          <w:rFonts w:eastAsia="黑体"/>
          <w:sz w:val="28"/>
          <w:szCs w:val="28"/>
          <w:lang w:val="zh-CN"/>
        </w:rPr>
        <w:t>五、楼面地价换算系数测算</w:t>
      </w:r>
      <w:bookmarkEnd w:id="645"/>
      <w:bookmarkEnd w:id="646"/>
      <w:bookmarkEnd w:id="647"/>
      <w:bookmarkEnd w:id="648"/>
    </w:p>
    <w:p>
      <w:pPr>
        <w:tabs>
          <w:tab w:val="right" w:pos="9298"/>
        </w:tabs>
        <w:spacing w:line="460" w:lineRule="exact"/>
        <w:ind w:firstLine="573"/>
        <w:rPr>
          <w:sz w:val="24"/>
        </w:rPr>
      </w:pPr>
      <w:r>
        <w:rPr>
          <w:sz w:val="24"/>
        </w:rPr>
        <w:t>根据长沙县商服用地及住宅用地各土地级别的标准容积率，结合各土地级别上楼面地价与容积率的关系式，可以测算各土地级别上设定容积率下的楼面地价（Lp），结合某样点个别容积率r，根据关系式即可测算的容积率为r下的楼面地价（Lg）,则长沙县商服用地各级别容积率修正系数的计算公式如下，具体修正系数见表</w:t>
      </w:r>
      <w:r>
        <w:rPr>
          <w:rFonts w:hint="eastAsia"/>
          <w:sz w:val="24"/>
        </w:rPr>
        <w:t>3</w:t>
      </w:r>
      <w:r>
        <w:rPr>
          <w:sz w:val="24"/>
        </w:rPr>
        <w:t>-</w:t>
      </w:r>
      <w:r>
        <w:rPr>
          <w:rFonts w:hint="eastAsia"/>
          <w:sz w:val="24"/>
        </w:rPr>
        <w:t>6</w:t>
      </w:r>
      <w:r>
        <w:rPr>
          <w:sz w:val="24"/>
        </w:rPr>
        <w:t>-6及表</w:t>
      </w:r>
      <w:r>
        <w:rPr>
          <w:rFonts w:hint="eastAsia"/>
          <w:sz w:val="24"/>
        </w:rPr>
        <w:t>3</w:t>
      </w:r>
      <w:r>
        <w:rPr>
          <w:sz w:val="24"/>
        </w:rPr>
        <w:t>-</w:t>
      </w:r>
      <w:r>
        <w:rPr>
          <w:rFonts w:hint="eastAsia"/>
          <w:sz w:val="24"/>
        </w:rPr>
        <w:t>6</w:t>
      </w:r>
      <w:r>
        <w:rPr>
          <w:sz w:val="24"/>
        </w:rPr>
        <w:t>-7。</w:t>
      </w:r>
    </w:p>
    <w:p>
      <w:pPr>
        <w:adjustRightInd w:val="0"/>
        <w:snapToGrid w:val="0"/>
        <w:ind w:left="210" w:leftChars="100"/>
        <w:jc w:val="center"/>
        <w:textAlignment w:val="baseline"/>
        <w:rPr>
          <w:sz w:val="24"/>
          <w:vertAlign w:val="subscript"/>
        </w:rPr>
      </w:pPr>
      <w:r>
        <w:rPr>
          <w:sz w:val="24"/>
        </w:rPr>
        <w:t>R</w:t>
      </w:r>
      <w:r>
        <w:rPr>
          <w:sz w:val="24"/>
          <w:vertAlign w:val="subscript"/>
        </w:rPr>
        <w:t>s</w:t>
      </w:r>
      <w:r>
        <w:rPr>
          <w:sz w:val="24"/>
        </w:rPr>
        <w:t>=L</w:t>
      </w:r>
      <w:r>
        <w:rPr>
          <w:sz w:val="24"/>
          <w:vertAlign w:val="subscript"/>
        </w:rPr>
        <w:t>g</w:t>
      </w:r>
      <w:r>
        <w:rPr>
          <w:sz w:val="24"/>
        </w:rPr>
        <w:t>/L</w:t>
      </w:r>
      <w:r>
        <w:rPr>
          <w:sz w:val="24"/>
          <w:vertAlign w:val="subscript"/>
        </w:rPr>
        <w:t>p</w:t>
      </w:r>
    </w:p>
    <w:p>
      <w:pPr>
        <w:tabs>
          <w:tab w:val="right" w:pos="9298"/>
        </w:tabs>
        <w:spacing w:beforeLines="100"/>
        <w:ind w:firstLine="482" w:firstLineChars="200"/>
        <w:jc w:val="center"/>
        <w:rPr>
          <w:b/>
          <w:sz w:val="24"/>
          <w:szCs w:val="22"/>
        </w:rPr>
      </w:pPr>
      <w:r>
        <w:rPr>
          <w:b/>
          <w:sz w:val="24"/>
          <w:szCs w:val="22"/>
        </w:rPr>
        <w:t>表3-6-6 长沙县商服用地楼面地价换算系数表</w:t>
      </w:r>
    </w:p>
    <w:tbl>
      <w:tblPr>
        <w:tblW w:w="9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562"/>
        <w:gridCol w:w="1562"/>
        <w:gridCol w:w="1562"/>
        <w:gridCol w:w="1562"/>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trPr>
        <w:tc>
          <w:tcPr>
            <w:tcW w:w="1260" w:type="dxa"/>
            <w:shd w:val="clear" w:color="000000" w:fill="FFFFFF"/>
            <w:vAlign w:val="center"/>
          </w:tcPr>
          <w:p>
            <w:pPr>
              <w:widowControl/>
              <w:spacing w:line="400" w:lineRule="exact"/>
              <w:jc w:val="center"/>
              <w:rPr>
                <w:bCs/>
                <w:color w:val="000000"/>
                <w:kern w:val="0"/>
                <w:sz w:val="20"/>
              </w:rPr>
            </w:pPr>
            <w:r>
              <w:rPr>
                <w:bCs/>
                <w:color w:val="000000"/>
                <w:kern w:val="0"/>
                <w:sz w:val="20"/>
              </w:rPr>
              <w:t>容积率</w:t>
            </w:r>
          </w:p>
        </w:tc>
        <w:tc>
          <w:tcPr>
            <w:tcW w:w="1562" w:type="dxa"/>
            <w:shd w:val="clear" w:color="000000" w:fill="FFFFFF"/>
            <w:vAlign w:val="center"/>
          </w:tcPr>
          <w:p>
            <w:pPr>
              <w:widowControl/>
              <w:spacing w:line="400" w:lineRule="exact"/>
              <w:jc w:val="center"/>
              <w:rPr>
                <w:bCs/>
                <w:color w:val="000000"/>
                <w:kern w:val="0"/>
                <w:sz w:val="20"/>
              </w:rPr>
            </w:pPr>
            <w:r>
              <w:rPr>
                <w:bCs/>
                <w:color w:val="000000"/>
                <w:kern w:val="0"/>
                <w:sz w:val="20"/>
              </w:rPr>
              <w:t>商服Ⅰ级</w:t>
            </w:r>
          </w:p>
        </w:tc>
        <w:tc>
          <w:tcPr>
            <w:tcW w:w="1562" w:type="dxa"/>
            <w:shd w:val="clear" w:color="000000" w:fill="FFFFFF"/>
            <w:vAlign w:val="center"/>
          </w:tcPr>
          <w:p>
            <w:pPr>
              <w:widowControl/>
              <w:spacing w:line="400" w:lineRule="exact"/>
              <w:jc w:val="center"/>
              <w:rPr>
                <w:bCs/>
                <w:color w:val="000000"/>
                <w:kern w:val="0"/>
                <w:sz w:val="20"/>
              </w:rPr>
            </w:pPr>
            <w:r>
              <w:rPr>
                <w:bCs/>
                <w:color w:val="000000"/>
                <w:kern w:val="0"/>
                <w:sz w:val="20"/>
              </w:rPr>
              <w:t>商服Ⅱ级</w:t>
            </w:r>
          </w:p>
        </w:tc>
        <w:tc>
          <w:tcPr>
            <w:tcW w:w="1562" w:type="dxa"/>
            <w:shd w:val="clear" w:color="000000" w:fill="FFFFFF"/>
            <w:vAlign w:val="center"/>
          </w:tcPr>
          <w:p>
            <w:pPr>
              <w:widowControl/>
              <w:spacing w:line="400" w:lineRule="exact"/>
              <w:jc w:val="center"/>
              <w:rPr>
                <w:bCs/>
                <w:color w:val="000000"/>
                <w:kern w:val="0"/>
                <w:sz w:val="20"/>
              </w:rPr>
            </w:pPr>
            <w:r>
              <w:rPr>
                <w:bCs/>
                <w:color w:val="000000"/>
                <w:kern w:val="0"/>
                <w:sz w:val="20"/>
              </w:rPr>
              <w:t>商服Ⅲ级</w:t>
            </w:r>
          </w:p>
        </w:tc>
        <w:tc>
          <w:tcPr>
            <w:tcW w:w="1562" w:type="dxa"/>
            <w:shd w:val="clear" w:color="000000" w:fill="FFFFFF"/>
            <w:vAlign w:val="center"/>
          </w:tcPr>
          <w:p>
            <w:pPr>
              <w:widowControl/>
              <w:spacing w:line="400" w:lineRule="exact"/>
              <w:jc w:val="center"/>
              <w:rPr>
                <w:bCs/>
                <w:color w:val="000000"/>
                <w:kern w:val="0"/>
                <w:sz w:val="20"/>
              </w:rPr>
            </w:pPr>
            <w:r>
              <w:rPr>
                <w:bCs/>
                <w:color w:val="000000"/>
                <w:kern w:val="0"/>
                <w:sz w:val="20"/>
              </w:rPr>
              <w:t>商服Ⅳ级</w:t>
            </w:r>
          </w:p>
        </w:tc>
        <w:tc>
          <w:tcPr>
            <w:tcW w:w="1553" w:type="dxa"/>
            <w:shd w:val="clear" w:color="000000" w:fill="FFFFFF"/>
            <w:vAlign w:val="center"/>
          </w:tcPr>
          <w:p>
            <w:pPr>
              <w:widowControl/>
              <w:spacing w:line="400" w:lineRule="exact"/>
              <w:jc w:val="center"/>
              <w:rPr>
                <w:bCs/>
                <w:color w:val="000000"/>
                <w:kern w:val="0"/>
                <w:sz w:val="20"/>
              </w:rPr>
            </w:pPr>
            <w:r>
              <w:rPr>
                <w:bCs/>
                <w:color w:val="000000"/>
                <w:kern w:val="0"/>
                <w:sz w:val="20"/>
              </w:rPr>
              <w:t>商服Ⅴ级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1</w:t>
            </w:r>
          </w:p>
        </w:tc>
        <w:tc>
          <w:tcPr>
            <w:tcW w:w="1562" w:type="dxa"/>
            <w:vAlign w:val="center"/>
          </w:tcPr>
          <w:p>
            <w:pPr>
              <w:widowControl/>
              <w:spacing w:line="400" w:lineRule="exact"/>
              <w:jc w:val="center"/>
              <w:rPr>
                <w:color w:val="000000"/>
                <w:kern w:val="0"/>
                <w:sz w:val="20"/>
              </w:rPr>
            </w:pPr>
            <w:r>
              <w:rPr>
                <w:color w:val="000000"/>
                <w:kern w:val="0"/>
                <w:sz w:val="20"/>
              </w:rPr>
              <w:t>1.8212</w:t>
            </w:r>
          </w:p>
        </w:tc>
        <w:tc>
          <w:tcPr>
            <w:tcW w:w="1562" w:type="dxa"/>
            <w:vAlign w:val="center"/>
          </w:tcPr>
          <w:p>
            <w:pPr>
              <w:widowControl/>
              <w:spacing w:line="400" w:lineRule="exact"/>
              <w:jc w:val="center"/>
              <w:rPr>
                <w:color w:val="000000"/>
                <w:kern w:val="0"/>
                <w:sz w:val="20"/>
              </w:rPr>
            </w:pPr>
            <w:r>
              <w:rPr>
                <w:color w:val="000000"/>
                <w:kern w:val="0"/>
                <w:sz w:val="20"/>
              </w:rPr>
              <w:t>1.7411</w:t>
            </w:r>
          </w:p>
        </w:tc>
        <w:tc>
          <w:tcPr>
            <w:tcW w:w="1562" w:type="dxa"/>
            <w:vAlign w:val="center"/>
          </w:tcPr>
          <w:p>
            <w:pPr>
              <w:widowControl/>
              <w:spacing w:line="400" w:lineRule="exact"/>
              <w:jc w:val="center"/>
              <w:rPr>
                <w:color w:val="000000"/>
                <w:kern w:val="0"/>
                <w:sz w:val="20"/>
              </w:rPr>
            </w:pPr>
            <w:r>
              <w:rPr>
                <w:color w:val="000000"/>
                <w:kern w:val="0"/>
                <w:sz w:val="20"/>
              </w:rPr>
              <w:t>1.6988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1.5270</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1.3586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1.1</w:t>
            </w:r>
          </w:p>
        </w:tc>
        <w:tc>
          <w:tcPr>
            <w:tcW w:w="1562" w:type="dxa"/>
            <w:vAlign w:val="center"/>
          </w:tcPr>
          <w:p>
            <w:pPr>
              <w:widowControl/>
              <w:spacing w:line="400" w:lineRule="exact"/>
              <w:jc w:val="center"/>
              <w:rPr>
                <w:color w:val="000000"/>
                <w:kern w:val="0"/>
                <w:sz w:val="20"/>
              </w:rPr>
            </w:pPr>
            <w:r>
              <w:rPr>
                <w:color w:val="000000"/>
                <w:kern w:val="0"/>
                <w:sz w:val="20"/>
              </w:rPr>
              <w:t>1.6937</w:t>
            </w:r>
          </w:p>
        </w:tc>
        <w:tc>
          <w:tcPr>
            <w:tcW w:w="1562" w:type="dxa"/>
            <w:vAlign w:val="center"/>
          </w:tcPr>
          <w:p>
            <w:pPr>
              <w:widowControl/>
              <w:spacing w:line="400" w:lineRule="exact"/>
              <w:jc w:val="center"/>
              <w:rPr>
                <w:color w:val="000000"/>
                <w:kern w:val="0"/>
                <w:sz w:val="20"/>
              </w:rPr>
            </w:pPr>
            <w:r>
              <w:rPr>
                <w:color w:val="000000"/>
                <w:kern w:val="0"/>
                <w:sz w:val="20"/>
              </w:rPr>
              <w:t>1.6220</w:t>
            </w:r>
          </w:p>
        </w:tc>
        <w:tc>
          <w:tcPr>
            <w:tcW w:w="1562" w:type="dxa"/>
            <w:vAlign w:val="center"/>
          </w:tcPr>
          <w:p>
            <w:pPr>
              <w:widowControl/>
              <w:spacing w:line="400" w:lineRule="exact"/>
              <w:jc w:val="center"/>
              <w:rPr>
                <w:color w:val="000000"/>
                <w:kern w:val="0"/>
                <w:sz w:val="20"/>
              </w:rPr>
            </w:pPr>
            <w:r>
              <w:rPr>
                <w:color w:val="000000"/>
                <w:kern w:val="0"/>
                <w:sz w:val="20"/>
              </w:rPr>
              <w:t>1.5528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1.4045</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1.3094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1.2</w:t>
            </w:r>
          </w:p>
        </w:tc>
        <w:tc>
          <w:tcPr>
            <w:tcW w:w="1562" w:type="dxa"/>
            <w:vAlign w:val="center"/>
          </w:tcPr>
          <w:p>
            <w:pPr>
              <w:widowControl/>
              <w:spacing w:line="400" w:lineRule="exact"/>
              <w:jc w:val="center"/>
              <w:rPr>
                <w:color w:val="000000"/>
                <w:kern w:val="0"/>
                <w:sz w:val="20"/>
              </w:rPr>
            </w:pPr>
            <w:r>
              <w:rPr>
                <w:color w:val="000000"/>
                <w:kern w:val="0"/>
                <w:sz w:val="20"/>
              </w:rPr>
              <w:t>1.5894</w:t>
            </w:r>
          </w:p>
        </w:tc>
        <w:tc>
          <w:tcPr>
            <w:tcW w:w="1562" w:type="dxa"/>
            <w:vAlign w:val="center"/>
          </w:tcPr>
          <w:p>
            <w:pPr>
              <w:widowControl/>
              <w:spacing w:line="400" w:lineRule="exact"/>
              <w:jc w:val="center"/>
              <w:rPr>
                <w:color w:val="000000"/>
                <w:kern w:val="0"/>
                <w:sz w:val="20"/>
              </w:rPr>
            </w:pPr>
            <w:r>
              <w:rPr>
                <w:color w:val="000000"/>
                <w:kern w:val="0"/>
                <w:sz w:val="20"/>
              </w:rPr>
              <w:t>1.5446</w:t>
            </w:r>
          </w:p>
        </w:tc>
        <w:tc>
          <w:tcPr>
            <w:tcW w:w="1562" w:type="dxa"/>
            <w:vAlign w:val="center"/>
          </w:tcPr>
          <w:p>
            <w:pPr>
              <w:widowControl/>
              <w:spacing w:line="400" w:lineRule="exact"/>
              <w:jc w:val="center"/>
              <w:rPr>
                <w:color w:val="000000"/>
                <w:kern w:val="0"/>
                <w:sz w:val="20"/>
              </w:rPr>
            </w:pPr>
            <w:r>
              <w:rPr>
                <w:color w:val="000000"/>
                <w:kern w:val="0"/>
                <w:sz w:val="20"/>
              </w:rPr>
              <w:t>1.5221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1.3180</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1.2686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1.3</w:t>
            </w:r>
          </w:p>
        </w:tc>
        <w:tc>
          <w:tcPr>
            <w:tcW w:w="1562" w:type="dxa"/>
            <w:vAlign w:val="center"/>
          </w:tcPr>
          <w:p>
            <w:pPr>
              <w:widowControl/>
              <w:spacing w:line="400" w:lineRule="exact"/>
              <w:jc w:val="center"/>
              <w:rPr>
                <w:color w:val="000000"/>
                <w:kern w:val="0"/>
                <w:sz w:val="20"/>
              </w:rPr>
            </w:pPr>
            <w:r>
              <w:rPr>
                <w:color w:val="000000"/>
                <w:kern w:val="0"/>
                <w:sz w:val="20"/>
              </w:rPr>
              <w:t>1.4948</w:t>
            </w:r>
          </w:p>
        </w:tc>
        <w:tc>
          <w:tcPr>
            <w:tcW w:w="1562" w:type="dxa"/>
            <w:vAlign w:val="center"/>
          </w:tcPr>
          <w:p>
            <w:pPr>
              <w:widowControl/>
              <w:spacing w:line="400" w:lineRule="exact"/>
              <w:jc w:val="center"/>
              <w:rPr>
                <w:color w:val="000000"/>
                <w:kern w:val="0"/>
                <w:sz w:val="20"/>
              </w:rPr>
            </w:pPr>
            <w:r>
              <w:rPr>
                <w:color w:val="000000"/>
                <w:kern w:val="0"/>
                <w:sz w:val="20"/>
              </w:rPr>
              <w:t>1.4658</w:t>
            </w:r>
          </w:p>
        </w:tc>
        <w:tc>
          <w:tcPr>
            <w:tcW w:w="1562" w:type="dxa"/>
            <w:vAlign w:val="center"/>
          </w:tcPr>
          <w:p>
            <w:pPr>
              <w:widowControl/>
              <w:spacing w:line="400" w:lineRule="exact"/>
              <w:jc w:val="center"/>
              <w:rPr>
                <w:color w:val="000000"/>
                <w:kern w:val="0"/>
                <w:sz w:val="20"/>
              </w:rPr>
            </w:pPr>
            <w:r>
              <w:rPr>
                <w:color w:val="000000"/>
                <w:kern w:val="0"/>
                <w:sz w:val="20"/>
              </w:rPr>
              <w:t>1.4193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1.2135</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1.2293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1.4</w:t>
            </w:r>
          </w:p>
        </w:tc>
        <w:tc>
          <w:tcPr>
            <w:tcW w:w="1562" w:type="dxa"/>
            <w:vAlign w:val="center"/>
          </w:tcPr>
          <w:p>
            <w:pPr>
              <w:widowControl/>
              <w:spacing w:line="400" w:lineRule="exact"/>
              <w:jc w:val="center"/>
              <w:rPr>
                <w:color w:val="000000"/>
                <w:kern w:val="0"/>
                <w:sz w:val="20"/>
              </w:rPr>
            </w:pPr>
            <w:r>
              <w:rPr>
                <w:color w:val="000000"/>
                <w:kern w:val="0"/>
                <w:sz w:val="20"/>
              </w:rPr>
              <w:t>1.4155</w:t>
            </w:r>
          </w:p>
        </w:tc>
        <w:tc>
          <w:tcPr>
            <w:tcW w:w="1562" w:type="dxa"/>
            <w:vAlign w:val="center"/>
          </w:tcPr>
          <w:p>
            <w:pPr>
              <w:widowControl/>
              <w:spacing w:line="400" w:lineRule="exact"/>
              <w:jc w:val="center"/>
              <w:rPr>
                <w:color w:val="000000"/>
                <w:kern w:val="0"/>
                <w:sz w:val="20"/>
              </w:rPr>
            </w:pPr>
            <w:r>
              <w:rPr>
                <w:color w:val="000000"/>
                <w:kern w:val="0"/>
                <w:sz w:val="20"/>
              </w:rPr>
              <w:t>1.3839</w:t>
            </w:r>
          </w:p>
        </w:tc>
        <w:tc>
          <w:tcPr>
            <w:tcW w:w="1562" w:type="dxa"/>
            <w:vAlign w:val="center"/>
          </w:tcPr>
          <w:p>
            <w:pPr>
              <w:widowControl/>
              <w:spacing w:line="400" w:lineRule="exact"/>
              <w:jc w:val="center"/>
              <w:rPr>
                <w:color w:val="000000"/>
                <w:kern w:val="0"/>
                <w:sz w:val="20"/>
              </w:rPr>
            </w:pPr>
            <w:r>
              <w:rPr>
                <w:color w:val="000000"/>
                <w:kern w:val="0"/>
                <w:sz w:val="20"/>
              </w:rPr>
              <w:t>1.3318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1.1539</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1.1814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1.5</w:t>
            </w:r>
          </w:p>
        </w:tc>
        <w:tc>
          <w:tcPr>
            <w:tcW w:w="1562" w:type="dxa"/>
            <w:vAlign w:val="center"/>
          </w:tcPr>
          <w:p>
            <w:pPr>
              <w:widowControl/>
              <w:spacing w:line="400" w:lineRule="exact"/>
              <w:jc w:val="center"/>
              <w:rPr>
                <w:color w:val="000000"/>
                <w:kern w:val="0"/>
                <w:sz w:val="20"/>
              </w:rPr>
            </w:pPr>
            <w:r>
              <w:rPr>
                <w:color w:val="000000"/>
                <w:kern w:val="0"/>
                <w:sz w:val="20"/>
              </w:rPr>
              <w:t>1.3496</w:t>
            </w:r>
          </w:p>
        </w:tc>
        <w:tc>
          <w:tcPr>
            <w:tcW w:w="1562" w:type="dxa"/>
            <w:vAlign w:val="center"/>
          </w:tcPr>
          <w:p>
            <w:pPr>
              <w:widowControl/>
              <w:spacing w:line="400" w:lineRule="exact"/>
              <w:jc w:val="center"/>
              <w:rPr>
                <w:color w:val="000000"/>
                <w:kern w:val="0"/>
                <w:sz w:val="20"/>
              </w:rPr>
            </w:pPr>
            <w:r>
              <w:rPr>
                <w:color w:val="000000"/>
                <w:kern w:val="0"/>
                <w:sz w:val="20"/>
              </w:rPr>
              <w:t>1.3058</w:t>
            </w:r>
          </w:p>
        </w:tc>
        <w:tc>
          <w:tcPr>
            <w:tcW w:w="1562" w:type="dxa"/>
            <w:vAlign w:val="center"/>
          </w:tcPr>
          <w:p>
            <w:pPr>
              <w:widowControl/>
              <w:spacing w:line="400" w:lineRule="exact"/>
              <w:jc w:val="center"/>
              <w:rPr>
                <w:color w:val="000000"/>
                <w:kern w:val="0"/>
                <w:sz w:val="20"/>
              </w:rPr>
            </w:pPr>
            <w:r>
              <w:rPr>
                <w:color w:val="000000"/>
                <w:kern w:val="0"/>
                <w:sz w:val="20"/>
              </w:rPr>
              <w:t>1.2561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1.1326</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1.1406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1.6</w:t>
            </w:r>
          </w:p>
        </w:tc>
        <w:tc>
          <w:tcPr>
            <w:tcW w:w="1562" w:type="dxa"/>
            <w:vAlign w:val="center"/>
          </w:tcPr>
          <w:p>
            <w:pPr>
              <w:widowControl/>
              <w:spacing w:line="400" w:lineRule="exact"/>
              <w:jc w:val="center"/>
              <w:rPr>
                <w:color w:val="000000"/>
                <w:kern w:val="0"/>
                <w:sz w:val="20"/>
              </w:rPr>
            </w:pPr>
            <w:r>
              <w:rPr>
                <w:color w:val="000000"/>
                <w:kern w:val="0"/>
                <w:sz w:val="20"/>
              </w:rPr>
              <w:t>1.2971</w:t>
            </w:r>
          </w:p>
        </w:tc>
        <w:tc>
          <w:tcPr>
            <w:tcW w:w="1562" w:type="dxa"/>
            <w:vAlign w:val="center"/>
          </w:tcPr>
          <w:p>
            <w:pPr>
              <w:widowControl/>
              <w:spacing w:line="400" w:lineRule="exact"/>
              <w:jc w:val="center"/>
              <w:rPr>
                <w:color w:val="000000"/>
                <w:kern w:val="0"/>
                <w:sz w:val="20"/>
              </w:rPr>
            </w:pPr>
            <w:r>
              <w:rPr>
                <w:color w:val="000000"/>
                <w:kern w:val="0"/>
                <w:sz w:val="20"/>
              </w:rPr>
              <w:t>1.2351</w:t>
            </w:r>
          </w:p>
        </w:tc>
        <w:tc>
          <w:tcPr>
            <w:tcW w:w="1562" w:type="dxa"/>
            <w:vAlign w:val="center"/>
          </w:tcPr>
          <w:p>
            <w:pPr>
              <w:widowControl/>
              <w:spacing w:line="400" w:lineRule="exact"/>
              <w:jc w:val="center"/>
              <w:rPr>
                <w:color w:val="000000"/>
                <w:kern w:val="0"/>
                <w:sz w:val="20"/>
              </w:rPr>
            </w:pPr>
            <w:r>
              <w:rPr>
                <w:color w:val="000000"/>
                <w:kern w:val="0"/>
                <w:sz w:val="20"/>
              </w:rPr>
              <w:t>1.1894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1.1169</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1.0956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1.7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1.2703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1.1719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1.1298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1.0843</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1.0492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1.8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1.2355</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1.1310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1.0784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1.0551</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1.9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1.2007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1.1086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1.0658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1.0303</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0.9859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1.1611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1.0863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1.0550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1.0000</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0.9705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2.1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1.1318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1.0677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1.0352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0.9921</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0.9536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2.2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1.0988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1.0528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1.0126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0.9820</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0.9367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2.3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1.0750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1.0342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1.0000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0.9719</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0.9184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2.4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1.0378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1.0156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0.9901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0.9618</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0.9086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2.5</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1.0195</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1.0000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0.9847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0.9551</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0.8987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2.6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1.0128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0.9896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0.9784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0.9494</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0.8861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2.7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1.0079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0.9821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0.9739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0.9438</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0.8650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2.8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1.0000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0.9740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0.9675</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0.9348</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0.8509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2.9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0.9939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0.9658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0.9630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0.9236</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0.8298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0.9872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0.9568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0.9576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0.9135</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0.8172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3.1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0.9823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0.9479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0.9540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0.9045</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0.8045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3.2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0.9768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0.9397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0.9504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0.8944</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0.7918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3.3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0.9744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0.9323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0.9468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0.8854</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0.7764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3.4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0.9713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0.9249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0.9432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0.8742</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0.7665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3.5</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0.9671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0.9182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0.9396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0.8674</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0.7454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3.6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0.9652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0.9107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0.9333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0.8584</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0.7384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3.7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0.9628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0.9048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0.9288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0.8517</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0.7243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3.8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0.9610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0.8981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0.9225</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0.8427</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0.7173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3.9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0.9591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0.8929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0.9179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0.8348</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0.7032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0.9579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0.8869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0.9143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0.8292</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0.6920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4.1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0.9567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0.8810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0.9080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0.8225</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0.6821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4.2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0.9542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0.8757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0.9044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0.8146</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0.6751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4.3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0.9494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0.8713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0.8999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0.8090</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0.6653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4.4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0.9457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0.8661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0.8954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0.8022</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0.6540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4.5</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0.9420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0.8616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0.8891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0.7955</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0.6456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4.6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0.9396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0.8564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0.8873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0.7899</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0.6371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4.7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0.9359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0.8519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0.8828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0.7831</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0.6287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4.8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0.9323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0.8482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0.8792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0.7775</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4.9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0.9298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0.8438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0.8747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0.7719</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0.6118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5</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0.9262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0.8400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0.8711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0.7685</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5.1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0.9243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0.8356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0.8674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0.7618</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5.2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0.9213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0.8318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0.8638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0.7562</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5.3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0.9182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0.8281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0.8611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0.7517</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5.4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0.9146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0.8244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0.8566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0.7461</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5.5</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0.9134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0.8207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0.8548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0.7416</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5.6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0.9103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0.8177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0.8512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0.7371</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5.7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0.9079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0.8140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0.8476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0.7303</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5.8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0.9048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0.8110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0.8440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0.7281</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5.9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0.9030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0.8080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0.8413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0.7213</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0.8999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0.8043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0.8386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0.7191</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6.1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0.8969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0.8013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0.8350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0.7146</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6.2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0.8957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0.7984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0.8332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0.7101</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6.3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0.8926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0.7954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0.8296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0.7056</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6.4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0.8908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0.7932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0.8278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0.7000</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6.5</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0.8883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0.7902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0.8242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0.6989</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6.6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0.8859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0.7872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0.8215</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0.6944</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6.7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0.8847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0.7850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0.8197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0.6921</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0.5007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6.8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0.8822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0.7820</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0.8161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0.6876</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0.4937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6.9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0.8798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0.7798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0.8133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0.6820</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0.4909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0.8786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0.7768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0.8115</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0.6798</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0.4838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7.1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0.8761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0.7746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0.8097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0.6753</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0.4810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7.2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0.8737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0.7723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0.8061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0.6719</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0.4754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7.3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0.8719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0.7701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0.8052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0.6685</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0.4726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7.4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0.8707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0.7671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0.8016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0.6640</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0.4655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7.5</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0.8682</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0.7649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0.7989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0.6618</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0.4641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7.6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0.8664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0.7626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0.7971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0.6596</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0.4571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7.7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0.8646</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0.7604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0.7944</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0.6562</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0.4557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7.8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0.8627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0.7589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0.7935</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0.6539</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0.4543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7.9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0.8615</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0.7567</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0.7899</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0.6517</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0.4529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widowControl/>
              <w:spacing w:line="400" w:lineRule="exact"/>
              <w:jc w:val="center"/>
              <w:rPr>
                <w:color w:val="000000"/>
                <w:kern w:val="0"/>
                <w:sz w:val="20"/>
              </w:rPr>
            </w:pPr>
            <w:r>
              <w:rPr>
                <w:color w:val="000000"/>
                <w:kern w:val="0"/>
                <w:sz w:val="20"/>
              </w:rPr>
              <w:t>8</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0.8603</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0.7545</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0.7881</w:t>
            </w:r>
          </w:p>
        </w:tc>
        <w:tc>
          <w:tcPr>
            <w:tcW w:w="1562" w:type="dxa"/>
            <w:vAlign w:val="center"/>
          </w:tcPr>
          <w:p>
            <w:pPr>
              <w:widowControl/>
              <w:spacing w:line="400" w:lineRule="exact"/>
              <w:jc w:val="center"/>
              <w:textAlignment w:val="bottom"/>
              <w:rPr>
                <w:color w:val="000000"/>
                <w:sz w:val="20"/>
              </w:rPr>
            </w:pPr>
            <w:r>
              <w:rPr>
                <w:rFonts w:eastAsia="Tahoma"/>
                <w:color w:val="000000"/>
                <w:kern w:val="0"/>
                <w:sz w:val="20"/>
                <w:lang/>
              </w:rPr>
              <w:t>0.6483</w:t>
            </w:r>
          </w:p>
        </w:tc>
        <w:tc>
          <w:tcPr>
            <w:tcW w:w="1553" w:type="dxa"/>
            <w:vAlign w:val="center"/>
          </w:tcPr>
          <w:p>
            <w:pPr>
              <w:widowControl/>
              <w:spacing w:line="400" w:lineRule="exact"/>
              <w:jc w:val="center"/>
              <w:textAlignment w:val="bottom"/>
              <w:rPr>
                <w:color w:val="000000"/>
                <w:sz w:val="20"/>
              </w:rPr>
            </w:pPr>
            <w:r>
              <w:rPr>
                <w:rFonts w:eastAsia="Tahoma"/>
                <w:color w:val="000000"/>
                <w:kern w:val="0"/>
                <w:sz w:val="20"/>
                <w:lang/>
              </w:rPr>
              <w:t>0.4501</w:t>
            </w:r>
          </w:p>
        </w:tc>
      </w:tr>
    </w:tbl>
    <w:p>
      <w:pPr>
        <w:ind w:firstLine="315" w:firstLineChars="150"/>
        <w:jc w:val="left"/>
        <w:textAlignment w:val="baseline"/>
        <w:rPr>
          <w:szCs w:val="21"/>
        </w:rPr>
      </w:pPr>
      <w:r>
        <w:rPr>
          <w:szCs w:val="21"/>
        </w:rPr>
        <w:t>备注：容积率小于1时，按容积率为1时取对应楼面基准地价换算系数标准；容积率大于8时，按容积率为8时取对应的楼面基准地价换算系数标准。</w:t>
      </w:r>
    </w:p>
    <w:p>
      <w:pPr>
        <w:tabs>
          <w:tab w:val="right" w:pos="9298"/>
        </w:tabs>
        <w:ind w:firstLine="573"/>
        <w:jc w:val="center"/>
        <w:rPr>
          <w:sz w:val="24"/>
        </w:rPr>
      </w:pPr>
    </w:p>
    <w:p>
      <w:pPr>
        <w:tabs>
          <w:tab w:val="right" w:pos="9298"/>
        </w:tabs>
        <w:ind w:firstLine="573"/>
        <w:jc w:val="center"/>
        <w:rPr>
          <w:sz w:val="24"/>
        </w:rPr>
      </w:pPr>
      <w:r>
        <w:rPr>
          <w:sz w:val="24"/>
        </w:rPr>
        <w:br w:type="page"/>
      </w:r>
    </w:p>
    <w:p>
      <w:pPr>
        <w:tabs>
          <w:tab w:val="right" w:pos="9298"/>
        </w:tabs>
        <w:spacing w:beforeLines="100"/>
        <w:ind w:firstLine="482" w:firstLineChars="200"/>
        <w:jc w:val="center"/>
        <w:rPr>
          <w:b/>
          <w:sz w:val="24"/>
          <w:szCs w:val="22"/>
        </w:rPr>
      </w:pPr>
      <w:r>
        <w:rPr>
          <w:b/>
          <w:sz w:val="24"/>
          <w:szCs w:val="22"/>
        </w:rPr>
        <w:t>表3-6-7 长沙县住宅用地楼面地价换算系数表</w:t>
      </w:r>
    </w:p>
    <w:p>
      <w:pPr>
        <w:adjustRightInd w:val="0"/>
        <w:snapToGrid w:val="0"/>
        <w:ind w:left="210" w:leftChars="100"/>
        <w:textAlignment w:val="baseline"/>
        <w:rPr>
          <w:bCs/>
          <w:sz w:val="18"/>
          <w:szCs w:val="18"/>
        </w:rPr>
      </w:pPr>
    </w:p>
    <w:tbl>
      <w:tblPr>
        <w:tblW w:w="9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562"/>
        <w:gridCol w:w="1562"/>
        <w:gridCol w:w="1562"/>
        <w:gridCol w:w="1562"/>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trPr>
        <w:tc>
          <w:tcPr>
            <w:tcW w:w="1260" w:type="dxa"/>
            <w:shd w:val="clear" w:color="000000" w:fill="FFFFFF"/>
            <w:vAlign w:val="center"/>
          </w:tcPr>
          <w:p>
            <w:pPr>
              <w:widowControl/>
              <w:spacing w:line="400" w:lineRule="exact"/>
              <w:jc w:val="center"/>
              <w:rPr>
                <w:bCs/>
                <w:color w:val="000000"/>
                <w:kern w:val="0"/>
                <w:sz w:val="20"/>
              </w:rPr>
            </w:pPr>
            <w:r>
              <w:rPr>
                <w:bCs/>
                <w:color w:val="000000"/>
                <w:kern w:val="0"/>
                <w:sz w:val="20"/>
              </w:rPr>
              <w:t>容积率</w:t>
            </w:r>
          </w:p>
        </w:tc>
        <w:tc>
          <w:tcPr>
            <w:tcW w:w="1562" w:type="dxa"/>
            <w:shd w:val="clear" w:color="000000" w:fill="FFFFFF"/>
            <w:vAlign w:val="center"/>
          </w:tcPr>
          <w:p>
            <w:pPr>
              <w:widowControl/>
              <w:spacing w:line="400" w:lineRule="exact"/>
              <w:jc w:val="center"/>
              <w:rPr>
                <w:bCs/>
                <w:color w:val="000000"/>
                <w:kern w:val="0"/>
                <w:sz w:val="20"/>
              </w:rPr>
            </w:pPr>
            <w:r>
              <w:rPr>
                <w:bCs/>
                <w:color w:val="000000"/>
                <w:kern w:val="0"/>
                <w:sz w:val="20"/>
              </w:rPr>
              <w:t>住宅Ⅰ级</w:t>
            </w:r>
          </w:p>
        </w:tc>
        <w:tc>
          <w:tcPr>
            <w:tcW w:w="1562" w:type="dxa"/>
            <w:shd w:val="clear" w:color="000000" w:fill="FFFFFF"/>
            <w:vAlign w:val="center"/>
          </w:tcPr>
          <w:p>
            <w:pPr>
              <w:widowControl/>
              <w:spacing w:line="400" w:lineRule="exact"/>
              <w:jc w:val="center"/>
              <w:rPr>
                <w:bCs/>
                <w:color w:val="000000"/>
                <w:kern w:val="0"/>
                <w:sz w:val="20"/>
              </w:rPr>
            </w:pPr>
            <w:r>
              <w:rPr>
                <w:bCs/>
                <w:color w:val="000000"/>
                <w:kern w:val="0"/>
                <w:sz w:val="20"/>
              </w:rPr>
              <w:t>住宅Ⅱ级</w:t>
            </w:r>
          </w:p>
        </w:tc>
        <w:tc>
          <w:tcPr>
            <w:tcW w:w="1562" w:type="dxa"/>
            <w:shd w:val="clear" w:color="000000" w:fill="FFFFFF"/>
            <w:vAlign w:val="center"/>
          </w:tcPr>
          <w:p>
            <w:pPr>
              <w:widowControl/>
              <w:spacing w:line="400" w:lineRule="exact"/>
              <w:jc w:val="center"/>
              <w:rPr>
                <w:bCs/>
                <w:color w:val="000000"/>
                <w:kern w:val="0"/>
                <w:sz w:val="20"/>
              </w:rPr>
            </w:pPr>
            <w:r>
              <w:rPr>
                <w:bCs/>
                <w:color w:val="000000"/>
                <w:kern w:val="0"/>
                <w:sz w:val="20"/>
              </w:rPr>
              <w:t>住宅Ⅲ级</w:t>
            </w:r>
          </w:p>
        </w:tc>
        <w:tc>
          <w:tcPr>
            <w:tcW w:w="1562" w:type="dxa"/>
            <w:shd w:val="clear" w:color="000000" w:fill="FFFFFF"/>
            <w:vAlign w:val="center"/>
          </w:tcPr>
          <w:p>
            <w:pPr>
              <w:widowControl/>
              <w:spacing w:line="400" w:lineRule="exact"/>
              <w:jc w:val="center"/>
              <w:rPr>
                <w:bCs/>
                <w:color w:val="000000"/>
                <w:kern w:val="0"/>
                <w:sz w:val="20"/>
              </w:rPr>
            </w:pPr>
            <w:r>
              <w:rPr>
                <w:bCs/>
                <w:color w:val="000000"/>
                <w:kern w:val="0"/>
                <w:sz w:val="20"/>
              </w:rPr>
              <w:t>住宅Ⅳ级</w:t>
            </w:r>
          </w:p>
        </w:tc>
        <w:tc>
          <w:tcPr>
            <w:tcW w:w="1553" w:type="dxa"/>
            <w:shd w:val="clear" w:color="000000" w:fill="FFFFFF"/>
            <w:vAlign w:val="center"/>
          </w:tcPr>
          <w:p>
            <w:pPr>
              <w:widowControl/>
              <w:spacing w:line="400" w:lineRule="exact"/>
              <w:jc w:val="center"/>
              <w:rPr>
                <w:bCs/>
                <w:color w:val="000000"/>
                <w:kern w:val="0"/>
                <w:sz w:val="20"/>
              </w:rPr>
            </w:pPr>
            <w:r>
              <w:rPr>
                <w:bCs/>
                <w:color w:val="000000"/>
                <w:kern w:val="0"/>
                <w:sz w:val="20"/>
              </w:rPr>
              <w:t>住宅Ⅴ级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1</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1.8345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1.7714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1.7310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1.6154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1.4074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1.1</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1.7145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1.7195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1.5895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1.4535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1.3211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1.2</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1.5883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1.6130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1.4738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1.3352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1.2235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1.3</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1.4628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1.5195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1.3749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1.2526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1.1528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1.4</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1.3903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1.4424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1.2918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1.1653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1.0721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1.5</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1.3276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1.3758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1.2166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1.1033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1.6</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1.2731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1.3134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1.1523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1.0631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0.9661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1.7</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1.2248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1.2580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1.0940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1.0000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0.9364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1.8</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1.1821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1.1931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1.0465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0.9759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0.9194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1.9</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1.1434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1.1437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1.0000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0.9621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0.9066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2</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1.1090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1.0909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0.9515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0.9518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0.9038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2.1</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1.0779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1.0407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0.9100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0.9449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0.8953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2.2</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1.0497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1.0000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0.8952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0.9392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0.8883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2.3</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1.0234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0.9827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0.8892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0.9323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0.8798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2.4</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1.0000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0.9740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0.8803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0.9277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0.8699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2.5</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0.9779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0.9671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0.8734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0.9231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2.6</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0.9703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0.9619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0.8675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0.9150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0.8501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2.7</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0.9634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0.9550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0.8605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0.9104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0.8402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2.8</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0.9566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0.9498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0.8556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0.9059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0.8317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2.9</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0.9503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0.9437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0.8497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0.9013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0.8232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3</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0.9448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0.9394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0.8427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0.8955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0.8147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3.1</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0.9379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0.9333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0.8378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0.8932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3.2</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0.9331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0.9290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0.8328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0.8863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3.3</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0.9269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0.9247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0.8269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0.8817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3.4</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0.9221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0.9195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0.8210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0.8794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0.7836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3.5</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0.9166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0.9152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0.8170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0.8749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0.7765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3.6</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0.9124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0.9100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0.8121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0.8703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3.7</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0.9069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0.9056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0.8071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0.8645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0.7624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3.8</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0.9028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0.9022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0.8032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0.8634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0.7567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3.9</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0.8979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0.8987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0.7982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0.8588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0.7496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4</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0.8938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0.8952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0.7933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0.8542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4.1</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0.8890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0.8900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0.7903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0.8519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0.7383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4.2</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0.8862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0.8866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0.7864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0.8485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0.7327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4.3</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0.8814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0.8831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0.7814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0.8462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0.7270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4.4</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0.8772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0.8797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0.7794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0.8416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0.7214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4.5</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0.8738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0.8762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0.7755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0.8393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0.7157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4.6</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0.8703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0.8727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0.7715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0.8358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4.7</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0.8669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0.8693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0.7676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0.8324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0.7072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4.8</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0.8628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0.8667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0.7636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0.8289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4.9</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0.8600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0.8632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0.7606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0.8278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0.6959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5</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0.8559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0.8597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0.7577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0.8232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0.6917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5.1</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0.8531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0.8571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0.7537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0.8220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5.2</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0.8503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0.8537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0.7517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0.8175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0.6818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5.3</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0.8469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0.8511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0.7478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0.8152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0.6775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5.4</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0.8441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0.8485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0.7458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0.8129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0.6719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5.5</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0.8414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0.8459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0.7418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0.8106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0.6690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5.6</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0.8379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0.8433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0.7389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0.8094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0.6634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5.7</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0.8352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0.8398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0.7359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0.8060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0.6605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5.8</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0.8331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0.8381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0.7329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0.8037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0.6577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5.9</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0.8303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0.8346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0.7310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0.8002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0.6535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6</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0.8276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0.8329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0.7290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0.7991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0.6492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6.1</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0.8248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0.8303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0.7250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0.7979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0.6450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6.2</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0.8221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0.8277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0.7221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0.7933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0.6421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6.3</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0.8200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0.8251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0.7201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0.7922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0.6393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6.4</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0.8166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0.8234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0.7181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0.7910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0.6365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6.5</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0.8152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0.8208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0.7151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0.7876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0.6322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6.6</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0.8131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0.8182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0.7132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0.7853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0.6280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6.7</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0.8103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0.8165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0.7102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0.7842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0.6252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6.8</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0.8083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0.8147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0.7072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0.7819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0.6209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6.9</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0.8062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0.8113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0.7052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0.7796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0.6181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7</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0.8034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0.8095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0.7033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0.7784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0.6139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7.1</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0.8021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0.8078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0.7013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0.7750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7.2</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0.7993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0.8052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0.6993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0.7750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0.6082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7.3</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0.7972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0.8043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0.6973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0.7715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0.6068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7.4</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0.7959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0.8017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0.6954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0.7692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7.5</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0.7931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0.8000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0.6924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0.7635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0.6011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7.6</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0.7917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0.7974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0.6894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0.7589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0.5997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7.7</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0.7897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0.7957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0.6864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0.7543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0.5969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7.8</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0.7876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0.7931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0.6855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0.7520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0.5941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7.9</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0.7855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0.7905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0.6825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0.7474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0.5912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60" w:type="dxa"/>
            <w:shd w:val="clear" w:color="000000" w:fill="FFFFFF"/>
            <w:vAlign w:val="center"/>
          </w:tcPr>
          <w:p>
            <w:pPr>
              <w:spacing w:line="400" w:lineRule="exact"/>
              <w:jc w:val="center"/>
              <w:rPr>
                <w:color w:val="000000"/>
                <w:sz w:val="20"/>
              </w:rPr>
            </w:pPr>
            <w:r>
              <w:rPr>
                <w:color w:val="000000"/>
                <w:sz w:val="20"/>
              </w:rPr>
              <w:t>8</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0.7834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0.7896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0.6795 </w:t>
            </w:r>
          </w:p>
        </w:tc>
        <w:tc>
          <w:tcPr>
            <w:tcW w:w="1562" w:type="dxa"/>
            <w:vAlign w:val="center"/>
          </w:tcPr>
          <w:p>
            <w:pPr>
              <w:widowControl/>
              <w:spacing w:line="400" w:lineRule="exact"/>
              <w:jc w:val="center"/>
              <w:textAlignment w:val="center"/>
              <w:rPr>
                <w:color w:val="000000"/>
                <w:sz w:val="20"/>
              </w:rPr>
            </w:pPr>
            <w:r>
              <w:rPr>
                <w:rFonts w:eastAsia="Tahoma"/>
                <w:color w:val="000000"/>
                <w:kern w:val="0"/>
                <w:sz w:val="20"/>
                <w:lang/>
              </w:rPr>
              <w:t xml:space="preserve">0.7440 </w:t>
            </w:r>
          </w:p>
        </w:tc>
        <w:tc>
          <w:tcPr>
            <w:tcW w:w="1553" w:type="dxa"/>
            <w:vAlign w:val="center"/>
          </w:tcPr>
          <w:p>
            <w:pPr>
              <w:widowControl/>
              <w:spacing w:line="400" w:lineRule="exact"/>
              <w:jc w:val="center"/>
              <w:textAlignment w:val="center"/>
              <w:rPr>
                <w:color w:val="000000"/>
                <w:sz w:val="20"/>
              </w:rPr>
            </w:pPr>
            <w:r>
              <w:rPr>
                <w:rFonts w:eastAsia="Tahoma"/>
                <w:color w:val="000000"/>
                <w:kern w:val="0"/>
                <w:sz w:val="20"/>
                <w:lang/>
              </w:rPr>
              <w:t xml:space="preserve">0.5870 </w:t>
            </w:r>
          </w:p>
        </w:tc>
      </w:tr>
    </w:tbl>
    <w:p>
      <w:pPr>
        <w:adjustRightInd w:val="0"/>
        <w:snapToGrid w:val="0"/>
        <w:ind w:left="210" w:leftChars="100" w:firstLine="420" w:firstLineChars="200"/>
        <w:textAlignment w:val="baseline"/>
        <w:rPr>
          <w:sz w:val="24"/>
          <w:vertAlign w:val="subscript"/>
        </w:rPr>
      </w:pPr>
      <w:r>
        <w:rPr>
          <w:szCs w:val="21"/>
        </w:rPr>
        <w:t>备注：容积率小于1时，按容积率为1时取对应楼面基准地价换算系数标准；容积率大于8时，按容积率为8时取对应的楼面基准地价换算系数标准。</w:t>
      </w:r>
    </w:p>
    <w:p>
      <w:pPr>
        <w:spacing w:line="600" w:lineRule="exact"/>
        <w:ind w:firstLine="560" w:firstLineChars="200"/>
        <w:outlineLvl w:val="2"/>
        <w:rPr>
          <w:rFonts w:eastAsia="黑体"/>
          <w:sz w:val="28"/>
          <w:szCs w:val="28"/>
          <w:lang w:val="zh-CN"/>
        </w:rPr>
      </w:pPr>
      <w:r>
        <w:rPr>
          <w:rFonts w:eastAsia="黑体"/>
          <w:sz w:val="28"/>
          <w:szCs w:val="28"/>
          <w:lang w:val="zh-CN"/>
        </w:rPr>
        <w:br w:type="page"/>
      </w:r>
      <w:bookmarkStart w:id="650" w:name="_Toc10899"/>
      <w:r>
        <w:rPr>
          <w:rFonts w:eastAsia="黑体"/>
          <w:sz w:val="28"/>
          <w:szCs w:val="28"/>
          <w:lang w:val="zh-CN"/>
        </w:rPr>
        <w:t>六、楼面基准地价的确定</w:t>
      </w:r>
      <w:bookmarkEnd w:id="649"/>
      <w:bookmarkEnd w:id="650"/>
    </w:p>
    <w:p>
      <w:pPr>
        <w:tabs>
          <w:tab w:val="right" w:pos="9298"/>
        </w:tabs>
        <w:spacing w:line="460" w:lineRule="exact"/>
        <w:ind w:firstLine="480" w:firstLineChars="200"/>
        <w:rPr>
          <w:sz w:val="24"/>
        </w:rPr>
      </w:pPr>
      <w:r>
        <w:rPr>
          <w:sz w:val="24"/>
        </w:rPr>
        <w:t>根据楼面地价换算过程，得到长沙县城区商服用地、住宅用地各级别楼面基准地价见表</w:t>
      </w:r>
      <w:r>
        <w:rPr>
          <w:rFonts w:hint="eastAsia"/>
          <w:sz w:val="24"/>
        </w:rPr>
        <w:t>3-6-8</w:t>
      </w:r>
      <w:r>
        <w:rPr>
          <w:sz w:val="24"/>
        </w:rPr>
        <w:t>和</w:t>
      </w:r>
      <w:r>
        <w:rPr>
          <w:rFonts w:hint="eastAsia"/>
          <w:sz w:val="24"/>
        </w:rPr>
        <w:t>3-6-9</w:t>
      </w:r>
      <w:r>
        <w:rPr>
          <w:sz w:val="24"/>
        </w:rPr>
        <w:t xml:space="preserve">： </w:t>
      </w:r>
    </w:p>
    <w:p>
      <w:pPr>
        <w:tabs>
          <w:tab w:val="right" w:pos="9298"/>
        </w:tabs>
        <w:spacing w:beforeLines="50"/>
        <w:ind w:firstLine="482" w:firstLineChars="200"/>
        <w:jc w:val="center"/>
        <w:rPr>
          <w:b/>
          <w:sz w:val="24"/>
        </w:rPr>
      </w:pPr>
      <w:r>
        <w:rPr>
          <w:b/>
          <w:sz w:val="24"/>
        </w:rPr>
        <w:t>表3-6-8 城区商服用地楼面基准地价表</w:t>
      </w:r>
    </w:p>
    <w:p>
      <w:pPr>
        <w:tabs>
          <w:tab w:val="right" w:pos="9298"/>
        </w:tabs>
        <w:spacing w:line="460" w:lineRule="exact"/>
        <w:ind w:firstLine="420" w:firstLineChars="200"/>
        <w:jc w:val="right"/>
        <w:rPr>
          <w:szCs w:val="21"/>
        </w:rPr>
      </w:pPr>
      <w:r>
        <w:rPr>
          <w:szCs w:val="21"/>
        </w:rPr>
        <w:t>单位：元/平方米建筑面积</w:t>
      </w:r>
    </w:p>
    <w:tbl>
      <w:tblPr>
        <w:tblW w:w="8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479"/>
        <w:gridCol w:w="1479"/>
        <w:gridCol w:w="1478"/>
        <w:gridCol w:w="1479"/>
        <w:gridCol w:w="1479"/>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b/>
                <w:color w:val="000000"/>
                <w:sz w:val="20"/>
              </w:rPr>
            </w:pPr>
            <w:r>
              <w:rPr>
                <w:b/>
                <w:color w:val="000000"/>
                <w:kern w:val="0"/>
                <w:sz w:val="20"/>
                <w:lang/>
              </w:rPr>
              <w:t>容积率</w:t>
            </w:r>
          </w:p>
        </w:tc>
        <w:tc>
          <w:tcPr>
            <w:tcW w:w="1479" w:type="dxa"/>
            <w:shd w:val="clear" w:color="auto" w:fill="FFFFFF"/>
            <w:vAlign w:val="center"/>
          </w:tcPr>
          <w:p>
            <w:pPr>
              <w:widowControl/>
              <w:jc w:val="center"/>
              <w:textAlignment w:val="center"/>
              <w:rPr>
                <w:b/>
                <w:color w:val="000000"/>
                <w:sz w:val="20"/>
              </w:rPr>
            </w:pPr>
            <w:r>
              <w:rPr>
                <w:b/>
                <w:color w:val="000000"/>
                <w:kern w:val="0"/>
                <w:sz w:val="20"/>
                <w:lang/>
              </w:rPr>
              <w:t>商服Ⅰ级</w:t>
            </w:r>
          </w:p>
        </w:tc>
        <w:tc>
          <w:tcPr>
            <w:tcW w:w="1478" w:type="dxa"/>
            <w:shd w:val="clear" w:color="auto" w:fill="FFFFFF"/>
            <w:vAlign w:val="center"/>
          </w:tcPr>
          <w:p>
            <w:pPr>
              <w:widowControl/>
              <w:jc w:val="center"/>
              <w:textAlignment w:val="center"/>
              <w:rPr>
                <w:b/>
                <w:color w:val="000000"/>
                <w:sz w:val="20"/>
              </w:rPr>
            </w:pPr>
            <w:r>
              <w:rPr>
                <w:b/>
                <w:color w:val="000000"/>
                <w:kern w:val="0"/>
                <w:sz w:val="20"/>
                <w:lang/>
              </w:rPr>
              <w:t>商服Ⅱ级</w:t>
            </w:r>
          </w:p>
        </w:tc>
        <w:tc>
          <w:tcPr>
            <w:tcW w:w="1479" w:type="dxa"/>
            <w:shd w:val="clear" w:color="auto" w:fill="FFFFFF"/>
            <w:vAlign w:val="center"/>
          </w:tcPr>
          <w:p>
            <w:pPr>
              <w:widowControl/>
              <w:jc w:val="center"/>
              <w:textAlignment w:val="center"/>
              <w:rPr>
                <w:b/>
                <w:color w:val="000000"/>
                <w:sz w:val="20"/>
              </w:rPr>
            </w:pPr>
            <w:r>
              <w:rPr>
                <w:b/>
                <w:color w:val="000000"/>
                <w:kern w:val="0"/>
                <w:sz w:val="20"/>
                <w:lang/>
              </w:rPr>
              <w:t>商服Ⅲ级</w:t>
            </w:r>
          </w:p>
        </w:tc>
        <w:tc>
          <w:tcPr>
            <w:tcW w:w="1479" w:type="dxa"/>
            <w:shd w:val="clear" w:color="auto" w:fill="FFFFFF"/>
            <w:vAlign w:val="center"/>
          </w:tcPr>
          <w:p>
            <w:pPr>
              <w:widowControl/>
              <w:jc w:val="center"/>
              <w:textAlignment w:val="center"/>
              <w:rPr>
                <w:b/>
                <w:color w:val="000000"/>
                <w:sz w:val="20"/>
              </w:rPr>
            </w:pPr>
            <w:r>
              <w:rPr>
                <w:b/>
                <w:color w:val="000000"/>
                <w:kern w:val="0"/>
                <w:sz w:val="20"/>
                <w:lang/>
              </w:rPr>
              <w:t>商服Ⅳ级</w:t>
            </w:r>
          </w:p>
        </w:tc>
        <w:tc>
          <w:tcPr>
            <w:tcW w:w="1481" w:type="dxa"/>
            <w:shd w:val="clear" w:color="auto" w:fill="FFFFFF"/>
            <w:vAlign w:val="center"/>
          </w:tcPr>
          <w:p>
            <w:pPr>
              <w:widowControl/>
              <w:jc w:val="center"/>
              <w:textAlignment w:val="center"/>
              <w:rPr>
                <w:b/>
                <w:color w:val="000000"/>
                <w:sz w:val="20"/>
              </w:rPr>
            </w:pPr>
            <w:r>
              <w:rPr>
                <w:b/>
                <w:color w:val="000000"/>
                <w:kern w:val="0"/>
                <w:sz w:val="20"/>
                <w:lang/>
              </w:rPr>
              <w:t>商服Ⅴ级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1</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2985</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2340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1884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1359</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1.1</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2776</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2180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1722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1250</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1.2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2605</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2076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1688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1173</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1.3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2450</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1970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1574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1080</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1.4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2320</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1860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1477</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1027</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1.5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2212</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1755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1393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1008</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1.6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2126</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1660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1319</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994</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1.7</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2082</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1575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1253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965</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1.8</w:t>
            </w:r>
          </w:p>
        </w:tc>
        <w:tc>
          <w:tcPr>
            <w:tcW w:w="1479" w:type="dxa"/>
            <w:shd w:val="clear" w:color="auto" w:fill="auto"/>
            <w:vAlign w:val="center"/>
          </w:tcPr>
          <w:p>
            <w:pPr>
              <w:widowControl/>
              <w:jc w:val="center"/>
              <w:textAlignment w:val="center"/>
              <w:rPr>
                <w:rFonts w:eastAsia="Tahoma"/>
                <w:color w:val="000000"/>
                <w:sz w:val="20"/>
              </w:rPr>
            </w:pPr>
            <w:r>
              <w:rPr>
                <w:rFonts w:eastAsia="Tahoma"/>
                <w:color w:val="000000"/>
                <w:kern w:val="0"/>
                <w:sz w:val="20"/>
                <w:lang/>
              </w:rPr>
              <w:t>2025</w:t>
            </w:r>
          </w:p>
        </w:tc>
        <w:tc>
          <w:tcPr>
            <w:tcW w:w="1478" w:type="dxa"/>
            <w:shd w:val="clear" w:color="auto" w:fill="auto"/>
            <w:vAlign w:val="center"/>
          </w:tcPr>
          <w:p>
            <w:pPr>
              <w:widowControl/>
              <w:jc w:val="center"/>
              <w:textAlignment w:val="center"/>
              <w:rPr>
                <w:rFonts w:eastAsia="Tahoma"/>
                <w:color w:val="000000"/>
                <w:sz w:val="20"/>
              </w:rPr>
            </w:pPr>
            <w:r>
              <w:rPr>
                <w:rFonts w:eastAsia="Tahoma"/>
                <w:color w:val="000000"/>
                <w:kern w:val="0"/>
                <w:sz w:val="20"/>
                <w:lang/>
              </w:rPr>
              <w:t>1520</w:t>
            </w:r>
          </w:p>
        </w:tc>
        <w:tc>
          <w:tcPr>
            <w:tcW w:w="1479" w:type="dxa"/>
            <w:shd w:val="clear" w:color="auto" w:fill="auto"/>
            <w:vAlign w:val="center"/>
          </w:tcPr>
          <w:p>
            <w:pPr>
              <w:widowControl/>
              <w:jc w:val="center"/>
              <w:textAlignment w:val="center"/>
              <w:rPr>
                <w:rFonts w:eastAsia="Tahoma"/>
                <w:color w:val="000000"/>
                <w:sz w:val="20"/>
              </w:rPr>
            </w:pPr>
            <w:r>
              <w:rPr>
                <w:rFonts w:eastAsia="Tahoma"/>
                <w:color w:val="000000"/>
                <w:kern w:val="0"/>
                <w:sz w:val="20"/>
                <w:lang/>
              </w:rPr>
              <w:t>1196</w:t>
            </w:r>
          </w:p>
        </w:tc>
        <w:tc>
          <w:tcPr>
            <w:tcW w:w="1479" w:type="dxa"/>
            <w:shd w:val="clear" w:color="auto" w:fill="auto"/>
            <w:vAlign w:val="center"/>
          </w:tcPr>
          <w:p>
            <w:pPr>
              <w:widowControl/>
              <w:jc w:val="center"/>
              <w:textAlignment w:val="center"/>
              <w:rPr>
                <w:rFonts w:eastAsia="Tahoma"/>
                <w:color w:val="000000"/>
                <w:sz w:val="20"/>
              </w:rPr>
            </w:pPr>
            <w:r>
              <w:rPr>
                <w:rFonts w:eastAsia="Tahoma"/>
                <w:color w:val="000000"/>
                <w:kern w:val="0"/>
                <w:sz w:val="20"/>
                <w:lang/>
              </w:rPr>
              <w:t>939</w:t>
            </w:r>
          </w:p>
        </w:tc>
        <w:tc>
          <w:tcPr>
            <w:tcW w:w="1481" w:type="dxa"/>
            <w:shd w:val="clear" w:color="auto" w:fill="92D050"/>
            <w:vAlign w:val="center"/>
          </w:tcPr>
          <w:p>
            <w:pPr>
              <w:widowControl/>
              <w:jc w:val="center"/>
              <w:textAlignment w:val="center"/>
              <w:rPr>
                <w:rFonts w:eastAsia="Tahoma"/>
                <w:color w:val="000000"/>
                <w:sz w:val="20"/>
              </w:rPr>
            </w:pPr>
            <w:r>
              <w:rPr>
                <w:rFonts w:eastAsia="Tahoma"/>
                <w:color w:val="000000"/>
                <w:kern w:val="0"/>
                <w:sz w:val="20"/>
                <w:lang/>
              </w:rPr>
              <w:t>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1.9</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1968</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1490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1182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917</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2</w:t>
            </w:r>
          </w:p>
        </w:tc>
        <w:tc>
          <w:tcPr>
            <w:tcW w:w="1479" w:type="dxa"/>
            <w:shd w:val="clear" w:color="auto" w:fill="auto"/>
            <w:vAlign w:val="center"/>
          </w:tcPr>
          <w:p>
            <w:pPr>
              <w:widowControl/>
              <w:jc w:val="center"/>
              <w:textAlignment w:val="center"/>
              <w:rPr>
                <w:rFonts w:eastAsia="Tahoma"/>
                <w:color w:val="000000"/>
                <w:sz w:val="20"/>
              </w:rPr>
            </w:pPr>
            <w:r>
              <w:rPr>
                <w:rFonts w:eastAsia="Tahoma"/>
                <w:color w:val="000000"/>
                <w:kern w:val="0"/>
                <w:sz w:val="20"/>
                <w:lang/>
              </w:rPr>
              <w:t>1903</w:t>
            </w:r>
          </w:p>
        </w:tc>
        <w:tc>
          <w:tcPr>
            <w:tcW w:w="1478" w:type="dxa"/>
            <w:shd w:val="clear" w:color="auto" w:fill="auto"/>
            <w:vAlign w:val="center"/>
          </w:tcPr>
          <w:p>
            <w:pPr>
              <w:widowControl/>
              <w:jc w:val="center"/>
              <w:textAlignment w:val="center"/>
              <w:rPr>
                <w:rFonts w:eastAsia="Tahoma"/>
                <w:color w:val="000000"/>
                <w:sz w:val="20"/>
              </w:rPr>
            </w:pPr>
            <w:r>
              <w:rPr>
                <w:rFonts w:eastAsia="Tahoma"/>
                <w:color w:val="000000"/>
                <w:kern w:val="0"/>
                <w:sz w:val="20"/>
                <w:lang/>
              </w:rPr>
              <w:t>1460</w:t>
            </w:r>
          </w:p>
        </w:tc>
        <w:tc>
          <w:tcPr>
            <w:tcW w:w="1479" w:type="dxa"/>
            <w:shd w:val="clear" w:color="auto" w:fill="auto"/>
            <w:vAlign w:val="center"/>
          </w:tcPr>
          <w:p>
            <w:pPr>
              <w:widowControl/>
              <w:jc w:val="center"/>
              <w:textAlignment w:val="center"/>
              <w:rPr>
                <w:rFonts w:eastAsia="Tahoma"/>
                <w:color w:val="000000"/>
                <w:sz w:val="20"/>
              </w:rPr>
            </w:pPr>
            <w:r>
              <w:rPr>
                <w:rFonts w:eastAsia="Tahoma"/>
                <w:color w:val="000000"/>
                <w:kern w:val="0"/>
                <w:sz w:val="20"/>
                <w:lang/>
              </w:rPr>
              <w:t>1170</w:t>
            </w:r>
          </w:p>
        </w:tc>
        <w:tc>
          <w:tcPr>
            <w:tcW w:w="1479" w:type="dxa"/>
            <w:shd w:val="clear" w:color="auto" w:fill="92D050"/>
            <w:vAlign w:val="center"/>
          </w:tcPr>
          <w:p>
            <w:pPr>
              <w:widowControl/>
              <w:jc w:val="center"/>
              <w:textAlignment w:val="center"/>
              <w:rPr>
                <w:rFonts w:eastAsia="Tahoma"/>
                <w:color w:val="000000"/>
                <w:sz w:val="20"/>
              </w:rPr>
            </w:pPr>
            <w:r>
              <w:rPr>
                <w:rFonts w:eastAsia="Tahoma"/>
                <w:color w:val="000000"/>
                <w:kern w:val="0"/>
                <w:sz w:val="20"/>
                <w:lang/>
              </w:rPr>
              <w:t>890</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2.1</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1855</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1435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1148</w:t>
            </w:r>
          </w:p>
        </w:tc>
        <w:tc>
          <w:tcPr>
            <w:tcW w:w="1479" w:type="dxa"/>
            <w:vAlign w:val="center"/>
          </w:tcPr>
          <w:p>
            <w:pPr>
              <w:widowControl/>
              <w:jc w:val="center"/>
              <w:textAlignment w:val="center"/>
              <w:rPr>
                <w:color w:val="000000"/>
                <w:sz w:val="20"/>
              </w:rPr>
            </w:pPr>
            <w:r>
              <w:rPr>
                <w:color w:val="000000"/>
                <w:sz w:val="20"/>
              </w:rPr>
              <w:t>883</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2.2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1801</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1415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1123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874</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2.3</w:t>
            </w:r>
          </w:p>
        </w:tc>
        <w:tc>
          <w:tcPr>
            <w:tcW w:w="1479" w:type="dxa"/>
            <w:shd w:val="clear" w:color="auto" w:fill="auto"/>
            <w:vAlign w:val="center"/>
          </w:tcPr>
          <w:p>
            <w:pPr>
              <w:widowControl/>
              <w:jc w:val="center"/>
              <w:textAlignment w:val="center"/>
              <w:rPr>
                <w:rFonts w:eastAsia="Tahoma"/>
                <w:color w:val="000000"/>
                <w:sz w:val="20"/>
              </w:rPr>
            </w:pPr>
            <w:r>
              <w:rPr>
                <w:rFonts w:eastAsia="Tahoma"/>
                <w:color w:val="000000"/>
                <w:kern w:val="0"/>
                <w:sz w:val="20"/>
                <w:lang/>
              </w:rPr>
              <w:t>1762</w:t>
            </w:r>
          </w:p>
        </w:tc>
        <w:tc>
          <w:tcPr>
            <w:tcW w:w="1478" w:type="dxa"/>
            <w:shd w:val="clear" w:color="auto" w:fill="auto"/>
            <w:vAlign w:val="center"/>
          </w:tcPr>
          <w:p>
            <w:pPr>
              <w:widowControl/>
              <w:jc w:val="center"/>
              <w:textAlignment w:val="center"/>
              <w:rPr>
                <w:rFonts w:eastAsia="Tahoma"/>
                <w:color w:val="000000"/>
                <w:sz w:val="20"/>
              </w:rPr>
            </w:pPr>
            <w:r>
              <w:rPr>
                <w:rFonts w:eastAsia="Tahoma"/>
                <w:color w:val="000000"/>
                <w:kern w:val="0"/>
                <w:sz w:val="20"/>
                <w:lang/>
              </w:rPr>
              <w:t>1390</w:t>
            </w:r>
          </w:p>
        </w:tc>
        <w:tc>
          <w:tcPr>
            <w:tcW w:w="1479" w:type="dxa"/>
            <w:shd w:val="clear" w:color="auto" w:fill="92D050"/>
            <w:vAlign w:val="center"/>
          </w:tcPr>
          <w:p>
            <w:pPr>
              <w:widowControl/>
              <w:jc w:val="center"/>
              <w:textAlignment w:val="center"/>
              <w:rPr>
                <w:rFonts w:eastAsia="Tahoma"/>
                <w:color w:val="000000"/>
                <w:sz w:val="20"/>
              </w:rPr>
            </w:pPr>
            <w:r>
              <w:rPr>
                <w:rFonts w:eastAsia="Tahoma"/>
                <w:color w:val="000000"/>
                <w:kern w:val="0"/>
                <w:sz w:val="20"/>
                <w:lang/>
              </w:rPr>
              <w:t>1109</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865</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2.4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1701</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1365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1098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856</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2.5</w:t>
            </w:r>
          </w:p>
        </w:tc>
        <w:tc>
          <w:tcPr>
            <w:tcW w:w="1479" w:type="dxa"/>
            <w:shd w:val="clear" w:color="auto" w:fill="auto"/>
            <w:vAlign w:val="center"/>
          </w:tcPr>
          <w:p>
            <w:pPr>
              <w:widowControl/>
              <w:jc w:val="center"/>
              <w:textAlignment w:val="center"/>
              <w:rPr>
                <w:rFonts w:eastAsia="Tahoma"/>
                <w:color w:val="000000"/>
                <w:sz w:val="20"/>
              </w:rPr>
            </w:pPr>
            <w:r>
              <w:rPr>
                <w:rFonts w:eastAsia="Tahoma"/>
                <w:color w:val="000000"/>
                <w:kern w:val="0"/>
                <w:sz w:val="20"/>
                <w:lang/>
              </w:rPr>
              <w:t>1671</w:t>
            </w:r>
          </w:p>
        </w:tc>
        <w:tc>
          <w:tcPr>
            <w:tcW w:w="1478" w:type="dxa"/>
            <w:shd w:val="clear" w:color="auto" w:fill="92D050"/>
            <w:vAlign w:val="center"/>
          </w:tcPr>
          <w:p>
            <w:pPr>
              <w:widowControl/>
              <w:jc w:val="center"/>
              <w:textAlignment w:val="center"/>
              <w:rPr>
                <w:rFonts w:eastAsia="Tahoma"/>
                <w:color w:val="000000"/>
                <w:sz w:val="20"/>
              </w:rPr>
            </w:pPr>
            <w:r>
              <w:rPr>
                <w:rFonts w:eastAsia="Tahoma"/>
                <w:color w:val="000000"/>
                <w:kern w:val="0"/>
                <w:sz w:val="20"/>
                <w:lang/>
              </w:rPr>
              <w:t>1344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1092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850</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2.6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1660</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1330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1085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845</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2.7</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1652</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1320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1080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840</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2.8</w:t>
            </w:r>
          </w:p>
        </w:tc>
        <w:tc>
          <w:tcPr>
            <w:tcW w:w="1479" w:type="dxa"/>
            <w:shd w:val="clear" w:color="auto" w:fill="92D050"/>
            <w:vAlign w:val="center"/>
          </w:tcPr>
          <w:p>
            <w:pPr>
              <w:widowControl/>
              <w:jc w:val="center"/>
              <w:textAlignment w:val="center"/>
              <w:rPr>
                <w:rFonts w:eastAsia="Tahoma"/>
                <w:color w:val="000000"/>
                <w:sz w:val="20"/>
              </w:rPr>
            </w:pPr>
            <w:r>
              <w:rPr>
                <w:rFonts w:eastAsia="Tahoma"/>
                <w:color w:val="000000"/>
                <w:kern w:val="0"/>
                <w:sz w:val="20"/>
                <w:lang/>
              </w:rPr>
              <w:t>1639</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1309</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1073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832</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2.9</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1629</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1298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1068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822</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1618</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1286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1062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813</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3.1</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1610</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1274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1058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805</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3.2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1601</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1263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1054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796</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3.3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1597</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1253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1050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788</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3.4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1592</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1243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1046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778</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3.5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1585</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1234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1042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772</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3.6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1582</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1224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1035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764</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3.7</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1578</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1216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1030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758</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3.8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1575</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1207</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1023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750</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3.9</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1572</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1200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1018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743</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1570</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1192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1014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738</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4.1</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1568</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1184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1007</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732</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4.2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1564</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1177</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1003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725</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4.3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1556</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1171</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998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720</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4.4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1550</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1164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993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714</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4.5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1544</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1158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986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708</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4.6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1540</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1151</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984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703</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4.7</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1534</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1145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979</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697</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4.8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1528</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1140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975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692</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4.9</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1524</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1134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970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687</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1518</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1129</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966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684</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5.1</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1515</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1123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962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678</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5.2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1510</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1118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958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673</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5.3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1505</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1113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955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669</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5.4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1499</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1108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950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664</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5.5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1497</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1103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948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660</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5.6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1492</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1099</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944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656</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5.7</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1488</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1094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940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650</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5.8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1483</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1090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936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648</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5.9</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1480</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1086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933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642</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1475</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1081</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930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640</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6.1</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1470</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1077</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926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636</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6.2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1468</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1073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924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632</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6.3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1463</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1069</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920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628</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6.4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1460</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1066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918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623</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6.5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1456</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1062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914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622</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6.6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1452</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1058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911</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618</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6.7</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1450</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1055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909</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616</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6.8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1446</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1051</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905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612</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6.9</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1442</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1048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902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607</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7</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1440</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1044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900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605</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7.1</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1436</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1041</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898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601</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7.2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1432</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1038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894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598</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7.3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1429</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1035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893</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595</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7.4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1427</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1031</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889</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591</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7.5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1423</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1028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886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589</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7.6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1420</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1025</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884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587</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7.7</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1417</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1022</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881</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584</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7.8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1414</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1020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880</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582</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7.9</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1412</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1017</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876</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580</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rPr>
        <w:tc>
          <w:tcPr>
            <w:tcW w:w="1479" w:type="dxa"/>
            <w:shd w:val="clear" w:color="auto" w:fill="FFFFFF"/>
            <w:vAlign w:val="center"/>
          </w:tcPr>
          <w:p>
            <w:pPr>
              <w:widowControl/>
              <w:jc w:val="center"/>
              <w:textAlignment w:val="center"/>
              <w:rPr>
                <w:rFonts w:eastAsia="Tahoma"/>
                <w:color w:val="000000"/>
                <w:sz w:val="20"/>
              </w:rPr>
            </w:pPr>
            <w:r>
              <w:rPr>
                <w:rFonts w:eastAsia="Tahoma"/>
                <w:color w:val="000000"/>
                <w:kern w:val="0"/>
                <w:sz w:val="20"/>
                <w:lang/>
              </w:rPr>
              <w:t>8</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1410</w:t>
            </w:r>
          </w:p>
        </w:tc>
        <w:tc>
          <w:tcPr>
            <w:tcW w:w="1478" w:type="dxa"/>
            <w:vAlign w:val="center"/>
          </w:tcPr>
          <w:p>
            <w:pPr>
              <w:widowControl/>
              <w:jc w:val="center"/>
              <w:textAlignment w:val="center"/>
              <w:rPr>
                <w:rFonts w:eastAsia="Tahoma"/>
                <w:color w:val="000000"/>
                <w:sz w:val="20"/>
              </w:rPr>
            </w:pPr>
            <w:r>
              <w:rPr>
                <w:rFonts w:eastAsia="Tahoma"/>
                <w:color w:val="000000"/>
                <w:kern w:val="0"/>
                <w:sz w:val="20"/>
                <w:lang/>
              </w:rPr>
              <w:t>1014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874</w:t>
            </w:r>
          </w:p>
        </w:tc>
        <w:tc>
          <w:tcPr>
            <w:tcW w:w="1479" w:type="dxa"/>
            <w:vAlign w:val="center"/>
          </w:tcPr>
          <w:p>
            <w:pPr>
              <w:widowControl/>
              <w:jc w:val="center"/>
              <w:textAlignment w:val="center"/>
              <w:rPr>
                <w:rFonts w:eastAsia="Tahoma"/>
                <w:color w:val="000000"/>
                <w:sz w:val="20"/>
              </w:rPr>
            </w:pPr>
            <w:r>
              <w:rPr>
                <w:rFonts w:eastAsia="Tahoma"/>
                <w:color w:val="000000"/>
                <w:kern w:val="0"/>
                <w:sz w:val="20"/>
                <w:lang/>
              </w:rPr>
              <w:t>577</w:t>
            </w:r>
          </w:p>
        </w:tc>
        <w:tc>
          <w:tcPr>
            <w:tcW w:w="1481" w:type="dxa"/>
            <w:vAlign w:val="center"/>
          </w:tcPr>
          <w:p>
            <w:pPr>
              <w:widowControl/>
              <w:jc w:val="center"/>
              <w:textAlignment w:val="center"/>
              <w:rPr>
                <w:rFonts w:eastAsia="Tahoma"/>
                <w:color w:val="000000"/>
                <w:sz w:val="20"/>
              </w:rPr>
            </w:pPr>
            <w:r>
              <w:rPr>
                <w:rFonts w:eastAsia="Tahoma"/>
                <w:color w:val="000000"/>
                <w:kern w:val="0"/>
                <w:sz w:val="20"/>
                <w:lang/>
              </w:rPr>
              <w:t>320</w:t>
            </w:r>
          </w:p>
        </w:tc>
      </w:tr>
    </w:tbl>
    <w:p>
      <w:pPr>
        <w:tabs>
          <w:tab w:val="left" w:pos="8306"/>
          <w:tab w:val="right" w:pos="9298"/>
        </w:tabs>
        <w:spacing w:line="460" w:lineRule="exact"/>
        <w:ind w:right="-58" w:firstLine="420" w:firstLineChars="200"/>
        <w:jc w:val="left"/>
        <w:rPr>
          <w:szCs w:val="21"/>
        </w:rPr>
      </w:pPr>
      <w:r>
        <w:rPr>
          <w:szCs w:val="21"/>
        </w:rPr>
        <w:t>备注：容积率小于时，按容积率为1时取对应楼面基准地价标准；容积率大于8时，按容积率为8时取对应的楼面基准地价标准。</w:t>
      </w:r>
    </w:p>
    <w:p>
      <w:pPr>
        <w:widowControl/>
        <w:jc w:val="center"/>
        <w:rPr>
          <w:b/>
          <w:sz w:val="24"/>
        </w:rPr>
      </w:pPr>
      <w:r>
        <w:rPr>
          <w:b/>
          <w:sz w:val="24"/>
        </w:rPr>
        <w:t>表3-6-9 城区住宅用地楼面基准地价表</w:t>
      </w:r>
    </w:p>
    <w:p>
      <w:pPr>
        <w:tabs>
          <w:tab w:val="right" w:pos="9298"/>
        </w:tabs>
        <w:spacing w:line="460" w:lineRule="exact"/>
        <w:ind w:firstLine="420" w:firstLineChars="200"/>
        <w:jc w:val="right"/>
        <w:rPr>
          <w:szCs w:val="21"/>
        </w:rPr>
      </w:pPr>
      <w:r>
        <w:rPr>
          <w:szCs w:val="21"/>
        </w:rPr>
        <w:t>单位：元/平方米建筑面积</w:t>
      </w:r>
    </w:p>
    <w:tbl>
      <w:tblPr>
        <w:tblW w:w="88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479"/>
        <w:gridCol w:w="1480"/>
        <w:gridCol w:w="1479"/>
        <w:gridCol w:w="1478"/>
        <w:gridCol w:w="1480"/>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b/>
                <w:color w:val="000000"/>
                <w:sz w:val="20"/>
              </w:rPr>
            </w:pPr>
            <w:r>
              <w:rPr>
                <w:b/>
                <w:color w:val="000000"/>
                <w:kern w:val="0"/>
                <w:sz w:val="20"/>
                <w:lang/>
              </w:rPr>
              <w:t>容积率</w:t>
            </w:r>
          </w:p>
        </w:tc>
        <w:tc>
          <w:tcPr>
            <w:tcW w:w="1480" w:type="dxa"/>
            <w:shd w:val="clear" w:color="auto" w:fill="FFFFFF"/>
            <w:vAlign w:val="center"/>
          </w:tcPr>
          <w:p>
            <w:pPr>
              <w:widowControl/>
              <w:spacing w:line="400" w:lineRule="exact"/>
              <w:jc w:val="center"/>
              <w:textAlignment w:val="bottom"/>
              <w:rPr>
                <w:b/>
                <w:color w:val="000000"/>
                <w:sz w:val="20"/>
              </w:rPr>
            </w:pPr>
            <w:r>
              <w:rPr>
                <w:b/>
                <w:color w:val="000000"/>
                <w:kern w:val="0"/>
                <w:sz w:val="20"/>
                <w:lang/>
              </w:rPr>
              <w:t>住宅Ⅰ级</w:t>
            </w:r>
          </w:p>
        </w:tc>
        <w:tc>
          <w:tcPr>
            <w:tcW w:w="1479" w:type="dxa"/>
            <w:shd w:val="clear" w:color="auto" w:fill="FFFFFF"/>
            <w:vAlign w:val="center"/>
          </w:tcPr>
          <w:p>
            <w:pPr>
              <w:widowControl/>
              <w:spacing w:line="400" w:lineRule="exact"/>
              <w:jc w:val="center"/>
              <w:textAlignment w:val="bottom"/>
              <w:rPr>
                <w:b/>
                <w:color w:val="000000"/>
                <w:sz w:val="20"/>
              </w:rPr>
            </w:pPr>
            <w:r>
              <w:rPr>
                <w:b/>
                <w:color w:val="000000"/>
                <w:kern w:val="0"/>
                <w:sz w:val="20"/>
                <w:lang/>
              </w:rPr>
              <w:t>住宅Ⅱ级</w:t>
            </w:r>
          </w:p>
        </w:tc>
        <w:tc>
          <w:tcPr>
            <w:tcW w:w="1478" w:type="dxa"/>
            <w:shd w:val="clear" w:color="auto" w:fill="FFFFFF"/>
            <w:vAlign w:val="center"/>
          </w:tcPr>
          <w:p>
            <w:pPr>
              <w:widowControl/>
              <w:spacing w:line="400" w:lineRule="exact"/>
              <w:jc w:val="center"/>
              <w:textAlignment w:val="bottom"/>
              <w:rPr>
                <w:b/>
                <w:color w:val="000000"/>
                <w:sz w:val="20"/>
              </w:rPr>
            </w:pPr>
            <w:r>
              <w:rPr>
                <w:b/>
                <w:color w:val="000000"/>
                <w:kern w:val="0"/>
                <w:sz w:val="20"/>
                <w:lang/>
              </w:rPr>
              <w:t>住宅Ⅲ级</w:t>
            </w:r>
          </w:p>
        </w:tc>
        <w:tc>
          <w:tcPr>
            <w:tcW w:w="1480" w:type="dxa"/>
            <w:shd w:val="clear" w:color="auto" w:fill="FFFFFF"/>
            <w:vAlign w:val="center"/>
          </w:tcPr>
          <w:p>
            <w:pPr>
              <w:widowControl/>
              <w:spacing w:line="400" w:lineRule="exact"/>
              <w:jc w:val="center"/>
              <w:textAlignment w:val="bottom"/>
              <w:rPr>
                <w:b/>
                <w:color w:val="000000"/>
                <w:sz w:val="20"/>
              </w:rPr>
            </w:pPr>
            <w:r>
              <w:rPr>
                <w:b/>
                <w:color w:val="000000"/>
                <w:kern w:val="0"/>
                <w:sz w:val="20"/>
                <w:lang/>
              </w:rPr>
              <w:t>住宅Ⅳ级</w:t>
            </w:r>
          </w:p>
        </w:tc>
        <w:tc>
          <w:tcPr>
            <w:tcW w:w="1479" w:type="dxa"/>
            <w:shd w:val="clear" w:color="auto" w:fill="FFFFFF"/>
            <w:vAlign w:val="center"/>
          </w:tcPr>
          <w:p>
            <w:pPr>
              <w:widowControl/>
              <w:spacing w:line="400" w:lineRule="exact"/>
              <w:jc w:val="center"/>
              <w:textAlignment w:val="bottom"/>
              <w:rPr>
                <w:b/>
                <w:color w:val="000000"/>
                <w:sz w:val="20"/>
              </w:rPr>
            </w:pPr>
            <w:r>
              <w:rPr>
                <w:b/>
                <w:color w:val="000000"/>
                <w:kern w:val="0"/>
                <w:sz w:val="20"/>
                <w:lang/>
              </w:rPr>
              <w:t>住宅Ⅴ级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1</w:t>
            </w:r>
          </w:p>
        </w:tc>
        <w:tc>
          <w:tcPr>
            <w:tcW w:w="1480"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2660</w:t>
            </w:r>
          </w:p>
        </w:tc>
        <w:tc>
          <w:tcPr>
            <w:tcW w:w="1479"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2046</w:t>
            </w:r>
          </w:p>
        </w:tc>
        <w:tc>
          <w:tcPr>
            <w:tcW w:w="1478"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1750</w:t>
            </w:r>
          </w:p>
        </w:tc>
        <w:tc>
          <w:tcPr>
            <w:tcW w:w="1480"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1407</w:t>
            </w:r>
          </w:p>
        </w:tc>
        <w:tc>
          <w:tcPr>
            <w:tcW w:w="1479"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1.1</w:t>
            </w:r>
          </w:p>
        </w:tc>
        <w:tc>
          <w:tcPr>
            <w:tcW w:w="1480"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2486</w:t>
            </w:r>
          </w:p>
        </w:tc>
        <w:tc>
          <w:tcPr>
            <w:tcW w:w="1479"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1986</w:t>
            </w:r>
          </w:p>
        </w:tc>
        <w:tc>
          <w:tcPr>
            <w:tcW w:w="1478"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1607</w:t>
            </w:r>
          </w:p>
        </w:tc>
        <w:tc>
          <w:tcPr>
            <w:tcW w:w="1480"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1266</w:t>
            </w:r>
          </w:p>
        </w:tc>
        <w:tc>
          <w:tcPr>
            <w:tcW w:w="1479"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1.2</w:t>
            </w:r>
          </w:p>
        </w:tc>
        <w:tc>
          <w:tcPr>
            <w:tcW w:w="1480"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2303</w:t>
            </w:r>
          </w:p>
        </w:tc>
        <w:tc>
          <w:tcPr>
            <w:tcW w:w="1479"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1863</w:t>
            </w:r>
          </w:p>
        </w:tc>
        <w:tc>
          <w:tcPr>
            <w:tcW w:w="1478"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1490</w:t>
            </w:r>
          </w:p>
        </w:tc>
        <w:tc>
          <w:tcPr>
            <w:tcW w:w="1480"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1163</w:t>
            </w:r>
          </w:p>
        </w:tc>
        <w:tc>
          <w:tcPr>
            <w:tcW w:w="1479"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1.3</w:t>
            </w:r>
          </w:p>
        </w:tc>
        <w:tc>
          <w:tcPr>
            <w:tcW w:w="1480"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2121</w:t>
            </w:r>
          </w:p>
        </w:tc>
        <w:tc>
          <w:tcPr>
            <w:tcW w:w="1479"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1755</w:t>
            </w:r>
          </w:p>
        </w:tc>
        <w:tc>
          <w:tcPr>
            <w:tcW w:w="1478"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1390</w:t>
            </w:r>
          </w:p>
        </w:tc>
        <w:tc>
          <w:tcPr>
            <w:tcW w:w="1480"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1091</w:t>
            </w:r>
          </w:p>
        </w:tc>
        <w:tc>
          <w:tcPr>
            <w:tcW w:w="1479"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1.4</w:t>
            </w:r>
          </w:p>
        </w:tc>
        <w:tc>
          <w:tcPr>
            <w:tcW w:w="1480"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2016</w:t>
            </w:r>
          </w:p>
        </w:tc>
        <w:tc>
          <w:tcPr>
            <w:tcW w:w="1479"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1666</w:t>
            </w:r>
          </w:p>
        </w:tc>
        <w:tc>
          <w:tcPr>
            <w:tcW w:w="1478"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1306</w:t>
            </w:r>
          </w:p>
        </w:tc>
        <w:tc>
          <w:tcPr>
            <w:tcW w:w="1480"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1015</w:t>
            </w:r>
          </w:p>
        </w:tc>
        <w:tc>
          <w:tcPr>
            <w:tcW w:w="1479" w:type="dxa"/>
            <w:vAlign w:val="bottom"/>
          </w:tcPr>
          <w:p>
            <w:pPr>
              <w:widowControl/>
              <w:spacing w:line="400" w:lineRule="exact"/>
              <w:jc w:val="center"/>
              <w:textAlignment w:val="bottom"/>
              <w:rPr>
                <w:rFonts w:eastAsia="Tahoma"/>
                <w:color w:val="000000"/>
                <w:sz w:val="20"/>
              </w:rPr>
            </w:pPr>
            <w:r>
              <w:rPr>
                <w:rFonts w:eastAsia="Tahoma"/>
                <w:color w:val="000000"/>
                <w:kern w:val="0"/>
                <w:sz w:val="20"/>
                <w:lang/>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1.5</w:t>
            </w:r>
          </w:p>
        </w:tc>
        <w:tc>
          <w:tcPr>
            <w:tcW w:w="1480" w:type="dxa"/>
            <w:shd w:val="clear" w:color="auto" w:fill="auto"/>
            <w:vAlign w:val="center"/>
          </w:tcPr>
          <w:p>
            <w:pPr>
              <w:widowControl/>
              <w:spacing w:line="400" w:lineRule="exact"/>
              <w:jc w:val="center"/>
              <w:textAlignment w:val="bottom"/>
              <w:rPr>
                <w:rFonts w:eastAsia="Tahoma"/>
                <w:color w:val="000000"/>
                <w:sz w:val="20"/>
              </w:rPr>
            </w:pPr>
            <w:r>
              <w:rPr>
                <w:rFonts w:eastAsia="Tahoma"/>
                <w:color w:val="000000"/>
                <w:kern w:val="0"/>
                <w:sz w:val="20"/>
                <w:lang/>
              </w:rPr>
              <w:t>1925</w:t>
            </w:r>
          </w:p>
        </w:tc>
        <w:tc>
          <w:tcPr>
            <w:tcW w:w="1479" w:type="dxa"/>
            <w:shd w:val="clear" w:color="auto" w:fill="auto"/>
            <w:vAlign w:val="center"/>
          </w:tcPr>
          <w:p>
            <w:pPr>
              <w:widowControl/>
              <w:spacing w:line="400" w:lineRule="exact"/>
              <w:jc w:val="center"/>
              <w:textAlignment w:val="bottom"/>
              <w:rPr>
                <w:rFonts w:eastAsia="Tahoma"/>
                <w:color w:val="000000"/>
                <w:sz w:val="20"/>
              </w:rPr>
            </w:pPr>
            <w:r>
              <w:rPr>
                <w:rFonts w:eastAsia="Tahoma"/>
                <w:color w:val="000000"/>
                <w:kern w:val="0"/>
                <w:sz w:val="20"/>
                <w:lang/>
              </w:rPr>
              <w:t>1589</w:t>
            </w:r>
          </w:p>
        </w:tc>
        <w:tc>
          <w:tcPr>
            <w:tcW w:w="1478" w:type="dxa"/>
            <w:shd w:val="clear" w:color="auto" w:fill="auto"/>
            <w:vAlign w:val="center"/>
          </w:tcPr>
          <w:p>
            <w:pPr>
              <w:widowControl/>
              <w:spacing w:line="400" w:lineRule="exact"/>
              <w:jc w:val="center"/>
              <w:textAlignment w:val="bottom"/>
              <w:rPr>
                <w:rFonts w:eastAsia="Tahoma"/>
                <w:color w:val="000000"/>
                <w:sz w:val="20"/>
              </w:rPr>
            </w:pPr>
            <w:r>
              <w:rPr>
                <w:rFonts w:eastAsia="Tahoma"/>
                <w:color w:val="000000"/>
                <w:kern w:val="0"/>
                <w:sz w:val="20"/>
                <w:lang/>
              </w:rPr>
              <w:t>1230</w:t>
            </w:r>
          </w:p>
        </w:tc>
        <w:tc>
          <w:tcPr>
            <w:tcW w:w="1480" w:type="dxa"/>
            <w:shd w:val="clear" w:color="auto" w:fill="auto"/>
            <w:vAlign w:val="center"/>
          </w:tcPr>
          <w:p>
            <w:pPr>
              <w:widowControl/>
              <w:spacing w:line="400" w:lineRule="exact"/>
              <w:jc w:val="center"/>
              <w:textAlignment w:val="bottom"/>
              <w:rPr>
                <w:rFonts w:eastAsia="Tahoma"/>
                <w:color w:val="000000"/>
                <w:sz w:val="20"/>
              </w:rPr>
            </w:pPr>
            <w:r>
              <w:rPr>
                <w:rFonts w:eastAsia="Tahoma"/>
                <w:color w:val="000000"/>
                <w:kern w:val="0"/>
                <w:sz w:val="20"/>
                <w:lang/>
              </w:rPr>
              <w:t>961</w:t>
            </w:r>
          </w:p>
        </w:tc>
        <w:tc>
          <w:tcPr>
            <w:tcW w:w="1479" w:type="dxa"/>
            <w:shd w:val="clear" w:color="auto" w:fill="92D050"/>
            <w:vAlign w:val="center"/>
          </w:tcPr>
          <w:p>
            <w:pPr>
              <w:widowControl/>
              <w:spacing w:line="400" w:lineRule="exact"/>
              <w:jc w:val="center"/>
              <w:textAlignment w:val="bottom"/>
              <w:rPr>
                <w:rFonts w:eastAsia="Tahoma"/>
                <w:color w:val="000000"/>
                <w:sz w:val="20"/>
              </w:rPr>
            </w:pPr>
            <w:r>
              <w:rPr>
                <w:rFonts w:eastAsia="Tahoma"/>
                <w:color w:val="000000"/>
                <w:kern w:val="0"/>
                <w:sz w:val="20"/>
                <w:lang/>
              </w:rPr>
              <w:t>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1.6</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1846</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1517</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1165</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926</w:t>
            </w:r>
          </w:p>
        </w:tc>
        <w:tc>
          <w:tcPr>
            <w:tcW w:w="1479" w:type="dxa"/>
            <w:vAlign w:val="center"/>
          </w:tcPr>
          <w:p>
            <w:pPr>
              <w:widowControl/>
              <w:spacing w:line="400" w:lineRule="exact"/>
              <w:jc w:val="center"/>
              <w:textAlignment w:val="bottom"/>
              <w:rPr>
                <w:color w:val="000000"/>
                <w:sz w:val="20"/>
              </w:rPr>
            </w:pPr>
            <w:r>
              <w:rPr>
                <w:color w:val="000000"/>
                <w:sz w:val="20"/>
              </w:rPr>
              <w:t>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1.7</w:t>
            </w:r>
          </w:p>
        </w:tc>
        <w:tc>
          <w:tcPr>
            <w:tcW w:w="1480" w:type="dxa"/>
            <w:shd w:val="clear" w:color="auto" w:fill="auto"/>
            <w:vAlign w:val="center"/>
          </w:tcPr>
          <w:p>
            <w:pPr>
              <w:widowControl/>
              <w:spacing w:line="400" w:lineRule="exact"/>
              <w:jc w:val="center"/>
              <w:textAlignment w:val="bottom"/>
              <w:rPr>
                <w:rFonts w:eastAsia="Tahoma"/>
                <w:color w:val="000000"/>
                <w:sz w:val="20"/>
              </w:rPr>
            </w:pPr>
            <w:r>
              <w:rPr>
                <w:rFonts w:eastAsia="Tahoma"/>
                <w:color w:val="000000"/>
                <w:kern w:val="0"/>
                <w:sz w:val="20"/>
                <w:lang/>
              </w:rPr>
              <w:t>1776</w:t>
            </w:r>
          </w:p>
        </w:tc>
        <w:tc>
          <w:tcPr>
            <w:tcW w:w="1479" w:type="dxa"/>
            <w:shd w:val="clear" w:color="auto" w:fill="auto"/>
            <w:vAlign w:val="center"/>
          </w:tcPr>
          <w:p>
            <w:pPr>
              <w:widowControl/>
              <w:spacing w:line="400" w:lineRule="exact"/>
              <w:jc w:val="center"/>
              <w:textAlignment w:val="bottom"/>
              <w:rPr>
                <w:rFonts w:eastAsia="Tahoma"/>
                <w:color w:val="000000"/>
                <w:sz w:val="20"/>
              </w:rPr>
            </w:pPr>
            <w:r>
              <w:rPr>
                <w:rFonts w:eastAsia="Tahoma"/>
                <w:color w:val="000000"/>
                <w:kern w:val="0"/>
                <w:sz w:val="20"/>
                <w:lang/>
              </w:rPr>
              <w:t>1453</w:t>
            </w:r>
          </w:p>
        </w:tc>
        <w:tc>
          <w:tcPr>
            <w:tcW w:w="1478" w:type="dxa"/>
            <w:shd w:val="clear" w:color="auto" w:fill="auto"/>
            <w:vAlign w:val="center"/>
          </w:tcPr>
          <w:p>
            <w:pPr>
              <w:widowControl/>
              <w:spacing w:line="400" w:lineRule="exact"/>
              <w:jc w:val="center"/>
              <w:textAlignment w:val="bottom"/>
              <w:rPr>
                <w:rFonts w:eastAsia="Tahoma"/>
                <w:color w:val="000000"/>
                <w:sz w:val="20"/>
              </w:rPr>
            </w:pPr>
            <w:r>
              <w:rPr>
                <w:rFonts w:eastAsia="Tahoma"/>
                <w:color w:val="000000"/>
                <w:kern w:val="0"/>
                <w:sz w:val="20"/>
                <w:lang/>
              </w:rPr>
              <w:t>1106</w:t>
            </w:r>
          </w:p>
        </w:tc>
        <w:tc>
          <w:tcPr>
            <w:tcW w:w="1480" w:type="dxa"/>
            <w:shd w:val="clear" w:color="auto" w:fill="92D050"/>
            <w:vAlign w:val="center"/>
          </w:tcPr>
          <w:p>
            <w:pPr>
              <w:widowControl/>
              <w:spacing w:line="400" w:lineRule="exact"/>
              <w:jc w:val="center"/>
              <w:textAlignment w:val="bottom"/>
              <w:rPr>
                <w:rFonts w:eastAsia="Tahoma"/>
                <w:color w:val="000000"/>
                <w:sz w:val="20"/>
              </w:rPr>
            </w:pPr>
            <w:r>
              <w:rPr>
                <w:rFonts w:eastAsia="Tahoma"/>
                <w:color w:val="000000"/>
                <w:kern w:val="0"/>
                <w:sz w:val="20"/>
                <w:lang/>
              </w:rPr>
              <w:t>871</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1.8</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1714</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1378</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1058</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850</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1.9</w:t>
            </w:r>
          </w:p>
        </w:tc>
        <w:tc>
          <w:tcPr>
            <w:tcW w:w="1480" w:type="dxa"/>
            <w:shd w:val="clear" w:color="auto" w:fill="auto"/>
            <w:vAlign w:val="center"/>
          </w:tcPr>
          <w:p>
            <w:pPr>
              <w:widowControl/>
              <w:spacing w:line="400" w:lineRule="exact"/>
              <w:jc w:val="center"/>
              <w:textAlignment w:val="bottom"/>
              <w:rPr>
                <w:rFonts w:eastAsia="Tahoma"/>
                <w:color w:val="000000"/>
                <w:sz w:val="20"/>
              </w:rPr>
            </w:pPr>
            <w:r>
              <w:rPr>
                <w:rFonts w:eastAsia="Tahoma"/>
                <w:color w:val="000000"/>
                <w:kern w:val="0"/>
                <w:sz w:val="20"/>
                <w:lang/>
              </w:rPr>
              <w:t>1658</w:t>
            </w:r>
          </w:p>
        </w:tc>
        <w:tc>
          <w:tcPr>
            <w:tcW w:w="1479" w:type="dxa"/>
            <w:shd w:val="clear" w:color="auto" w:fill="auto"/>
            <w:vAlign w:val="center"/>
          </w:tcPr>
          <w:p>
            <w:pPr>
              <w:widowControl/>
              <w:spacing w:line="400" w:lineRule="exact"/>
              <w:jc w:val="center"/>
              <w:textAlignment w:val="bottom"/>
              <w:rPr>
                <w:rFonts w:eastAsia="Tahoma"/>
                <w:color w:val="000000"/>
                <w:sz w:val="20"/>
              </w:rPr>
            </w:pPr>
            <w:r>
              <w:rPr>
                <w:rFonts w:eastAsia="Tahoma"/>
                <w:color w:val="000000"/>
                <w:kern w:val="0"/>
                <w:sz w:val="20"/>
                <w:lang/>
              </w:rPr>
              <w:t>1321</w:t>
            </w:r>
          </w:p>
        </w:tc>
        <w:tc>
          <w:tcPr>
            <w:tcW w:w="1478" w:type="dxa"/>
            <w:shd w:val="clear" w:color="auto" w:fill="92D050"/>
            <w:vAlign w:val="center"/>
          </w:tcPr>
          <w:p>
            <w:pPr>
              <w:widowControl/>
              <w:spacing w:line="400" w:lineRule="exact"/>
              <w:jc w:val="center"/>
              <w:textAlignment w:val="bottom"/>
              <w:rPr>
                <w:rFonts w:eastAsia="Tahoma"/>
                <w:color w:val="000000"/>
                <w:sz w:val="20"/>
              </w:rPr>
            </w:pPr>
            <w:r>
              <w:rPr>
                <w:rFonts w:eastAsia="Tahoma"/>
                <w:color w:val="000000"/>
                <w:kern w:val="0"/>
                <w:sz w:val="20"/>
                <w:lang/>
              </w:rPr>
              <w:t>1011</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838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2</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1608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1260</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962</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829</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2.1</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1563</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1202</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920</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823</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2.2</w:t>
            </w:r>
          </w:p>
        </w:tc>
        <w:tc>
          <w:tcPr>
            <w:tcW w:w="1480" w:type="dxa"/>
            <w:shd w:val="clear" w:color="auto" w:fill="auto"/>
            <w:vAlign w:val="center"/>
          </w:tcPr>
          <w:p>
            <w:pPr>
              <w:widowControl/>
              <w:spacing w:line="400" w:lineRule="exact"/>
              <w:jc w:val="center"/>
              <w:textAlignment w:val="bottom"/>
              <w:rPr>
                <w:rFonts w:eastAsia="Tahoma"/>
                <w:color w:val="000000"/>
                <w:sz w:val="20"/>
              </w:rPr>
            </w:pPr>
            <w:r>
              <w:rPr>
                <w:rFonts w:eastAsia="Tahoma"/>
                <w:color w:val="000000"/>
                <w:kern w:val="0"/>
                <w:sz w:val="20"/>
                <w:lang/>
              </w:rPr>
              <w:t>1522</w:t>
            </w:r>
          </w:p>
        </w:tc>
        <w:tc>
          <w:tcPr>
            <w:tcW w:w="1479" w:type="dxa"/>
            <w:shd w:val="clear" w:color="auto" w:fill="92D050"/>
            <w:vAlign w:val="center"/>
          </w:tcPr>
          <w:p>
            <w:pPr>
              <w:widowControl/>
              <w:spacing w:line="400" w:lineRule="exact"/>
              <w:jc w:val="center"/>
              <w:textAlignment w:val="bottom"/>
              <w:rPr>
                <w:rFonts w:eastAsia="Tahoma"/>
                <w:color w:val="000000"/>
                <w:sz w:val="20"/>
              </w:rPr>
            </w:pPr>
            <w:r>
              <w:rPr>
                <w:rFonts w:eastAsia="Tahoma"/>
                <w:color w:val="000000"/>
                <w:kern w:val="0"/>
                <w:sz w:val="20"/>
                <w:lang/>
              </w:rPr>
              <w:t>1155</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905</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818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2.3</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1484</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1135</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899</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812</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2.4</w:t>
            </w:r>
          </w:p>
        </w:tc>
        <w:tc>
          <w:tcPr>
            <w:tcW w:w="1480" w:type="dxa"/>
            <w:shd w:val="clear" w:color="auto" w:fill="92D050"/>
            <w:vAlign w:val="center"/>
          </w:tcPr>
          <w:p>
            <w:pPr>
              <w:widowControl/>
              <w:spacing w:line="400" w:lineRule="exact"/>
              <w:jc w:val="center"/>
              <w:textAlignment w:val="bottom"/>
              <w:rPr>
                <w:rFonts w:eastAsia="Tahoma"/>
                <w:color w:val="000000"/>
                <w:sz w:val="20"/>
              </w:rPr>
            </w:pPr>
            <w:r>
              <w:rPr>
                <w:rFonts w:eastAsia="Tahoma"/>
                <w:color w:val="000000"/>
                <w:kern w:val="0"/>
                <w:sz w:val="20"/>
                <w:lang/>
              </w:rPr>
              <w:t>1450</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1125</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890</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808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2.5</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1418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1117</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883</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804</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2.6</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1407</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1111</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877</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797</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2.7</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1397</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1103</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870</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793</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2.8</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1387</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1097</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865</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789</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2.9</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1378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1090</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859</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785</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3</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1370</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1085</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852</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780</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3.1</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1360</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1078</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847</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778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3.2</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1353</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1073</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842</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772</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3.3</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1344</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1068</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836</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768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3.4</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1337</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1062</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830</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766</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3.5</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1329</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1057</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826</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762</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3.6</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1323</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1051</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821</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758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3.7</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1315</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1046</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816</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753</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3.8</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1309</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1042</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812</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752</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3.9</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1302</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1038</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807</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748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4</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1296</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1034</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802</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744</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4.1</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1289</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1028</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799</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742</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4.2</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1285</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1024</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795</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739</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4.3</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1278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1020</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790</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737</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4.4</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1272</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1016</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788</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733</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4.5</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1267</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1012</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784</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731</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4.6</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1262</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1008</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780</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728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4.7</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1257</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1004</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776</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725</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4.8</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1251</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1001</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772</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722</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4.9</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1247</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997</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769</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721</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5</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1241</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993</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766</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717</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5.1</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1237</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990</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762</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716</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5.2</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1233</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986</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760</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712</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5.3</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1228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983</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756</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710</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5.4</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1224</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980</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754</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708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5.5</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1220</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977</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750</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706</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5.6</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1215</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974</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747</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705</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5.7</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1211</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970</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744</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702</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5.8</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1208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968</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741</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700</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5.9</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1204</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964</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739</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697</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6</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1200</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962</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737</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696</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6.1</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1196</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959</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733</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695</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6.2</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1192</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956</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730</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691</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6.3</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1189</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953</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728</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690</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6.4</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1184</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951</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726</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689</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6.5</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1182</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948</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723</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686</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6.6</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1179</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945</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721</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684</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6.7</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1175</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943</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718</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683</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6.8</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1172</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941</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715</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681</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6.9</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1169</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937</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713</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679</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7</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1165</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935</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711</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678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7.1</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1163</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933</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709</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675</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7.2</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1159</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930</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707</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675</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7.3</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1156</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929</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705</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672</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7.4</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1154</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926</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703</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670</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7.5</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1150</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924</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700</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665</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7.6</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1148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921</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697</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661</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7.7</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1145</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919</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694</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657</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7.8</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1142</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916</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693</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655</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7.9</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1139</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913</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690</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651</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479" w:type="dxa"/>
            <w:shd w:val="clear" w:color="auto" w:fill="FFFFFF"/>
            <w:vAlign w:val="center"/>
          </w:tcPr>
          <w:p>
            <w:pPr>
              <w:widowControl/>
              <w:spacing w:line="400" w:lineRule="exact"/>
              <w:jc w:val="center"/>
              <w:textAlignment w:val="bottom"/>
              <w:rPr>
                <w:rFonts w:eastAsia="Tahoma"/>
                <w:color w:val="000000"/>
                <w:sz w:val="20"/>
              </w:rPr>
            </w:pPr>
            <w:r>
              <w:rPr>
                <w:rFonts w:eastAsia="Tahoma"/>
                <w:color w:val="000000"/>
                <w:kern w:val="0"/>
                <w:sz w:val="20"/>
                <w:lang/>
              </w:rPr>
              <w:t>8</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1136</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912</w:t>
            </w:r>
          </w:p>
        </w:tc>
        <w:tc>
          <w:tcPr>
            <w:tcW w:w="1478"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687</w:t>
            </w:r>
          </w:p>
        </w:tc>
        <w:tc>
          <w:tcPr>
            <w:tcW w:w="1480"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648</w:t>
            </w:r>
          </w:p>
        </w:tc>
        <w:tc>
          <w:tcPr>
            <w:tcW w:w="1479" w:type="dxa"/>
            <w:vAlign w:val="center"/>
          </w:tcPr>
          <w:p>
            <w:pPr>
              <w:widowControl/>
              <w:spacing w:line="400" w:lineRule="exact"/>
              <w:jc w:val="center"/>
              <w:textAlignment w:val="bottom"/>
              <w:rPr>
                <w:rFonts w:eastAsia="Tahoma"/>
                <w:color w:val="000000"/>
                <w:sz w:val="20"/>
              </w:rPr>
            </w:pPr>
            <w:r>
              <w:rPr>
                <w:rFonts w:eastAsia="Tahoma"/>
                <w:color w:val="000000"/>
                <w:kern w:val="0"/>
                <w:sz w:val="20"/>
                <w:lang/>
              </w:rPr>
              <w:t>415</w:t>
            </w:r>
          </w:p>
        </w:tc>
      </w:tr>
    </w:tbl>
    <w:p>
      <w:pPr>
        <w:ind w:firstLine="420" w:firstLineChars="200"/>
        <w:jc w:val="left"/>
        <w:textAlignment w:val="baseline"/>
        <w:rPr>
          <w:szCs w:val="21"/>
        </w:rPr>
      </w:pPr>
      <w:r>
        <w:rPr>
          <w:szCs w:val="21"/>
        </w:rPr>
        <w:t>备注：容积率小于时，按容积率为1时取对应楼面基准地价标准；容积率大于8时，按容积率为8时取对应的楼面基准地价标准。</w:t>
      </w:r>
    </w:p>
    <w:bookmarkEnd w:id="635"/>
    <w:bookmarkEnd w:id="636"/>
    <w:bookmarkEnd w:id="637"/>
    <w:bookmarkEnd w:id="638"/>
    <w:p>
      <w:pPr>
        <w:spacing w:line="360" w:lineRule="auto"/>
        <w:jc w:val="center"/>
        <w:textAlignment w:val="baseline"/>
        <w:outlineLvl w:val="1"/>
        <w:rPr>
          <w:sz w:val="32"/>
          <w:szCs w:val="32"/>
        </w:rPr>
      </w:pPr>
      <w:r>
        <w:rPr>
          <w:rFonts w:eastAsia="黑体"/>
          <w:sz w:val="32"/>
          <w:szCs w:val="32"/>
        </w:rPr>
        <w:br w:type="page"/>
      </w:r>
      <w:bookmarkStart w:id="651" w:name="_Toc469296485"/>
      <w:bookmarkStart w:id="652" w:name="_Toc470721335"/>
      <w:bookmarkStart w:id="653" w:name="_Toc467846870"/>
      <w:bookmarkStart w:id="654" w:name="_Toc8764"/>
      <w:bookmarkStart w:id="655" w:name="_Toc31707"/>
      <w:bookmarkStart w:id="656" w:name="_Toc8929"/>
      <w:bookmarkStart w:id="657" w:name="_Toc2564"/>
      <w:r>
        <w:rPr>
          <w:rFonts w:eastAsia="黑体"/>
          <w:sz w:val="32"/>
          <w:szCs w:val="32"/>
        </w:rPr>
        <w:t xml:space="preserve">第七章  </w:t>
      </w:r>
      <w:bookmarkEnd w:id="651"/>
      <w:bookmarkEnd w:id="652"/>
      <w:bookmarkEnd w:id="653"/>
      <w:r>
        <w:rPr>
          <w:rFonts w:hint="eastAsia" w:eastAsia="黑体"/>
          <w:sz w:val="32"/>
          <w:szCs w:val="32"/>
        </w:rPr>
        <w:t>公共管理与公共服务用地</w:t>
      </w:r>
      <w:r>
        <w:rPr>
          <w:rFonts w:eastAsia="黑体"/>
          <w:sz w:val="32"/>
          <w:szCs w:val="32"/>
        </w:rPr>
        <w:t>基准地价评估</w:t>
      </w:r>
      <w:bookmarkEnd w:id="654"/>
      <w:bookmarkEnd w:id="655"/>
      <w:bookmarkEnd w:id="656"/>
      <w:bookmarkEnd w:id="657"/>
      <w:bookmarkStart w:id="658" w:name="_Toc463701897"/>
      <w:bookmarkStart w:id="659" w:name="_Toc391484468"/>
      <w:bookmarkStart w:id="660" w:name="_Toc374547422"/>
      <w:bookmarkStart w:id="661" w:name="_Toc374102323"/>
    </w:p>
    <w:p>
      <w:pPr>
        <w:spacing w:line="360" w:lineRule="auto"/>
        <w:ind w:firstLine="560" w:firstLineChars="200"/>
        <w:outlineLvl w:val="2"/>
        <w:rPr>
          <w:rFonts w:eastAsia="黑体"/>
          <w:sz w:val="28"/>
          <w:szCs w:val="28"/>
        </w:rPr>
      </w:pPr>
      <w:bookmarkStart w:id="662" w:name="_Toc491181091"/>
      <w:bookmarkStart w:id="663" w:name="_Toc13216"/>
      <w:bookmarkStart w:id="664" w:name="_Toc30055"/>
      <w:bookmarkStart w:id="665" w:name="_Toc495648890"/>
      <w:r>
        <w:rPr>
          <w:rFonts w:eastAsia="黑体"/>
          <w:sz w:val="28"/>
          <w:szCs w:val="28"/>
        </w:rPr>
        <w:t>一、</w:t>
      </w:r>
      <w:bookmarkEnd w:id="662"/>
      <w:r>
        <w:rPr>
          <w:rFonts w:hint="eastAsia" w:eastAsia="黑体"/>
          <w:sz w:val="28"/>
          <w:szCs w:val="28"/>
        </w:rPr>
        <w:t>公共管理与公共服务用地</w:t>
      </w:r>
      <w:r>
        <w:rPr>
          <w:rFonts w:eastAsia="黑体"/>
          <w:sz w:val="28"/>
          <w:szCs w:val="28"/>
        </w:rPr>
        <w:t>基准地价评估概述</w:t>
      </w:r>
      <w:bookmarkEnd w:id="663"/>
      <w:bookmarkEnd w:id="664"/>
      <w:bookmarkEnd w:id="665"/>
    </w:p>
    <w:p>
      <w:pPr>
        <w:tabs>
          <w:tab w:val="right" w:pos="9298"/>
        </w:tabs>
        <w:spacing w:line="360" w:lineRule="auto"/>
        <w:ind w:firstLine="482" w:firstLineChars="200"/>
        <w:rPr>
          <w:b/>
          <w:sz w:val="24"/>
          <w:szCs w:val="22"/>
        </w:rPr>
      </w:pPr>
      <w:r>
        <w:rPr>
          <w:b/>
          <w:sz w:val="24"/>
          <w:szCs w:val="22"/>
        </w:rPr>
        <w:t>1、公共管理与公共服务用地评估背景</w:t>
      </w:r>
    </w:p>
    <w:p>
      <w:pPr>
        <w:pStyle w:val="67"/>
        <w:adjustRightInd w:val="0"/>
        <w:snapToGrid w:val="0"/>
        <w:spacing w:line="360" w:lineRule="auto"/>
        <w:jc w:val="left"/>
        <w:rPr>
          <w:rFonts w:ascii="Times New Roman" w:hAnsi="Times New Roman" w:eastAsia="宋体"/>
          <w:sz w:val="24"/>
          <w:szCs w:val="24"/>
        </w:rPr>
      </w:pPr>
      <w:r>
        <w:rPr>
          <w:rFonts w:ascii="Times New Roman" w:hAnsi="Times New Roman" w:eastAsia="宋体"/>
          <w:sz w:val="24"/>
          <w:szCs w:val="24"/>
        </w:rPr>
        <w:t>根据《国土资源部办公厅关于加强公示地价体系建设和管理有关问题的通知》（国土资厅发[2017]27号）文件要求。按照《关于扩大国有土地有偿使用范围的意见》（国土资规[2016]20号）要求，市、县人民政府依据当地土地取得成本、市场供需、产业政策和其他用途基准地价等，制定公共服务项目用地基准地价。依据《土地利用现状用途分类》（GB/T21010-2017）和国土资源厅要求，本次需评估的公共服务项目用地基准地价具体明确为公共管理与公共服务用地基准地价 。其中公共管理与公共服务用地包括机关团体用地、新闻出版用地、教育用地、科研用地、医疗卫生用地、社会福利用地、文化设施用地、体育用地、公用设施用地、公园与绿地。公共管理与公共服务用地基准地价用途分类表如下表。</w:t>
      </w:r>
    </w:p>
    <w:p>
      <w:pPr>
        <w:pStyle w:val="67"/>
        <w:adjustRightInd w:val="0"/>
        <w:snapToGrid w:val="0"/>
        <w:spacing w:line="360" w:lineRule="auto"/>
        <w:ind w:firstLine="0"/>
        <w:jc w:val="center"/>
        <w:rPr>
          <w:rFonts w:ascii="Times New Roman" w:hAnsi="Times New Roman" w:eastAsia="宋体"/>
          <w:b/>
          <w:sz w:val="24"/>
          <w:szCs w:val="24"/>
        </w:rPr>
      </w:pPr>
      <w:r>
        <w:rPr>
          <w:rFonts w:ascii="Times New Roman" w:hAnsi="Times New Roman" w:eastAsia="宋体"/>
          <w:b/>
          <w:sz w:val="24"/>
          <w:szCs w:val="24"/>
        </w:rPr>
        <w:t>表3-7-1 长沙县</w:t>
      </w:r>
      <w:r>
        <w:rPr>
          <w:rFonts w:hint="eastAsia" w:ascii="Times New Roman" w:hAnsi="Times New Roman" w:eastAsia="宋体"/>
          <w:b/>
          <w:sz w:val="24"/>
          <w:szCs w:val="24"/>
        </w:rPr>
        <w:t>公共管理与公共服务用地</w:t>
      </w:r>
      <w:r>
        <w:rPr>
          <w:rFonts w:ascii="Times New Roman" w:hAnsi="Times New Roman" w:eastAsia="宋体"/>
          <w:b/>
          <w:sz w:val="24"/>
          <w:szCs w:val="24"/>
        </w:rPr>
        <w:t>地类划分表</w:t>
      </w:r>
    </w:p>
    <w:tbl>
      <w:tblPr>
        <w:tblW w:w="85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3"/>
        <w:gridCol w:w="2843"/>
        <w:gridCol w:w="2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blHeader/>
          <w:jc w:val="center"/>
        </w:trPr>
        <w:tc>
          <w:tcPr>
            <w:tcW w:w="284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bCs/>
                <w:color w:val="000000"/>
                <w:kern w:val="0"/>
                <w:szCs w:val="21"/>
              </w:rPr>
            </w:pPr>
            <w:r>
              <w:rPr>
                <w:bCs/>
                <w:color w:val="000000"/>
                <w:kern w:val="0"/>
                <w:szCs w:val="21"/>
              </w:rPr>
              <w:t>类别名称</w:t>
            </w:r>
          </w:p>
        </w:tc>
        <w:tc>
          <w:tcPr>
            <w:tcW w:w="2843" w:type="dxa"/>
            <w:tcBorders>
              <w:top w:val="single" w:color="auto" w:sz="4" w:space="0"/>
              <w:left w:val="nil"/>
              <w:bottom w:val="single" w:color="auto" w:sz="4" w:space="0"/>
              <w:right w:val="single" w:color="auto" w:sz="4" w:space="0"/>
            </w:tcBorders>
            <w:vAlign w:val="center"/>
          </w:tcPr>
          <w:p>
            <w:pPr>
              <w:widowControl/>
              <w:spacing w:line="360" w:lineRule="auto"/>
              <w:jc w:val="center"/>
              <w:rPr>
                <w:bCs/>
                <w:color w:val="000000"/>
                <w:kern w:val="0"/>
                <w:szCs w:val="21"/>
              </w:rPr>
            </w:pPr>
            <w:r>
              <w:rPr>
                <w:bCs/>
                <w:color w:val="000000"/>
                <w:kern w:val="0"/>
                <w:szCs w:val="21"/>
              </w:rPr>
              <w:t>类别编码</w:t>
            </w:r>
          </w:p>
        </w:tc>
        <w:tc>
          <w:tcPr>
            <w:tcW w:w="2842" w:type="dxa"/>
            <w:tcBorders>
              <w:top w:val="single" w:color="auto" w:sz="4" w:space="0"/>
              <w:left w:val="nil"/>
              <w:bottom w:val="single" w:color="auto" w:sz="4" w:space="0"/>
              <w:right w:val="single" w:color="auto" w:sz="4" w:space="0"/>
            </w:tcBorders>
            <w:vAlign w:val="center"/>
          </w:tcPr>
          <w:p>
            <w:pPr>
              <w:widowControl/>
              <w:spacing w:line="360" w:lineRule="auto"/>
              <w:jc w:val="center"/>
              <w:rPr>
                <w:bCs/>
                <w:color w:val="000000"/>
                <w:kern w:val="0"/>
                <w:szCs w:val="21"/>
              </w:rPr>
            </w:pPr>
            <w:r>
              <w:rPr>
                <w:bCs/>
                <w:color w:val="000000"/>
                <w:kern w:val="0"/>
                <w:szCs w:val="21"/>
              </w:rPr>
              <w:t>类别名称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843"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一类用地</w:t>
            </w:r>
          </w:p>
        </w:tc>
        <w:tc>
          <w:tcPr>
            <w:tcW w:w="2843"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0801</w:t>
            </w:r>
          </w:p>
        </w:tc>
        <w:tc>
          <w:tcPr>
            <w:tcW w:w="2842"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机关团体用地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843"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color w:val="000000"/>
                <w:kern w:val="0"/>
                <w:sz w:val="22"/>
                <w:szCs w:val="22"/>
              </w:rPr>
            </w:pPr>
          </w:p>
        </w:tc>
        <w:tc>
          <w:tcPr>
            <w:tcW w:w="2843"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0802</w:t>
            </w:r>
          </w:p>
        </w:tc>
        <w:tc>
          <w:tcPr>
            <w:tcW w:w="2842"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新闻出版用地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843"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color w:val="000000"/>
                <w:kern w:val="0"/>
                <w:sz w:val="22"/>
                <w:szCs w:val="22"/>
              </w:rPr>
            </w:pPr>
          </w:p>
        </w:tc>
        <w:tc>
          <w:tcPr>
            <w:tcW w:w="2843"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0803</w:t>
            </w:r>
          </w:p>
        </w:tc>
        <w:tc>
          <w:tcPr>
            <w:tcW w:w="2842"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教育用地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843"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color w:val="000000"/>
                <w:kern w:val="0"/>
                <w:sz w:val="22"/>
                <w:szCs w:val="22"/>
              </w:rPr>
            </w:pPr>
          </w:p>
        </w:tc>
        <w:tc>
          <w:tcPr>
            <w:tcW w:w="2843"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0804</w:t>
            </w:r>
          </w:p>
        </w:tc>
        <w:tc>
          <w:tcPr>
            <w:tcW w:w="2842"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科研用地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843"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color w:val="000000"/>
                <w:kern w:val="0"/>
                <w:sz w:val="22"/>
                <w:szCs w:val="22"/>
              </w:rPr>
            </w:pPr>
          </w:p>
        </w:tc>
        <w:tc>
          <w:tcPr>
            <w:tcW w:w="2843"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0805</w:t>
            </w:r>
          </w:p>
        </w:tc>
        <w:tc>
          <w:tcPr>
            <w:tcW w:w="2842"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医疗卫生用地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843"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color w:val="000000"/>
                <w:kern w:val="0"/>
                <w:sz w:val="22"/>
                <w:szCs w:val="22"/>
              </w:rPr>
            </w:pPr>
          </w:p>
        </w:tc>
        <w:tc>
          <w:tcPr>
            <w:tcW w:w="2843"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0806</w:t>
            </w:r>
          </w:p>
        </w:tc>
        <w:tc>
          <w:tcPr>
            <w:tcW w:w="2842"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社会福利用地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843"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color w:val="000000"/>
                <w:kern w:val="0"/>
                <w:sz w:val="22"/>
                <w:szCs w:val="22"/>
              </w:rPr>
            </w:pPr>
          </w:p>
        </w:tc>
        <w:tc>
          <w:tcPr>
            <w:tcW w:w="2843"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0807</w:t>
            </w:r>
          </w:p>
        </w:tc>
        <w:tc>
          <w:tcPr>
            <w:tcW w:w="2842"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文化设施用地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843"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color w:val="000000"/>
                <w:kern w:val="0"/>
                <w:sz w:val="22"/>
                <w:szCs w:val="22"/>
              </w:rPr>
            </w:pPr>
          </w:p>
        </w:tc>
        <w:tc>
          <w:tcPr>
            <w:tcW w:w="2843"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0808</w:t>
            </w:r>
          </w:p>
        </w:tc>
        <w:tc>
          <w:tcPr>
            <w:tcW w:w="2842"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体育用地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843"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二类用地</w:t>
            </w:r>
          </w:p>
        </w:tc>
        <w:tc>
          <w:tcPr>
            <w:tcW w:w="2843"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0809</w:t>
            </w:r>
          </w:p>
        </w:tc>
        <w:tc>
          <w:tcPr>
            <w:tcW w:w="2842"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公用设施用地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2843"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color w:val="000000"/>
                <w:kern w:val="0"/>
                <w:sz w:val="22"/>
                <w:szCs w:val="22"/>
              </w:rPr>
            </w:pPr>
          </w:p>
        </w:tc>
        <w:tc>
          <w:tcPr>
            <w:tcW w:w="2843"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0810</w:t>
            </w:r>
          </w:p>
        </w:tc>
        <w:tc>
          <w:tcPr>
            <w:tcW w:w="2842" w:type="dxa"/>
            <w:tcBorders>
              <w:top w:val="nil"/>
              <w:left w:val="nil"/>
              <w:bottom w:val="single" w:color="auto" w:sz="4" w:space="0"/>
              <w:right w:val="single" w:color="auto" w:sz="4" w:space="0"/>
            </w:tcBorders>
            <w:vAlign w:val="center"/>
          </w:tcPr>
          <w:p>
            <w:pPr>
              <w:widowControl/>
              <w:spacing w:line="360" w:lineRule="auto"/>
              <w:jc w:val="center"/>
              <w:rPr>
                <w:color w:val="000000"/>
                <w:kern w:val="0"/>
                <w:sz w:val="22"/>
                <w:szCs w:val="22"/>
              </w:rPr>
            </w:pPr>
            <w:r>
              <w:rPr>
                <w:color w:val="000000"/>
                <w:kern w:val="0"/>
                <w:sz w:val="22"/>
                <w:szCs w:val="22"/>
              </w:rPr>
              <w:t>公园与绿地</w:t>
            </w:r>
          </w:p>
        </w:tc>
      </w:tr>
    </w:tbl>
    <w:p>
      <w:pPr>
        <w:pStyle w:val="67"/>
        <w:adjustRightInd w:val="0"/>
        <w:snapToGrid w:val="0"/>
        <w:spacing w:line="240" w:lineRule="auto"/>
        <w:ind w:firstLine="360" w:firstLineChars="200"/>
        <w:rPr>
          <w:rFonts w:ascii="Times New Roman" w:hAnsi="Times New Roman" w:eastAsia="宋体"/>
          <w:sz w:val="18"/>
          <w:szCs w:val="18"/>
        </w:rPr>
      </w:pPr>
      <w:bookmarkStart w:id="666" w:name="_Toc491181094"/>
      <w:bookmarkStart w:id="667" w:name="_Toc491181092"/>
      <w:r>
        <w:rPr>
          <w:rFonts w:ascii="Times New Roman" w:hAnsi="Times New Roman" w:eastAsia="宋体"/>
          <w:sz w:val="18"/>
          <w:szCs w:val="18"/>
        </w:rPr>
        <w:t>备注：根据《土地利用现状用途分类》（GB/T21010-2017）确定，一类用地即公共管理与</w:t>
      </w:r>
      <w:r>
        <w:rPr>
          <w:rFonts w:hint="eastAsia" w:ascii="Times New Roman" w:hAnsi="Times New Roman" w:eastAsia="宋体"/>
          <w:sz w:val="18"/>
          <w:szCs w:val="18"/>
        </w:rPr>
        <w:t>公共管理与公共服务用地</w:t>
      </w:r>
      <w:r>
        <w:rPr>
          <w:rFonts w:ascii="Times New Roman" w:hAnsi="Times New Roman" w:eastAsia="宋体"/>
          <w:sz w:val="18"/>
          <w:szCs w:val="18"/>
        </w:rPr>
        <w:t>一类用地 ，二类用地即公共管理与</w:t>
      </w:r>
      <w:r>
        <w:rPr>
          <w:rFonts w:hint="eastAsia" w:ascii="Times New Roman" w:hAnsi="Times New Roman" w:eastAsia="宋体"/>
          <w:sz w:val="18"/>
          <w:szCs w:val="18"/>
        </w:rPr>
        <w:t>公共管理与公共服务用地</w:t>
      </w:r>
      <w:r>
        <w:rPr>
          <w:rFonts w:ascii="Times New Roman" w:hAnsi="Times New Roman" w:eastAsia="宋体"/>
          <w:sz w:val="18"/>
          <w:szCs w:val="18"/>
        </w:rPr>
        <w:t>二类用地。</w:t>
      </w:r>
    </w:p>
    <w:p>
      <w:pPr>
        <w:tabs>
          <w:tab w:val="right" w:pos="9298"/>
        </w:tabs>
        <w:spacing w:line="360" w:lineRule="auto"/>
        <w:ind w:firstLine="482" w:firstLineChars="200"/>
        <w:rPr>
          <w:b/>
          <w:sz w:val="24"/>
          <w:szCs w:val="22"/>
        </w:rPr>
      </w:pPr>
      <w:r>
        <w:rPr>
          <w:rFonts w:hint="eastAsia"/>
          <w:b/>
          <w:sz w:val="24"/>
          <w:szCs w:val="22"/>
        </w:rPr>
        <w:t>2</w:t>
      </w:r>
      <w:r>
        <w:rPr>
          <w:b/>
          <w:sz w:val="24"/>
          <w:szCs w:val="22"/>
        </w:rPr>
        <w:t>、</w:t>
      </w:r>
      <w:r>
        <w:rPr>
          <w:rFonts w:hint="eastAsia"/>
          <w:b/>
          <w:sz w:val="24"/>
          <w:szCs w:val="22"/>
        </w:rPr>
        <w:t>公共管理与公共服务用地</w:t>
      </w:r>
      <w:r>
        <w:rPr>
          <w:b/>
          <w:sz w:val="24"/>
          <w:szCs w:val="22"/>
        </w:rPr>
        <w:t>特征</w:t>
      </w:r>
      <w:bookmarkEnd w:id="666"/>
    </w:p>
    <w:p>
      <w:pPr>
        <w:pStyle w:val="67"/>
        <w:adjustRightInd w:val="0"/>
        <w:snapToGrid w:val="0"/>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公共管理与公共服务用地</w:t>
      </w:r>
      <w:r>
        <w:rPr>
          <w:rFonts w:ascii="Times New Roman" w:hAnsi="Times New Roman" w:eastAsia="宋体"/>
          <w:sz w:val="24"/>
          <w:szCs w:val="24"/>
        </w:rPr>
        <w:t>作为土地资源的一种，具有自然特性。同时受其社会主义市场经济影响，又有其经济特性。</w:t>
      </w:r>
    </w:p>
    <w:p>
      <w:pPr>
        <w:pStyle w:val="67"/>
        <w:adjustRightInd w:val="0"/>
        <w:snapToGrid w:val="0"/>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第一，稀缺性。城市作为商业化高度集中的区域和市场经济发展的前沿阵地，决定了</w:t>
      </w:r>
      <w:r>
        <w:rPr>
          <w:rFonts w:hint="eastAsia" w:ascii="Times New Roman" w:hAnsi="Times New Roman" w:eastAsia="宋体"/>
          <w:sz w:val="24"/>
          <w:szCs w:val="24"/>
        </w:rPr>
        <w:t>公共管理与公共服务用地</w:t>
      </w:r>
      <w:r>
        <w:rPr>
          <w:rFonts w:ascii="Times New Roman" w:hAnsi="Times New Roman" w:eastAsia="宋体"/>
          <w:sz w:val="24"/>
          <w:szCs w:val="24"/>
        </w:rPr>
        <w:t>在可利用土地方面受其严格的限制，只能在一定的规划区域内或相关地块上开发建设。</w:t>
      </w:r>
    </w:p>
    <w:p>
      <w:pPr>
        <w:pStyle w:val="67"/>
        <w:adjustRightInd w:val="0"/>
        <w:snapToGrid w:val="0"/>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第二，公共性。</w:t>
      </w:r>
      <w:r>
        <w:rPr>
          <w:rFonts w:hint="eastAsia" w:ascii="Times New Roman" w:hAnsi="Times New Roman" w:eastAsia="宋体"/>
          <w:sz w:val="24"/>
          <w:szCs w:val="24"/>
        </w:rPr>
        <w:t>公共管理与公共服务用地</w:t>
      </w:r>
      <w:r>
        <w:rPr>
          <w:rFonts w:ascii="Times New Roman" w:hAnsi="Times New Roman" w:eastAsia="宋体"/>
          <w:sz w:val="24"/>
          <w:szCs w:val="24"/>
        </w:rPr>
        <w:t>从土地功能角度划分，具有一定的公益性。依据萨缪尔森定义，其本质属性是一种公共产品和准公共产品，由地方政府代表国家向社会公众供给，具有非排他性和非竞争性。</w:t>
      </w:r>
    </w:p>
    <w:p>
      <w:pPr>
        <w:pStyle w:val="67"/>
        <w:adjustRightInd w:val="0"/>
        <w:snapToGrid w:val="0"/>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第三，正外部性。</w:t>
      </w:r>
      <w:r>
        <w:rPr>
          <w:rFonts w:hint="eastAsia" w:ascii="Times New Roman" w:hAnsi="Times New Roman" w:eastAsia="宋体"/>
          <w:sz w:val="24"/>
          <w:szCs w:val="24"/>
        </w:rPr>
        <w:t>公共管理与公共服务用地</w:t>
      </w:r>
      <w:r>
        <w:rPr>
          <w:rFonts w:ascii="Times New Roman" w:hAnsi="Times New Roman" w:eastAsia="宋体"/>
          <w:sz w:val="24"/>
          <w:szCs w:val="24"/>
        </w:rPr>
        <w:t>的外部性特点比较明显，是提供公共服务的载体。任何一块公共用地的开发都给周围居民带来便利或优越的生活环境，比如政府兴建的绿地和广场空间，会引起相邻地块价格的上扬。它具有正外部性也即正的外溢效应，但时常这种作用在经济上并未得到货币补偿。</w:t>
      </w:r>
    </w:p>
    <w:p>
      <w:pPr>
        <w:pStyle w:val="67"/>
        <w:adjustRightInd w:val="0"/>
        <w:snapToGrid w:val="0"/>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第四，具有与其它用地的相关性。</w:t>
      </w:r>
      <w:r>
        <w:rPr>
          <w:rFonts w:hint="eastAsia" w:ascii="Times New Roman" w:hAnsi="Times New Roman" w:eastAsia="宋体"/>
          <w:sz w:val="24"/>
          <w:szCs w:val="24"/>
        </w:rPr>
        <w:t>公共管理与公共服务用地</w:t>
      </w:r>
      <w:r>
        <w:rPr>
          <w:rFonts w:ascii="Times New Roman" w:hAnsi="Times New Roman" w:eastAsia="宋体"/>
          <w:sz w:val="24"/>
          <w:szCs w:val="24"/>
        </w:rPr>
        <w:t>是根据城市发展进程及规划要求进行合理配置的，不能简单割裂地看它的独特性，要关注它与其它用地存在相互依存、相互影响促进的关系。</w:t>
      </w:r>
    </w:p>
    <w:p>
      <w:pPr>
        <w:pStyle w:val="67"/>
        <w:adjustRightInd w:val="0"/>
        <w:snapToGrid w:val="0"/>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第五，服务性。提供公共服务是城市</w:t>
      </w:r>
      <w:r>
        <w:rPr>
          <w:rFonts w:hint="eastAsia" w:ascii="Times New Roman" w:hAnsi="Times New Roman" w:eastAsia="宋体"/>
          <w:sz w:val="24"/>
          <w:szCs w:val="24"/>
        </w:rPr>
        <w:t>公共管理与公共服务用地</w:t>
      </w:r>
      <w:r>
        <w:rPr>
          <w:rFonts w:ascii="Times New Roman" w:hAnsi="Times New Roman" w:eastAsia="宋体"/>
          <w:sz w:val="24"/>
          <w:szCs w:val="24"/>
        </w:rPr>
        <w:t>的首要功能。其种类多样、功能齐全和数量之多将大大改善居民的居住条件，缓解人们的生活压力，并为招商引资和经济发展起到促进作用。从这个角度看，城市公共管理与</w:t>
      </w:r>
      <w:r>
        <w:rPr>
          <w:rFonts w:hint="eastAsia" w:ascii="Times New Roman" w:hAnsi="Times New Roman" w:eastAsia="宋体"/>
          <w:sz w:val="24"/>
          <w:szCs w:val="24"/>
        </w:rPr>
        <w:t>公共管理与公共服务用地</w:t>
      </w:r>
      <w:r>
        <w:rPr>
          <w:rFonts w:ascii="Times New Roman" w:hAnsi="Times New Roman" w:eastAsia="宋体"/>
          <w:sz w:val="24"/>
          <w:szCs w:val="24"/>
        </w:rPr>
        <w:t>为经济建设和个人的全面发展而服务，具有服务性。</w:t>
      </w:r>
    </w:p>
    <w:p>
      <w:pPr>
        <w:pStyle w:val="67"/>
        <w:adjustRightInd w:val="0"/>
        <w:snapToGrid w:val="0"/>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第六，具有市场价值。根据经济学理论，</w:t>
      </w:r>
      <w:r>
        <w:rPr>
          <w:rFonts w:hint="eastAsia" w:ascii="Times New Roman" w:hAnsi="Times New Roman" w:eastAsia="宋体"/>
          <w:sz w:val="24"/>
          <w:szCs w:val="24"/>
        </w:rPr>
        <w:t>公共管理与公共服务用地</w:t>
      </w:r>
      <w:r>
        <w:rPr>
          <w:rFonts w:ascii="Times New Roman" w:hAnsi="Times New Roman" w:eastAsia="宋体"/>
          <w:sz w:val="24"/>
          <w:szCs w:val="24"/>
        </w:rPr>
        <w:t>具有价值。随着我国改革的进一步深化，将学校、医院、体育场所、名胜古迹等实行半市场化运作，学生上学、病人看病、游人游览都必须付费，方能满足。该部分用地就产生了收益，具有一定的营利性，即价值通过市场体现出来了。而有些公共管理与</w:t>
      </w:r>
      <w:r>
        <w:rPr>
          <w:rFonts w:hint="eastAsia" w:ascii="Times New Roman" w:hAnsi="Times New Roman" w:eastAsia="宋体"/>
          <w:sz w:val="24"/>
          <w:szCs w:val="24"/>
        </w:rPr>
        <w:t>公共管理与公共服务用地</w:t>
      </w:r>
      <w:r>
        <w:rPr>
          <w:rFonts w:ascii="Times New Roman" w:hAnsi="Times New Roman" w:eastAsia="宋体"/>
          <w:sz w:val="24"/>
          <w:szCs w:val="24"/>
        </w:rPr>
        <w:t>的价值是依存于其它用地，通过非公共用地的经济效益的提高来实现。</w:t>
      </w:r>
    </w:p>
    <w:p>
      <w:pPr>
        <w:tabs>
          <w:tab w:val="right" w:pos="9298"/>
        </w:tabs>
        <w:spacing w:line="360" w:lineRule="auto"/>
        <w:ind w:firstLine="482" w:firstLineChars="200"/>
        <w:rPr>
          <w:b/>
          <w:sz w:val="24"/>
          <w:szCs w:val="22"/>
        </w:rPr>
      </w:pPr>
      <w:r>
        <w:rPr>
          <w:rFonts w:hint="eastAsia"/>
          <w:b/>
          <w:sz w:val="24"/>
          <w:szCs w:val="22"/>
        </w:rPr>
        <w:t>3</w:t>
      </w:r>
      <w:r>
        <w:rPr>
          <w:b/>
          <w:sz w:val="24"/>
          <w:szCs w:val="22"/>
        </w:rPr>
        <w:t>、</w:t>
      </w:r>
      <w:r>
        <w:rPr>
          <w:rFonts w:hint="eastAsia"/>
          <w:b/>
          <w:sz w:val="24"/>
          <w:szCs w:val="22"/>
        </w:rPr>
        <w:t>公共管理与公共服务用地</w:t>
      </w:r>
      <w:r>
        <w:rPr>
          <w:b/>
          <w:sz w:val="24"/>
          <w:szCs w:val="22"/>
        </w:rPr>
        <w:t>估价理论基础</w:t>
      </w:r>
      <w:bookmarkEnd w:id="667"/>
    </w:p>
    <w:p>
      <w:pPr>
        <w:pStyle w:val="67"/>
        <w:adjustRightInd w:val="0"/>
        <w:snapToGrid w:val="0"/>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公共服务基准地价评估是在社会发展一定程度后，为鼓励以出让、租赁方式供应土地，对城镇不同类别</w:t>
      </w:r>
      <w:r>
        <w:rPr>
          <w:rFonts w:hint="eastAsia" w:ascii="Times New Roman" w:hAnsi="Times New Roman" w:eastAsia="宋体"/>
          <w:sz w:val="24"/>
          <w:szCs w:val="24"/>
        </w:rPr>
        <w:t>公共管理与公共服务用地</w:t>
      </w:r>
      <w:r>
        <w:rPr>
          <w:rFonts w:ascii="Times New Roman" w:hAnsi="Times New Roman" w:eastAsia="宋体"/>
          <w:sz w:val="24"/>
          <w:szCs w:val="24"/>
        </w:rPr>
        <w:t>的土地市场价值的重新评定。它必须考虑四个方面的因素：一是土地本身的公共服务属性；二是土地本身的区位条件，三是土地上的投入与产出，四是当地土地市场的供需状况，四者缺一不可。因此，本次基准地价评估势必涉及自然、社会、经济等各个方面，是综合性、区域性、技术性都很强的工作，必须以科学的理论为依据。</w:t>
      </w:r>
    </w:p>
    <w:p>
      <w:pPr>
        <w:tabs>
          <w:tab w:val="right" w:pos="9298"/>
        </w:tabs>
        <w:spacing w:line="360" w:lineRule="auto"/>
        <w:ind w:firstLine="482" w:firstLineChars="200"/>
        <w:rPr>
          <w:b/>
          <w:sz w:val="24"/>
          <w:szCs w:val="22"/>
        </w:rPr>
      </w:pPr>
      <w:r>
        <w:rPr>
          <w:b/>
          <w:sz w:val="24"/>
          <w:szCs w:val="22"/>
        </w:rPr>
        <w:t>（1）马克思的地租、地价理论</w:t>
      </w:r>
    </w:p>
    <w:p>
      <w:pPr>
        <w:pStyle w:val="67"/>
        <w:adjustRightInd w:val="0"/>
        <w:snapToGrid w:val="0"/>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马克思认为地租所反映的是一种社会关系，地租是土地所有权在经济上的实现形式。土地所有权的存在和垄断是产生地租的根本原因。同时马克思还从质和量两方面对地租进行分析，认为地租有绝对地租和级差地租Ⅰ、级差地租Ⅱ三种形式，其中绝对地租是土地所有权的集中体现，只要所有权存在，不论土地的本身在状况如何，一旦利用该土地就肯定有地租的产生。级差地租是由于所利用的土地本身状况以及利用者的投资等方面的不同而造成的地租量的差异，是土地价格差异存在的客观基础。马克思还认为，土地价格不是土地的购买价格，而是土地所提供地租的购买价格，它是按普通利息率计算的。即：土地价格=地租/利息率。这一公式表达了土地价格是资本化的地租，是能够带来同地租等量利息的货币额。按照马克思地价公式所表述的原理，我们可从分析土地收益入手，用一定的公式求算地价。</w:t>
      </w:r>
    </w:p>
    <w:p>
      <w:pPr>
        <w:tabs>
          <w:tab w:val="right" w:pos="9298"/>
        </w:tabs>
        <w:spacing w:line="360" w:lineRule="auto"/>
        <w:ind w:firstLine="482" w:firstLineChars="200"/>
        <w:rPr>
          <w:b/>
          <w:sz w:val="24"/>
          <w:szCs w:val="22"/>
        </w:rPr>
      </w:pPr>
      <w:r>
        <w:rPr>
          <w:b/>
          <w:sz w:val="24"/>
          <w:szCs w:val="22"/>
        </w:rPr>
        <w:t>（2）区位理论</w:t>
      </w:r>
    </w:p>
    <w:p>
      <w:pPr>
        <w:pStyle w:val="67"/>
        <w:adjustRightInd w:val="0"/>
        <w:snapToGrid w:val="0"/>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城镇土地因其相对位置不同，在空间上表现了不同的使用价值、不同的经济效益和不同的地租地价。土地区位的差异使得同类行业在不同的区位上获得的经济效益和土地收益以及市场交易形成的地价会相差很大，不同行业在同一位置上的经济收益也会相差很大。因此，城镇土地地租地价水平很大程度上取决于土地的宏观、中观和微观区位条件和区位联系。所以，在土地定级估价中，我们依据土地区位质量差异评定土地级别，在此基础上从宏观区位条件上更新级别基准地价，从微观区位条件，更新宗地地价，形成多层次的地价评估体系。</w:t>
      </w:r>
    </w:p>
    <w:p>
      <w:pPr>
        <w:pStyle w:val="67"/>
        <w:adjustRightInd w:val="0"/>
        <w:snapToGrid w:val="0"/>
        <w:spacing w:line="360" w:lineRule="auto"/>
        <w:ind w:firstLine="482" w:firstLineChars="200"/>
        <w:rPr>
          <w:rFonts w:ascii="Times New Roman" w:hAnsi="Times New Roman" w:eastAsia="仿宋"/>
          <w:b/>
          <w:sz w:val="24"/>
          <w:szCs w:val="24"/>
        </w:rPr>
      </w:pPr>
      <w:r>
        <w:rPr>
          <w:rFonts w:ascii="Times New Roman" w:hAnsi="Times New Roman" w:eastAsia="宋体"/>
          <w:b/>
          <w:sz w:val="24"/>
          <w:szCs w:val="22"/>
        </w:rPr>
        <w:t>（3）西方现代地价理论</w:t>
      </w:r>
    </w:p>
    <w:p>
      <w:pPr>
        <w:pStyle w:val="67"/>
        <w:adjustRightInd w:val="0"/>
        <w:snapToGrid w:val="0"/>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西方现代地价理论是在市场价格理论的基础上发展起来的，其核心观点是：持有土地可能得到的利益，不仅只有土地的利用收益，而且还应把卖掉土地产生的利益考虑进去。因此，不只是土地收益决定地价，而且资本市场也参与了土地价格的决定，即土地收益和土地供求关系决定了土地的价格。</w:t>
      </w:r>
    </w:p>
    <w:p>
      <w:pPr>
        <w:pStyle w:val="67"/>
        <w:adjustRightInd w:val="0"/>
        <w:snapToGrid w:val="0"/>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土地经济学家的开山鼻祖伊利认为“土地所能带来的收益是确定其价值的基础”，把预期的土地收益系列资本化而成为一笔价值基金，在经济上成为土地的资本价值，土地收益决定土地资本价值，即地价的土地收益决定论。马尔萨斯等人提出的“土地价格供求理论”，认为土地的供给的相对稀缺性与有效需求的不断增长相互作用，从而产生了土地价格。土地需求随着产业结构变动、经济发展、城市战略布局、人口变化等因素调整而发生变化。</w:t>
      </w:r>
    </w:p>
    <w:p>
      <w:pPr>
        <w:tabs>
          <w:tab w:val="right" w:pos="9298"/>
        </w:tabs>
        <w:spacing w:line="360" w:lineRule="auto"/>
        <w:ind w:firstLine="482" w:firstLineChars="200"/>
        <w:rPr>
          <w:b/>
          <w:sz w:val="24"/>
          <w:szCs w:val="22"/>
        </w:rPr>
      </w:pPr>
      <w:r>
        <w:rPr>
          <w:b/>
          <w:sz w:val="24"/>
          <w:szCs w:val="22"/>
        </w:rPr>
        <w:t>（4）博弈理论</w:t>
      </w:r>
    </w:p>
    <w:p>
      <w:pPr>
        <w:pStyle w:val="67"/>
        <w:adjustRightInd w:val="0"/>
        <w:snapToGrid w:val="0"/>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博弈论是二人或多人在平等的对局中各自利用对方的策略变换自己的对抗策略，达到取胜目标的理论。博弈论利用数学模型推导公式研究激励结构间的相互作用。博弈通过分析自己与对手的利弊关系，确立自己在博弈中的优势。</w:t>
      </w:r>
    </w:p>
    <w:p>
      <w:pPr>
        <w:pStyle w:val="67"/>
        <w:adjustRightInd w:val="0"/>
        <w:snapToGrid w:val="0"/>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多年来，我国公共管理与</w:t>
      </w:r>
      <w:r>
        <w:rPr>
          <w:rFonts w:hint="eastAsia" w:ascii="Times New Roman" w:hAnsi="Times New Roman" w:eastAsia="宋体"/>
          <w:sz w:val="24"/>
          <w:szCs w:val="24"/>
        </w:rPr>
        <w:t>公共管理与公共服务用地</w:t>
      </w:r>
      <w:r>
        <w:rPr>
          <w:rFonts w:ascii="Times New Roman" w:hAnsi="Times New Roman" w:eastAsia="宋体"/>
          <w:sz w:val="24"/>
          <w:szCs w:val="24"/>
        </w:rPr>
        <w:t>基本上都是划拨供地，属于无偿使用，这一定程度上导致了公共服务用的粗放利用或闲置等情况，也会导致</w:t>
      </w:r>
      <w:r>
        <w:rPr>
          <w:rFonts w:hint="eastAsia" w:ascii="Times New Roman" w:hAnsi="Times New Roman" w:eastAsia="宋体"/>
          <w:sz w:val="24"/>
          <w:szCs w:val="24"/>
        </w:rPr>
        <w:t>公共管理与公共服务用地</w:t>
      </w:r>
      <w:r>
        <w:rPr>
          <w:rFonts w:ascii="Times New Roman" w:hAnsi="Times New Roman" w:eastAsia="宋体"/>
          <w:sz w:val="24"/>
          <w:szCs w:val="24"/>
        </w:rPr>
        <w:t>布局与城市整体功能、人民日常生活便利不相匹配。目前，我国城市处于城市化快速发展阶段，显然，</w:t>
      </w:r>
      <w:r>
        <w:rPr>
          <w:rFonts w:hint="eastAsia" w:ascii="Times New Roman" w:hAnsi="Times New Roman" w:eastAsia="宋体"/>
          <w:sz w:val="24"/>
          <w:szCs w:val="24"/>
        </w:rPr>
        <w:t>公共管理与公共服务用地</w:t>
      </w:r>
      <w:r>
        <w:rPr>
          <w:rFonts w:ascii="Times New Roman" w:hAnsi="Times New Roman" w:eastAsia="宋体"/>
          <w:sz w:val="24"/>
          <w:szCs w:val="24"/>
        </w:rPr>
        <w:t>土地供应和地价问题也是一个典型的博弈问题。依照现行政策，</w:t>
      </w:r>
      <w:r>
        <w:rPr>
          <w:rFonts w:hint="eastAsia" w:ascii="Times New Roman" w:hAnsi="Times New Roman" w:eastAsia="宋体"/>
          <w:sz w:val="24"/>
          <w:szCs w:val="24"/>
        </w:rPr>
        <w:t>公共管理与公共服务用地</w:t>
      </w:r>
      <w:r>
        <w:rPr>
          <w:rFonts w:ascii="Times New Roman" w:hAnsi="Times New Roman" w:eastAsia="宋体"/>
          <w:sz w:val="24"/>
          <w:szCs w:val="24"/>
        </w:rPr>
        <w:t>具有一定的福利性和公共性，不能完全依靠市场行情来估价，基本上以划拨方式供应土地。但在市场经济中，考虑社会资本逐步进入公共服务领域，因此应合理的体现</w:t>
      </w:r>
      <w:r>
        <w:rPr>
          <w:rFonts w:hint="eastAsia" w:ascii="Times New Roman" w:hAnsi="Times New Roman" w:eastAsia="宋体"/>
          <w:sz w:val="24"/>
          <w:szCs w:val="24"/>
        </w:rPr>
        <w:t>公共管理与公共服务用地</w:t>
      </w:r>
      <w:r>
        <w:rPr>
          <w:rFonts w:ascii="Times New Roman" w:hAnsi="Times New Roman" w:eastAsia="宋体"/>
          <w:sz w:val="24"/>
          <w:szCs w:val="24"/>
        </w:rPr>
        <w:t>的市场价值和供求关系，避免</w:t>
      </w:r>
      <w:r>
        <w:rPr>
          <w:rFonts w:hint="eastAsia" w:ascii="Times New Roman" w:hAnsi="Times New Roman" w:eastAsia="宋体"/>
          <w:sz w:val="24"/>
          <w:szCs w:val="24"/>
        </w:rPr>
        <w:t>公共管理与公共服务用地</w:t>
      </w:r>
      <w:r>
        <w:rPr>
          <w:rFonts w:ascii="Times New Roman" w:hAnsi="Times New Roman" w:eastAsia="宋体"/>
          <w:sz w:val="24"/>
          <w:szCs w:val="24"/>
        </w:rPr>
        <w:t>价格过低，脱离土地市场价值，影响社会公平，影也可以防止借</w:t>
      </w:r>
      <w:r>
        <w:rPr>
          <w:rFonts w:hint="eastAsia" w:ascii="Times New Roman" w:hAnsi="Times New Roman" w:eastAsia="宋体"/>
          <w:sz w:val="24"/>
          <w:szCs w:val="24"/>
        </w:rPr>
        <w:t>公共管理与公共服务用地</w:t>
      </w:r>
      <w:r>
        <w:rPr>
          <w:rFonts w:ascii="Times New Roman" w:hAnsi="Times New Roman" w:eastAsia="宋体"/>
          <w:sz w:val="24"/>
          <w:szCs w:val="24"/>
        </w:rPr>
        <w:t>之名，侵占公共用地、造成国有资产流失，因此急需评估</w:t>
      </w:r>
      <w:r>
        <w:rPr>
          <w:rFonts w:hint="eastAsia" w:ascii="Times New Roman" w:hAnsi="Times New Roman" w:eastAsia="宋体"/>
          <w:sz w:val="24"/>
          <w:szCs w:val="24"/>
        </w:rPr>
        <w:t>公共管理与公共服务用地</w:t>
      </w:r>
      <w:r>
        <w:rPr>
          <w:rFonts w:ascii="Times New Roman" w:hAnsi="Times New Roman" w:eastAsia="宋体"/>
          <w:sz w:val="24"/>
          <w:szCs w:val="24"/>
        </w:rPr>
        <w:t>基准地价，真实还原</w:t>
      </w:r>
      <w:r>
        <w:rPr>
          <w:rFonts w:hint="eastAsia" w:ascii="Times New Roman" w:hAnsi="Times New Roman" w:eastAsia="宋体"/>
          <w:sz w:val="24"/>
          <w:szCs w:val="24"/>
        </w:rPr>
        <w:t>公共管理与公共服务用地</w:t>
      </w:r>
      <w:r>
        <w:rPr>
          <w:rFonts w:ascii="Times New Roman" w:hAnsi="Times New Roman" w:eastAsia="宋体"/>
          <w:sz w:val="24"/>
          <w:szCs w:val="24"/>
        </w:rPr>
        <w:t>的土地价值，促进土地集约利用和土地市场的健康发展。</w:t>
      </w:r>
    </w:p>
    <w:p>
      <w:pPr>
        <w:tabs>
          <w:tab w:val="right" w:pos="9298"/>
        </w:tabs>
        <w:spacing w:line="360" w:lineRule="auto"/>
        <w:ind w:firstLine="482" w:firstLineChars="200"/>
        <w:rPr>
          <w:b/>
          <w:sz w:val="24"/>
          <w:szCs w:val="22"/>
        </w:rPr>
      </w:pPr>
      <w:bookmarkStart w:id="668" w:name="_Toc491181097"/>
      <w:r>
        <w:rPr>
          <w:rFonts w:hint="eastAsia"/>
          <w:b/>
          <w:sz w:val="24"/>
          <w:szCs w:val="22"/>
        </w:rPr>
        <w:t>4</w:t>
      </w:r>
      <w:r>
        <w:rPr>
          <w:b/>
          <w:sz w:val="24"/>
          <w:szCs w:val="22"/>
        </w:rPr>
        <w:t>、</w:t>
      </w:r>
      <w:r>
        <w:rPr>
          <w:rFonts w:hint="eastAsia"/>
          <w:b/>
          <w:sz w:val="24"/>
          <w:szCs w:val="22"/>
        </w:rPr>
        <w:t>公共管理与公共服务用地</w:t>
      </w:r>
      <w:r>
        <w:rPr>
          <w:b/>
          <w:sz w:val="24"/>
          <w:szCs w:val="22"/>
        </w:rPr>
        <w:t>估价实质</w:t>
      </w:r>
      <w:bookmarkEnd w:id="668"/>
    </w:p>
    <w:p>
      <w:pPr>
        <w:pStyle w:val="67"/>
        <w:adjustRightInd w:val="0"/>
        <w:snapToGrid w:val="0"/>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根据马克思主义地租理论，我国土地价格的实质是地租的资金化。</w:t>
      </w:r>
      <w:r>
        <w:rPr>
          <w:rFonts w:hint="eastAsia" w:ascii="Times New Roman" w:hAnsi="Times New Roman" w:eastAsia="宋体"/>
          <w:sz w:val="24"/>
          <w:szCs w:val="24"/>
        </w:rPr>
        <w:t>公共管理与公共服务用地</w:t>
      </w:r>
      <w:r>
        <w:rPr>
          <w:rFonts w:ascii="Times New Roman" w:hAnsi="Times New Roman" w:eastAsia="宋体"/>
          <w:sz w:val="24"/>
          <w:szCs w:val="24"/>
        </w:rPr>
        <w:t>也和其他用地一样在所有权和使用权是相对分离的，只不过在取得使用权无须付出金钱代价，但土地所有者也可以要求在经济上体现出所有权。对</w:t>
      </w:r>
      <w:r>
        <w:rPr>
          <w:rFonts w:hint="eastAsia" w:ascii="Times New Roman" w:hAnsi="Times New Roman" w:eastAsia="宋体"/>
          <w:sz w:val="24"/>
          <w:szCs w:val="24"/>
        </w:rPr>
        <w:t>公共管理与公共服务用地</w:t>
      </w:r>
      <w:r>
        <w:rPr>
          <w:rFonts w:ascii="Times New Roman" w:hAnsi="Times New Roman" w:eastAsia="宋体"/>
          <w:sz w:val="24"/>
          <w:szCs w:val="24"/>
        </w:rPr>
        <w:t>无偿使用，并不意味着该用地是无价的。国家赋予用途的特性具备公共性和福利性，这是符合国家和城市发展所需要的必备条件。对</w:t>
      </w:r>
      <w:r>
        <w:rPr>
          <w:rFonts w:hint="eastAsia" w:ascii="Times New Roman" w:hAnsi="Times New Roman" w:eastAsia="宋体"/>
          <w:sz w:val="24"/>
          <w:szCs w:val="24"/>
        </w:rPr>
        <w:t>公共管理与公共服务用地</w:t>
      </w:r>
      <w:r>
        <w:rPr>
          <w:rFonts w:ascii="Times New Roman" w:hAnsi="Times New Roman" w:eastAsia="宋体"/>
          <w:sz w:val="24"/>
          <w:szCs w:val="24"/>
        </w:rPr>
        <w:t>进行估价，也不是要把它的利用转变成商业化，是为了更好地保护珍惜国家土地资源，利用地租杠杆来有效地调节对该用地的合理配置使用。同时，在利用</w:t>
      </w:r>
      <w:r>
        <w:rPr>
          <w:rFonts w:hint="eastAsia" w:ascii="Times New Roman" w:hAnsi="Times New Roman" w:eastAsia="宋体"/>
          <w:sz w:val="24"/>
          <w:szCs w:val="24"/>
        </w:rPr>
        <w:t>公共管理与公共服务用地</w:t>
      </w:r>
      <w:r>
        <w:rPr>
          <w:rFonts w:ascii="Times New Roman" w:hAnsi="Times New Roman" w:eastAsia="宋体"/>
          <w:sz w:val="24"/>
          <w:szCs w:val="24"/>
        </w:rPr>
        <w:t>过程中还产生了很多的公共产品供给人们，使城市居民可以从中受益。所以，该类用地估价是城市发展及商品经济的客观要求，同时符合社会主义土地经济关系。公共用地外在效益转化为土地价格，是一种客观过程，并且要受到社会主义市场经济条件下各种规律的制约。所以从实质上来讲，不论是社会资本还是政府直接投资参与公共服务建设，部分</w:t>
      </w:r>
      <w:r>
        <w:rPr>
          <w:rFonts w:hint="eastAsia" w:ascii="Times New Roman" w:hAnsi="Times New Roman" w:eastAsia="宋体"/>
          <w:sz w:val="24"/>
          <w:szCs w:val="24"/>
        </w:rPr>
        <w:t>公共管理与公共服务用地</w:t>
      </w:r>
      <w:r>
        <w:rPr>
          <w:rFonts w:ascii="Times New Roman" w:hAnsi="Times New Roman" w:eastAsia="宋体"/>
          <w:sz w:val="24"/>
          <w:szCs w:val="24"/>
        </w:rPr>
        <w:t>在面向社会服务过程中，会产生一定的收益，因此理应构建</w:t>
      </w:r>
      <w:r>
        <w:rPr>
          <w:rFonts w:hint="eastAsia" w:ascii="Times New Roman" w:hAnsi="Times New Roman" w:eastAsia="宋体"/>
          <w:sz w:val="24"/>
          <w:szCs w:val="24"/>
        </w:rPr>
        <w:t>公共管理与公共服务用地</w:t>
      </w:r>
      <w:r>
        <w:rPr>
          <w:rFonts w:ascii="Times New Roman" w:hAnsi="Times New Roman" w:eastAsia="宋体"/>
          <w:sz w:val="24"/>
          <w:szCs w:val="24"/>
        </w:rPr>
        <w:t>基准地价体系，另一方面即便是部分</w:t>
      </w:r>
      <w:r>
        <w:rPr>
          <w:rFonts w:hint="eastAsia" w:ascii="Times New Roman" w:hAnsi="Times New Roman" w:eastAsia="宋体"/>
          <w:sz w:val="24"/>
          <w:szCs w:val="24"/>
        </w:rPr>
        <w:t>公共管理与公共服务用地</w:t>
      </w:r>
      <w:r>
        <w:rPr>
          <w:rFonts w:ascii="Times New Roman" w:hAnsi="Times New Roman" w:eastAsia="宋体"/>
          <w:sz w:val="24"/>
          <w:szCs w:val="24"/>
        </w:rPr>
        <w:t>虽然不产生效益，但就其发挥的客观作用，也应客观反应其价值，且纳入各行政主管部门的正常运作成本，可有效督查土地使用者集约利用土地。</w:t>
      </w:r>
    </w:p>
    <w:p>
      <w:pPr>
        <w:spacing w:line="360" w:lineRule="auto"/>
        <w:ind w:firstLine="560" w:firstLineChars="200"/>
        <w:outlineLvl w:val="2"/>
        <w:rPr>
          <w:rFonts w:eastAsia="黑体"/>
          <w:sz w:val="28"/>
          <w:szCs w:val="28"/>
        </w:rPr>
      </w:pPr>
      <w:bookmarkStart w:id="669" w:name="_Toc7320"/>
      <w:bookmarkStart w:id="670" w:name="_Toc495648899"/>
      <w:bookmarkStart w:id="671" w:name="_Toc14798"/>
      <w:bookmarkStart w:id="672" w:name="_Toc491181107"/>
      <w:r>
        <w:rPr>
          <w:rFonts w:eastAsia="黑体"/>
          <w:sz w:val="28"/>
          <w:szCs w:val="28"/>
        </w:rPr>
        <w:t>二、</w:t>
      </w:r>
      <w:r>
        <w:rPr>
          <w:rFonts w:hint="eastAsia" w:eastAsia="黑体"/>
          <w:sz w:val="28"/>
          <w:szCs w:val="28"/>
        </w:rPr>
        <w:t>公共管理与公共服务用地</w:t>
      </w:r>
      <w:r>
        <w:rPr>
          <w:rFonts w:eastAsia="黑体"/>
          <w:sz w:val="28"/>
          <w:szCs w:val="28"/>
        </w:rPr>
        <w:t>基准地价评估</w:t>
      </w:r>
      <w:bookmarkEnd w:id="669"/>
      <w:bookmarkEnd w:id="670"/>
      <w:bookmarkEnd w:id="671"/>
    </w:p>
    <w:p>
      <w:pPr>
        <w:tabs>
          <w:tab w:val="right" w:pos="9298"/>
        </w:tabs>
        <w:spacing w:line="440" w:lineRule="exact"/>
        <w:ind w:firstLine="482" w:firstLineChars="200"/>
        <w:rPr>
          <w:b/>
          <w:sz w:val="24"/>
          <w:szCs w:val="22"/>
        </w:rPr>
      </w:pPr>
      <w:r>
        <w:rPr>
          <w:b/>
          <w:sz w:val="24"/>
          <w:szCs w:val="22"/>
        </w:rPr>
        <w:t>1、</w:t>
      </w:r>
      <w:r>
        <w:rPr>
          <w:rFonts w:hint="eastAsia"/>
          <w:b/>
          <w:sz w:val="24"/>
          <w:szCs w:val="22"/>
        </w:rPr>
        <w:t>公共管理与公共服务用地</w:t>
      </w:r>
      <w:r>
        <w:rPr>
          <w:b/>
          <w:sz w:val="24"/>
          <w:szCs w:val="22"/>
        </w:rPr>
        <w:t>基准地价估价原理</w:t>
      </w:r>
      <w:bookmarkEnd w:id="672"/>
    </w:p>
    <w:p>
      <w:pPr>
        <w:spacing w:line="520" w:lineRule="exact"/>
        <w:ind w:firstLine="480" w:firstLineChars="200"/>
        <w:rPr>
          <w:sz w:val="24"/>
          <w:szCs w:val="24"/>
        </w:rPr>
      </w:pPr>
      <w:r>
        <w:rPr>
          <w:sz w:val="24"/>
          <w:szCs w:val="24"/>
        </w:rPr>
        <w:t>根据土地使用者的性质，</w:t>
      </w:r>
      <w:r>
        <w:rPr>
          <w:rFonts w:hint="eastAsia"/>
          <w:sz w:val="24"/>
          <w:szCs w:val="24"/>
        </w:rPr>
        <w:t>公共管理与公共服务用地</w:t>
      </w:r>
      <w:r>
        <w:rPr>
          <w:sz w:val="24"/>
          <w:szCs w:val="24"/>
        </w:rPr>
        <w:t>类型分为以下两种：一是以公益性和非营利性为主要特征的项目用地，这类用地没有收益或收益较少，市场交易案例较少，而土地利用的正外部性显著；二是以营利性为主要特征的项目用地，面向市场服务，但具有一定垄断性和计划性，如医院和名办学校等。所以不宜采用收益还原法、剩余法等进行评估。考虑到</w:t>
      </w:r>
      <w:r>
        <w:rPr>
          <w:rFonts w:hint="eastAsia"/>
          <w:sz w:val="24"/>
          <w:szCs w:val="24"/>
        </w:rPr>
        <w:t>公共管理与公共服务用地</w:t>
      </w:r>
      <w:r>
        <w:rPr>
          <w:sz w:val="24"/>
          <w:szCs w:val="24"/>
        </w:rPr>
        <w:t>的特殊性，评估时，可采用敏感性分析法和土地用途转化法测算出土地使用权价格。</w:t>
      </w:r>
    </w:p>
    <w:p>
      <w:pPr>
        <w:tabs>
          <w:tab w:val="right" w:pos="9298"/>
        </w:tabs>
        <w:spacing w:line="440" w:lineRule="exact"/>
        <w:ind w:firstLine="482" w:firstLineChars="200"/>
        <w:rPr>
          <w:b/>
          <w:sz w:val="24"/>
          <w:szCs w:val="22"/>
        </w:rPr>
      </w:pPr>
      <w:r>
        <w:rPr>
          <w:b/>
          <w:sz w:val="24"/>
          <w:szCs w:val="22"/>
        </w:rPr>
        <w:t>（1）敏感性分析法</w:t>
      </w:r>
    </w:p>
    <w:p>
      <w:pPr>
        <w:spacing w:line="520" w:lineRule="exact"/>
        <w:ind w:firstLine="480" w:firstLineChars="200"/>
        <w:rPr>
          <w:sz w:val="24"/>
          <w:szCs w:val="24"/>
        </w:rPr>
      </w:pPr>
      <w:r>
        <w:rPr>
          <w:sz w:val="24"/>
          <w:szCs w:val="24"/>
        </w:rPr>
        <w:t>对估价对象所在区域的位置、外部环境、产业集聚程度、交通条件等因素进行分析，采用专家打分法确定地价影响因素的权重，对比分析其与周边商业、住宅和工矿仓储用地在地价影响因素方面的敏感性（趋同性），确定估价对象参照周边某一类型用途的地价作为价格基础，并进行修正。</w:t>
      </w:r>
    </w:p>
    <w:p>
      <w:pPr>
        <w:tabs>
          <w:tab w:val="right" w:pos="9298"/>
        </w:tabs>
        <w:spacing w:line="440" w:lineRule="exact"/>
        <w:ind w:firstLine="482" w:firstLineChars="200"/>
        <w:rPr>
          <w:b/>
          <w:sz w:val="24"/>
          <w:szCs w:val="22"/>
        </w:rPr>
      </w:pPr>
      <w:r>
        <w:rPr>
          <w:b/>
          <w:sz w:val="24"/>
          <w:szCs w:val="22"/>
        </w:rPr>
        <w:t>（2）用途转换法</w:t>
      </w:r>
    </w:p>
    <w:p>
      <w:pPr>
        <w:spacing w:line="520" w:lineRule="exact"/>
        <w:ind w:firstLine="480" w:firstLineChars="200"/>
        <w:rPr>
          <w:sz w:val="24"/>
          <w:szCs w:val="24"/>
        </w:rPr>
      </w:pPr>
      <w:r>
        <w:rPr>
          <w:sz w:val="24"/>
          <w:szCs w:val="24"/>
        </w:rPr>
        <w:t>估价对象的现状用途不一定能实现该宗地在经济效益上的最佳利用，而是基于特定使用目的而放弃了真实价值。基于土地评估的协调性原则和最有效使用原则，土地利用需适应于周围的外部环境，方为最佳的利用方式。因此，以周边某类用途的土地作为参考，确定该宗地最适宜的用途，进行有效的转化与修正。</w:t>
      </w:r>
    </w:p>
    <w:p>
      <w:pPr>
        <w:spacing w:line="440" w:lineRule="exact"/>
        <w:ind w:firstLine="482" w:firstLineChars="200"/>
        <w:jc w:val="left"/>
        <w:rPr>
          <w:b/>
          <w:sz w:val="24"/>
          <w:szCs w:val="22"/>
        </w:rPr>
      </w:pPr>
      <w:bookmarkStart w:id="673" w:name="_Toc491181108"/>
      <w:r>
        <w:rPr>
          <w:b/>
          <w:sz w:val="24"/>
          <w:szCs w:val="22"/>
        </w:rPr>
        <w:t>2、</w:t>
      </w:r>
      <w:r>
        <w:rPr>
          <w:rFonts w:hint="eastAsia"/>
          <w:b/>
          <w:sz w:val="24"/>
          <w:szCs w:val="22"/>
        </w:rPr>
        <w:t>公共管理与公共服务用地</w:t>
      </w:r>
      <w:r>
        <w:rPr>
          <w:b/>
          <w:sz w:val="24"/>
          <w:szCs w:val="22"/>
        </w:rPr>
        <w:t>基准地价估价原则</w:t>
      </w:r>
      <w:bookmarkEnd w:id="673"/>
    </w:p>
    <w:p>
      <w:pPr>
        <w:spacing w:line="520" w:lineRule="exact"/>
        <w:ind w:firstLine="480" w:firstLineChars="200"/>
        <w:rPr>
          <w:sz w:val="24"/>
          <w:szCs w:val="24"/>
        </w:rPr>
      </w:pPr>
      <w:r>
        <w:rPr>
          <w:rFonts w:hint="eastAsia"/>
          <w:sz w:val="24"/>
          <w:szCs w:val="24"/>
        </w:rPr>
        <w:t>公共管理与公共服务用地</w:t>
      </w:r>
      <w:r>
        <w:rPr>
          <w:sz w:val="24"/>
          <w:szCs w:val="24"/>
        </w:rPr>
        <w:t>因自身带有很强的行政色彩，虽然不能通过土地市场进行交易，但可以借鉴土地市场经济规律。在这里市场不起基础主导作用，毕竟它是代表公众利益，是为广大城市居民提供服务的。其自身价值主要体现了社会效益和生态效益，兼顾考虑经济利益。所以，除应遵循一般的估价原则外，还应当遵循以下原则。</w:t>
      </w:r>
    </w:p>
    <w:p>
      <w:pPr>
        <w:tabs>
          <w:tab w:val="right" w:pos="9298"/>
        </w:tabs>
        <w:spacing w:line="440" w:lineRule="exact"/>
        <w:ind w:firstLine="482" w:firstLineChars="200"/>
        <w:rPr>
          <w:b/>
          <w:sz w:val="24"/>
          <w:szCs w:val="22"/>
        </w:rPr>
      </w:pPr>
      <w:r>
        <w:rPr>
          <w:b/>
          <w:sz w:val="24"/>
          <w:szCs w:val="22"/>
        </w:rPr>
        <w:t>（1）区域效用为主兼顾用途差异的原则</w:t>
      </w:r>
    </w:p>
    <w:p>
      <w:pPr>
        <w:spacing w:line="520" w:lineRule="exact"/>
        <w:ind w:firstLine="480" w:firstLineChars="200"/>
        <w:rPr>
          <w:sz w:val="24"/>
          <w:szCs w:val="24"/>
        </w:rPr>
      </w:pPr>
      <w:r>
        <w:rPr>
          <w:sz w:val="24"/>
          <w:szCs w:val="24"/>
        </w:rPr>
        <w:t>城市不同层次、不同功能类型的区域，资源禀赋不同，支持公共服务的基础和条件也各不相同，所以考虑开发利用也要结合区域自身人文、环境等特点，突出区域特色，使得</w:t>
      </w:r>
      <w:r>
        <w:rPr>
          <w:rFonts w:hint="eastAsia"/>
          <w:sz w:val="24"/>
          <w:szCs w:val="24"/>
        </w:rPr>
        <w:t>公共管理与公共服务用地</w:t>
      </w:r>
      <w:r>
        <w:rPr>
          <w:sz w:val="24"/>
          <w:szCs w:val="24"/>
        </w:rPr>
        <w:t>的自身价值得到充分体现，同时又要兼顾不同公共服务在同一区域所发挥作用的差异。</w:t>
      </w:r>
    </w:p>
    <w:p>
      <w:pPr>
        <w:tabs>
          <w:tab w:val="right" w:pos="9298"/>
        </w:tabs>
        <w:spacing w:line="440" w:lineRule="exact"/>
        <w:ind w:firstLine="482" w:firstLineChars="200"/>
        <w:rPr>
          <w:b/>
          <w:sz w:val="24"/>
          <w:szCs w:val="22"/>
        </w:rPr>
      </w:pPr>
      <w:r>
        <w:rPr>
          <w:b/>
          <w:sz w:val="24"/>
          <w:szCs w:val="22"/>
        </w:rPr>
        <w:t>（2）模拟市场价格的原则</w:t>
      </w:r>
    </w:p>
    <w:p>
      <w:pPr>
        <w:spacing w:line="520" w:lineRule="exact"/>
        <w:ind w:firstLine="480" w:firstLineChars="200"/>
        <w:rPr>
          <w:sz w:val="24"/>
          <w:szCs w:val="24"/>
        </w:rPr>
      </w:pPr>
      <w:r>
        <w:rPr>
          <w:rFonts w:hint="eastAsia"/>
          <w:sz w:val="24"/>
          <w:szCs w:val="24"/>
        </w:rPr>
        <w:t>公共管理与公共服务用地</w:t>
      </w:r>
      <w:r>
        <w:rPr>
          <w:sz w:val="24"/>
          <w:szCs w:val="24"/>
        </w:rPr>
        <w:t>属于城市土地的一部分，不能脱离城市经济发展水平等因素，盲目地凭借主观感觉对其估价。在城市这一大氛围下，参照当地的土地市场交易价格及基准地价水平，客观、真实的反映自身价值，同样也反映当地土地规划利用的实际情况。</w:t>
      </w:r>
      <w:r>
        <w:rPr>
          <w:rFonts w:hint="eastAsia"/>
          <w:sz w:val="24"/>
          <w:szCs w:val="24"/>
        </w:rPr>
        <w:t>公共管理与公共服务用地</w:t>
      </w:r>
      <w:r>
        <w:rPr>
          <w:sz w:val="24"/>
          <w:szCs w:val="24"/>
        </w:rPr>
        <w:t>虽然以划拨供地为主，没有形成完整的交易市场，但这并不意味可以脱离土地市场的影响。反而要注重土地市场对其的影响，在应全面地了解市场土地供需情况及其他影响因素的基础上，通过模拟市场交易价格以客观真实地反映自身价值。</w:t>
      </w:r>
    </w:p>
    <w:p>
      <w:pPr>
        <w:tabs>
          <w:tab w:val="right" w:pos="9298"/>
        </w:tabs>
        <w:spacing w:line="440" w:lineRule="exact"/>
        <w:ind w:firstLine="482" w:firstLineChars="200"/>
        <w:rPr>
          <w:b/>
          <w:sz w:val="24"/>
          <w:szCs w:val="22"/>
        </w:rPr>
      </w:pPr>
      <w:r>
        <w:rPr>
          <w:b/>
          <w:sz w:val="24"/>
          <w:szCs w:val="22"/>
        </w:rPr>
        <w:t>（3）区分市场定价与政策优惠的原则</w:t>
      </w:r>
    </w:p>
    <w:p>
      <w:pPr>
        <w:spacing w:line="520" w:lineRule="exact"/>
        <w:ind w:firstLine="480" w:firstLineChars="200"/>
        <w:rPr>
          <w:sz w:val="24"/>
          <w:szCs w:val="24"/>
        </w:rPr>
      </w:pPr>
      <w:r>
        <w:rPr>
          <w:sz w:val="24"/>
          <w:szCs w:val="24"/>
        </w:rPr>
        <w:t>政府对城市功能分区布局，应结合科研、教育、文化、卫生和体育等公共用地的分布特点、实际需求选择以及优惠政策，主要参照城市居民的集聚度以及交通便利、消费者自身需要等因素，同时考虑不同用途的区分市场价格，认真分析</w:t>
      </w:r>
      <w:r>
        <w:rPr>
          <w:rFonts w:hint="eastAsia"/>
          <w:sz w:val="24"/>
          <w:szCs w:val="24"/>
        </w:rPr>
        <w:t>公共管理与公共服务用地</w:t>
      </w:r>
      <w:r>
        <w:rPr>
          <w:sz w:val="24"/>
          <w:szCs w:val="24"/>
        </w:rPr>
        <w:t>与周围环境是否匹配和协调，来综合确定</w:t>
      </w:r>
      <w:r>
        <w:rPr>
          <w:rFonts w:hint="eastAsia"/>
          <w:sz w:val="24"/>
          <w:szCs w:val="24"/>
        </w:rPr>
        <w:t>公共管理与公共服务用地</w:t>
      </w:r>
      <w:r>
        <w:rPr>
          <w:sz w:val="24"/>
          <w:szCs w:val="24"/>
        </w:rPr>
        <w:t>的价格。</w:t>
      </w:r>
    </w:p>
    <w:p>
      <w:pPr>
        <w:tabs>
          <w:tab w:val="right" w:pos="9298"/>
        </w:tabs>
        <w:spacing w:line="440" w:lineRule="exact"/>
        <w:ind w:firstLine="482" w:firstLineChars="200"/>
        <w:rPr>
          <w:b/>
          <w:sz w:val="24"/>
          <w:szCs w:val="22"/>
        </w:rPr>
      </w:pPr>
      <w:r>
        <w:rPr>
          <w:b/>
          <w:sz w:val="24"/>
          <w:szCs w:val="22"/>
        </w:rPr>
        <w:t>（4）动态评估原则</w:t>
      </w:r>
    </w:p>
    <w:p>
      <w:pPr>
        <w:spacing w:line="520" w:lineRule="exact"/>
        <w:ind w:firstLine="480" w:firstLineChars="200"/>
        <w:rPr>
          <w:sz w:val="24"/>
          <w:szCs w:val="24"/>
        </w:rPr>
      </w:pPr>
      <w:r>
        <w:rPr>
          <w:sz w:val="24"/>
          <w:szCs w:val="24"/>
        </w:rPr>
        <w:t>城市处于一个不断发展变化的运动中，那么城市规划也是一个动态发展的过程。作为城市规划的重要内容—土地，其价格在土地市场中也表现为一个动态变化的过程。土地所处的时点不同，市场的需求状况也不同。随着城市规模逐渐扩大，城市管理与服务功能的不断完善，公共用地的自身价值不是一成不变的。对公共用地的估价只是停留在某一时点上该用地的价值，并不代表过去、将来的价值，它只反映当时的土地价值。</w:t>
      </w:r>
    </w:p>
    <w:p>
      <w:pPr>
        <w:spacing w:line="440" w:lineRule="exact"/>
        <w:ind w:firstLine="482" w:firstLineChars="200"/>
        <w:jc w:val="left"/>
        <w:rPr>
          <w:b/>
          <w:sz w:val="24"/>
          <w:szCs w:val="22"/>
        </w:rPr>
      </w:pPr>
      <w:bookmarkStart w:id="674" w:name="_Toc491181109"/>
      <w:r>
        <w:rPr>
          <w:b/>
          <w:sz w:val="24"/>
          <w:szCs w:val="22"/>
        </w:rPr>
        <w:t>3、</w:t>
      </w:r>
      <w:r>
        <w:rPr>
          <w:rFonts w:hint="eastAsia"/>
          <w:b/>
          <w:sz w:val="24"/>
          <w:szCs w:val="22"/>
        </w:rPr>
        <w:t>公共管理与公共服务用地</w:t>
      </w:r>
      <w:r>
        <w:rPr>
          <w:b/>
          <w:sz w:val="24"/>
          <w:szCs w:val="22"/>
        </w:rPr>
        <w:t>基准地价估价方法</w:t>
      </w:r>
      <w:bookmarkEnd w:id="674"/>
    </w:p>
    <w:p>
      <w:pPr>
        <w:tabs>
          <w:tab w:val="right" w:pos="9298"/>
        </w:tabs>
        <w:spacing w:line="440" w:lineRule="exact"/>
        <w:ind w:firstLine="482" w:firstLineChars="200"/>
        <w:rPr>
          <w:b/>
          <w:sz w:val="24"/>
          <w:szCs w:val="22"/>
        </w:rPr>
      </w:pPr>
      <w:r>
        <w:rPr>
          <w:b/>
          <w:sz w:val="24"/>
          <w:szCs w:val="22"/>
        </w:rPr>
        <w:t>（1）市场比较法</w:t>
      </w:r>
    </w:p>
    <w:p>
      <w:pPr>
        <w:spacing w:line="520" w:lineRule="exact"/>
        <w:ind w:firstLine="480" w:firstLineChars="200"/>
        <w:rPr>
          <w:sz w:val="24"/>
          <w:szCs w:val="24"/>
        </w:rPr>
      </w:pPr>
      <w:r>
        <w:rPr>
          <w:sz w:val="24"/>
          <w:szCs w:val="24"/>
        </w:rPr>
        <w:t>1）市场比较法的概念及基本原理</w:t>
      </w:r>
    </w:p>
    <w:p>
      <w:pPr>
        <w:spacing w:line="520" w:lineRule="exact"/>
        <w:ind w:firstLine="480" w:firstLineChars="200"/>
        <w:rPr>
          <w:sz w:val="24"/>
          <w:szCs w:val="24"/>
        </w:rPr>
      </w:pPr>
      <w:r>
        <w:rPr>
          <w:sz w:val="24"/>
          <w:szCs w:val="24"/>
        </w:rPr>
        <w:t>市场比较法简称比较法，指在求取一宗待估土地的价格时，根据替代原则，将待估土地与在较近期内已经发生交易的类似土地交易实例进行对照比较，并依据后者己知的价格，参照该土地的交易情况、期日、区域以及个别因素等差别，修正得出待估土地评估时日的地价方法。</w:t>
      </w:r>
    </w:p>
    <w:p>
      <w:pPr>
        <w:spacing w:line="520" w:lineRule="exact"/>
        <w:ind w:firstLine="480" w:firstLineChars="200"/>
        <w:rPr>
          <w:sz w:val="24"/>
          <w:szCs w:val="24"/>
        </w:rPr>
      </w:pPr>
      <w:r>
        <w:rPr>
          <w:sz w:val="24"/>
          <w:szCs w:val="24"/>
        </w:rPr>
        <w:t>市场比较法主要适用于消费用地和生产用地，但是它也存在明显的缺陷，诸如方法过于迁就事实，并非随时随地均可收集土地交易资料，尚未充分考虑土地的个体性和市场价格的动态性，这些均影响市场比较法的实用性。</w:t>
      </w:r>
    </w:p>
    <w:p>
      <w:pPr>
        <w:spacing w:line="520" w:lineRule="exact"/>
        <w:ind w:firstLine="480" w:firstLineChars="200"/>
        <w:rPr>
          <w:sz w:val="24"/>
          <w:szCs w:val="24"/>
        </w:rPr>
      </w:pPr>
      <w:r>
        <w:rPr>
          <w:sz w:val="24"/>
          <w:szCs w:val="24"/>
        </w:rPr>
        <w:t>2）市场比较法可以分为直接比较法分析和间接比较分析两种形式。</w:t>
      </w:r>
    </w:p>
    <w:p>
      <w:pPr>
        <w:spacing w:line="520" w:lineRule="exact"/>
        <w:ind w:firstLine="480" w:firstLineChars="200"/>
        <w:rPr>
          <w:sz w:val="24"/>
          <w:szCs w:val="24"/>
        </w:rPr>
      </w:pPr>
      <w:r>
        <w:rPr>
          <w:sz w:val="24"/>
          <w:szCs w:val="24"/>
        </w:rPr>
        <w:t>直接比较法是以待估土地的状况为基准，把各交易实例与其逐项比较，然后将比较的结果转化为修正价格。间接比较法是以一个标准宗地或条件俱佳的土地为基准，把交易实例和待估土地均与其逐项比较，然后将结果转化为修正价格。</w:t>
      </w:r>
    </w:p>
    <w:p>
      <w:pPr>
        <w:spacing w:line="520" w:lineRule="exact"/>
        <w:ind w:firstLine="480" w:firstLineChars="200"/>
        <w:rPr>
          <w:sz w:val="24"/>
          <w:szCs w:val="24"/>
        </w:rPr>
      </w:pPr>
      <w:r>
        <w:rPr>
          <w:sz w:val="24"/>
          <w:szCs w:val="24"/>
        </w:rPr>
        <w:t>直接比较法待估宗地的价格=比较实例价格×交易情况修正×交易期日修正×容积率修正×区域因素修正×个别因素修正×年期修正</w:t>
      </w:r>
    </w:p>
    <w:p>
      <w:pPr>
        <w:spacing w:line="520" w:lineRule="exact"/>
        <w:ind w:firstLine="480" w:firstLineChars="200"/>
        <w:rPr>
          <w:sz w:val="24"/>
          <w:szCs w:val="24"/>
        </w:rPr>
      </w:pPr>
      <w:r>
        <w:rPr>
          <w:sz w:val="24"/>
          <w:szCs w:val="24"/>
        </w:rPr>
        <w:t>间接比较法待估宗地的价格=比较实地价格×交易情况修正×交易期日修正×标准化修正×区域因素修正×个别因素修正×容积率修正×年期修正</w:t>
      </w:r>
    </w:p>
    <w:p>
      <w:pPr>
        <w:tabs>
          <w:tab w:val="right" w:pos="9298"/>
        </w:tabs>
        <w:spacing w:line="440" w:lineRule="exact"/>
        <w:ind w:firstLine="482" w:firstLineChars="200"/>
        <w:rPr>
          <w:b/>
          <w:sz w:val="24"/>
          <w:szCs w:val="22"/>
        </w:rPr>
      </w:pPr>
      <w:r>
        <w:rPr>
          <w:b/>
          <w:sz w:val="24"/>
          <w:szCs w:val="22"/>
        </w:rPr>
        <w:t>（2）成本逼近法</w:t>
      </w:r>
    </w:p>
    <w:p>
      <w:pPr>
        <w:spacing w:line="520" w:lineRule="exact"/>
        <w:ind w:firstLine="480" w:firstLineChars="200"/>
        <w:rPr>
          <w:sz w:val="24"/>
          <w:szCs w:val="24"/>
        </w:rPr>
      </w:pPr>
      <w:r>
        <w:rPr>
          <w:sz w:val="24"/>
          <w:szCs w:val="24"/>
        </w:rPr>
        <w:t>1）成本逼近法的含义与基本原理</w:t>
      </w:r>
    </w:p>
    <w:p>
      <w:pPr>
        <w:spacing w:line="520" w:lineRule="exact"/>
        <w:ind w:firstLine="480" w:firstLineChars="200"/>
        <w:rPr>
          <w:sz w:val="24"/>
          <w:szCs w:val="24"/>
        </w:rPr>
      </w:pPr>
      <w:r>
        <w:rPr>
          <w:sz w:val="24"/>
          <w:szCs w:val="24"/>
        </w:rPr>
        <w:t>成本逼近法，是以开发土地所耗费的各项费用之和为主要依据，再加上一定的利润、应纳税金和土地所有权权益来确定土地价格的估价方法。严格地讲，成本不是地价，还缺少土地使用者为获得土地使用权应缴纳的地租。但是成本是价格的基础，依据成本制定土地价格还是具有一定意义。</w:t>
      </w:r>
    </w:p>
    <w:p>
      <w:pPr>
        <w:spacing w:line="520" w:lineRule="exact"/>
        <w:ind w:firstLine="480" w:firstLineChars="200"/>
        <w:rPr>
          <w:sz w:val="24"/>
          <w:szCs w:val="24"/>
        </w:rPr>
      </w:pPr>
      <w:r>
        <w:rPr>
          <w:sz w:val="24"/>
          <w:szCs w:val="24"/>
        </w:rPr>
        <w:t>2）成本逼近法的基本公式：</w:t>
      </w:r>
    </w:p>
    <w:p>
      <w:pPr>
        <w:spacing w:line="520" w:lineRule="exact"/>
        <w:ind w:firstLine="480" w:firstLineChars="200"/>
        <w:rPr>
          <w:sz w:val="24"/>
          <w:szCs w:val="24"/>
        </w:rPr>
      </w:pPr>
      <w:r>
        <w:rPr>
          <w:sz w:val="24"/>
          <w:szCs w:val="24"/>
        </w:rPr>
        <w:t>V=Ea+Ed+T+R1+R2+R3</w:t>
      </w:r>
    </w:p>
    <w:p>
      <w:pPr>
        <w:spacing w:line="520" w:lineRule="exact"/>
        <w:ind w:firstLine="480" w:firstLineChars="200"/>
        <w:rPr>
          <w:sz w:val="24"/>
          <w:szCs w:val="24"/>
        </w:rPr>
      </w:pPr>
      <w:r>
        <w:rPr>
          <w:sz w:val="24"/>
          <w:szCs w:val="24"/>
        </w:rPr>
        <w:t>式中：V——土地价格；</w:t>
      </w:r>
    </w:p>
    <w:p>
      <w:pPr>
        <w:spacing w:line="520" w:lineRule="exact"/>
        <w:ind w:firstLine="480" w:firstLineChars="200"/>
        <w:rPr>
          <w:sz w:val="24"/>
          <w:szCs w:val="24"/>
        </w:rPr>
      </w:pPr>
      <w:r>
        <w:rPr>
          <w:sz w:val="24"/>
          <w:szCs w:val="24"/>
        </w:rPr>
        <w:t>Ea——土地取得费；</w:t>
      </w:r>
    </w:p>
    <w:p>
      <w:pPr>
        <w:spacing w:line="520" w:lineRule="exact"/>
        <w:ind w:firstLine="480" w:firstLineChars="200"/>
        <w:rPr>
          <w:sz w:val="24"/>
          <w:szCs w:val="24"/>
        </w:rPr>
      </w:pPr>
      <w:r>
        <w:rPr>
          <w:sz w:val="24"/>
          <w:szCs w:val="24"/>
        </w:rPr>
        <w:t>Ed——土地开发费；</w:t>
      </w:r>
    </w:p>
    <w:p>
      <w:pPr>
        <w:spacing w:line="520" w:lineRule="exact"/>
        <w:ind w:firstLine="480" w:firstLineChars="200"/>
        <w:rPr>
          <w:sz w:val="24"/>
          <w:szCs w:val="24"/>
        </w:rPr>
      </w:pPr>
      <w:r>
        <w:rPr>
          <w:sz w:val="24"/>
          <w:szCs w:val="24"/>
        </w:rPr>
        <w:t>T——税费；</w:t>
      </w:r>
    </w:p>
    <w:p>
      <w:pPr>
        <w:spacing w:line="520" w:lineRule="exact"/>
        <w:ind w:firstLine="480" w:firstLineChars="200"/>
        <w:rPr>
          <w:sz w:val="24"/>
          <w:szCs w:val="24"/>
        </w:rPr>
      </w:pPr>
      <w:r>
        <w:rPr>
          <w:sz w:val="24"/>
          <w:szCs w:val="24"/>
        </w:rPr>
        <w:t>R1——利息；</w:t>
      </w:r>
    </w:p>
    <w:p>
      <w:pPr>
        <w:spacing w:line="520" w:lineRule="exact"/>
        <w:ind w:firstLine="480" w:firstLineChars="200"/>
        <w:rPr>
          <w:sz w:val="24"/>
          <w:szCs w:val="24"/>
        </w:rPr>
      </w:pPr>
      <w:r>
        <w:rPr>
          <w:sz w:val="24"/>
          <w:szCs w:val="24"/>
        </w:rPr>
        <w:t>R2——利润；</w:t>
      </w:r>
    </w:p>
    <w:p>
      <w:pPr>
        <w:spacing w:line="520" w:lineRule="exact"/>
        <w:ind w:firstLine="480" w:firstLineChars="200"/>
        <w:rPr>
          <w:sz w:val="24"/>
          <w:szCs w:val="24"/>
        </w:rPr>
      </w:pPr>
      <w:r>
        <w:rPr>
          <w:sz w:val="24"/>
          <w:szCs w:val="24"/>
        </w:rPr>
        <w:t>R3——土地增值收益。</w:t>
      </w:r>
    </w:p>
    <w:p>
      <w:pPr>
        <w:tabs>
          <w:tab w:val="right" w:pos="9298"/>
        </w:tabs>
        <w:spacing w:line="440" w:lineRule="exact"/>
        <w:ind w:firstLine="482" w:firstLineChars="200"/>
        <w:rPr>
          <w:b/>
          <w:sz w:val="24"/>
          <w:szCs w:val="22"/>
        </w:rPr>
      </w:pPr>
      <w:r>
        <w:rPr>
          <w:b/>
          <w:sz w:val="24"/>
          <w:szCs w:val="22"/>
        </w:rPr>
        <w:t>（3）模型拟合法</w:t>
      </w:r>
    </w:p>
    <w:p>
      <w:pPr>
        <w:spacing w:line="520" w:lineRule="exact"/>
        <w:ind w:firstLine="480" w:firstLineChars="200"/>
        <w:rPr>
          <w:sz w:val="24"/>
          <w:szCs w:val="24"/>
        </w:rPr>
      </w:pPr>
      <w:r>
        <w:rPr>
          <w:rFonts w:hint="eastAsia"/>
          <w:sz w:val="24"/>
          <w:szCs w:val="24"/>
        </w:rPr>
        <w:t>公共管理与公共服务用地</w:t>
      </w:r>
      <w:r>
        <w:rPr>
          <w:sz w:val="24"/>
          <w:szCs w:val="24"/>
        </w:rPr>
        <w:t>的价格与广大城市居民的切身利益和社会稳定紧密相关。同时，价格水平的高低也受国家政策、城市经济、周边环境等多种因素的影响，较为复杂不易把握。对其价格的影响因素进行一系列分析和整理，选用合适的经济数学模型展开对影响其波动的定量定性因素研究，可以全面而深入地认识这些因素及其作用特点，得到其最终价格，为目前及未来</w:t>
      </w:r>
      <w:r>
        <w:rPr>
          <w:rFonts w:hint="eastAsia"/>
          <w:sz w:val="24"/>
          <w:szCs w:val="24"/>
        </w:rPr>
        <w:t>公共管理与公共服务用地</w:t>
      </w:r>
      <w:r>
        <w:rPr>
          <w:sz w:val="24"/>
          <w:szCs w:val="24"/>
        </w:rPr>
        <w:t>的规划布局、合理利用提供参考，具有较强的理论意义与实际价值。</w:t>
      </w:r>
      <w:r>
        <w:rPr>
          <w:rFonts w:hint="eastAsia"/>
          <w:sz w:val="24"/>
          <w:szCs w:val="24"/>
        </w:rPr>
        <w:t>公共管理与公共服务用地</w:t>
      </w:r>
      <w:r>
        <w:rPr>
          <w:sz w:val="24"/>
          <w:szCs w:val="24"/>
        </w:rPr>
        <w:t>根据是否有市场交易行为且能产生收益来进行判断，可分为营利性与非营利性两种。采用传统的估价方法分别与回归分析法、模糊数学法两种数学模型结合，对营利性与非营利性公共用地进行估价。</w:t>
      </w:r>
    </w:p>
    <w:p>
      <w:pPr>
        <w:spacing w:line="520" w:lineRule="exact"/>
        <w:ind w:firstLine="480" w:firstLineChars="200"/>
        <w:rPr>
          <w:sz w:val="24"/>
          <w:szCs w:val="24"/>
        </w:rPr>
      </w:pPr>
      <w:r>
        <w:rPr>
          <w:sz w:val="24"/>
          <w:szCs w:val="24"/>
        </w:rPr>
        <w:t>1）基于多元回归的估价模式</w:t>
      </w:r>
    </w:p>
    <w:p>
      <w:pPr>
        <w:spacing w:line="520" w:lineRule="exact"/>
        <w:ind w:firstLine="480" w:firstLineChars="200"/>
        <w:rPr>
          <w:sz w:val="24"/>
          <w:szCs w:val="24"/>
        </w:rPr>
      </w:pPr>
      <w:r>
        <w:rPr>
          <w:sz w:val="24"/>
          <w:szCs w:val="24"/>
        </w:rPr>
        <w:t>回归分析法，是在掌握大量观察数据的基础上，利用数理统计方法建立因变量与自变量之间的回归关系函数表达式（称回归方程式）。多元线性回归分析，用于研究一个自变量与两个或两个以上因变量之间的一般数量关系。在实际问题中，与 Y 有关的因素往往很多，如果将它们都取作自变量必然会导致所得到的回归方程很庞大。实际上有些自变量对 Y 的影响很小，如果将这些自变量剔除，不但能使回归方程较为简洁，且能明确哪些因素的改变对 Y 有显著的影响，可用逐步回归法达到这一目的。通过分析</w:t>
      </w:r>
      <w:r>
        <w:rPr>
          <w:rFonts w:hint="eastAsia"/>
          <w:sz w:val="24"/>
          <w:szCs w:val="24"/>
        </w:rPr>
        <w:t>公共管理与公共服务用地</w:t>
      </w:r>
      <w:r>
        <w:rPr>
          <w:sz w:val="24"/>
          <w:szCs w:val="24"/>
        </w:rPr>
        <w:t>价格的影响因素，可以得知价格和影响因素之间存在相关关系，这样就可以建立起多元回归方程公式：</w:t>
      </w:r>
    </w:p>
    <w:p>
      <w:pPr>
        <w:spacing w:line="520" w:lineRule="exact"/>
        <w:ind w:firstLine="480" w:firstLineChars="200"/>
        <w:rPr>
          <w:sz w:val="24"/>
          <w:szCs w:val="24"/>
        </w:rPr>
      </w:pPr>
      <w:r>
        <w:rPr>
          <w:sz w:val="24"/>
          <w:szCs w:val="24"/>
        </w:rPr>
        <w:t>P=a+b1x1+b2x2+…+bnxn</w:t>
      </w:r>
    </w:p>
    <w:p>
      <w:pPr>
        <w:spacing w:line="520" w:lineRule="exact"/>
        <w:ind w:firstLine="480" w:firstLineChars="200"/>
        <w:rPr>
          <w:sz w:val="24"/>
          <w:szCs w:val="24"/>
        </w:rPr>
      </w:pPr>
      <w:r>
        <w:rPr>
          <w:sz w:val="24"/>
          <w:szCs w:val="24"/>
        </w:rPr>
        <w:t>式中，P 为</w:t>
      </w:r>
      <w:r>
        <w:rPr>
          <w:rFonts w:hint="eastAsia"/>
          <w:sz w:val="24"/>
          <w:szCs w:val="24"/>
        </w:rPr>
        <w:t>公共管理与公共服务用地</w:t>
      </w:r>
      <w:r>
        <w:rPr>
          <w:sz w:val="24"/>
          <w:szCs w:val="24"/>
        </w:rPr>
        <w:t>价格；x1, x2, …xn为影响</w:t>
      </w:r>
      <w:r>
        <w:rPr>
          <w:rFonts w:hint="eastAsia"/>
          <w:sz w:val="24"/>
          <w:szCs w:val="24"/>
        </w:rPr>
        <w:t>公共管理与公共服务用地</w:t>
      </w:r>
      <w:r>
        <w:rPr>
          <w:sz w:val="24"/>
          <w:szCs w:val="24"/>
        </w:rPr>
        <w:t>价格的因素；a, b1, b2,…,bn为回归系数。</w:t>
      </w:r>
    </w:p>
    <w:p>
      <w:pPr>
        <w:spacing w:line="520" w:lineRule="exact"/>
        <w:ind w:firstLine="480" w:firstLineChars="200"/>
        <w:rPr>
          <w:sz w:val="24"/>
          <w:szCs w:val="24"/>
        </w:rPr>
      </w:pPr>
      <w:r>
        <w:rPr>
          <w:sz w:val="24"/>
          <w:szCs w:val="24"/>
        </w:rPr>
        <w:t>采用成本逼近法对</w:t>
      </w:r>
      <w:r>
        <w:rPr>
          <w:rFonts w:hint="eastAsia"/>
          <w:sz w:val="24"/>
          <w:szCs w:val="24"/>
        </w:rPr>
        <w:t>公共管理与公共服务用地</w:t>
      </w:r>
      <w:r>
        <w:rPr>
          <w:sz w:val="24"/>
          <w:szCs w:val="24"/>
        </w:rPr>
        <w:t>中的非营利性土地计算土地开发成本，运用多元回归模型对影响因素进行修正，得出它们对土地价格影响度数字化的表现形式，最终取得土地客观实际的价格。计算步骤大致可以分三步：可先利用成本逼近法得出土地的开发成本价格；具体分析估价土地状况，研究影响其价格因素如用途、周围环境、市场发育、居民收入、自身特色等，确定影响因素都有哪些；运用多元化回归模型，将属性数据（即影响因素），代入多元回归方程进行回归，估计方程系数 a, b1, b2,…,bn，其中属性值可以是实际值(例如面积)，也可以是实际值的对数值。求取到系数之后，就可将待估土地的开发成本价格代入，我们就可以得到待估土地的价格估计值。影响土地价格的因素包括面积、权利状况、区位、环境、人们消费心理等，可通过收集估价土地周围可比土地的这些数据，实时性能够在很大程度上提高评估的准确性。运用回归模型对土地价格影响因素显著性具有较好的检验结果，通过不动产价格与价格影响因素之间的回归模型对地价影响因素相关性进行验证，保留具有显著水平的因素，剔除不显著的地价影响因素，相对于传统估价模式通过估价师主观确定影响因素更具有科学性。</w:t>
      </w:r>
    </w:p>
    <w:p>
      <w:pPr>
        <w:spacing w:line="520" w:lineRule="exact"/>
        <w:ind w:firstLine="480" w:firstLineChars="200"/>
        <w:rPr>
          <w:sz w:val="24"/>
          <w:szCs w:val="24"/>
        </w:rPr>
      </w:pPr>
      <w:r>
        <w:rPr>
          <w:sz w:val="24"/>
          <w:szCs w:val="24"/>
        </w:rPr>
        <w:t>2）基于模糊数学的估价模式</w:t>
      </w:r>
    </w:p>
    <w:p>
      <w:pPr>
        <w:spacing w:line="520" w:lineRule="exact"/>
        <w:ind w:firstLine="480" w:firstLineChars="200"/>
        <w:rPr>
          <w:sz w:val="24"/>
          <w:szCs w:val="24"/>
        </w:rPr>
      </w:pPr>
      <w:r>
        <w:rPr>
          <w:sz w:val="24"/>
          <w:szCs w:val="24"/>
        </w:rPr>
        <w:t>运用模糊数学方法，一般都需要很多市场交易案例来比较，强调市场化对土地的影响程度。虽然</w:t>
      </w:r>
      <w:r>
        <w:rPr>
          <w:rFonts w:hint="eastAsia"/>
          <w:sz w:val="24"/>
          <w:szCs w:val="24"/>
        </w:rPr>
        <w:t>公共管理与公共服务用地</w:t>
      </w:r>
      <w:r>
        <w:rPr>
          <w:sz w:val="24"/>
          <w:szCs w:val="24"/>
        </w:rPr>
        <w:t>侧重于公共利益性，但不说明</w:t>
      </w:r>
      <w:r>
        <w:rPr>
          <w:rFonts w:hint="eastAsia"/>
          <w:sz w:val="24"/>
          <w:szCs w:val="24"/>
        </w:rPr>
        <w:t>公共管理与公共服务用地</w:t>
      </w:r>
      <w:r>
        <w:rPr>
          <w:sz w:val="24"/>
          <w:szCs w:val="24"/>
        </w:rPr>
        <w:t>与市场完全脱离，其中属于营利性的公共用地在使用、管理上也是借鉴了市场化运作的模式，存在一定的经济收益，故适用于该方法。</w:t>
      </w:r>
    </w:p>
    <w:p>
      <w:pPr>
        <w:spacing w:line="520" w:lineRule="exact"/>
        <w:ind w:firstLine="480" w:firstLineChars="200"/>
        <w:rPr>
          <w:sz w:val="24"/>
          <w:szCs w:val="24"/>
        </w:rPr>
      </w:pPr>
      <w:r>
        <w:rPr>
          <w:sz w:val="24"/>
          <w:szCs w:val="24"/>
        </w:rPr>
        <w:t>运用市场比较法进行土地价格评估时，从土地价格形成原因来看，土地价格容易受社会、经济、自然环境、道路交通、建筑物等诸多因素影响，尤其是公共服务用地更容易受国家行政政策干预因素影响。由于这些影响因素极其复杂且不清晰，难以定性量化，只要把握主要因素，模糊性地剔除一些因素所进行的价格评估，进行大致推算或估计。在进行区域因素修正和个别因素修正时，采用模糊数学中模糊评判的方法进行评估。</w:t>
      </w:r>
    </w:p>
    <w:p>
      <w:pPr>
        <w:spacing w:line="520" w:lineRule="exact"/>
        <w:ind w:firstLine="480" w:firstLineChars="200"/>
        <w:rPr>
          <w:sz w:val="24"/>
          <w:szCs w:val="24"/>
        </w:rPr>
      </w:pPr>
      <w:r>
        <w:rPr>
          <w:sz w:val="24"/>
          <w:szCs w:val="24"/>
        </w:rPr>
        <w:t>根据模糊数学的有关理论，首先将有模糊关系的评价合成为具有模糊性的多指标综合评价。</w:t>
      </w:r>
    </w:p>
    <w:p>
      <w:pPr>
        <w:spacing w:line="520" w:lineRule="exact"/>
        <w:ind w:firstLine="480" w:firstLineChars="200"/>
        <w:rPr>
          <w:sz w:val="24"/>
          <w:szCs w:val="24"/>
        </w:rPr>
      </w:pPr>
      <w:r>
        <w:rPr>
          <w:sz w:val="24"/>
          <w:szCs w:val="24"/>
        </w:rPr>
        <w:t>设 U 为由评定项目的评价指标所组成的集合即论域，</w:t>
      </w:r>
    </w:p>
    <w:p>
      <w:pPr>
        <w:spacing w:line="520" w:lineRule="exact"/>
        <w:ind w:firstLine="480" w:firstLineChars="200"/>
        <w:rPr>
          <w:sz w:val="24"/>
          <w:szCs w:val="24"/>
        </w:rPr>
      </w:pPr>
      <w:r>
        <w:rPr>
          <w:sz w:val="24"/>
          <w:szCs w:val="24"/>
        </w:rPr>
        <w:t>U={u1,u2,u3,……,un}即：｛自然条件、社会条件、街道条件、离市中心的距离与交通设施、供给处理设施状态、商店街的配置状态、危险设施与污染设施的有无、宗地面积等及利用状态、景观的良否等｝</w:t>
      </w:r>
    </w:p>
    <w:p>
      <w:pPr>
        <w:spacing w:line="520" w:lineRule="exact"/>
        <w:ind w:firstLine="480" w:firstLineChars="200"/>
        <w:rPr>
          <w:sz w:val="24"/>
          <w:szCs w:val="24"/>
        </w:rPr>
      </w:pPr>
      <w:r>
        <w:rPr>
          <w:sz w:val="24"/>
          <w:szCs w:val="24"/>
        </w:rPr>
        <w:t>V 为评定项目的评定等级的集合即评语集。V={V1,V2,V3,……,Vm}即：｛1，2，3，4，5，6，7，8，9｝</w:t>
      </w:r>
    </w:p>
    <w:p>
      <w:pPr>
        <w:spacing w:line="520" w:lineRule="exact"/>
        <w:ind w:firstLine="480" w:firstLineChars="200"/>
        <w:rPr>
          <w:sz w:val="24"/>
          <w:szCs w:val="24"/>
        </w:rPr>
      </w:pPr>
      <w:r>
        <w:rPr>
          <w:sz w:val="24"/>
          <w:szCs w:val="24"/>
        </w:rPr>
        <w:t>模糊关系的合成 Q=SR，即为综合评价的数学模型。这里 R 是直积 U×V 的一个模糊关系，由一个 n×m 阶的模糊矩阵表示；S是集合U上的模糊集，由各评价指标的权重表示；Q 是综合评价结果，再利用分值法即可得到评定项目模糊评判的综合得分。通过模糊评判的方法可以得出各项交易实例的综合得分，再把各项比较实例与待估物业的得分相比，选择适当的算法（如加权平均法和主因素突出法）就可得出区域因素和个别因素修正的值，这样，运用模糊数学的模糊评判方法就实现了定性问题向定量问题的转化。</w:t>
      </w:r>
    </w:p>
    <w:p>
      <w:pPr>
        <w:spacing w:line="440" w:lineRule="exact"/>
        <w:ind w:firstLine="482" w:firstLineChars="200"/>
        <w:jc w:val="left"/>
        <w:rPr>
          <w:b/>
          <w:sz w:val="24"/>
          <w:szCs w:val="22"/>
        </w:rPr>
      </w:pPr>
      <w:r>
        <w:rPr>
          <w:b/>
          <w:sz w:val="24"/>
          <w:szCs w:val="22"/>
        </w:rPr>
        <w:t>4、</w:t>
      </w:r>
      <w:r>
        <w:rPr>
          <w:rFonts w:hint="eastAsia"/>
          <w:b/>
          <w:sz w:val="24"/>
          <w:szCs w:val="22"/>
        </w:rPr>
        <w:t>公共管理与公共服务用地</w:t>
      </w:r>
      <w:r>
        <w:rPr>
          <w:b/>
          <w:sz w:val="24"/>
          <w:szCs w:val="22"/>
        </w:rPr>
        <w:t>基准地价内涵</w:t>
      </w:r>
    </w:p>
    <w:p>
      <w:pPr>
        <w:spacing w:line="520" w:lineRule="exact"/>
        <w:ind w:firstLine="480" w:firstLineChars="200"/>
        <w:rPr>
          <w:sz w:val="24"/>
          <w:szCs w:val="24"/>
        </w:rPr>
      </w:pPr>
      <w:r>
        <w:rPr>
          <w:sz w:val="24"/>
          <w:szCs w:val="24"/>
        </w:rPr>
        <w:t>（1）基准地价内涵设定</w:t>
      </w:r>
    </w:p>
    <w:p>
      <w:pPr>
        <w:spacing w:line="520" w:lineRule="exact"/>
        <w:ind w:firstLine="480" w:firstLineChars="200"/>
        <w:rPr>
          <w:sz w:val="24"/>
          <w:szCs w:val="24"/>
        </w:rPr>
      </w:pPr>
      <w:r>
        <w:rPr>
          <w:sz w:val="24"/>
          <w:szCs w:val="24"/>
        </w:rPr>
        <w:t>本次</w:t>
      </w:r>
      <w:r>
        <w:rPr>
          <w:rFonts w:hint="eastAsia"/>
          <w:sz w:val="24"/>
          <w:szCs w:val="24"/>
        </w:rPr>
        <w:t>公共管理与公共服务用地</w:t>
      </w:r>
      <w:r>
        <w:rPr>
          <w:sz w:val="24"/>
          <w:szCs w:val="24"/>
        </w:rPr>
        <w:t>基准地价评估是在</w:t>
      </w:r>
      <w:r>
        <w:rPr>
          <w:rFonts w:hint="eastAsia"/>
          <w:sz w:val="24"/>
          <w:szCs w:val="24"/>
          <w:lang w:eastAsia="zh-CN"/>
        </w:rPr>
        <w:t>2018年3月1日</w:t>
      </w:r>
      <w:r>
        <w:rPr>
          <w:sz w:val="24"/>
          <w:szCs w:val="24"/>
        </w:rPr>
        <w:t>各土地级别或均质区域内，在现状平均土地开发程度和平均容积率下，同一用途的完整土地使用权的平均价格。用地的使用年期均为法定最高使用年限。</w:t>
      </w:r>
    </w:p>
    <w:p>
      <w:pPr>
        <w:spacing w:line="520" w:lineRule="exact"/>
        <w:ind w:firstLine="480" w:firstLineChars="200"/>
        <w:rPr>
          <w:sz w:val="24"/>
          <w:szCs w:val="24"/>
        </w:rPr>
      </w:pPr>
      <w:r>
        <w:rPr>
          <w:sz w:val="24"/>
          <w:szCs w:val="24"/>
        </w:rPr>
        <w:t>（2）基准地价内涵设定的具体条件</w:t>
      </w:r>
    </w:p>
    <w:p>
      <w:pPr>
        <w:spacing w:line="520" w:lineRule="exact"/>
        <w:ind w:firstLine="480" w:firstLineChars="200"/>
        <w:rPr>
          <w:sz w:val="24"/>
          <w:szCs w:val="24"/>
        </w:rPr>
      </w:pPr>
      <w:bookmarkStart w:id="675" w:name="_Toc491181113"/>
      <w:r>
        <w:rPr>
          <w:sz w:val="24"/>
          <w:szCs w:val="24"/>
        </w:rPr>
        <w:t>1）基准日</w:t>
      </w:r>
      <w:bookmarkEnd w:id="675"/>
    </w:p>
    <w:p>
      <w:pPr>
        <w:spacing w:line="520" w:lineRule="exact"/>
        <w:ind w:firstLine="480" w:firstLineChars="200"/>
        <w:rPr>
          <w:sz w:val="24"/>
          <w:szCs w:val="24"/>
        </w:rPr>
      </w:pPr>
      <w:r>
        <w:rPr>
          <w:sz w:val="24"/>
          <w:szCs w:val="24"/>
        </w:rPr>
        <w:t>此次</w:t>
      </w:r>
      <w:r>
        <w:rPr>
          <w:rFonts w:hint="eastAsia"/>
          <w:sz w:val="24"/>
          <w:szCs w:val="24"/>
        </w:rPr>
        <w:t>公共管理与公共服务用地</w:t>
      </w:r>
      <w:r>
        <w:rPr>
          <w:sz w:val="24"/>
          <w:szCs w:val="24"/>
        </w:rPr>
        <w:t>基准地价评估基准日为</w:t>
      </w:r>
      <w:r>
        <w:rPr>
          <w:rFonts w:hint="eastAsia"/>
          <w:sz w:val="24"/>
          <w:szCs w:val="24"/>
          <w:lang w:eastAsia="zh-CN"/>
        </w:rPr>
        <w:t>2018年3月1日</w:t>
      </w:r>
      <w:r>
        <w:rPr>
          <w:sz w:val="24"/>
          <w:szCs w:val="24"/>
        </w:rPr>
        <w:t>。</w:t>
      </w:r>
    </w:p>
    <w:p>
      <w:pPr>
        <w:spacing w:line="520" w:lineRule="exact"/>
        <w:ind w:firstLine="480" w:firstLineChars="200"/>
        <w:rPr>
          <w:sz w:val="24"/>
          <w:szCs w:val="24"/>
        </w:rPr>
      </w:pPr>
      <w:bookmarkStart w:id="676" w:name="_Toc491181114"/>
      <w:r>
        <w:rPr>
          <w:sz w:val="24"/>
          <w:szCs w:val="24"/>
        </w:rPr>
        <w:t>2）土地使用年限</w:t>
      </w:r>
      <w:bookmarkEnd w:id="676"/>
    </w:p>
    <w:p>
      <w:pPr>
        <w:spacing w:line="440" w:lineRule="exact"/>
        <w:ind w:firstLine="480" w:firstLineChars="200"/>
        <w:jc w:val="left"/>
        <w:rPr>
          <w:sz w:val="24"/>
        </w:rPr>
      </w:pPr>
      <w:bookmarkStart w:id="677" w:name="_Toc491181115"/>
      <w:r>
        <w:rPr>
          <w:sz w:val="24"/>
        </w:rPr>
        <w:t>基准地价的期限按公共服务项目用地出让土地使用权的法定最高出让年限，即50年。</w:t>
      </w:r>
    </w:p>
    <w:p>
      <w:pPr>
        <w:spacing w:line="520" w:lineRule="exact"/>
        <w:ind w:firstLine="480" w:firstLineChars="200"/>
        <w:rPr>
          <w:sz w:val="24"/>
          <w:szCs w:val="24"/>
        </w:rPr>
      </w:pPr>
      <w:r>
        <w:rPr>
          <w:sz w:val="24"/>
          <w:szCs w:val="24"/>
        </w:rPr>
        <w:t>3）土地开发程度</w:t>
      </w:r>
      <w:bookmarkEnd w:id="677"/>
    </w:p>
    <w:p>
      <w:pPr>
        <w:spacing w:line="440" w:lineRule="exact"/>
        <w:ind w:firstLine="480" w:firstLineChars="200"/>
        <w:jc w:val="left"/>
        <w:rPr>
          <w:sz w:val="24"/>
        </w:rPr>
      </w:pPr>
      <w:bookmarkStart w:id="678" w:name="_Toc491181116"/>
      <w:r>
        <w:rPr>
          <w:sz w:val="24"/>
        </w:rPr>
        <w:t>土地开发程度都设定为“五通一平”标准，即宗地红线“五通” （通路、通电、供水、排水、通讯）及红线内场地平整。</w:t>
      </w:r>
    </w:p>
    <w:p>
      <w:pPr>
        <w:spacing w:line="520" w:lineRule="exact"/>
        <w:ind w:firstLine="480" w:firstLineChars="200"/>
        <w:rPr>
          <w:sz w:val="24"/>
          <w:szCs w:val="24"/>
        </w:rPr>
      </w:pPr>
      <w:r>
        <w:rPr>
          <w:sz w:val="24"/>
          <w:szCs w:val="24"/>
        </w:rPr>
        <w:t>4）</w:t>
      </w:r>
      <w:bookmarkEnd w:id="678"/>
      <w:r>
        <w:rPr>
          <w:sz w:val="24"/>
          <w:szCs w:val="24"/>
        </w:rPr>
        <w:t>容积率</w:t>
      </w:r>
    </w:p>
    <w:p>
      <w:pPr>
        <w:spacing w:line="520" w:lineRule="exact"/>
        <w:ind w:firstLine="480" w:firstLineChars="200"/>
        <w:rPr>
          <w:rFonts w:eastAsia="仿宋"/>
          <w:sz w:val="24"/>
          <w:szCs w:val="24"/>
        </w:rPr>
      </w:pPr>
      <w:r>
        <w:rPr>
          <w:sz w:val="24"/>
        </w:rPr>
        <w:t>根据《城镇土地估价规程》（GB/T 18508-2014）有关规定，结合城市土地利用控制性详细规划中各区片实际控制容积率，综合确定长沙县城区公共管理与公共服务项目一类用地设定容积率为1.8，公共服务项目二类用地设定容积率为1.0。长沙县乡镇公共服务项目一类用地设定容积率为1.6，公共服务项目二类用地设定容积率为1.0。</w:t>
      </w:r>
    </w:p>
    <w:p>
      <w:pPr>
        <w:snapToGrid w:val="0"/>
        <w:spacing w:line="440" w:lineRule="exact"/>
        <w:jc w:val="center"/>
        <w:rPr>
          <w:b/>
          <w:bCs/>
          <w:color w:val="000000"/>
          <w:kern w:val="0"/>
          <w:sz w:val="24"/>
          <w:szCs w:val="22"/>
        </w:rPr>
      </w:pPr>
      <w:r>
        <w:rPr>
          <w:b/>
          <w:bCs/>
          <w:color w:val="000000"/>
          <w:kern w:val="0"/>
          <w:sz w:val="24"/>
          <w:szCs w:val="22"/>
        </w:rPr>
        <w:t>表3-7-2 长沙县县城公共管理与公共服务用项目地基准地价内涵</w:t>
      </w:r>
    </w:p>
    <w:tbl>
      <w:tblPr>
        <w:tblW w:w="91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
        <w:gridCol w:w="1758"/>
        <w:gridCol w:w="1729"/>
        <w:gridCol w:w="915"/>
        <w:gridCol w:w="929"/>
        <w:gridCol w:w="828"/>
        <w:gridCol w:w="999"/>
        <w:gridCol w:w="11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829"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r>
              <w:rPr>
                <w:b/>
                <w:color w:val="000000"/>
                <w:kern w:val="0"/>
                <w:sz w:val="20"/>
              </w:rPr>
              <w:t>级别</w:t>
            </w:r>
          </w:p>
        </w:tc>
        <w:tc>
          <w:tcPr>
            <w:tcW w:w="1758"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r>
              <w:rPr>
                <w:b/>
                <w:color w:val="000000"/>
                <w:kern w:val="0"/>
                <w:sz w:val="20"/>
              </w:rPr>
              <w:t>土地权利</w:t>
            </w:r>
          </w:p>
        </w:tc>
        <w:tc>
          <w:tcPr>
            <w:tcW w:w="1729"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r>
              <w:rPr>
                <w:b/>
                <w:color w:val="000000"/>
                <w:kern w:val="0"/>
                <w:sz w:val="20"/>
              </w:rPr>
              <w:t>开发程度</w:t>
            </w:r>
          </w:p>
        </w:tc>
        <w:tc>
          <w:tcPr>
            <w:tcW w:w="1844" w:type="dxa"/>
            <w:gridSpan w:val="2"/>
            <w:tcBorders>
              <w:top w:val="single" w:color="auto" w:sz="4" w:space="0"/>
              <w:left w:val="nil"/>
              <w:bottom w:val="single" w:color="auto" w:sz="4" w:space="0"/>
              <w:right w:val="single" w:color="000000" w:sz="4" w:space="0"/>
            </w:tcBorders>
            <w:vAlign w:val="center"/>
          </w:tcPr>
          <w:p>
            <w:pPr>
              <w:widowControl/>
              <w:jc w:val="center"/>
              <w:rPr>
                <w:b/>
                <w:color w:val="000000"/>
                <w:kern w:val="0"/>
                <w:sz w:val="20"/>
              </w:rPr>
            </w:pPr>
            <w:r>
              <w:rPr>
                <w:b/>
                <w:color w:val="000000"/>
                <w:kern w:val="0"/>
                <w:sz w:val="20"/>
              </w:rPr>
              <w:t>一类项目用地</w:t>
            </w:r>
          </w:p>
        </w:tc>
        <w:tc>
          <w:tcPr>
            <w:tcW w:w="1827" w:type="dxa"/>
            <w:gridSpan w:val="2"/>
            <w:tcBorders>
              <w:top w:val="single" w:color="auto" w:sz="4" w:space="0"/>
              <w:left w:val="nil"/>
              <w:bottom w:val="single" w:color="auto" w:sz="4" w:space="0"/>
              <w:right w:val="single" w:color="000000" w:sz="4" w:space="0"/>
            </w:tcBorders>
            <w:vAlign w:val="center"/>
          </w:tcPr>
          <w:p>
            <w:pPr>
              <w:widowControl/>
              <w:jc w:val="center"/>
              <w:rPr>
                <w:b/>
                <w:color w:val="000000"/>
                <w:kern w:val="0"/>
                <w:sz w:val="20"/>
              </w:rPr>
            </w:pPr>
            <w:r>
              <w:rPr>
                <w:b/>
                <w:color w:val="000000"/>
                <w:kern w:val="0"/>
                <w:sz w:val="20"/>
              </w:rPr>
              <w:t>二类项目用地</w:t>
            </w:r>
          </w:p>
        </w:tc>
        <w:tc>
          <w:tcPr>
            <w:tcW w:w="1118"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r>
              <w:rPr>
                <w:b/>
                <w:color w:val="000000"/>
                <w:kern w:val="0"/>
                <w:sz w:val="20"/>
              </w:rPr>
              <w:t>基准日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829"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p>
        </w:tc>
        <w:tc>
          <w:tcPr>
            <w:tcW w:w="1758"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p>
        </w:tc>
        <w:tc>
          <w:tcPr>
            <w:tcW w:w="1729"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p>
        </w:tc>
        <w:tc>
          <w:tcPr>
            <w:tcW w:w="915"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年期</w:t>
            </w:r>
          </w:p>
        </w:tc>
        <w:tc>
          <w:tcPr>
            <w:tcW w:w="929"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828"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年期</w:t>
            </w:r>
          </w:p>
        </w:tc>
        <w:tc>
          <w:tcPr>
            <w:tcW w:w="999"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1118"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color w:val="000000"/>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4" w:hRule="atLeast"/>
        </w:trPr>
        <w:tc>
          <w:tcPr>
            <w:tcW w:w="829" w:type="dxa"/>
            <w:tcBorders>
              <w:top w:val="nil"/>
              <w:left w:val="single" w:color="auto" w:sz="4" w:space="0"/>
              <w:bottom w:val="single" w:color="auto" w:sz="4" w:space="0"/>
              <w:right w:val="single" w:color="auto" w:sz="4" w:space="0"/>
            </w:tcBorders>
            <w:vAlign w:val="center"/>
          </w:tcPr>
          <w:p>
            <w:pPr>
              <w:widowControl/>
              <w:jc w:val="center"/>
              <w:rPr>
                <w:color w:val="000000"/>
                <w:kern w:val="0"/>
                <w:sz w:val="20"/>
              </w:rPr>
            </w:pPr>
            <w:r>
              <w:rPr>
                <w:color w:val="000000"/>
                <w:kern w:val="0"/>
                <w:sz w:val="20"/>
              </w:rPr>
              <w:t>一</w:t>
            </w:r>
          </w:p>
        </w:tc>
        <w:tc>
          <w:tcPr>
            <w:tcW w:w="1758"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出让土地使用权</w:t>
            </w:r>
          </w:p>
        </w:tc>
        <w:tc>
          <w:tcPr>
            <w:tcW w:w="1729"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五通一平</w:t>
            </w:r>
          </w:p>
        </w:tc>
        <w:tc>
          <w:tcPr>
            <w:tcW w:w="915"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929"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1.8</w:t>
            </w:r>
          </w:p>
        </w:tc>
        <w:tc>
          <w:tcPr>
            <w:tcW w:w="828"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999"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w:t>
            </w:r>
          </w:p>
        </w:tc>
        <w:tc>
          <w:tcPr>
            <w:tcW w:w="1118" w:type="dxa"/>
            <w:tcBorders>
              <w:top w:val="nil"/>
              <w:left w:val="nil"/>
              <w:bottom w:val="single" w:color="auto" w:sz="4" w:space="0"/>
              <w:right w:val="single" w:color="auto" w:sz="4" w:space="0"/>
            </w:tcBorders>
            <w:vAlign w:val="center"/>
          </w:tcPr>
          <w:p>
            <w:pPr>
              <w:widowControl/>
              <w:jc w:val="center"/>
              <w:rPr>
                <w:rFonts w:hint="eastAsia" w:eastAsia="宋体"/>
                <w:color w:val="000000"/>
                <w:kern w:val="0"/>
                <w:sz w:val="20"/>
                <w:lang w:eastAsia="zh-CN"/>
              </w:rPr>
            </w:pPr>
            <w:r>
              <w:rPr>
                <w:rFonts w:hint="eastAsia"/>
                <w:color w:val="000000"/>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4" w:hRule="atLeast"/>
        </w:trPr>
        <w:tc>
          <w:tcPr>
            <w:tcW w:w="829" w:type="dxa"/>
            <w:tcBorders>
              <w:top w:val="nil"/>
              <w:left w:val="single" w:color="auto" w:sz="4" w:space="0"/>
              <w:bottom w:val="single" w:color="auto" w:sz="4" w:space="0"/>
              <w:right w:val="single" w:color="auto" w:sz="4" w:space="0"/>
            </w:tcBorders>
            <w:vAlign w:val="center"/>
          </w:tcPr>
          <w:p>
            <w:pPr>
              <w:widowControl/>
              <w:jc w:val="center"/>
              <w:rPr>
                <w:color w:val="000000"/>
                <w:kern w:val="0"/>
                <w:sz w:val="20"/>
              </w:rPr>
            </w:pPr>
            <w:r>
              <w:rPr>
                <w:color w:val="000000"/>
                <w:kern w:val="0"/>
                <w:sz w:val="20"/>
              </w:rPr>
              <w:t>二</w:t>
            </w:r>
          </w:p>
        </w:tc>
        <w:tc>
          <w:tcPr>
            <w:tcW w:w="1758"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出让土地使用权</w:t>
            </w:r>
          </w:p>
        </w:tc>
        <w:tc>
          <w:tcPr>
            <w:tcW w:w="1729"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五通一平</w:t>
            </w:r>
          </w:p>
        </w:tc>
        <w:tc>
          <w:tcPr>
            <w:tcW w:w="915"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929"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1.8</w:t>
            </w:r>
          </w:p>
        </w:tc>
        <w:tc>
          <w:tcPr>
            <w:tcW w:w="828"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999"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w:t>
            </w:r>
          </w:p>
        </w:tc>
        <w:tc>
          <w:tcPr>
            <w:tcW w:w="1118" w:type="dxa"/>
            <w:tcBorders>
              <w:top w:val="nil"/>
              <w:left w:val="nil"/>
              <w:bottom w:val="single" w:color="auto" w:sz="4" w:space="0"/>
              <w:right w:val="single" w:color="auto" w:sz="4" w:space="0"/>
            </w:tcBorders>
            <w:vAlign w:val="center"/>
          </w:tcPr>
          <w:p>
            <w:pPr>
              <w:widowControl/>
              <w:jc w:val="center"/>
              <w:rPr>
                <w:rFonts w:hint="eastAsia" w:eastAsia="宋体"/>
                <w:color w:val="000000"/>
                <w:kern w:val="0"/>
                <w:sz w:val="20"/>
                <w:lang w:eastAsia="zh-CN"/>
              </w:rPr>
            </w:pPr>
            <w:r>
              <w:rPr>
                <w:rFonts w:hint="eastAsia"/>
                <w:color w:val="000000"/>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4" w:hRule="atLeast"/>
        </w:trPr>
        <w:tc>
          <w:tcPr>
            <w:tcW w:w="829" w:type="dxa"/>
            <w:tcBorders>
              <w:top w:val="nil"/>
              <w:left w:val="single" w:color="auto" w:sz="4" w:space="0"/>
              <w:bottom w:val="single" w:color="auto" w:sz="4" w:space="0"/>
              <w:right w:val="single" w:color="auto" w:sz="4" w:space="0"/>
            </w:tcBorders>
            <w:vAlign w:val="center"/>
          </w:tcPr>
          <w:p>
            <w:pPr>
              <w:widowControl/>
              <w:jc w:val="center"/>
              <w:rPr>
                <w:color w:val="000000"/>
                <w:kern w:val="0"/>
                <w:sz w:val="20"/>
              </w:rPr>
            </w:pPr>
            <w:r>
              <w:rPr>
                <w:color w:val="000000"/>
                <w:kern w:val="0"/>
                <w:sz w:val="20"/>
              </w:rPr>
              <w:t>三</w:t>
            </w:r>
          </w:p>
        </w:tc>
        <w:tc>
          <w:tcPr>
            <w:tcW w:w="1758"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出让土地使用权</w:t>
            </w:r>
          </w:p>
        </w:tc>
        <w:tc>
          <w:tcPr>
            <w:tcW w:w="1729"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五通一平</w:t>
            </w:r>
          </w:p>
        </w:tc>
        <w:tc>
          <w:tcPr>
            <w:tcW w:w="915"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929"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1.8</w:t>
            </w:r>
          </w:p>
        </w:tc>
        <w:tc>
          <w:tcPr>
            <w:tcW w:w="828"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999"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w:t>
            </w:r>
          </w:p>
        </w:tc>
        <w:tc>
          <w:tcPr>
            <w:tcW w:w="1118" w:type="dxa"/>
            <w:tcBorders>
              <w:top w:val="nil"/>
              <w:left w:val="nil"/>
              <w:bottom w:val="single" w:color="auto" w:sz="4" w:space="0"/>
              <w:right w:val="single" w:color="auto" w:sz="4" w:space="0"/>
            </w:tcBorders>
            <w:vAlign w:val="center"/>
          </w:tcPr>
          <w:p>
            <w:pPr>
              <w:widowControl/>
              <w:jc w:val="center"/>
              <w:rPr>
                <w:rFonts w:hint="eastAsia" w:eastAsia="宋体"/>
                <w:color w:val="000000"/>
                <w:kern w:val="0"/>
                <w:sz w:val="20"/>
                <w:lang w:eastAsia="zh-CN"/>
              </w:rPr>
            </w:pPr>
            <w:r>
              <w:rPr>
                <w:rFonts w:hint="eastAsia"/>
                <w:color w:val="000000"/>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4" w:hRule="atLeast"/>
        </w:trPr>
        <w:tc>
          <w:tcPr>
            <w:tcW w:w="82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2"/>
              </w:rPr>
            </w:pPr>
            <w:r>
              <w:rPr>
                <w:rFonts w:hint="eastAsia"/>
                <w:color w:val="000000"/>
                <w:kern w:val="0"/>
                <w:sz w:val="20"/>
                <w:szCs w:val="22"/>
                <w:lang w:val="en-US" w:eastAsia="zh-CN"/>
              </w:rPr>
              <w:t>四</w:t>
            </w:r>
          </w:p>
        </w:tc>
        <w:tc>
          <w:tcPr>
            <w:tcW w:w="1758"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2"/>
              </w:rPr>
            </w:pPr>
            <w:r>
              <w:rPr>
                <w:rFonts w:hint="eastAsia"/>
                <w:color w:val="000000"/>
                <w:kern w:val="0"/>
                <w:sz w:val="20"/>
                <w:szCs w:val="22"/>
                <w:lang w:val="en-US" w:eastAsia="zh-CN"/>
              </w:rPr>
              <w:t>出让土地使用权</w:t>
            </w:r>
          </w:p>
        </w:tc>
        <w:tc>
          <w:tcPr>
            <w:tcW w:w="172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2"/>
              </w:rPr>
            </w:pPr>
            <w:r>
              <w:rPr>
                <w:rFonts w:hint="eastAsia"/>
                <w:color w:val="000000"/>
                <w:kern w:val="0"/>
                <w:sz w:val="20"/>
                <w:szCs w:val="22"/>
                <w:lang w:val="en-US" w:eastAsia="zh-CN"/>
              </w:rPr>
              <w:t>五通一平</w:t>
            </w:r>
          </w:p>
        </w:tc>
        <w:tc>
          <w:tcPr>
            <w:tcW w:w="91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2"/>
              </w:rPr>
            </w:pPr>
            <w:r>
              <w:rPr>
                <w:rFonts w:hint="default"/>
                <w:color w:val="000000"/>
                <w:kern w:val="0"/>
                <w:sz w:val="20"/>
                <w:szCs w:val="22"/>
                <w:lang w:val="en-US" w:eastAsia="zh-CN"/>
              </w:rPr>
              <w:t>50</w:t>
            </w:r>
            <w:r>
              <w:rPr>
                <w:rFonts w:hint="eastAsia"/>
                <w:color w:val="000000"/>
                <w:kern w:val="0"/>
                <w:sz w:val="20"/>
                <w:szCs w:val="22"/>
                <w:lang w:val="en-US" w:eastAsia="zh-CN"/>
              </w:rPr>
              <w:t>年</w:t>
            </w:r>
          </w:p>
        </w:tc>
        <w:tc>
          <w:tcPr>
            <w:tcW w:w="92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2"/>
              </w:rPr>
            </w:pPr>
            <w:r>
              <w:rPr>
                <w:rFonts w:hint="default"/>
                <w:color w:val="000000"/>
                <w:kern w:val="0"/>
                <w:sz w:val="20"/>
                <w:szCs w:val="22"/>
                <w:lang w:val="en-US" w:eastAsia="zh-CN"/>
              </w:rPr>
              <w:t>1.8</w:t>
            </w:r>
          </w:p>
        </w:tc>
        <w:tc>
          <w:tcPr>
            <w:tcW w:w="828"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2"/>
              </w:rPr>
            </w:pPr>
            <w:r>
              <w:rPr>
                <w:rFonts w:hint="default"/>
                <w:color w:val="000000"/>
                <w:kern w:val="0"/>
                <w:sz w:val="20"/>
                <w:szCs w:val="22"/>
                <w:lang w:val="en-US" w:eastAsia="zh-CN"/>
              </w:rPr>
              <w:t>50</w:t>
            </w:r>
            <w:r>
              <w:rPr>
                <w:rFonts w:hint="eastAsia"/>
                <w:color w:val="000000"/>
                <w:kern w:val="0"/>
                <w:sz w:val="20"/>
                <w:szCs w:val="22"/>
                <w:lang w:val="en-US" w:eastAsia="zh-CN"/>
              </w:rPr>
              <w:t>年</w:t>
            </w:r>
          </w:p>
        </w:tc>
        <w:tc>
          <w:tcPr>
            <w:tcW w:w="99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2"/>
              </w:rPr>
            </w:pPr>
            <w:r>
              <w:rPr>
                <w:rFonts w:hint="default"/>
                <w:color w:val="000000"/>
                <w:kern w:val="0"/>
                <w:sz w:val="20"/>
                <w:szCs w:val="22"/>
                <w:lang w:val="en-US" w:eastAsia="zh-CN"/>
              </w:rPr>
              <w:t>1</w:t>
            </w:r>
          </w:p>
        </w:tc>
        <w:tc>
          <w:tcPr>
            <w:tcW w:w="1118"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2"/>
              </w:rPr>
            </w:pPr>
            <w:r>
              <w:rPr>
                <w:rFonts w:hint="eastAsia"/>
                <w:color w:val="000000"/>
                <w:kern w:val="0"/>
                <w:sz w:val="20"/>
                <w:szCs w:val="22"/>
                <w:lang w:val="en-US"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4" w:hRule="atLeast"/>
        </w:trPr>
        <w:tc>
          <w:tcPr>
            <w:tcW w:w="82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2"/>
              </w:rPr>
            </w:pPr>
            <w:r>
              <w:rPr>
                <w:rFonts w:hint="eastAsia"/>
                <w:color w:val="000000"/>
                <w:kern w:val="0"/>
                <w:sz w:val="20"/>
                <w:szCs w:val="22"/>
                <w:lang w:val="en-US" w:eastAsia="zh-CN"/>
              </w:rPr>
              <w:t>五</w:t>
            </w:r>
          </w:p>
        </w:tc>
        <w:tc>
          <w:tcPr>
            <w:tcW w:w="1758"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2"/>
              </w:rPr>
            </w:pPr>
            <w:r>
              <w:rPr>
                <w:rFonts w:hint="eastAsia"/>
                <w:color w:val="000000"/>
                <w:kern w:val="0"/>
                <w:sz w:val="20"/>
                <w:szCs w:val="22"/>
                <w:lang w:val="en-US" w:eastAsia="zh-CN"/>
              </w:rPr>
              <w:t>出让土地使用权</w:t>
            </w:r>
          </w:p>
        </w:tc>
        <w:tc>
          <w:tcPr>
            <w:tcW w:w="172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2"/>
              </w:rPr>
            </w:pPr>
            <w:r>
              <w:rPr>
                <w:rFonts w:hint="eastAsia"/>
                <w:color w:val="000000"/>
                <w:kern w:val="0"/>
                <w:sz w:val="20"/>
                <w:szCs w:val="22"/>
                <w:lang w:val="en-US" w:eastAsia="zh-CN"/>
              </w:rPr>
              <w:t>五通一平</w:t>
            </w:r>
          </w:p>
        </w:tc>
        <w:tc>
          <w:tcPr>
            <w:tcW w:w="915"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2"/>
              </w:rPr>
            </w:pPr>
            <w:r>
              <w:rPr>
                <w:rFonts w:hint="default"/>
                <w:color w:val="000000"/>
                <w:kern w:val="0"/>
                <w:sz w:val="20"/>
                <w:szCs w:val="22"/>
                <w:lang w:val="en-US" w:eastAsia="zh-CN"/>
              </w:rPr>
              <w:t>50</w:t>
            </w:r>
            <w:r>
              <w:rPr>
                <w:rFonts w:hint="eastAsia"/>
                <w:color w:val="000000"/>
                <w:kern w:val="0"/>
                <w:sz w:val="20"/>
                <w:szCs w:val="22"/>
                <w:lang w:val="en-US" w:eastAsia="zh-CN"/>
              </w:rPr>
              <w:t>年</w:t>
            </w:r>
          </w:p>
        </w:tc>
        <w:tc>
          <w:tcPr>
            <w:tcW w:w="92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2"/>
              </w:rPr>
            </w:pPr>
            <w:r>
              <w:rPr>
                <w:rFonts w:hint="default"/>
                <w:color w:val="000000"/>
                <w:kern w:val="0"/>
                <w:sz w:val="20"/>
                <w:szCs w:val="22"/>
                <w:lang w:val="en-US" w:eastAsia="zh-CN"/>
              </w:rPr>
              <w:t>1.8</w:t>
            </w:r>
          </w:p>
        </w:tc>
        <w:tc>
          <w:tcPr>
            <w:tcW w:w="828"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2"/>
              </w:rPr>
            </w:pPr>
            <w:r>
              <w:rPr>
                <w:rFonts w:hint="default"/>
                <w:color w:val="000000"/>
                <w:kern w:val="0"/>
                <w:sz w:val="20"/>
                <w:szCs w:val="22"/>
                <w:lang w:val="en-US" w:eastAsia="zh-CN"/>
              </w:rPr>
              <w:t>50</w:t>
            </w:r>
            <w:r>
              <w:rPr>
                <w:rFonts w:hint="eastAsia"/>
                <w:color w:val="000000"/>
                <w:kern w:val="0"/>
                <w:sz w:val="20"/>
                <w:szCs w:val="22"/>
                <w:lang w:val="en-US" w:eastAsia="zh-CN"/>
              </w:rPr>
              <w:t>年</w:t>
            </w:r>
          </w:p>
        </w:tc>
        <w:tc>
          <w:tcPr>
            <w:tcW w:w="999"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2"/>
              </w:rPr>
            </w:pPr>
            <w:r>
              <w:rPr>
                <w:rFonts w:hint="default"/>
                <w:color w:val="000000"/>
                <w:kern w:val="0"/>
                <w:sz w:val="20"/>
                <w:szCs w:val="22"/>
                <w:lang w:val="en-US" w:eastAsia="zh-CN"/>
              </w:rPr>
              <w:t>1</w:t>
            </w:r>
          </w:p>
        </w:tc>
        <w:tc>
          <w:tcPr>
            <w:tcW w:w="1118"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2"/>
              </w:rPr>
            </w:pPr>
            <w:r>
              <w:rPr>
                <w:rFonts w:hint="eastAsia"/>
                <w:color w:val="000000"/>
                <w:kern w:val="0"/>
                <w:sz w:val="20"/>
                <w:szCs w:val="22"/>
                <w:lang w:val="en-US" w:eastAsia="zh-CN"/>
              </w:rPr>
              <w:t>2018.3.1</w:t>
            </w:r>
          </w:p>
        </w:tc>
      </w:tr>
    </w:tbl>
    <w:p>
      <w:pPr>
        <w:tabs>
          <w:tab w:val="right" w:pos="9298"/>
        </w:tabs>
        <w:ind w:firstLine="400" w:firstLineChars="200"/>
        <w:rPr>
          <w:b/>
          <w:sz w:val="22"/>
          <w:szCs w:val="21"/>
        </w:rPr>
      </w:pPr>
      <w:r>
        <w:rPr>
          <w:color w:val="000000"/>
          <w:sz w:val="20"/>
        </w:rPr>
        <w:t>备注：公共服务一类用地指机关团体用地、新闻出版用地、教育用地、科研用地、医疗卫生用地、社会福利用地、文化设施用地和体育用地；公共服务二类用地指公用设施用地和公园与绿地。</w:t>
      </w:r>
    </w:p>
    <w:p>
      <w:pPr>
        <w:snapToGrid w:val="0"/>
        <w:spacing w:line="440" w:lineRule="exact"/>
        <w:jc w:val="center"/>
        <w:rPr>
          <w:b/>
          <w:bCs/>
          <w:color w:val="000000"/>
          <w:kern w:val="0"/>
          <w:sz w:val="24"/>
          <w:szCs w:val="22"/>
        </w:rPr>
      </w:pPr>
      <w:r>
        <w:rPr>
          <w:b/>
          <w:bCs/>
          <w:color w:val="000000"/>
          <w:kern w:val="0"/>
          <w:sz w:val="24"/>
          <w:szCs w:val="22"/>
        </w:rPr>
        <w:t>表3-7-3 长沙县乡镇</w:t>
      </w:r>
      <w:r>
        <w:rPr>
          <w:rFonts w:hint="eastAsia"/>
          <w:b/>
          <w:bCs/>
          <w:color w:val="000000"/>
          <w:kern w:val="0"/>
          <w:sz w:val="24"/>
          <w:szCs w:val="22"/>
        </w:rPr>
        <w:t>公共管理与公共服务用地</w:t>
      </w:r>
      <w:r>
        <w:rPr>
          <w:b/>
          <w:bCs/>
          <w:color w:val="000000"/>
          <w:kern w:val="0"/>
          <w:sz w:val="24"/>
          <w:szCs w:val="22"/>
        </w:rPr>
        <w:t>基准地价内涵</w:t>
      </w:r>
    </w:p>
    <w:tbl>
      <w:tblPr>
        <w:tblW w:w="912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9"/>
        <w:gridCol w:w="1815"/>
        <w:gridCol w:w="1700"/>
        <w:gridCol w:w="897"/>
        <w:gridCol w:w="992"/>
        <w:gridCol w:w="795"/>
        <w:gridCol w:w="951"/>
        <w:gridCol w:w="1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99"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r>
              <w:rPr>
                <w:b/>
                <w:color w:val="000000"/>
                <w:kern w:val="0"/>
                <w:sz w:val="20"/>
              </w:rPr>
              <w:t>级别</w:t>
            </w:r>
          </w:p>
        </w:tc>
        <w:tc>
          <w:tcPr>
            <w:tcW w:w="181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r>
              <w:rPr>
                <w:b/>
                <w:color w:val="000000"/>
                <w:kern w:val="0"/>
                <w:sz w:val="20"/>
              </w:rPr>
              <w:t>土地权利</w:t>
            </w:r>
          </w:p>
        </w:tc>
        <w:tc>
          <w:tcPr>
            <w:tcW w:w="1700"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r>
              <w:rPr>
                <w:b/>
                <w:color w:val="000000"/>
                <w:kern w:val="0"/>
                <w:sz w:val="20"/>
              </w:rPr>
              <w:t>开发程度</w:t>
            </w:r>
          </w:p>
        </w:tc>
        <w:tc>
          <w:tcPr>
            <w:tcW w:w="1889" w:type="dxa"/>
            <w:gridSpan w:val="2"/>
            <w:tcBorders>
              <w:top w:val="single" w:color="auto" w:sz="4" w:space="0"/>
              <w:left w:val="nil"/>
              <w:bottom w:val="single" w:color="auto" w:sz="4" w:space="0"/>
              <w:right w:val="single" w:color="000000" w:sz="4" w:space="0"/>
            </w:tcBorders>
            <w:vAlign w:val="center"/>
          </w:tcPr>
          <w:p>
            <w:pPr>
              <w:widowControl/>
              <w:jc w:val="center"/>
              <w:rPr>
                <w:b/>
                <w:color w:val="000000"/>
                <w:kern w:val="0"/>
                <w:sz w:val="20"/>
              </w:rPr>
            </w:pPr>
            <w:r>
              <w:rPr>
                <w:b/>
                <w:color w:val="000000"/>
                <w:kern w:val="0"/>
                <w:sz w:val="20"/>
              </w:rPr>
              <w:t>一类项目用地</w:t>
            </w:r>
          </w:p>
        </w:tc>
        <w:tc>
          <w:tcPr>
            <w:tcW w:w="1746" w:type="dxa"/>
            <w:gridSpan w:val="2"/>
            <w:tcBorders>
              <w:top w:val="single" w:color="auto" w:sz="4" w:space="0"/>
              <w:left w:val="nil"/>
              <w:bottom w:val="single" w:color="auto" w:sz="4" w:space="0"/>
              <w:right w:val="single" w:color="000000" w:sz="4" w:space="0"/>
            </w:tcBorders>
            <w:vAlign w:val="center"/>
          </w:tcPr>
          <w:p>
            <w:pPr>
              <w:widowControl/>
              <w:jc w:val="center"/>
              <w:rPr>
                <w:b/>
                <w:color w:val="000000"/>
                <w:kern w:val="0"/>
                <w:sz w:val="20"/>
              </w:rPr>
            </w:pPr>
            <w:r>
              <w:rPr>
                <w:b/>
                <w:color w:val="000000"/>
                <w:kern w:val="0"/>
                <w:sz w:val="20"/>
              </w:rPr>
              <w:t>二类项目用地</w:t>
            </w:r>
          </w:p>
        </w:tc>
        <w:tc>
          <w:tcPr>
            <w:tcW w:w="11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r>
              <w:rPr>
                <w:b/>
                <w:color w:val="000000"/>
                <w:kern w:val="0"/>
                <w:sz w:val="20"/>
              </w:rPr>
              <w:t>基准日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1" w:hRule="atLeast"/>
        </w:trPr>
        <w:tc>
          <w:tcPr>
            <w:tcW w:w="799"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p>
        </w:tc>
        <w:tc>
          <w:tcPr>
            <w:tcW w:w="1815"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p>
        </w:tc>
        <w:tc>
          <w:tcPr>
            <w:tcW w:w="1700"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p>
        </w:tc>
        <w:tc>
          <w:tcPr>
            <w:tcW w:w="897"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年期</w:t>
            </w:r>
          </w:p>
        </w:tc>
        <w:tc>
          <w:tcPr>
            <w:tcW w:w="992"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795"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年期</w:t>
            </w:r>
          </w:p>
        </w:tc>
        <w:tc>
          <w:tcPr>
            <w:tcW w:w="951"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1175"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color w:val="000000"/>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6" w:hRule="atLeast"/>
        </w:trPr>
        <w:tc>
          <w:tcPr>
            <w:tcW w:w="799" w:type="dxa"/>
            <w:tcBorders>
              <w:top w:val="nil"/>
              <w:left w:val="single" w:color="auto" w:sz="4" w:space="0"/>
              <w:bottom w:val="single" w:color="auto" w:sz="4" w:space="0"/>
              <w:right w:val="single" w:color="auto" w:sz="4" w:space="0"/>
            </w:tcBorders>
            <w:vAlign w:val="center"/>
          </w:tcPr>
          <w:p>
            <w:pPr>
              <w:widowControl/>
              <w:jc w:val="center"/>
              <w:rPr>
                <w:color w:val="000000"/>
                <w:kern w:val="0"/>
                <w:sz w:val="20"/>
              </w:rPr>
            </w:pPr>
            <w:r>
              <w:rPr>
                <w:color w:val="000000"/>
                <w:kern w:val="0"/>
                <w:sz w:val="20"/>
              </w:rPr>
              <w:t>一</w:t>
            </w:r>
          </w:p>
        </w:tc>
        <w:tc>
          <w:tcPr>
            <w:tcW w:w="1815"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出让土地使用权</w:t>
            </w:r>
          </w:p>
        </w:tc>
        <w:tc>
          <w:tcPr>
            <w:tcW w:w="1700"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五通一平</w:t>
            </w:r>
          </w:p>
        </w:tc>
        <w:tc>
          <w:tcPr>
            <w:tcW w:w="897"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992"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1.6</w:t>
            </w:r>
          </w:p>
        </w:tc>
        <w:tc>
          <w:tcPr>
            <w:tcW w:w="795"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951"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w:t>
            </w:r>
          </w:p>
        </w:tc>
        <w:tc>
          <w:tcPr>
            <w:tcW w:w="1175" w:type="dxa"/>
            <w:tcBorders>
              <w:top w:val="nil"/>
              <w:left w:val="nil"/>
              <w:bottom w:val="single" w:color="auto" w:sz="4" w:space="0"/>
              <w:right w:val="single" w:color="auto" w:sz="4" w:space="0"/>
            </w:tcBorders>
            <w:vAlign w:val="center"/>
          </w:tcPr>
          <w:p>
            <w:pPr>
              <w:widowControl/>
              <w:jc w:val="center"/>
              <w:rPr>
                <w:rFonts w:hint="eastAsia" w:eastAsia="宋体"/>
                <w:color w:val="000000"/>
                <w:kern w:val="0"/>
                <w:sz w:val="20"/>
                <w:lang w:eastAsia="zh-CN"/>
              </w:rPr>
            </w:pPr>
            <w:r>
              <w:rPr>
                <w:rFonts w:hint="eastAsia"/>
                <w:color w:val="000000"/>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6" w:hRule="atLeast"/>
        </w:trPr>
        <w:tc>
          <w:tcPr>
            <w:tcW w:w="799" w:type="dxa"/>
            <w:tcBorders>
              <w:top w:val="nil"/>
              <w:left w:val="single" w:color="auto" w:sz="4" w:space="0"/>
              <w:bottom w:val="single" w:color="auto" w:sz="4" w:space="0"/>
              <w:right w:val="single" w:color="auto" w:sz="4" w:space="0"/>
            </w:tcBorders>
            <w:vAlign w:val="center"/>
          </w:tcPr>
          <w:p>
            <w:pPr>
              <w:widowControl/>
              <w:jc w:val="center"/>
              <w:rPr>
                <w:color w:val="000000"/>
                <w:kern w:val="0"/>
                <w:sz w:val="20"/>
              </w:rPr>
            </w:pPr>
            <w:r>
              <w:rPr>
                <w:color w:val="000000"/>
                <w:kern w:val="0"/>
                <w:sz w:val="20"/>
              </w:rPr>
              <w:t>二</w:t>
            </w:r>
          </w:p>
        </w:tc>
        <w:tc>
          <w:tcPr>
            <w:tcW w:w="1815"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出让土地使用权</w:t>
            </w:r>
          </w:p>
        </w:tc>
        <w:tc>
          <w:tcPr>
            <w:tcW w:w="1700"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五通一平</w:t>
            </w:r>
          </w:p>
        </w:tc>
        <w:tc>
          <w:tcPr>
            <w:tcW w:w="897"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992"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1.6</w:t>
            </w:r>
          </w:p>
        </w:tc>
        <w:tc>
          <w:tcPr>
            <w:tcW w:w="795"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951"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w:t>
            </w:r>
          </w:p>
        </w:tc>
        <w:tc>
          <w:tcPr>
            <w:tcW w:w="1175" w:type="dxa"/>
            <w:tcBorders>
              <w:top w:val="nil"/>
              <w:left w:val="nil"/>
              <w:bottom w:val="single" w:color="auto" w:sz="4" w:space="0"/>
              <w:right w:val="single" w:color="auto" w:sz="4" w:space="0"/>
            </w:tcBorders>
            <w:vAlign w:val="center"/>
          </w:tcPr>
          <w:p>
            <w:pPr>
              <w:widowControl/>
              <w:jc w:val="center"/>
              <w:rPr>
                <w:rFonts w:hint="eastAsia" w:eastAsia="宋体"/>
                <w:color w:val="000000"/>
                <w:kern w:val="0"/>
                <w:sz w:val="20"/>
                <w:lang w:eastAsia="zh-CN"/>
              </w:rPr>
            </w:pPr>
            <w:r>
              <w:rPr>
                <w:rFonts w:hint="eastAsia"/>
                <w:color w:val="000000"/>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6" w:hRule="atLeast"/>
        </w:trPr>
        <w:tc>
          <w:tcPr>
            <w:tcW w:w="799" w:type="dxa"/>
            <w:tcBorders>
              <w:top w:val="nil"/>
              <w:left w:val="single" w:color="auto" w:sz="4" w:space="0"/>
              <w:bottom w:val="single" w:color="auto" w:sz="4" w:space="0"/>
              <w:right w:val="single" w:color="auto" w:sz="4" w:space="0"/>
            </w:tcBorders>
            <w:vAlign w:val="center"/>
          </w:tcPr>
          <w:p>
            <w:pPr>
              <w:widowControl/>
              <w:jc w:val="center"/>
              <w:rPr>
                <w:color w:val="000000"/>
                <w:kern w:val="0"/>
                <w:sz w:val="20"/>
              </w:rPr>
            </w:pPr>
            <w:r>
              <w:rPr>
                <w:color w:val="000000"/>
                <w:kern w:val="0"/>
                <w:sz w:val="20"/>
              </w:rPr>
              <w:t>三</w:t>
            </w:r>
          </w:p>
        </w:tc>
        <w:tc>
          <w:tcPr>
            <w:tcW w:w="1815"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出让土地使用权</w:t>
            </w:r>
          </w:p>
        </w:tc>
        <w:tc>
          <w:tcPr>
            <w:tcW w:w="1700"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五通一平</w:t>
            </w:r>
          </w:p>
        </w:tc>
        <w:tc>
          <w:tcPr>
            <w:tcW w:w="897"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992"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1.6</w:t>
            </w:r>
          </w:p>
        </w:tc>
        <w:tc>
          <w:tcPr>
            <w:tcW w:w="795"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951"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w:t>
            </w:r>
          </w:p>
        </w:tc>
        <w:tc>
          <w:tcPr>
            <w:tcW w:w="1175" w:type="dxa"/>
            <w:tcBorders>
              <w:top w:val="nil"/>
              <w:left w:val="nil"/>
              <w:bottom w:val="single" w:color="auto" w:sz="4" w:space="0"/>
              <w:right w:val="single" w:color="auto" w:sz="4" w:space="0"/>
            </w:tcBorders>
            <w:vAlign w:val="center"/>
          </w:tcPr>
          <w:p>
            <w:pPr>
              <w:widowControl/>
              <w:jc w:val="center"/>
              <w:rPr>
                <w:rFonts w:hint="eastAsia" w:eastAsia="宋体"/>
                <w:color w:val="000000"/>
                <w:kern w:val="0"/>
                <w:sz w:val="20"/>
                <w:lang w:eastAsia="zh-CN"/>
              </w:rPr>
            </w:pPr>
            <w:r>
              <w:rPr>
                <w:rFonts w:hint="eastAsia"/>
                <w:color w:val="000000"/>
                <w:kern w:val="0"/>
                <w:sz w:val="20"/>
                <w:lang w:eastAsia="zh-CN"/>
              </w:rPr>
              <w:t>2018.3.1</w:t>
            </w:r>
          </w:p>
        </w:tc>
      </w:tr>
    </w:tbl>
    <w:p>
      <w:pPr>
        <w:tabs>
          <w:tab w:val="right" w:pos="9298"/>
        </w:tabs>
        <w:ind w:firstLine="400" w:firstLineChars="200"/>
        <w:rPr>
          <w:b/>
          <w:sz w:val="22"/>
          <w:szCs w:val="21"/>
        </w:rPr>
      </w:pPr>
      <w:r>
        <w:rPr>
          <w:color w:val="000000"/>
          <w:sz w:val="20"/>
        </w:rPr>
        <w:t>备注：公共服务一类用地指机关团体用地、新闻出版用地、教育用地、科研用地、医疗卫生用地、社会福利用地、文化设施用地和体育用地；公共服务二类用地指公用设施用地和公园与绿地。</w:t>
      </w:r>
    </w:p>
    <w:p>
      <w:pPr>
        <w:spacing w:line="440" w:lineRule="exact"/>
        <w:ind w:firstLine="482" w:firstLineChars="200"/>
        <w:jc w:val="left"/>
        <w:rPr>
          <w:b/>
          <w:sz w:val="24"/>
          <w:szCs w:val="22"/>
        </w:rPr>
      </w:pPr>
      <w:r>
        <w:rPr>
          <w:b/>
          <w:sz w:val="24"/>
          <w:szCs w:val="22"/>
        </w:rPr>
        <w:t>5、公共服务地价的测算</w:t>
      </w:r>
    </w:p>
    <w:p>
      <w:pPr>
        <w:spacing w:line="520" w:lineRule="exact"/>
        <w:ind w:firstLine="480" w:firstLineChars="200"/>
        <w:rPr>
          <w:sz w:val="24"/>
          <w:szCs w:val="24"/>
        </w:rPr>
      </w:pPr>
      <w:r>
        <w:rPr>
          <w:sz w:val="24"/>
          <w:szCs w:val="24"/>
        </w:rPr>
        <w:t>采用成本逼近法对</w:t>
      </w:r>
      <w:r>
        <w:rPr>
          <w:rFonts w:hint="eastAsia"/>
          <w:sz w:val="24"/>
          <w:szCs w:val="24"/>
        </w:rPr>
        <w:t>公共管理与公共服务用地</w:t>
      </w:r>
      <w:r>
        <w:rPr>
          <w:sz w:val="24"/>
          <w:szCs w:val="24"/>
        </w:rPr>
        <w:t>计算土地开发成本，运用多元回归模型对影响因素进行修正，得出它们对土地价格影响度数字化的表现形式，最终取得土地客观实际的价格。</w:t>
      </w:r>
    </w:p>
    <w:p>
      <w:pPr>
        <w:spacing w:line="520" w:lineRule="exact"/>
        <w:ind w:firstLine="480" w:firstLineChars="200"/>
        <w:rPr>
          <w:sz w:val="24"/>
          <w:szCs w:val="24"/>
        </w:rPr>
      </w:pPr>
      <w:r>
        <w:rPr>
          <w:sz w:val="24"/>
          <w:szCs w:val="24"/>
        </w:rPr>
        <w:t>（1）土地开发成本价格的测算</w:t>
      </w:r>
    </w:p>
    <w:p>
      <w:pPr>
        <w:spacing w:line="520" w:lineRule="exact"/>
        <w:ind w:firstLine="480" w:firstLineChars="200"/>
        <w:rPr>
          <w:sz w:val="24"/>
          <w:szCs w:val="24"/>
        </w:rPr>
      </w:pPr>
      <w:r>
        <w:rPr>
          <w:sz w:val="24"/>
          <w:szCs w:val="24"/>
        </w:rPr>
        <w:t>成本逼近法是以开发土地所耗费的各项费用之和为主要依据，再加上一定的利润和应纳税金来确定土地价格的一种估价方法。把对土地的所有投资包括土地取得费和开发费用两大部分作为“基本成本”，运用经济学中等量资金获取等量收益的投资原理，加上“基本成本”这一投资所应产生的相应利润和应支付的利息，组成地价基础部分（即成本价），再加上相关税费和土地增值收益，从而求得土地价格。</w:t>
      </w:r>
    </w:p>
    <w:p>
      <w:pPr>
        <w:snapToGrid w:val="0"/>
        <w:spacing w:line="440" w:lineRule="exact"/>
        <w:jc w:val="center"/>
        <w:rPr>
          <w:b/>
          <w:sz w:val="24"/>
        </w:rPr>
      </w:pPr>
      <w:r>
        <w:rPr>
          <w:b/>
          <w:sz w:val="24"/>
        </w:rPr>
        <w:t>表3-7-3 成本逼近法测算</w:t>
      </w:r>
      <w:r>
        <w:rPr>
          <w:rFonts w:hint="eastAsia"/>
          <w:b/>
          <w:sz w:val="24"/>
        </w:rPr>
        <w:t>公共管理与公共服务用地</w:t>
      </w:r>
      <w:r>
        <w:rPr>
          <w:b/>
          <w:sz w:val="24"/>
        </w:rPr>
        <w:t>地价</w:t>
      </w:r>
    </w:p>
    <w:p>
      <w:pPr>
        <w:adjustRightInd w:val="0"/>
        <w:snapToGrid w:val="0"/>
        <w:ind w:right="600" w:firstLine="360" w:firstLineChars="200"/>
        <w:jc w:val="right"/>
        <w:rPr>
          <w:sz w:val="18"/>
          <w:szCs w:val="18"/>
        </w:rPr>
      </w:pPr>
      <w:r>
        <w:rPr>
          <w:sz w:val="18"/>
          <w:szCs w:val="18"/>
        </w:rPr>
        <w:t>元/平方米</w:t>
      </w:r>
    </w:p>
    <w:tbl>
      <w:tblPr>
        <w:tblW w:w="93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89"/>
        <w:gridCol w:w="1566"/>
        <w:gridCol w:w="1080"/>
        <w:gridCol w:w="54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blHeader/>
          <w:jc w:val="center"/>
        </w:trPr>
        <w:tc>
          <w:tcPr>
            <w:tcW w:w="275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b/>
                <w:kern w:val="0"/>
                <w:szCs w:val="21"/>
              </w:rPr>
            </w:pPr>
            <w:r>
              <w:rPr>
                <w:b/>
                <w:kern w:val="0"/>
                <w:szCs w:val="21"/>
              </w:rPr>
              <w:t>指标</w:t>
            </w:r>
          </w:p>
        </w:tc>
        <w:tc>
          <w:tcPr>
            <w:tcW w:w="1080" w:type="dxa"/>
            <w:tcBorders>
              <w:top w:val="single" w:color="auto" w:sz="4" w:space="0"/>
              <w:left w:val="nil"/>
              <w:bottom w:val="single" w:color="auto" w:sz="4" w:space="0"/>
              <w:right w:val="single" w:color="auto" w:sz="4" w:space="0"/>
            </w:tcBorders>
            <w:vAlign w:val="center"/>
          </w:tcPr>
          <w:p>
            <w:pPr>
              <w:widowControl/>
              <w:ind w:left="-105" w:leftChars="-50" w:right="-105" w:rightChars="-50"/>
              <w:jc w:val="center"/>
              <w:rPr>
                <w:b/>
                <w:kern w:val="0"/>
                <w:szCs w:val="21"/>
              </w:rPr>
            </w:pPr>
            <w:r>
              <w:rPr>
                <w:b/>
                <w:kern w:val="0"/>
                <w:szCs w:val="21"/>
              </w:rPr>
              <w:t>区域</w:t>
            </w:r>
          </w:p>
        </w:tc>
        <w:tc>
          <w:tcPr>
            <w:tcW w:w="5481" w:type="dxa"/>
            <w:tcBorders>
              <w:top w:val="single" w:color="auto" w:sz="4" w:space="0"/>
              <w:left w:val="nil"/>
              <w:bottom w:val="single" w:color="auto" w:sz="4" w:space="0"/>
              <w:right w:val="single" w:color="auto" w:sz="4" w:space="0"/>
            </w:tcBorders>
            <w:vAlign w:val="center"/>
          </w:tcPr>
          <w:p>
            <w:pPr>
              <w:widowControl/>
              <w:jc w:val="center"/>
              <w:rPr>
                <w:b/>
                <w:kern w:val="0"/>
                <w:szCs w:val="21"/>
              </w:rPr>
            </w:pPr>
            <w:r>
              <w:rPr>
                <w:b/>
                <w:kern w:val="0"/>
                <w:szCs w:val="21"/>
              </w:rPr>
              <w:t>取费依据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89" w:type="dxa"/>
            <w:tcBorders>
              <w:top w:val="nil"/>
              <w:left w:val="single" w:color="auto" w:sz="4" w:space="0"/>
              <w:bottom w:val="single" w:color="000000" w:sz="4" w:space="0"/>
              <w:right w:val="single" w:color="auto" w:sz="4" w:space="0"/>
            </w:tcBorders>
            <w:vAlign w:val="center"/>
          </w:tcPr>
          <w:p>
            <w:pPr>
              <w:widowControl/>
              <w:ind w:left="-105" w:leftChars="-50" w:right="-105" w:rightChars="-50"/>
              <w:jc w:val="center"/>
              <w:rPr>
                <w:kern w:val="0"/>
                <w:szCs w:val="21"/>
              </w:rPr>
            </w:pPr>
            <w:r>
              <w:rPr>
                <w:kern w:val="0"/>
                <w:szCs w:val="21"/>
              </w:rPr>
              <w:t>土地取得费</w:t>
            </w:r>
          </w:p>
        </w:tc>
        <w:tc>
          <w:tcPr>
            <w:tcW w:w="1566" w:type="dxa"/>
            <w:tcBorders>
              <w:top w:val="nil"/>
              <w:left w:val="nil"/>
              <w:bottom w:val="single" w:color="auto" w:sz="4" w:space="0"/>
              <w:right w:val="single" w:color="auto" w:sz="4" w:space="0"/>
            </w:tcBorders>
            <w:vAlign w:val="center"/>
          </w:tcPr>
          <w:p>
            <w:pPr>
              <w:widowControl/>
              <w:ind w:left="-105" w:leftChars="-50" w:right="-105" w:rightChars="-50"/>
              <w:jc w:val="center"/>
              <w:rPr>
                <w:kern w:val="0"/>
                <w:szCs w:val="21"/>
              </w:rPr>
            </w:pPr>
            <w:r>
              <w:rPr>
                <w:kern w:val="0"/>
                <w:szCs w:val="21"/>
              </w:rPr>
              <w:t>土地补偿和安置补助费、青苗费</w:t>
            </w:r>
          </w:p>
        </w:tc>
        <w:tc>
          <w:tcPr>
            <w:tcW w:w="1080" w:type="dxa"/>
            <w:tcBorders>
              <w:top w:val="nil"/>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rFonts w:hint="default" w:ascii="Times New Roman" w:hAnsi="Times New Roman" w:eastAsia="宋体" w:cs="Times New Roman"/>
                <w:i w:val="0"/>
                <w:color w:val="000000"/>
                <w:kern w:val="0"/>
                <w:sz w:val="21"/>
                <w:szCs w:val="21"/>
                <w:u w:val="none"/>
                <w:lang w:val="en-US" w:eastAsia="zh-CN"/>
              </w:rPr>
              <w:t>102</w:t>
            </w:r>
          </w:p>
        </w:tc>
        <w:tc>
          <w:tcPr>
            <w:tcW w:w="5481" w:type="dxa"/>
            <w:tcBorders>
              <w:top w:val="nil"/>
              <w:left w:val="single" w:color="auto" w:sz="4" w:space="0"/>
              <w:bottom w:val="single" w:color="auto" w:sz="4" w:space="0"/>
              <w:right w:val="single" w:color="auto" w:sz="4" w:space="0"/>
            </w:tcBorders>
            <w:vAlign w:val="center"/>
          </w:tcPr>
          <w:p>
            <w:pPr>
              <w:jc w:val="center"/>
              <w:rPr>
                <w:szCs w:val="21"/>
              </w:rPr>
            </w:pPr>
            <w:r>
              <w:rPr>
                <w:szCs w:val="21"/>
              </w:rPr>
              <w:t>湖南省人民政府关于调整湖南省征地补偿标准的通知（湘政发[201</w:t>
            </w:r>
            <w:r>
              <w:rPr>
                <w:rFonts w:hint="eastAsia"/>
                <w:szCs w:val="21"/>
              </w:rPr>
              <w:t>8</w:t>
            </w:r>
            <w:r>
              <w:rPr>
                <w:szCs w:val="21"/>
              </w:rPr>
              <w:t>]</w:t>
            </w:r>
            <w:r>
              <w:rPr>
                <w:rFonts w:hint="eastAsia"/>
                <w:szCs w:val="21"/>
              </w:rPr>
              <w:t>5</w:t>
            </w:r>
            <w:r>
              <w:rPr>
                <w:szCs w:val="21"/>
              </w:rPr>
              <w:t>号）</w:t>
            </w:r>
            <w:r>
              <w:rPr>
                <w:rFonts w:hint="eastAsia"/>
                <w:szCs w:val="21"/>
              </w:rPr>
              <w:t>：</w:t>
            </w:r>
            <w:r>
              <w:rPr>
                <w:kern w:val="0"/>
                <w:szCs w:val="21"/>
              </w:rPr>
              <w:t>按</w:t>
            </w:r>
            <w:r>
              <w:rPr>
                <w:kern w:val="0"/>
                <w:szCs w:val="21"/>
              </w:rPr>
              <w:fldChar w:fldCharType="begin"/>
            </w:r>
            <w:r>
              <w:rPr>
                <w:kern w:val="0"/>
                <w:szCs w:val="21"/>
              </w:rPr>
              <w:instrText xml:space="preserve"> = 1 \* ROMAN </w:instrText>
            </w:r>
            <w:r>
              <w:rPr>
                <w:kern w:val="0"/>
                <w:szCs w:val="21"/>
              </w:rPr>
              <w:fldChar w:fldCharType="separate"/>
            </w:r>
            <w:r>
              <w:rPr>
                <w:kern w:val="0"/>
                <w:szCs w:val="21"/>
              </w:rPr>
              <w:t>I</w:t>
            </w:r>
            <w:r>
              <w:rPr>
                <w:kern w:val="0"/>
                <w:szCs w:val="21"/>
              </w:rPr>
              <w:fldChar w:fldCharType="end"/>
            </w:r>
            <w:r>
              <w:rPr>
                <w:kern w:val="0"/>
                <w:szCs w:val="21"/>
              </w:rPr>
              <w:t>区71100元/亩，</w:t>
            </w:r>
            <w:r>
              <w:rPr>
                <w:kern w:val="0"/>
                <w:szCs w:val="21"/>
              </w:rPr>
              <w:fldChar w:fldCharType="begin"/>
            </w:r>
            <w:r>
              <w:rPr>
                <w:kern w:val="0"/>
                <w:szCs w:val="21"/>
              </w:rPr>
              <w:instrText xml:space="preserve"> = 2 \* ROMAN </w:instrText>
            </w:r>
            <w:r>
              <w:rPr>
                <w:kern w:val="0"/>
                <w:szCs w:val="21"/>
              </w:rPr>
              <w:fldChar w:fldCharType="separate"/>
            </w:r>
            <w:r>
              <w:rPr>
                <w:kern w:val="0"/>
                <w:szCs w:val="21"/>
              </w:rPr>
              <w:t>II</w:t>
            </w:r>
            <w:r>
              <w:rPr>
                <w:kern w:val="0"/>
                <w:szCs w:val="21"/>
              </w:rPr>
              <w:fldChar w:fldCharType="end"/>
            </w:r>
            <w:r>
              <w:rPr>
                <w:kern w:val="0"/>
                <w:szCs w:val="21"/>
              </w:rPr>
              <w:t>区68400元/亩；水田，基本农田1.2；耕地（除水田）、草地、其他农用地、建设用地1；园地、林地0.8,；未利用地0.6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6" w:hRule="atLeast"/>
          <w:jc w:val="center"/>
        </w:trPr>
        <w:tc>
          <w:tcPr>
            <w:tcW w:w="1189" w:type="dxa"/>
            <w:vMerge w:val="restart"/>
            <w:tcBorders>
              <w:top w:val="nil"/>
              <w:left w:val="single" w:color="auto" w:sz="4" w:space="0"/>
              <w:bottom w:val="single" w:color="000000" w:sz="4" w:space="0"/>
              <w:right w:val="single" w:color="auto" w:sz="4" w:space="0"/>
            </w:tcBorders>
            <w:vAlign w:val="center"/>
          </w:tcPr>
          <w:p>
            <w:pPr>
              <w:widowControl/>
              <w:ind w:left="-105" w:leftChars="-50" w:right="-105" w:rightChars="-50"/>
              <w:jc w:val="center"/>
              <w:rPr>
                <w:kern w:val="0"/>
                <w:szCs w:val="21"/>
              </w:rPr>
            </w:pPr>
            <w:r>
              <w:rPr>
                <w:kern w:val="0"/>
                <w:szCs w:val="21"/>
              </w:rPr>
              <w:t>相关税费</w:t>
            </w:r>
          </w:p>
        </w:tc>
        <w:tc>
          <w:tcPr>
            <w:tcW w:w="1566"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耕地占用税</w:t>
            </w:r>
          </w:p>
        </w:tc>
        <w:tc>
          <w:tcPr>
            <w:tcW w:w="1080" w:type="dxa"/>
            <w:tcBorders>
              <w:top w:val="nil"/>
              <w:left w:val="nil"/>
              <w:bottom w:val="single" w:color="auto" w:sz="4" w:space="0"/>
              <w:right w:val="single" w:color="auto" w:sz="4" w:space="0"/>
            </w:tcBorders>
            <w:vAlign w:val="center"/>
          </w:tcPr>
          <w:p>
            <w:pPr>
              <w:widowControl/>
              <w:jc w:val="center"/>
              <w:textAlignment w:val="center"/>
              <w:rPr>
                <w:color w:val="000000"/>
                <w:szCs w:val="21"/>
              </w:rPr>
            </w:pPr>
            <w:r>
              <w:rPr>
                <w:rFonts w:hint="default" w:ascii="Times New Roman" w:hAnsi="Times New Roman" w:eastAsia="宋体" w:cs="Times New Roman"/>
                <w:i w:val="0"/>
                <w:color w:val="000000"/>
                <w:kern w:val="0"/>
                <w:sz w:val="21"/>
                <w:szCs w:val="21"/>
                <w:u w:val="none"/>
                <w:lang w:val="en-US" w:eastAsia="zh-CN"/>
              </w:rPr>
              <w:t>32</w:t>
            </w:r>
          </w:p>
        </w:tc>
        <w:tc>
          <w:tcPr>
            <w:tcW w:w="5481" w:type="dxa"/>
            <w:tcBorders>
              <w:top w:val="nil"/>
              <w:left w:val="nil"/>
              <w:bottom w:val="single" w:color="auto" w:sz="4" w:space="0"/>
              <w:right w:val="single" w:color="auto" w:sz="4" w:space="0"/>
            </w:tcBorders>
            <w:vAlign w:val="center"/>
          </w:tcPr>
          <w:p>
            <w:pPr>
              <w:spacing w:line="240" w:lineRule="exact"/>
              <w:ind w:left="-105" w:leftChars="-50" w:right="-105" w:rightChars="-50"/>
              <w:jc w:val="center"/>
              <w:rPr>
                <w:kern w:val="0"/>
                <w:szCs w:val="21"/>
              </w:rPr>
            </w:pPr>
            <w:r>
              <w:rPr>
                <w:kern w:val="0"/>
                <w:szCs w:val="21"/>
              </w:rPr>
              <w:t>湖南省实施《中华人民共和国耕地占用税暂行条例》办法（湖南省人民政府231号令）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189" w:type="dxa"/>
            <w:vMerge w:val="continue"/>
            <w:tcBorders>
              <w:top w:val="nil"/>
              <w:left w:val="single" w:color="auto" w:sz="4" w:space="0"/>
              <w:bottom w:val="single" w:color="000000" w:sz="4" w:space="0"/>
              <w:right w:val="single" w:color="auto" w:sz="4" w:space="0"/>
            </w:tcBorders>
            <w:vAlign w:val="center"/>
          </w:tcPr>
          <w:p>
            <w:pPr>
              <w:widowControl/>
              <w:ind w:left="-105" w:leftChars="-50" w:right="-105" w:rightChars="-50"/>
              <w:jc w:val="center"/>
              <w:rPr>
                <w:kern w:val="0"/>
                <w:szCs w:val="21"/>
              </w:rPr>
            </w:pPr>
          </w:p>
        </w:tc>
        <w:tc>
          <w:tcPr>
            <w:tcW w:w="1566"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水利建设基金</w:t>
            </w:r>
          </w:p>
        </w:tc>
        <w:tc>
          <w:tcPr>
            <w:tcW w:w="1080" w:type="dxa"/>
            <w:tcBorders>
              <w:top w:val="nil"/>
              <w:left w:val="nil"/>
              <w:bottom w:val="single" w:color="auto" w:sz="4" w:space="0"/>
              <w:right w:val="single" w:color="auto" w:sz="4" w:space="0"/>
            </w:tcBorders>
            <w:vAlign w:val="center"/>
          </w:tcPr>
          <w:p>
            <w:pPr>
              <w:widowControl/>
              <w:jc w:val="center"/>
              <w:textAlignment w:val="center"/>
              <w:rPr>
                <w:color w:val="000000"/>
                <w:szCs w:val="21"/>
              </w:rPr>
            </w:pPr>
            <w:r>
              <w:rPr>
                <w:rFonts w:hint="default" w:ascii="Times New Roman" w:hAnsi="Times New Roman" w:eastAsia="宋体" w:cs="Times New Roman"/>
                <w:i w:val="0"/>
                <w:color w:val="000000"/>
                <w:kern w:val="0"/>
                <w:sz w:val="21"/>
                <w:szCs w:val="21"/>
                <w:u w:val="none"/>
                <w:lang w:val="en-US" w:eastAsia="zh-CN"/>
              </w:rPr>
              <w:t>2.4</w:t>
            </w:r>
          </w:p>
        </w:tc>
        <w:tc>
          <w:tcPr>
            <w:tcW w:w="5481"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湖南省人民政府关于印发《湖南省水利建设基金筹集和使用管理办法》的通知（湘政办发[2011]27号），按应缴新增建设用地有偿使用费的10%缴纳水利建设基金。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9" w:hRule="atLeast"/>
          <w:jc w:val="center"/>
        </w:trPr>
        <w:tc>
          <w:tcPr>
            <w:tcW w:w="1189" w:type="dxa"/>
            <w:vMerge w:val="continue"/>
            <w:tcBorders>
              <w:top w:val="nil"/>
              <w:left w:val="single" w:color="auto" w:sz="4" w:space="0"/>
              <w:bottom w:val="single" w:color="000000" w:sz="4" w:space="0"/>
              <w:right w:val="single" w:color="auto" w:sz="4" w:space="0"/>
            </w:tcBorders>
            <w:vAlign w:val="center"/>
          </w:tcPr>
          <w:p>
            <w:pPr>
              <w:widowControl/>
              <w:ind w:left="-105" w:leftChars="-50" w:right="-105" w:rightChars="-50"/>
              <w:jc w:val="center"/>
              <w:rPr>
                <w:kern w:val="0"/>
                <w:szCs w:val="21"/>
              </w:rPr>
            </w:pPr>
          </w:p>
        </w:tc>
        <w:tc>
          <w:tcPr>
            <w:tcW w:w="1566"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耕地开垦费</w:t>
            </w:r>
          </w:p>
        </w:tc>
        <w:tc>
          <w:tcPr>
            <w:tcW w:w="1080" w:type="dxa"/>
            <w:tcBorders>
              <w:top w:val="nil"/>
              <w:left w:val="nil"/>
              <w:bottom w:val="single" w:color="auto" w:sz="4" w:space="0"/>
              <w:right w:val="single" w:color="auto" w:sz="4" w:space="0"/>
            </w:tcBorders>
            <w:vAlign w:val="center"/>
          </w:tcPr>
          <w:p>
            <w:pPr>
              <w:widowControl/>
              <w:jc w:val="center"/>
              <w:textAlignment w:val="center"/>
              <w:rPr>
                <w:color w:val="000000"/>
                <w:szCs w:val="21"/>
              </w:rPr>
            </w:pPr>
            <w:r>
              <w:rPr>
                <w:rFonts w:hint="default" w:ascii="Times New Roman" w:hAnsi="Times New Roman" w:eastAsia="宋体" w:cs="Times New Roman"/>
                <w:i w:val="0"/>
                <w:color w:val="000000"/>
                <w:kern w:val="0"/>
                <w:sz w:val="21"/>
                <w:szCs w:val="21"/>
                <w:u w:val="none"/>
                <w:lang w:val="en-US" w:eastAsia="zh-CN"/>
              </w:rPr>
              <w:t>33</w:t>
            </w:r>
          </w:p>
        </w:tc>
        <w:tc>
          <w:tcPr>
            <w:tcW w:w="5481" w:type="dxa"/>
            <w:tcBorders>
              <w:top w:val="nil"/>
              <w:left w:val="nil"/>
              <w:bottom w:val="single" w:color="auto" w:sz="4" w:space="0"/>
              <w:right w:val="single" w:color="auto" w:sz="4" w:space="0"/>
            </w:tcBorders>
            <w:vAlign w:val="center"/>
          </w:tcPr>
          <w:p>
            <w:pPr>
              <w:spacing w:line="240" w:lineRule="exact"/>
              <w:ind w:left="-105" w:leftChars="-50" w:right="-105" w:rightChars="-50"/>
              <w:jc w:val="center"/>
              <w:rPr>
                <w:kern w:val="0"/>
                <w:szCs w:val="21"/>
              </w:rPr>
            </w:pPr>
            <w:r>
              <w:rPr>
                <w:kern w:val="0"/>
                <w:szCs w:val="21"/>
              </w:rPr>
              <w:t>湖南省人民政府办公厅关于印发《湖南省耕地开垦征收使用管理办法》的通知（湘政办发[2010]47号），长沙县为四等，其中水田1.6万元/亩，旱地1.0万元/亩，合为24元/ m2和15元/ m2。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35" w:hRule="atLeast"/>
          <w:jc w:val="center"/>
        </w:trPr>
        <w:tc>
          <w:tcPr>
            <w:tcW w:w="1189" w:type="dxa"/>
            <w:vMerge w:val="continue"/>
            <w:tcBorders>
              <w:top w:val="nil"/>
              <w:left w:val="single" w:color="auto" w:sz="4" w:space="0"/>
              <w:bottom w:val="single" w:color="000000" w:sz="4" w:space="0"/>
              <w:right w:val="single" w:color="auto" w:sz="4" w:space="0"/>
            </w:tcBorders>
            <w:vAlign w:val="center"/>
          </w:tcPr>
          <w:p>
            <w:pPr>
              <w:widowControl/>
              <w:ind w:left="-105" w:leftChars="-50" w:right="-105" w:rightChars="-50"/>
              <w:jc w:val="center"/>
              <w:rPr>
                <w:kern w:val="0"/>
                <w:szCs w:val="21"/>
              </w:rPr>
            </w:pPr>
          </w:p>
        </w:tc>
        <w:tc>
          <w:tcPr>
            <w:tcW w:w="1566"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社保基金</w:t>
            </w:r>
          </w:p>
        </w:tc>
        <w:tc>
          <w:tcPr>
            <w:tcW w:w="1080" w:type="dxa"/>
            <w:tcBorders>
              <w:top w:val="nil"/>
              <w:left w:val="nil"/>
              <w:bottom w:val="single" w:color="auto" w:sz="4" w:space="0"/>
              <w:right w:val="single" w:color="auto" w:sz="4" w:space="0"/>
            </w:tcBorders>
            <w:vAlign w:val="center"/>
          </w:tcPr>
          <w:p>
            <w:pPr>
              <w:widowControl/>
              <w:jc w:val="center"/>
              <w:textAlignment w:val="center"/>
              <w:rPr>
                <w:color w:val="000000"/>
                <w:szCs w:val="21"/>
              </w:rPr>
            </w:pPr>
            <w:r>
              <w:rPr>
                <w:rFonts w:hint="default" w:ascii="Times New Roman" w:hAnsi="Times New Roman" w:eastAsia="宋体" w:cs="Times New Roman"/>
                <w:i w:val="0"/>
                <w:color w:val="000000"/>
                <w:kern w:val="0"/>
                <w:sz w:val="21"/>
                <w:szCs w:val="21"/>
                <w:u w:val="none"/>
                <w:lang w:val="en-US" w:eastAsia="zh-CN"/>
              </w:rPr>
              <w:t>80</w:t>
            </w:r>
          </w:p>
        </w:tc>
        <w:tc>
          <w:tcPr>
            <w:tcW w:w="5481" w:type="dxa"/>
            <w:tcBorders>
              <w:top w:val="nil"/>
              <w:left w:val="nil"/>
              <w:bottom w:val="single" w:color="auto" w:sz="4" w:space="0"/>
              <w:right w:val="single" w:color="auto" w:sz="4" w:space="0"/>
            </w:tcBorders>
            <w:vAlign w:val="center"/>
          </w:tcPr>
          <w:p>
            <w:pPr>
              <w:spacing w:line="240" w:lineRule="exact"/>
              <w:ind w:left="-105" w:leftChars="-50" w:right="-105" w:rightChars="-50"/>
              <w:jc w:val="center"/>
              <w:rPr>
                <w:kern w:val="0"/>
                <w:szCs w:val="21"/>
              </w:rPr>
            </w:pPr>
            <w:r>
              <w:rPr>
                <w:kern w:val="0"/>
                <w:szCs w:val="21"/>
              </w:rPr>
              <w:t>《湖南省人民政府办公厅转发省人力资源社会保障厅&lt;关于做好被征地农民社会保障工作的意见&gt;的通知》（湘政办发[2014]）31号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89" w:type="dxa"/>
            <w:vMerge w:val="continue"/>
            <w:tcBorders>
              <w:top w:val="nil"/>
              <w:left w:val="single" w:color="auto" w:sz="4" w:space="0"/>
              <w:bottom w:val="single" w:color="000000" w:sz="4" w:space="0"/>
              <w:right w:val="single" w:color="auto" w:sz="4" w:space="0"/>
            </w:tcBorders>
            <w:vAlign w:val="center"/>
          </w:tcPr>
          <w:p>
            <w:pPr>
              <w:widowControl/>
              <w:ind w:left="-105" w:leftChars="-50" w:right="-105" w:rightChars="-50"/>
              <w:jc w:val="center"/>
              <w:rPr>
                <w:kern w:val="0"/>
                <w:szCs w:val="21"/>
              </w:rPr>
            </w:pPr>
          </w:p>
        </w:tc>
        <w:tc>
          <w:tcPr>
            <w:tcW w:w="1566"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小计</w:t>
            </w:r>
          </w:p>
        </w:tc>
        <w:tc>
          <w:tcPr>
            <w:tcW w:w="1080" w:type="dxa"/>
            <w:tcBorders>
              <w:top w:val="nil"/>
              <w:left w:val="nil"/>
              <w:bottom w:val="single" w:color="auto" w:sz="4" w:space="0"/>
              <w:right w:val="single" w:color="auto" w:sz="4" w:space="0"/>
            </w:tcBorders>
            <w:vAlign w:val="center"/>
          </w:tcPr>
          <w:p>
            <w:pPr>
              <w:widowControl/>
              <w:jc w:val="center"/>
              <w:textAlignment w:val="center"/>
              <w:rPr>
                <w:color w:val="000000"/>
                <w:szCs w:val="21"/>
              </w:rPr>
            </w:pPr>
            <w:r>
              <w:rPr>
                <w:rFonts w:hint="default" w:ascii="Times New Roman" w:hAnsi="Times New Roman" w:eastAsia="宋体" w:cs="Times New Roman"/>
                <w:i w:val="0"/>
                <w:color w:val="000000"/>
                <w:kern w:val="0"/>
                <w:sz w:val="21"/>
                <w:szCs w:val="21"/>
                <w:u w:val="none"/>
                <w:lang w:val="en-US" w:eastAsia="zh-CN"/>
              </w:rPr>
              <w:t>249.4</w:t>
            </w:r>
          </w:p>
        </w:tc>
        <w:tc>
          <w:tcPr>
            <w:tcW w:w="5481" w:type="dxa"/>
            <w:tcBorders>
              <w:top w:val="nil"/>
              <w:left w:val="nil"/>
              <w:bottom w:val="single" w:color="auto" w:sz="4" w:space="0"/>
              <w:right w:val="single" w:color="auto" w:sz="4" w:space="0"/>
            </w:tcBorders>
            <w:vAlign w:val="center"/>
          </w:tcPr>
          <w:p>
            <w:pPr>
              <w:jc w:val="center"/>
              <w:rPr>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89" w:type="dxa"/>
            <w:tcBorders>
              <w:top w:val="nil"/>
              <w:left w:val="single" w:color="auto" w:sz="4" w:space="0"/>
              <w:bottom w:val="single" w:color="000000" w:sz="4" w:space="0"/>
              <w:right w:val="single" w:color="auto" w:sz="4" w:space="0"/>
            </w:tcBorders>
            <w:vAlign w:val="center"/>
          </w:tcPr>
          <w:p>
            <w:pPr>
              <w:widowControl/>
              <w:ind w:left="-105" w:leftChars="-50" w:right="-105" w:rightChars="-50"/>
              <w:jc w:val="center"/>
              <w:rPr>
                <w:kern w:val="0"/>
                <w:szCs w:val="21"/>
              </w:rPr>
            </w:pPr>
            <w:r>
              <w:rPr>
                <w:kern w:val="0"/>
                <w:szCs w:val="21"/>
              </w:rPr>
              <w:t>开发费用</w:t>
            </w:r>
          </w:p>
        </w:tc>
        <w:tc>
          <w:tcPr>
            <w:tcW w:w="1566"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五通一平</w:t>
            </w:r>
          </w:p>
        </w:tc>
        <w:tc>
          <w:tcPr>
            <w:tcW w:w="1080" w:type="dxa"/>
            <w:tcBorders>
              <w:top w:val="nil"/>
              <w:left w:val="nil"/>
              <w:bottom w:val="single" w:color="auto" w:sz="4" w:space="0"/>
              <w:right w:val="single" w:color="auto" w:sz="4" w:space="0"/>
            </w:tcBorders>
            <w:vAlign w:val="center"/>
          </w:tcPr>
          <w:p>
            <w:pPr>
              <w:widowControl/>
              <w:jc w:val="center"/>
              <w:textAlignment w:val="center"/>
              <w:rPr>
                <w:color w:val="000000"/>
                <w:szCs w:val="21"/>
              </w:rPr>
            </w:pPr>
            <w:r>
              <w:rPr>
                <w:rFonts w:hint="default" w:ascii="Times New Roman" w:hAnsi="Times New Roman" w:eastAsia="宋体" w:cs="Times New Roman"/>
                <w:i w:val="0"/>
                <w:color w:val="000000"/>
                <w:kern w:val="0"/>
                <w:sz w:val="21"/>
                <w:szCs w:val="21"/>
                <w:u w:val="none"/>
                <w:lang w:val="en-US" w:eastAsia="zh-CN"/>
              </w:rPr>
              <w:t>150</w:t>
            </w:r>
          </w:p>
        </w:tc>
        <w:tc>
          <w:tcPr>
            <w:tcW w:w="5481" w:type="dxa"/>
            <w:tcBorders>
              <w:top w:val="nil"/>
              <w:left w:val="nil"/>
              <w:bottom w:val="single" w:color="auto" w:sz="4" w:space="0"/>
              <w:right w:val="single" w:color="auto" w:sz="4" w:space="0"/>
            </w:tcBorders>
            <w:vAlign w:val="center"/>
          </w:tcPr>
          <w:p>
            <w:pPr>
              <w:widowControl/>
              <w:jc w:val="center"/>
              <w:rPr>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1" w:hRule="atLeast"/>
          <w:jc w:val="center"/>
        </w:trPr>
        <w:tc>
          <w:tcPr>
            <w:tcW w:w="1189"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kern w:val="0"/>
                <w:szCs w:val="21"/>
              </w:rPr>
            </w:pPr>
            <w:r>
              <w:rPr>
                <w:kern w:val="0"/>
                <w:szCs w:val="21"/>
              </w:rPr>
              <w:t>投资利息</w:t>
            </w:r>
          </w:p>
        </w:tc>
        <w:tc>
          <w:tcPr>
            <w:tcW w:w="1566" w:type="dxa"/>
            <w:tcBorders>
              <w:top w:val="nil"/>
              <w:left w:val="nil"/>
              <w:bottom w:val="single" w:color="auto" w:sz="4" w:space="0"/>
              <w:right w:val="single" w:color="auto" w:sz="4" w:space="0"/>
            </w:tcBorders>
            <w:vAlign w:val="center"/>
          </w:tcPr>
          <w:p>
            <w:pPr>
              <w:jc w:val="center"/>
              <w:rPr>
                <w:szCs w:val="21"/>
              </w:rPr>
            </w:pPr>
          </w:p>
        </w:tc>
        <w:tc>
          <w:tcPr>
            <w:tcW w:w="1080" w:type="dxa"/>
            <w:tcBorders>
              <w:top w:val="nil"/>
              <w:left w:val="nil"/>
              <w:bottom w:val="single" w:color="auto" w:sz="4" w:space="0"/>
              <w:right w:val="single" w:color="auto" w:sz="4" w:space="0"/>
            </w:tcBorders>
            <w:vAlign w:val="center"/>
          </w:tcPr>
          <w:p>
            <w:pPr>
              <w:widowControl/>
              <w:jc w:val="center"/>
              <w:textAlignment w:val="bottom"/>
              <w:rPr>
                <w:color w:val="000000"/>
                <w:szCs w:val="21"/>
              </w:rPr>
            </w:pPr>
            <w:r>
              <w:rPr>
                <w:rFonts w:hint="default" w:ascii="Times New Roman" w:hAnsi="Times New Roman" w:eastAsia="宋体" w:cs="Times New Roman"/>
                <w:i w:val="0"/>
                <w:color w:val="000000"/>
                <w:kern w:val="0"/>
                <w:sz w:val="21"/>
                <w:szCs w:val="21"/>
                <w:u w:val="none"/>
                <w:lang w:val="en-US" w:eastAsia="zh-CN"/>
              </w:rPr>
              <w:t>21.65</w:t>
            </w:r>
          </w:p>
        </w:tc>
        <w:tc>
          <w:tcPr>
            <w:tcW w:w="5481"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取费标准</w:t>
            </w:r>
            <w:r>
              <w:rPr>
                <w:szCs w:val="21"/>
              </w:rPr>
              <w:t>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89"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kern w:val="0"/>
                <w:szCs w:val="21"/>
              </w:rPr>
            </w:pPr>
            <w:r>
              <w:rPr>
                <w:kern w:val="0"/>
                <w:szCs w:val="21"/>
              </w:rPr>
              <w:t>投资利润</w:t>
            </w:r>
          </w:p>
        </w:tc>
        <w:tc>
          <w:tcPr>
            <w:tcW w:w="1566" w:type="dxa"/>
            <w:tcBorders>
              <w:top w:val="nil"/>
              <w:left w:val="nil"/>
              <w:bottom w:val="single" w:color="auto" w:sz="4" w:space="0"/>
              <w:right w:val="single" w:color="auto" w:sz="4" w:space="0"/>
            </w:tcBorders>
            <w:vAlign w:val="center"/>
          </w:tcPr>
          <w:p>
            <w:pPr>
              <w:jc w:val="center"/>
              <w:rPr>
                <w:szCs w:val="21"/>
              </w:rPr>
            </w:pPr>
          </w:p>
        </w:tc>
        <w:tc>
          <w:tcPr>
            <w:tcW w:w="1080" w:type="dxa"/>
            <w:tcBorders>
              <w:top w:val="nil"/>
              <w:left w:val="nil"/>
              <w:bottom w:val="single" w:color="auto" w:sz="4" w:space="0"/>
              <w:right w:val="single" w:color="auto" w:sz="4" w:space="0"/>
            </w:tcBorders>
            <w:vAlign w:val="center"/>
          </w:tcPr>
          <w:p>
            <w:pPr>
              <w:widowControl/>
              <w:jc w:val="center"/>
              <w:textAlignment w:val="bottom"/>
              <w:rPr>
                <w:color w:val="000000"/>
                <w:szCs w:val="21"/>
              </w:rPr>
            </w:pPr>
            <w:r>
              <w:rPr>
                <w:rFonts w:hint="default" w:ascii="Times New Roman" w:hAnsi="Times New Roman" w:eastAsia="宋体" w:cs="Times New Roman"/>
                <w:i w:val="0"/>
                <w:color w:val="000000"/>
                <w:kern w:val="0"/>
                <w:sz w:val="21"/>
                <w:szCs w:val="21"/>
                <w:u w:val="none"/>
                <w:lang w:val="en-US" w:eastAsia="zh-CN"/>
              </w:rPr>
              <w:t>22.31</w:t>
            </w:r>
          </w:p>
        </w:tc>
        <w:tc>
          <w:tcPr>
            <w:tcW w:w="5481" w:type="dxa"/>
            <w:tcBorders>
              <w:top w:val="nil"/>
              <w:left w:val="nil"/>
              <w:bottom w:val="single" w:color="auto" w:sz="4" w:space="0"/>
              <w:right w:val="single" w:color="auto" w:sz="4" w:space="0"/>
            </w:tcBorders>
            <w:vAlign w:val="center"/>
          </w:tcPr>
          <w:p>
            <w:pPr>
              <w:widowControl/>
              <w:jc w:val="center"/>
              <w:rPr>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89" w:type="dxa"/>
            <w:tcBorders>
              <w:top w:val="nil"/>
              <w:left w:val="single" w:color="auto" w:sz="4" w:space="0"/>
              <w:bottom w:val="single" w:color="auto" w:sz="4" w:space="0"/>
              <w:right w:val="single" w:color="auto" w:sz="4" w:space="0"/>
            </w:tcBorders>
            <w:vAlign w:val="center"/>
          </w:tcPr>
          <w:p>
            <w:pPr>
              <w:widowControl/>
              <w:spacing w:line="240" w:lineRule="exact"/>
              <w:ind w:left="-105" w:leftChars="-50" w:right="-105" w:rightChars="-50"/>
              <w:jc w:val="center"/>
              <w:rPr>
                <w:kern w:val="0"/>
                <w:szCs w:val="21"/>
              </w:rPr>
            </w:pPr>
            <w:r>
              <w:rPr>
                <w:kern w:val="0"/>
                <w:szCs w:val="21"/>
              </w:rPr>
              <w:t>土地增值收益</w:t>
            </w:r>
          </w:p>
        </w:tc>
        <w:tc>
          <w:tcPr>
            <w:tcW w:w="1566" w:type="dxa"/>
            <w:tcBorders>
              <w:top w:val="nil"/>
              <w:left w:val="nil"/>
              <w:bottom w:val="single" w:color="auto" w:sz="4" w:space="0"/>
              <w:right w:val="single" w:color="auto" w:sz="4" w:space="0"/>
            </w:tcBorders>
            <w:vAlign w:val="center"/>
          </w:tcPr>
          <w:p>
            <w:pPr>
              <w:jc w:val="center"/>
              <w:rPr>
                <w:szCs w:val="21"/>
              </w:rPr>
            </w:pPr>
          </w:p>
        </w:tc>
        <w:tc>
          <w:tcPr>
            <w:tcW w:w="1080" w:type="dxa"/>
            <w:tcBorders>
              <w:top w:val="nil"/>
              <w:left w:val="nil"/>
              <w:bottom w:val="single" w:color="auto" w:sz="4" w:space="0"/>
              <w:right w:val="single" w:color="auto" w:sz="4" w:space="0"/>
            </w:tcBorders>
            <w:vAlign w:val="center"/>
          </w:tcPr>
          <w:p>
            <w:pPr>
              <w:widowControl/>
              <w:jc w:val="center"/>
              <w:textAlignment w:val="bottom"/>
              <w:rPr>
                <w:color w:val="000000"/>
                <w:szCs w:val="21"/>
              </w:rPr>
            </w:pPr>
            <w:r>
              <w:rPr>
                <w:rFonts w:hint="default" w:ascii="Times New Roman" w:hAnsi="Times New Roman" w:eastAsia="宋体" w:cs="Times New Roman"/>
                <w:i w:val="0"/>
                <w:color w:val="000000"/>
                <w:kern w:val="0"/>
                <w:sz w:val="21"/>
                <w:szCs w:val="21"/>
                <w:u w:val="none"/>
                <w:lang w:val="en-US" w:eastAsia="zh-CN"/>
              </w:rPr>
              <w:t>36.64</w:t>
            </w:r>
          </w:p>
        </w:tc>
        <w:tc>
          <w:tcPr>
            <w:tcW w:w="5481" w:type="dxa"/>
            <w:tcBorders>
              <w:top w:val="nil"/>
              <w:left w:val="nil"/>
              <w:bottom w:val="single" w:color="auto" w:sz="4" w:space="0"/>
              <w:right w:val="single" w:color="auto" w:sz="4" w:space="0"/>
            </w:tcBorders>
            <w:vAlign w:val="center"/>
          </w:tcPr>
          <w:p>
            <w:pPr>
              <w:widowControl/>
              <w:jc w:val="center"/>
              <w:rPr>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2755" w:type="dxa"/>
            <w:gridSpan w:val="2"/>
            <w:tcBorders>
              <w:top w:val="single" w:color="auto" w:sz="4" w:space="0"/>
              <w:left w:val="single" w:color="auto" w:sz="4" w:space="0"/>
              <w:bottom w:val="single" w:color="auto" w:sz="4" w:space="0"/>
              <w:right w:val="single" w:color="000000" w:sz="4" w:space="0"/>
            </w:tcBorders>
            <w:vAlign w:val="center"/>
          </w:tcPr>
          <w:p>
            <w:pPr>
              <w:widowControl/>
              <w:jc w:val="center"/>
              <w:rPr>
                <w:kern w:val="0"/>
                <w:szCs w:val="21"/>
              </w:rPr>
            </w:pPr>
            <w:r>
              <w:rPr>
                <w:kern w:val="0"/>
                <w:szCs w:val="21"/>
              </w:rPr>
              <w:t>合计</w:t>
            </w:r>
          </w:p>
        </w:tc>
        <w:tc>
          <w:tcPr>
            <w:tcW w:w="1080" w:type="dxa"/>
            <w:tcBorders>
              <w:top w:val="nil"/>
              <w:left w:val="nil"/>
              <w:bottom w:val="single" w:color="auto" w:sz="4" w:space="0"/>
              <w:right w:val="single" w:color="auto" w:sz="4" w:space="0"/>
            </w:tcBorders>
            <w:vAlign w:val="center"/>
          </w:tcPr>
          <w:p>
            <w:pPr>
              <w:widowControl/>
              <w:jc w:val="center"/>
              <w:textAlignment w:val="bottom"/>
              <w:rPr>
                <w:szCs w:val="21"/>
              </w:rPr>
            </w:pPr>
            <w:r>
              <w:rPr>
                <w:rFonts w:eastAsia="Tahoma"/>
                <w:color w:val="000000"/>
                <w:kern w:val="0"/>
                <w:szCs w:val="21"/>
                <w:lang/>
              </w:rPr>
              <w:t>480</w:t>
            </w:r>
          </w:p>
        </w:tc>
        <w:tc>
          <w:tcPr>
            <w:tcW w:w="5481" w:type="dxa"/>
            <w:tcBorders>
              <w:top w:val="nil"/>
              <w:left w:val="nil"/>
              <w:bottom w:val="single" w:color="auto" w:sz="4" w:space="0"/>
              <w:right w:val="single" w:color="auto" w:sz="4" w:space="0"/>
            </w:tcBorders>
            <w:vAlign w:val="center"/>
          </w:tcPr>
          <w:p>
            <w:pPr>
              <w:jc w:val="center"/>
              <w:rPr>
                <w:color w:val="000000"/>
                <w:szCs w:val="21"/>
              </w:rPr>
            </w:pPr>
          </w:p>
        </w:tc>
      </w:tr>
    </w:tbl>
    <w:p>
      <w:pPr>
        <w:spacing w:line="520" w:lineRule="exact"/>
        <w:ind w:firstLine="480" w:firstLineChars="200"/>
        <w:rPr>
          <w:sz w:val="24"/>
          <w:szCs w:val="24"/>
        </w:rPr>
      </w:pPr>
      <w:r>
        <w:rPr>
          <w:sz w:val="24"/>
          <w:szCs w:val="24"/>
        </w:rPr>
        <w:t>（2）影响因素的确定</w:t>
      </w:r>
    </w:p>
    <w:p>
      <w:pPr>
        <w:spacing w:line="520" w:lineRule="exact"/>
        <w:ind w:firstLine="480" w:firstLineChars="200"/>
        <w:rPr>
          <w:sz w:val="24"/>
          <w:szCs w:val="24"/>
        </w:rPr>
      </w:pPr>
      <w:r>
        <w:rPr>
          <w:sz w:val="24"/>
          <w:szCs w:val="24"/>
        </w:rPr>
        <w:t>本次定级中，选用了繁华程度、交通条件、基本设施状况、环境条件和城市规划、人口状况等六大指标参与定级，定级因素（因子）权重选用特尔斐测定法确定。</w:t>
      </w:r>
    </w:p>
    <w:p>
      <w:pPr>
        <w:spacing w:line="520" w:lineRule="exact"/>
        <w:ind w:firstLine="480" w:firstLineChars="200"/>
        <w:rPr>
          <w:sz w:val="24"/>
          <w:szCs w:val="24"/>
        </w:rPr>
      </w:pPr>
      <w:r>
        <w:rPr>
          <w:sz w:val="24"/>
          <w:szCs w:val="24"/>
        </w:rPr>
        <w:t>（3）样点价格测算</w:t>
      </w:r>
    </w:p>
    <w:p>
      <w:pPr>
        <w:spacing w:line="520" w:lineRule="exact"/>
        <w:ind w:firstLine="480" w:firstLineChars="200"/>
        <w:rPr>
          <w:sz w:val="24"/>
          <w:szCs w:val="24"/>
        </w:rPr>
      </w:pPr>
      <w:r>
        <w:rPr>
          <w:sz w:val="24"/>
          <w:szCs w:val="24"/>
        </w:rPr>
        <w:t>根据待估土地价格和影响因素之间具有的相关关系，试建立适当的多元回归方程，据此确定不同因素影响下的</w:t>
      </w:r>
      <w:r>
        <w:rPr>
          <w:rFonts w:hint="eastAsia"/>
          <w:sz w:val="24"/>
          <w:szCs w:val="24"/>
        </w:rPr>
        <w:t>公共管理与公共服务用地</w:t>
      </w:r>
      <w:r>
        <w:rPr>
          <w:sz w:val="24"/>
          <w:szCs w:val="24"/>
        </w:rPr>
        <w:t>的价格。故将所要建立的回归方程设置为：</w:t>
      </w:r>
    </w:p>
    <w:p>
      <w:pPr>
        <w:spacing w:line="520" w:lineRule="exact"/>
        <w:ind w:firstLine="480" w:firstLineChars="200"/>
        <w:rPr>
          <w:sz w:val="24"/>
          <w:szCs w:val="24"/>
        </w:rPr>
      </w:pPr>
      <w:r>
        <w:rPr>
          <w:sz w:val="24"/>
          <w:szCs w:val="24"/>
        </w:rPr>
        <w:t>P=a+b1x1+b2x2+…+bnxn</w:t>
      </w:r>
    </w:p>
    <w:p>
      <w:pPr>
        <w:spacing w:line="520" w:lineRule="exact"/>
        <w:ind w:firstLine="480" w:firstLineChars="200"/>
        <w:rPr>
          <w:sz w:val="24"/>
          <w:szCs w:val="24"/>
        </w:rPr>
      </w:pPr>
      <w:r>
        <w:rPr>
          <w:sz w:val="24"/>
          <w:szCs w:val="24"/>
        </w:rPr>
        <w:t>式中，P 为</w:t>
      </w:r>
      <w:r>
        <w:rPr>
          <w:rFonts w:hint="eastAsia"/>
          <w:sz w:val="24"/>
          <w:szCs w:val="24"/>
        </w:rPr>
        <w:t>公共管理与公共服务用地</w:t>
      </w:r>
      <w:r>
        <w:rPr>
          <w:sz w:val="24"/>
          <w:szCs w:val="24"/>
        </w:rPr>
        <w:t>价格；x1, x2, …xn为影响</w:t>
      </w:r>
      <w:r>
        <w:rPr>
          <w:rFonts w:hint="eastAsia"/>
          <w:sz w:val="24"/>
          <w:szCs w:val="24"/>
        </w:rPr>
        <w:t>公共管理与公共服务用地</w:t>
      </w:r>
      <w:r>
        <w:rPr>
          <w:sz w:val="24"/>
          <w:szCs w:val="24"/>
        </w:rPr>
        <w:t>价格的因素；a, b1, b2,…,bn为回归系数。</w:t>
      </w:r>
    </w:p>
    <w:p>
      <w:pPr>
        <w:spacing w:line="520" w:lineRule="exact"/>
        <w:ind w:firstLine="480" w:firstLineChars="200"/>
        <w:rPr>
          <w:sz w:val="24"/>
          <w:szCs w:val="24"/>
        </w:rPr>
      </w:pPr>
      <w:r>
        <w:rPr>
          <w:sz w:val="24"/>
          <w:szCs w:val="24"/>
        </w:rPr>
        <w:t>（4）区片基准地价测算</w:t>
      </w:r>
    </w:p>
    <w:p>
      <w:pPr>
        <w:spacing w:line="520" w:lineRule="exact"/>
        <w:ind w:firstLine="480" w:firstLineChars="200"/>
        <w:rPr>
          <w:sz w:val="24"/>
          <w:szCs w:val="24"/>
        </w:rPr>
      </w:pPr>
      <w:r>
        <w:rPr>
          <w:sz w:val="24"/>
          <w:szCs w:val="24"/>
        </w:rPr>
        <w:t>通过数据检验、剔除异常值后，采用合格样本的算术平均值作为基本区片的单位地价。</w:t>
      </w:r>
    </w:p>
    <w:p>
      <w:pPr>
        <w:spacing w:line="520" w:lineRule="exact"/>
        <w:ind w:firstLine="480" w:firstLineChars="200"/>
        <w:rPr>
          <w:sz w:val="24"/>
          <w:szCs w:val="24"/>
        </w:rPr>
      </w:pPr>
      <w:r>
        <w:rPr>
          <w:sz w:val="24"/>
          <w:szCs w:val="24"/>
        </w:rPr>
        <w:t>P=∑Pi/M （i=1，2，……，M）</w:t>
      </w:r>
    </w:p>
    <w:p>
      <w:pPr>
        <w:spacing w:line="520" w:lineRule="exact"/>
        <w:ind w:firstLine="480" w:firstLineChars="200"/>
        <w:rPr>
          <w:sz w:val="24"/>
          <w:szCs w:val="24"/>
        </w:rPr>
      </w:pPr>
      <w:r>
        <w:rPr>
          <w:sz w:val="24"/>
          <w:szCs w:val="24"/>
        </w:rPr>
        <w:t>式中：P：某地价区片平均地价</w:t>
      </w:r>
    </w:p>
    <w:p>
      <w:pPr>
        <w:spacing w:line="520" w:lineRule="exact"/>
        <w:ind w:firstLine="480" w:firstLineChars="200"/>
        <w:rPr>
          <w:sz w:val="24"/>
          <w:szCs w:val="24"/>
        </w:rPr>
      </w:pPr>
      <w:r>
        <w:rPr>
          <w:sz w:val="24"/>
          <w:szCs w:val="24"/>
        </w:rPr>
        <w:t>Pi：某地价区片内</w:t>
      </w:r>
      <w:r>
        <w:rPr>
          <w:rFonts w:hint="eastAsia"/>
          <w:sz w:val="24"/>
          <w:szCs w:val="24"/>
        </w:rPr>
        <w:t>公共管理与公共服务用地</w:t>
      </w:r>
      <w:r>
        <w:rPr>
          <w:sz w:val="24"/>
          <w:szCs w:val="24"/>
        </w:rPr>
        <w:t>各样点地价</w:t>
      </w:r>
    </w:p>
    <w:p>
      <w:pPr>
        <w:spacing w:line="520" w:lineRule="exact"/>
        <w:ind w:firstLine="480" w:firstLineChars="200"/>
        <w:rPr>
          <w:sz w:val="24"/>
          <w:szCs w:val="24"/>
        </w:rPr>
      </w:pPr>
      <w:r>
        <w:rPr>
          <w:sz w:val="24"/>
          <w:szCs w:val="24"/>
        </w:rPr>
        <w:t>M：地价区片内</w:t>
      </w:r>
      <w:r>
        <w:rPr>
          <w:rFonts w:hint="eastAsia"/>
          <w:sz w:val="24"/>
          <w:szCs w:val="24"/>
        </w:rPr>
        <w:t>公共管理与公共服务用地</w:t>
      </w:r>
      <w:r>
        <w:rPr>
          <w:sz w:val="24"/>
          <w:szCs w:val="24"/>
        </w:rPr>
        <w:t>有效样点总数</w:t>
      </w:r>
    </w:p>
    <w:p>
      <w:pPr>
        <w:spacing w:line="520" w:lineRule="exact"/>
        <w:ind w:firstLine="480" w:firstLineChars="200"/>
        <w:rPr>
          <w:sz w:val="24"/>
          <w:szCs w:val="24"/>
        </w:rPr>
      </w:pPr>
      <w:r>
        <w:rPr>
          <w:sz w:val="24"/>
          <w:szCs w:val="24"/>
        </w:rPr>
        <w:t>（5）</w:t>
      </w:r>
      <w:r>
        <w:rPr>
          <w:rFonts w:hint="eastAsia"/>
          <w:sz w:val="24"/>
          <w:szCs w:val="24"/>
        </w:rPr>
        <w:t>公共管理与公共服务用地</w:t>
      </w:r>
      <w:r>
        <w:rPr>
          <w:sz w:val="24"/>
          <w:szCs w:val="24"/>
        </w:rPr>
        <w:t>级别地价的测算</w:t>
      </w:r>
    </w:p>
    <w:p>
      <w:pPr>
        <w:spacing w:line="520" w:lineRule="exact"/>
        <w:ind w:firstLine="480" w:firstLineChars="200"/>
        <w:rPr>
          <w:sz w:val="24"/>
          <w:szCs w:val="24"/>
        </w:rPr>
      </w:pPr>
      <w:r>
        <w:rPr>
          <w:sz w:val="24"/>
          <w:szCs w:val="24"/>
        </w:rPr>
        <w:t>结合土地定级成果，将同级别内所有公共服务价格求取面积加权值，得到长沙县</w:t>
      </w:r>
      <w:r>
        <w:rPr>
          <w:rFonts w:hint="eastAsia"/>
          <w:sz w:val="24"/>
          <w:szCs w:val="24"/>
        </w:rPr>
        <w:t>公共管理与公共服务用地</w:t>
      </w:r>
      <w:r>
        <w:rPr>
          <w:sz w:val="24"/>
          <w:szCs w:val="24"/>
        </w:rPr>
        <w:t>级别基准地价。具体计算公式如下：</w:t>
      </w:r>
    </w:p>
    <w:p>
      <w:pPr>
        <w:spacing w:line="520" w:lineRule="exact"/>
        <w:ind w:firstLine="480" w:firstLineChars="200"/>
        <w:rPr>
          <w:sz w:val="24"/>
          <w:szCs w:val="24"/>
        </w:rPr>
      </w:pPr>
      <w:r>
        <w:rPr>
          <w:rFonts w:ascii="Times New Roman" w:hAnsi="Times New Roman" w:eastAsia="宋体" w:cs="Times New Roman"/>
          <w:kern w:val="2"/>
          <w:position w:val="-28"/>
          <w:sz w:val="24"/>
          <w:szCs w:val="24"/>
          <w:lang w:val="en-US" w:eastAsia="zh-CN" w:bidi="ar-SA"/>
        </w:rPr>
        <w:object>
          <v:shape id="Picture 28" type="#_x0000_t75" style="height:33.75pt;width:127.45pt;rotation:0f;" o:ole="t" fillcolor="#FFFFFF" filled="f" o:preferrelative="t" stroked="f" coordorigin="0,0" coordsize="21600,21600">
            <v:fill on="f" color2="#FFFFFF" focus="0%"/>
            <v:imagedata gain="65536f" blacklevel="0f" gamma="0" o:title="" r:id="rId131"/>
            <o:lock v:ext="edit" position="f" selection="f" grouping="f" rotation="f" cropping="f" text="f" aspectratio="t"/>
            <w10:wrap type="none"/>
            <w10:anchorlock/>
          </v:shape>
          <o:OLEObject Type="Embed" ProgID="" ShapeID="Picture 28" DrawAspect="Content" ObjectID="_298" r:id="rId130"/>
        </w:object>
      </w:r>
      <w:r>
        <w:rPr>
          <w:sz w:val="24"/>
          <w:szCs w:val="24"/>
        </w:rPr>
        <w:t xml:space="preserve">                            （公式4-5-1）</w:t>
      </w:r>
    </w:p>
    <w:p>
      <w:pPr>
        <w:spacing w:line="520" w:lineRule="exact"/>
        <w:ind w:firstLine="480" w:firstLineChars="200"/>
        <w:rPr>
          <w:sz w:val="24"/>
          <w:szCs w:val="24"/>
        </w:rPr>
      </w:pPr>
      <w:r>
        <w:rPr>
          <w:sz w:val="24"/>
          <w:szCs w:val="24"/>
        </w:rPr>
        <w:t>式中，V级=级别基准地价</w:t>
      </w:r>
    </w:p>
    <w:p>
      <w:pPr>
        <w:spacing w:line="520" w:lineRule="exact"/>
        <w:ind w:firstLine="480" w:firstLineChars="200"/>
        <w:rPr>
          <w:sz w:val="24"/>
          <w:szCs w:val="24"/>
        </w:rPr>
      </w:pPr>
      <w:r>
        <w:rPr>
          <w:sz w:val="24"/>
          <w:szCs w:val="24"/>
        </w:rPr>
        <w:t>Vi=均质区域平均地价</w:t>
      </w:r>
    </w:p>
    <w:p>
      <w:pPr>
        <w:spacing w:line="520" w:lineRule="exact"/>
        <w:ind w:firstLine="480" w:firstLineChars="200"/>
        <w:rPr>
          <w:sz w:val="24"/>
          <w:szCs w:val="24"/>
        </w:rPr>
      </w:pPr>
      <w:r>
        <w:rPr>
          <w:sz w:val="24"/>
          <w:szCs w:val="24"/>
        </w:rPr>
        <w:t>Si=均质区域面积</w:t>
      </w:r>
    </w:p>
    <w:p>
      <w:pPr>
        <w:spacing w:line="440" w:lineRule="exact"/>
        <w:ind w:firstLine="482" w:firstLineChars="200"/>
        <w:jc w:val="left"/>
        <w:rPr>
          <w:b/>
          <w:sz w:val="24"/>
          <w:szCs w:val="22"/>
        </w:rPr>
      </w:pPr>
      <w:r>
        <w:rPr>
          <w:b/>
          <w:sz w:val="24"/>
          <w:szCs w:val="22"/>
        </w:rPr>
        <w:t>6、</w:t>
      </w:r>
      <w:r>
        <w:rPr>
          <w:rFonts w:hint="eastAsia"/>
          <w:b/>
          <w:sz w:val="24"/>
          <w:szCs w:val="22"/>
        </w:rPr>
        <w:t>公共管理与公共服务用地</w:t>
      </w:r>
      <w:r>
        <w:rPr>
          <w:b/>
          <w:sz w:val="24"/>
          <w:szCs w:val="22"/>
        </w:rPr>
        <w:t>基准地价成果</w:t>
      </w:r>
    </w:p>
    <w:p>
      <w:pPr>
        <w:spacing w:line="440" w:lineRule="exact"/>
        <w:ind w:firstLine="480" w:firstLineChars="200"/>
        <w:jc w:val="left"/>
        <w:rPr>
          <w:sz w:val="24"/>
        </w:rPr>
      </w:pPr>
      <w:r>
        <w:rPr>
          <w:sz w:val="24"/>
        </w:rPr>
        <w:t>鉴于目前县城内大部分公共服务项目用地都是采用划拨方式供应，交易案例比较少，所以本次</w:t>
      </w:r>
      <w:r>
        <w:rPr>
          <w:rFonts w:hint="eastAsia"/>
          <w:sz w:val="24"/>
        </w:rPr>
        <w:t>公共管理与公共服务用地</w:t>
      </w:r>
      <w:r>
        <w:rPr>
          <w:sz w:val="24"/>
        </w:rPr>
        <w:t>基准地价评估过程中，主要采用成本逼近法、模型拟合法和用途转换法测算基准地价。具体测算结果见表</w:t>
      </w:r>
      <w:r>
        <w:rPr>
          <w:rFonts w:hint="eastAsia"/>
          <w:sz w:val="24"/>
        </w:rPr>
        <w:t>3-7-4</w:t>
      </w:r>
      <w:r>
        <w:rPr>
          <w:sz w:val="24"/>
        </w:rPr>
        <w:t>。</w:t>
      </w:r>
    </w:p>
    <w:p>
      <w:pPr>
        <w:snapToGrid w:val="0"/>
        <w:spacing w:line="440" w:lineRule="exact"/>
        <w:jc w:val="center"/>
        <w:rPr>
          <w:b/>
          <w:sz w:val="24"/>
          <w:szCs w:val="22"/>
        </w:rPr>
      </w:pPr>
      <w:r>
        <w:rPr>
          <w:b/>
          <w:sz w:val="24"/>
          <w:szCs w:val="22"/>
        </w:rPr>
        <w:t>表</w:t>
      </w:r>
      <w:r>
        <w:rPr>
          <w:rFonts w:hint="eastAsia"/>
          <w:b/>
          <w:sz w:val="24"/>
          <w:szCs w:val="22"/>
        </w:rPr>
        <w:t>3-7-4</w:t>
      </w:r>
      <w:r>
        <w:rPr>
          <w:b/>
          <w:sz w:val="24"/>
          <w:szCs w:val="22"/>
        </w:rPr>
        <w:t xml:space="preserve"> 长沙县城区公共</w:t>
      </w:r>
      <w:r>
        <w:rPr>
          <w:rFonts w:hint="eastAsia"/>
          <w:b/>
          <w:sz w:val="24"/>
          <w:szCs w:val="22"/>
        </w:rPr>
        <w:t>管理与公共</w:t>
      </w:r>
      <w:r>
        <w:rPr>
          <w:b/>
          <w:sz w:val="24"/>
          <w:szCs w:val="22"/>
        </w:rPr>
        <w:t>服务用地基准地价</w:t>
      </w:r>
    </w:p>
    <w:tbl>
      <w:tblPr>
        <w:tblW w:w="9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2115"/>
        <w:gridCol w:w="1851"/>
        <w:gridCol w:w="1855"/>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449" w:type="dxa"/>
            <w:vMerge w:val="restart"/>
            <w:vAlign w:val="center"/>
          </w:tcPr>
          <w:p>
            <w:pPr>
              <w:widowControl/>
              <w:jc w:val="center"/>
              <w:rPr>
                <w:b/>
                <w:color w:val="000000"/>
                <w:kern w:val="0"/>
                <w:sz w:val="20"/>
              </w:rPr>
            </w:pPr>
            <w:r>
              <w:rPr>
                <w:b/>
                <w:color w:val="000000"/>
                <w:kern w:val="0"/>
                <w:sz w:val="20"/>
              </w:rPr>
              <w:t>土地级别</w:t>
            </w:r>
          </w:p>
        </w:tc>
        <w:tc>
          <w:tcPr>
            <w:tcW w:w="3966" w:type="dxa"/>
            <w:gridSpan w:val="2"/>
            <w:vAlign w:val="center"/>
          </w:tcPr>
          <w:p>
            <w:pPr>
              <w:widowControl/>
              <w:jc w:val="center"/>
              <w:rPr>
                <w:b/>
                <w:color w:val="000000"/>
                <w:kern w:val="0"/>
                <w:sz w:val="20"/>
              </w:rPr>
            </w:pPr>
            <w:r>
              <w:rPr>
                <w:b/>
                <w:color w:val="000000"/>
                <w:kern w:val="0"/>
                <w:sz w:val="20"/>
              </w:rPr>
              <w:t>一类项目用地</w:t>
            </w:r>
          </w:p>
        </w:tc>
        <w:tc>
          <w:tcPr>
            <w:tcW w:w="3646" w:type="dxa"/>
            <w:gridSpan w:val="2"/>
            <w:vAlign w:val="center"/>
          </w:tcPr>
          <w:p>
            <w:pPr>
              <w:widowControl/>
              <w:jc w:val="center"/>
              <w:rPr>
                <w:b/>
                <w:color w:val="000000"/>
                <w:kern w:val="0"/>
                <w:sz w:val="20"/>
              </w:rPr>
            </w:pPr>
            <w:r>
              <w:rPr>
                <w:b/>
                <w:color w:val="000000"/>
                <w:kern w:val="0"/>
                <w:sz w:val="20"/>
              </w:rPr>
              <w:t>二类项目用地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49" w:type="dxa"/>
            <w:vMerge w:val="continue"/>
            <w:vAlign w:val="center"/>
          </w:tcPr>
          <w:p>
            <w:pPr>
              <w:widowControl/>
              <w:jc w:val="center"/>
              <w:rPr>
                <w:b/>
                <w:color w:val="000000"/>
                <w:kern w:val="0"/>
                <w:sz w:val="20"/>
              </w:rPr>
            </w:pPr>
          </w:p>
        </w:tc>
        <w:tc>
          <w:tcPr>
            <w:tcW w:w="2115" w:type="dxa"/>
            <w:vAlign w:val="center"/>
          </w:tcPr>
          <w:p>
            <w:pPr>
              <w:widowControl/>
              <w:jc w:val="center"/>
              <w:rPr>
                <w:b/>
                <w:color w:val="000000"/>
                <w:kern w:val="0"/>
                <w:sz w:val="20"/>
              </w:rPr>
            </w:pPr>
            <w:r>
              <w:rPr>
                <w:b/>
                <w:color w:val="000000"/>
                <w:kern w:val="0"/>
                <w:sz w:val="20"/>
              </w:rPr>
              <w:t>元/m</w:t>
            </w:r>
            <w:r>
              <w:rPr>
                <w:b/>
                <w:color w:val="000000"/>
                <w:kern w:val="0"/>
                <w:sz w:val="20"/>
                <w:vertAlign w:val="superscript"/>
              </w:rPr>
              <w:t>2</w:t>
            </w:r>
          </w:p>
        </w:tc>
        <w:tc>
          <w:tcPr>
            <w:tcW w:w="1851" w:type="dxa"/>
            <w:vAlign w:val="center"/>
          </w:tcPr>
          <w:p>
            <w:pPr>
              <w:widowControl/>
              <w:jc w:val="center"/>
              <w:rPr>
                <w:b/>
                <w:color w:val="000000"/>
                <w:kern w:val="0"/>
                <w:sz w:val="20"/>
              </w:rPr>
            </w:pPr>
            <w:r>
              <w:rPr>
                <w:b/>
                <w:color w:val="000000"/>
                <w:kern w:val="0"/>
                <w:sz w:val="20"/>
              </w:rPr>
              <w:t>万元/亩</w:t>
            </w:r>
          </w:p>
        </w:tc>
        <w:tc>
          <w:tcPr>
            <w:tcW w:w="1855" w:type="dxa"/>
            <w:vAlign w:val="center"/>
          </w:tcPr>
          <w:p>
            <w:pPr>
              <w:widowControl/>
              <w:jc w:val="center"/>
              <w:rPr>
                <w:b/>
                <w:color w:val="000000"/>
                <w:kern w:val="0"/>
                <w:sz w:val="20"/>
              </w:rPr>
            </w:pPr>
            <w:r>
              <w:rPr>
                <w:b/>
                <w:color w:val="000000"/>
                <w:kern w:val="0"/>
                <w:sz w:val="20"/>
              </w:rPr>
              <w:t>元/m</w:t>
            </w:r>
            <w:r>
              <w:rPr>
                <w:b/>
                <w:color w:val="000000"/>
                <w:kern w:val="0"/>
                <w:sz w:val="20"/>
                <w:vertAlign w:val="superscript"/>
              </w:rPr>
              <w:t>2</w:t>
            </w:r>
          </w:p>
        </w:tc>
        <w:tc>
          <w:tcPr>
            <w:tcW w:w="1791" w:type="dxa"/>
            <w:vAlign w:val="center"/>
          </w:tcPr>
          <w:p>
            <w:pPr>
              <w:widowControl/>
              <w:jc w:val="center"/>
              <w:rPr>
                <w:b/>
                <w:color w:val="000000"/>
                <w:kern w:val="0"/>
                <w:sz w:val="20"/>
              </w:rPr>
            </w:pPr>
            <w:r>
              <w:rPr>
                <w:b/>
                <w:color w:val="000000"/>
                <w:kern w:val="0"/>
                <w:sz w:val="20"/>
              </w:rPr>
              <w:t>万元/亩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49" w:type="dxa"/>
            <w:vAlign w:val="center"/>
          </w:tcPr>
          <w:p>
            <w:pPr>
              <w:widowControl/>
              <w:jc w:val="center"/>
              <w:rPr>
                <w:color w:val="000000"/>
                <w:kern w:val="0"/>
                <w:sz w:val="20"/>
              </w:rPr>
            </w:pPr>
            <w:r>
              <w:rPr>
                <w:color w:val="000000"/>
                <w:kern w:val="0"/>
                <w:sz w:val="20"/>
              </w:rPr>
              <w:t>一</w:t>
            </w:r>
          </w:p>
        </w:tc>
        <w:tc>
          <w:tcPr>
            <w:tcW w:w="2115" w:type="dxa"/>
            <w:vAlign w:val="center"/>
          </w:tcPr>
          <w:p>
            <w:pPr>
              <w:widowControl/>
              <w:jc w:val="center"/>
              <w:textAlignment w:val="center"/>
              <w:rPr>
                <w:color w:val="000000"/>
                <w:sz w:val="20"/>
              </w:rPr>
            </w:pPr>
            <w:r>
              <w:rPr>
                <w:rFonts w:eastAsia="Tahoma"/>
                <w:color w:val="000000"/>
                <w:kern w:val="0"/>
                <w:szCs w:val="21"/>
                <w:lang/>
              </w:rPr>
              <w:t xml:space="preserve">2350 </w:t>
            </w:r>
          </w:p>
        </w:tc>
        <w:tc>
          <w:tcPr>
            <w:tcW w:w="1851" w:type="dxa"/>
            <w:vAlign w:val="center"/>
          </w:tcPr>
          <w:p>
            <w:pPr>
              <w:widowControl/>
              <w:jc w:val="center"/>
              <w:textAlignment w:val="center"/>
              <w:rPr>
                <w:color w:val="000000"/>
                <w:sz w:val="20"/>
              </w:rPr>
            </w:pPr>
            <w:r>
              <w:rPr>
                <w:rFonts w:eastAsia="Tahoma"/>
                <w:color w:val="000000"/>
                <w:kern w:val="0"/>
                <w:szCs w:val="21"/>
                <w:lang/>
              </w:rPr>
              <w:t xml:space="preserve">157 </w:t>
            </w:r>
          </w:p>
        </w:tc>
        <w:tc>
          <w:tcPr>
            <w:tcW w:w="1855" w:type="dxa"/>
            <w:vAlign w:val="center"/>
          </w:tcPr>
          <w:p>
            <w:pPr>
              <w:widowControl/>
              <w:jc w:val="center"/>
              <w:textAlignment w:val="center"/>
              <w:rPr>
                <w:color w:val="000000"/>
                <w:sz w:val="20"/>
              </w:rPr>
            </w:pPr>
            <w:r>
              <w:rPr>
                <w:rFonts w:eastAsia="Tahoma"/>
                <w:color w:val="000000"/>
                <w:kern w:val="0"/>
                <w:szCs w:val="21"/>
                <w:lang/>
              </w:rPr>
              <w:t xml:space="preserve">1280 </w:t>
            </w:r>
          </w:p>
        </w:tc>
        <w:tc>
          <w:tcPr>
            <w:tcW w:w="1791" w:type="dxa"/>
            <w:vAlign w:val="center"/>
          </w:tcPr>
          <w:p>
            <w:pPr>
              <w:widowControl/>
              <w:jc w:val="center"/>
              <w:textAlignment w:val="center"/>
              <w:rPr>
                <w:color w:val="000000"/>
                <w:sz w:val="20"/>
              </w:rPr>
            </w:pPr>
            <w:r>
              <w:rPr>
                <w:rFonts w:eastAsia="Tahoma"/>
                <w:color w:val="000000"/>
                <w:kern w:val="0"/>
                <w:szCs w:val="21"/>
                <w:lang/>
              </w:rPr>
              <w:t xml:space="preserve">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49" w:type="dxa"/>
            <w:vAlign w:val="center"/>
          </w:tcPr>
          <w:p>
            <w:pPr>
              <w:widowControl/>
              <w:jc w:val="center"/>
              <w:rPr>
                <w:color w:val="000000"/>
                <w:kern w:val="0"/>
                <w:sz w:val="20"/>
              </w:rPr>
            </w:pPr>
            <w:r>
              <w:rPr>
                <w:color w:val="000000"/>
                <w:kern w:val="0"/>
                <w:sz w:val="20"/>
              </w:rPr>
              <w:t>二</w:t>
            </w:r>
          </w:p>
        </w:tc>
        <w:tc>
          <w:tcPr>
            <w:tcW w:w="2115" w:type="dxa"/>
            <w:vAlign w:val="center"/>
          </w:tcPr>
          <w:p>
            <w:pPr>
              <w:widowControl/>
              <w:jc w:val="center"/>
              <w:textAlignment w:val="center"/>
              <w:rPr>
                <w:color w:val="000000"/>
                <w:sz w:val="20"/>
              </w:rPr>
            </w:pPr>
            <w:r>
              <w:rPr>
                <w:rFonts w:eastAsia="Tahoma"/>
                <w:color w:val="000000"/>
                <w:kern w:val="0"/>
                <w:szCs w:val="21"/>
                <w:lang/>
              </w:rPr>
              <w:t xml:space="preserve">1930 </w:t>
            </w:r>
          </w:p>
        </w:tc>
        <w:tc>
          <w:tcPr>
            <w:tcW w:w="1851" w:type="dxa"/>
            <w:vAlign w:val="center"/>
          </w:tcPr>
          <w:p>
            <w:pPr>
              <w:widowControl/>
              <w:jc w:val="center"/>
              <w:textAlignment w:val="center"/>
              <w:rPr>
                <w:color w:val="000000"/>
                <w:sz w:val="20"/>
              </w:rPr>
            </w:pPr>
            <w:r>
              <w:rPr>
                <w:rFonts w:eastAsia="Tahoma"/>
                <w:color w:val="000000"/>
                <w:kern w:val="0"/>
                <w:szCs w:val="21"/>
                <w:lang/>
              </w:rPr>
              <w:t xml:space="preserve">129 </w:t>
            </w:r>
          </w:p>
        </w:tc>
        <w:tc>
          <w:tcPr>
            <w:tcW w:w="1855" w:type="dxa"/>
            <w:vAlign w:val="center"/>
          </w:tcPr>
          <w:p>
            <w:pPr>
              <w:widowControl/>
              <w:jc w:val="center"/>
              <w:textAlignment w:val="center"/>
              <w:rPr>
                <w:color w:val="000000"/>
                <w:sz w:val="20"/>
              </w:rPr>
            </w:pPr>
            <w:r>
              <w:rPr>
                <w:rFonts w:eastAsia="Tahoma"/>
                <w:color w:val="000000"/>
                <w:kern w:val="0"/>
                <w:szCs w:val="21"/>
                <w:lang/>
              </w:rPr>
              <w:t xml:space="preserve">1010 </w:t>
            </w:r>
          </w:p>
        </w:tc>
        <w:tc>
          <w:tcPr>
            <w:tcW w:w="1791" w:type="dxa"/>
            <w:vAlign w:val="center"/>
          </w:tcPr>
          <w:p>
            <w:pPr>
              <w:widowControl/>
              <w:jc w:val="center"/>
              <w:textAlignment w:val="center"/>
              <w:rPr>
                <w:color w:val="000000"/>
                <w:sz w:val="20"/>
              </w:rPr>
            </w:pPr>
            <w:r>
              <w:rPr>
                <w:rFonts w:eastAsia="Tahoma"/>
                <w:color w:val="000000"/>
                <w:kern w:val="0"/>
                <w:szCs w:val="21"/>
                <w:lang/>
              </w:rPr>
              <w:t xml:space="preserve">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49" w:type="dxa"/>
            <w:vAlign w:val="center"/>
          </w:tcPr>
          <w:p>
            <w:pPr>
              <w:widowControl/>
              <w:jc w:val="center"/>
              <w:rPr>
                <w:color w:val="000000"/>
                <w:kern w:val="0"/>
                <w:sz w:val="20"/>
              </w:rPr>
            </w:pPr>
            <w:r>
              <w:rPr>
                <w:color w:val="000000"/>
                <w:kern w:val="0"/>
                <w:sz w:val="20"/>
              </w:rPr>
              <w:t>三</w:t>
            </w:r>
          </w:p>
        </w:tc>
        <w:tc>
          <w:tcPr>
            <w:tcW w:w="2115" w:type="dxa"/>
            <w:vAlign w:val="center"/>
          </w:tcPr>
          <w:p>
            <w:pPr>
              <w:widowControl/>
              <w:jc w:val="center"/>
              <w:textAlignment w:val="center"/>
              <w:rPr>
                <w:color w:val="000000"/>
                <w:sz w:val="20"/>
              </w:rPr>
            </w:pPr>
            <w:r>
              <w:rPr>
                <w:rFonts w:eastAsia="Tahoma"/>
                <w:color w:val="000000"/>
                <w:kern w:val="0"/>
                <w:szCs w:val="21"/>
                <w:lang/>
              </w:rPr>
              <w:t xml:space="preserve">1660 </w:t>
            </w:r>
          </w:p>
        </w:tc>
        <w:tc>
          <w:tcPr>
            <w:tcW w:w="1851" w:type="dxa"/>
            <w:vAlign w:val="center"/>
          </w:tcPr>
          <w:p>
            <w:pPr>
              <w:widowControl/>
              <w:jc w:val="center"/>
              <w:textAlignment w:val="center"/>
              <w:rPr>
                <w:color w:val="000000"/>
                <w:sz w:val="20"/>
              </w:rPr>
            </w:pPr>
            <w:r>
              <w:rPr>
                <w:rFonts w:eastAsia="Tahoma"/>
                <w:color w:val="000000"/>
                <w:kern w:val="0"/>
                <w:szCs w:val="21"/>
                <w:lang/>
              </w:rPr>
              <w:t xml:space="preserve">111 </w:t>
            </w:r>
          </w:p>
        </w:tc>
        <w:tc>
          <w:tcPr>
            <w:tcW w:w="1855" w:type="dxa"/>
            <w:vAlign w:val="center"/>
          </w:tcPr>
          <w:p>
            <w:pPr>
              <w:widowControl/>
              <w:jc w:val="center"/>
              <w:textAlignment w:val="center"/>
              <w:rPr>
                <w:color w:val="000000"/>
                <w:sz w:val="20"/>
              </w:rPr>
            </w:pPr>
            <w:r>
              <w:rPr>
                <w:rFonts w:eastAsia="Tahoma"/>
                <w:color w:val="000000"/>
                <w:kern w:val="0"/>
                <w:szCs w:val="21"/>
                <w:lang/>
              </w:rPr>
              <w:t xml:space="preserve">790 </w:t>
            </w:r>
          </w:p>
        </w:tc>
        <w:tc>
          <w:tcPr>
            <w:tcW w:w="1791" w:type="dxa"/>
            <w:vAlign w:val="center"/>
          </w:tcPr>
          <w:p>
            <w:pPr>
              <w:widowControl/>
              <w:jc w:val="center"/>
              <w:textAlignment w:val="center"/>
              <w:rPr>
                <w:color w:val="000000"/>
                <w:sz w:val="20"/>
              </w:rPr>
            </w:pPr>
            <w:r>
              <w:rPr>
                <w:rFonts w:eastAsia="Tahoma"/>
                <w:color w:val="000000"/>
                <w:kern w:val="0"/>
                <w:szCs w:val="21"/>
                <w:lang/>
              </w:rPr>
              <w:t xml:space="preserve">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49" w:type="dxa"/>
            <w:vAlign w:val="center"/>
          </w:tcPr>
          <w:p>
            <w:pPr>
              <w:widowControl/>
              <w:jc w:val="center"/>
              <w:rPr>
                <w:color w:val="000000"/>
                <w:kern w:val="0"/>
                <w:sz w:val="20"/>
              </w:rPr>
            </w:pPr>
            <w:r>
              <w:rPr>
                <w:color w:val="000000"/>
                <w:kern w:val="0"/>
                <w:sz w:val="20"/>
              </w:rPr>
              <w:t>四</w:t>
            </w:r>
          </w:p>
        </w:tc>
        <w:tc>
          <w:tcPr>
            <w:tcW w:w="2115" w:type="dxa"/>
            <w:vAlign w:val="center"/>
          </w:tcPr>
          <w:p>
            <w:pPr>
              <w:widowControl/>
              <w:jc w:val="center"/>
              <w:textAlignment w:val="center"/>
              <w:rPr>
                <w:color w:val="000000"/>
                <w:sz w:val="20"/>
              </w:rPr>
            </w:pPr>
            <w:r>
              <w:rPr>
                <w:rFonts w:eastAsia="Tahoma"/>
                <w:color w:val="000000"/>
                <w:kern w:val="0"/>
                <w:szCs w:val="21"/>
                <w:lang/>
              </w:rPr>
              <w:t xml:space="preserve">1370 </w:t>
            </w:r>
          </w:p>
        </w:tc>
        <w:tc>
          <w:tcPr>
            <w:tcW w:w="1851" w:type="dxa"/>
            <w:vAlign w:val="center"/>
          </w:tcPr>
          <w:p>
            <w:pPr>
              <w:widowControl/>
              <w:jc w:val="center"/>
              <w:textAlignment w:val="center"/>
              <w:rPr>
                <w:color w:val="000000"/>
                <w:sz w:val="20"/>
              </w:rPr>
            </w:pPr>
            <w:r>
              <w:rPr>
                <w:rFonts w:eastAsia="Tahoma"/>
                <w:color w:val="000000"/>
                <w:kern w:val="0"/>
                <w:szCs w:val="21"/>
                <w:lang/>
              </w:rPr>
              <w:t xml:space="preserve">91 </w:t>
            </w:r>
          </w:p>
        </w:tc>
        <w:tc>
          <w:tcPr>
            <w:tcW w:w="1855" w:type="dxa"/>
            <w:vAlign w:val="center"/>
          </w:tcPr>
          <w:p>
            <w:pPr>
              <w:widowControl/>
              <w:jc w:val="center"/>
              <w:textAlignment w:val="center"/>
              <w:rPr>
                <w:color w:val="000000"/>
                <w:sz w:val="20"/>
              </w:rPr>
            </w:pPr>
            <w:r>
              <w:rPr>
                <w:rFonts w:eastAsia="Tahoma"/>
                <w:color w:val="000000"/>
                <w:kern w:val="0"/>
                <w:szCs w:val="21"/>
                <w:lang/>
              </w:rPr>
              <w:t xml:space="preserve">620 </w:t>
            </w:r>
          </w:p>
        </w:tc>
        <w:tc>
          <w:tcPr>
            <w:tcW w:w="1791" w:type="dxa"/>
            <w:vAlign w:val="center"/>
          </w:tcPr>
          <w:p>
            <w:pPr>
              <w:widowControl/>
              <w:jc w:val="center"/>
              <w:textAlignment w:val="center"/>
              <w:rPr>
                <w:color w:val="000000"/>
                <w:sz w:val="20"/>
              </w:rPr>
            </w:pPr>
            <w:r>
              <w:rPr>
                <w:rFonts w:eastAsia="Tahoma"/>
                <w:color w:val="000000"/>
                <w:kern w:val="0"/>
                <w:szCs w:val="21"/>
                <w:lang/>
              </w:rPr>
              <w:t xml:space="preserve">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49" w:type="dxa"/>
            <w:vAlign w:val="center"/>
          </w:tcPr>
          <w:p>
            <w:pPr>
              <w:widowControl/>
              <w:jc w:val="center"/>
              <w:rPr>
                <w:color w:val="000000"/>
                <w:kern w:val="0"/>
                <w:sz w:val="20"/>
              </w:rPr>
            </w:pPr>
            <w:r>
              <w:rPr>
                <w:color w:val="000000"/>
                <w:kern w:val="0"/>
                <w:sz w:val="20"/>
              </w:rPr>
              <w:t>五</w:t>
            </w:r>
          </w:p>
        </w:tc>
        <w:tc>
          <w:tcPr>
            <w:tcW w:w="2115" w:type="dxa"/>
            <w:vAlign w:val="center"/>
          </w:tcPr>
          <w:p>
            <w:pPr>
              <w:widowControl/>
              <w:jc w:val="center"/>
              <w:textAlignment w:val="center"/>
              <w:rPr>
                <w:color w:val="000000"/>
                <w:sz w:val="20"/>
              </w:rPr>
            </w:pPr>
            <w:r>
              <w:rPr>
                <w:rFonts w:eastAsia="Tahoma"/>
                <w:color w:val="000000"/>
                <w:kern w:val="0"/>
                <w:szCs w:val="21"/>
                <w:lang/>
              </w:rPr>
              <w:t xml:space="preserve">1100 </w:t>
            </w:r>
          </w:p>
        </w:tc>
        <w:tc>
          <w:tcPr>
            <w:tcW w:w="1851" w:type="dxa"/>
            <w:vAlign w:val="center"/>
          </w:tcPr>
          <w:p>
            <w:pPr>
              <w:widowControl/>
              <w:jc w:val="center"/>
              <w:textAlignment w:val="center"/>
              <w:rPr>
                <w:color w:val="000000"/>
                <w:sz w:val="20"/>
              </w:rPr>
            </w:pPr>
            <w:r>
              <w:rPr>
                <w:rFonts w:eastAsia="Tahoma"/>
                <w:color w:val="000000"/>
                <w:kern w:val="0"/>
                <w:szCs w:val="21"/>
                <w:lang/>
              </w:rPr>
              <w:t xml:space="preserve">73 </w:t>
            </w:r>
          </w:p>
        </w:tc>
        <w:tc>
          <w:tcPr>
            <w:tcW w:w="1855" w:type="dxa"/>
            <w:vAlign w:val="center"/>
          </w:tcPr>
          <w:p>
            <w:pPr>
              <w:widowControl/>
              <w:jc w:val="center"/>
              <w:textAlignment w:val="center"/>
              <w:rPr>
                <w:color w:val="000000"/>
                <w:sz w:val="20"/>
              </w:rPr>
            </w:pPr>
            <w:r>
              <w:rPr>
                <w:rFonts w:eastAsia="Tahoma"/>
                <w:color w:val="000000"/>
                <w:kern w:val="0"/>
                <w:szCs w:val="21"/>
                <w:lang/>
              </w:rPr>
              <w:t xml:space="preserve">480 </w:t>
            </w:r>
          </w:p>
        </w:tc>
        <w:tc>
          <w:tcPr>
            <w:tcW w:w="1791" w:type="dxa"/>
            <w:vAlign w:val="center"/>
          </w:tcPr>
          <w:p>
            <w:pPr>
              <w:widowControl/>
              <w:jc w:val="center"/>
              <w:textAlignment w:val="center"/>
              <w:rPr>
                <w:color w:val="000000"/>
                <w:sz w:val="20"/>
              </w:rPr>
            </w:pPr>
            <w:r>
              <w:rPr>
                <w:rFonts w:eastAsia="Tahoma"/>
                <w:color w:val="000000"/>
                <w:kern w:val="0"/>
                <w:szCs w:val="21"/>
                <w:lang/>
              </w:rPr>
              <w:t xml:space="preserve">32 </w:t>
            </w:r>
          </w:p>
        </w:tc>
      </w:tr>
    </w:tbl>
    <w:p>
      <w:pPr>
        <w:tabs>
          <w:tab w:val="right" w:pos="9298"/>
        </w:tabs>
        <w:ind w:firstLine="400" w:firstLineChars="200"/>
        <w:rPr>
          <w:rFonts w:eastAsia="黑体"/>
          <w:sz w:val="32"/>
          <w:szCs w:val="32"/>
        </w:rPr>
      </w:pPr>
      <w:r>
        <w:rPr>
          <w:color w:val="000000"/>
          <w:sz w:val="20"/>
        </w:rPr>
        <w:t>备注：公共服务一类用地指机关团体用地、新闻出版用地、教育用地、科研用地、医疗卫生用地、社会福利用地、文化设施用地和体育用地；公共服务二类用地指公用设施用地和公园与绿地。</w:t>
      </w:r>
      <w:bookmarkStart w:id="679" w:name="_Toc470721338"/>
      <w:bookmarkStart w:id="680" w:name="_Toc467846873"/>
      <w:bookmarkStart w:id="681" w:name="_Toc469296488"/>
      <w:bookmarkStart w:id="682" w:name="_Toc25355"/>
      <w:bookmarkStart w:id="683" w:name="_Toc14388"/>
    </w:p>
    <w:p>
      <w:pPr>
        <w:spacing w:line="440" w:lineRule="exact"/>
        <w:ind w:firstLine="560" w:firstLineChars="200"/>
        <w:jc w:val="left"/>
        <w:rPr>
          <w:rFonts w:hint="eastAsia" w:ascii="黑体" w:eastAsia="黑体"/>
          <w:sz w:val="28"/>
          <w:szCs w:val="28"/>
        </w:rPr>
      </w:pPr>
      <w:bookmarkStart w:id="684" w:name="_Toc470183258"/>
      <w:bookmarkStart w:id="685" w:name="_Toc482630098"/>
      <w:bookmarkStart w:id="686" w:name="_Toc467763829"/>
      <w:bookmarkStart w:id="687" w:name="_Toc432083371"/>
      <w:r>
        <w:rPr>
          <w:rFonts w:hint="eastAsia" w:ascii="黑体" w:eastAsia="黑体"/>
          <w:sz w:val="28"/>
          <w:szCs w:val="28"/>
        </w:rPr>
        <w:t>三、其它公益性用地基准地价确定</w:t>
      </w:r>
      <w:bookmarkEnd w:id="684"/>
      <w:bookmarkEnd w:id="685"/>
      <w:bookmarkEnd w:id="686"/>
      <w:bookmarkEnd w:id="687"/>
      <w:r>
        <w:rPr>
          <w:rFonts w:hint="eastAsia" w:ascii="黑体" w:eastAsia="黑体"/>
          <w:sz w:val="28"/>
          <w:szCs w:val="28"/>
        </w:rPr>
        <w:tab/>
      </w:r>
    </w:p>
    <w:p>
      <w:pPr>
        <w:adjustRightInd w:val="0"/>
        <w:snapToGrid w:val="0"/>
        <w:spacing w:line="360" w:lineRule="auto"/>
        <w:ind w:firstLine="480" w:firstLineChars="200"/>
        <w:rPr>
          <w:sz w:val="24"/>
        </w:rPr>
      </w:pPr>
      <w:r>
        <w:rPr>
          <w:sz w:val="24"/>
        </w:rPr>
        <w:t>结合</w:t>
      </w:r>
      <w:r>
        <w:rPr>
          <w:rFonts w:hint="eastAsia"/>
          <w:sz w:val="24"/>
        </w:rPr>
        <w:t>长沙县</w:t>
      </w:r>
      <w:r>
        <w:rPr>
          <w:sz w:val="24"/>
        </w:rPr>
        <w:t>的实际情况，对除</w:t>
      </w:r>
      <w:r>
        <w:rPr>
          <w:sz w:val="24"/>
          <w:szCs w:val="24"/>
        </w:rPr>
        <w:t>公共管理与公共服务</w:t>
      </w:r>
      <w:r>
        <w:rPr>
          <w:sz w:val="24"/>
        </w:rPr>
        <w:t>用地之外的其他公益性用地选取了样点进行地价测算，并通过与邻近的商服、住宅、工矿仓储用途土地基准地价的地价水平比较及地价影响因素分析，此次</w:t>
      </w:r>
      <w:r>
        <w:rPr>
          <w:rFonts w:hint="eastAsia"/>
          <w:sz w:val="24"/>
        </w:rPr>
        <w:t>长沙县</w:t>
      </w:r>
      <w:r>
        <w:rPr>
          <w:sz w:val="24"/>
        </w:rPr>
        <w:t>城市</w:t>
      </w:r>
      <w:r>
        <w:rPr>
          <w:rFonts w:hint="eastAsia"/>
          <w:sz w:val="24"/>
        </w:rPr>
        <w:t>其它</w:t>
      </w:r>
      <w:r>
        <w:rPr>
          <w:sz w:val="24"/>
        </w:rPr>
        <w:t>公益性用地采用“用途转换原理”进行基准地价评估。其方法主要基于评估中的协调性原则：土地总是处于一定的自然和社会环境中，土地的利用必须与周围环境相协调，方可最大限度的实现其收益或效用。可将用途转换法以如下公式表示：城市公益性用地=可转化用途土地价格-可转化用途土地的开发费用。对于某类具体城市公益性用地,转化为何种用途最为适宜,可通过长期的市场观察得到经验性结论，最后依照有关规定确定的城市公益性用地可参照的基准地价标准，具体见下表。</w:t>
      </w:r>
    </w:p>
    <w:p>
      <w:pPr>
        <w:adjustRightInd w:val="0"/>
        <w:snapToGrid w:val="0"/>
        <w:spacing w:beforeLines="50" w:line="360" w:lineRule="auto"/>
        <w:ind w:firstLine="539"/>
        <w:jc w:val="center"/>
        <w:rPr>
          <w:b/>
          <w:sz w:val="24"/>
          <w:szCs w:val="24"/>
        </w:rPr>
      </w:pPr>
      <w:r>
        <w:rPr>
          <w:b/>
          <w:sz w:val="24"/>
          <w:szCs w:val="24"/>
        </w:rPr>
        <w:t>表</w:t>
      </w:r>
      <w:r>
        <w:rPr>
          <w:rFonts w:hint="eastAsia"/>
          <w:b/>
          <w:sz w:val="24"/>
          <w:szCs w:val="24"/>
        </w:rPr>
        <w:t>3</w:t>
      </w:r>
      <w:r>
        <w:rPr>
          <w:b/>
          <w:sz w:val="24"/>
          <w:szCs w:val="24"/>
        </w:rPr>
        <w:t>-</w:t>
      </w:r>
      <w:r>
        <w:rPr>
          <w:rFonts w:hint="eastAsia"/>
          <w:b/>
          <w:sz w:val="24"/>
          <w:szCs w:val="24"/>
        </w:rPr>
        <w:t>7</w:t>
      </w:r>
      <w:r>
        <w:rPr>
          <w:b/>
          <w:sz w:val="24"/>
          <w:szCs w:val="24"/>
        </w:rPr>
        <w:t>-</w:t>
      </w:r>
      <w:r>
        <w:rPr>
          <w:rFonts w:hint="eastAsia"/>
          <w:b/>
          <w:sz w:val="24"/>
          <w:szCs w:val="24"/>
        </w:rPr>
        <w:t>5</w:t>
      </w:r>
      <w:r>
        <w:rPr>
          <w:b/>
          <w:sz w:val="24"/>
          <w:szCs w:val="24"/>
        </w:rPr>
        <w:t xml:space="preserve">  </w:t>
      </w:r>
      <w:r>
        <w:rPr>
          <w:rFonts w:hint="eastAsia"/>
          <w:b/>
          <w:sz w:val="24"/>
          <w:szCs w:val="24"/>
        </w:rPr>
        <w:t>其他</w:t>
      </w:r>
      <w:r>
        <w:rPr>
          <w:b/>
          <w:sz w:val="24"/>
          <w:szCs w:val="24"/>
        </w:rPr>
        <w:t>城市公益性用地基准地价参照表</w:t>
      </w:r>
    </w:p>
    <w:tbl>
      <w:tblPr>
        <w:tblW w:w="90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2"/>
        <w:gridCol w:w="2038"/>
        <w:gridCol w:w="4350"/>
        <w:gridCol w:w="17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tblHeader/>
          <w:jc w:val="center"/>
        </w:trPr>
        <w:tc>
          <w:tcPr>
            <w:tcW w:w="9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编码</w:t>
            </w:r>
          </w:p>
        </w:tc>
        <w:tc>
          <w:tcPr>
            <w:tcW w:w="20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名称</w:t>
            </w:r>
          </w:p>
        </w:tc>
        <w:tc>
          <w:tcPr>
            <w:tcW w:w="435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含义</w:t>
            </w:r>
          </w:p>
        </w:tc>
        <w:tc>
          <w:tcPr>
            <w:tcW w:w="1787"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基准地价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912"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906</w:t>
            </w:r>
          </w:p>
        </w:tc>
        <w:tc>
          <w:tcPr>
            <w:tcW w:w="20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风景名胜设施用地</w:t>
            </w:r>
          </w:p>
        </w:tc>
        <w:tc>
          <w:tcPr>
            <w:tcW w:w="4350"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指风景名胜景点（包括名胜古迹、旅游景点、革命遗址、自然保护区、森林公园、地质公园、湿地公园等）的管理机构，以及旅游服务设施的建筑用地。景区内的其它用地按现状归入相应地类</w:t>
            </w:r>
          </w:p>
        </w:tc>
        <w:tc>
          <w:tcPr>
            <w:tcW w:w="1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住宅用地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jc w:val="center"/>
        </w:trPr>
        <w:tc>
          <w:tcPr>
            <w:tcW w:w="912"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905</w:t>
            </w:r>
          </w:p>
        </w:tc>
        <w:tc>
          <w:tcPr>
            <w:tcW w:w="20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殡葬用地</w:t>
            </w:r>
          </w:p>
        </w:tc>
        <w:tc>
          <w:tcPr>
            <w:tcW w:w="4350"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指陵园、墓地、殡葬场所用地</w:t>
            </w:r>
          </w:p>
        </w:tc>
        <w:tc>
          <w:tcPr>
            <w:tcW w:w="1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住宅用地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jc w:val="center"/>
        </w:trPr>
        <w:tc>
          <w:tcPr>
            <w:tcW w:w="912"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902</w:t>
            </w:r>
          </w:p>
        </w:tc>
        <w:tc>
          <w:tcPr>
            <w:tcW w:w="20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使领馆用地</w:t>
            </w:r>
          </w:p>
        </w:tc>
        <w:tc>
          <w:tcPr>
            <w:tcW w:w="4350"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指用于外国政府及国际组织驻华使领馆、办事处等的用地</w:t>
            </w:r>
          </w:p>
        </w:tc>
        <w:tc>
          <w:tcPr>
            <w:tcW w:w="1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公共管理与公共服务一类用地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jc w:val="center"/>
        </w:trPr>
        <w:tc>
          <w:tcPr>
            <w:tcW w:w="912"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903</w:t>
            </w:r>
          </w:p>
        </w:tc>
        <w:tc>
          <w:tcPr>
            <w:tcW w:w="20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监教场所用地</w:t>
            </w:r>
          </w:p>
        </w:tc>
        <w:tc>
          <w:tcPr>
            <w:tcW w:w="4350"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指用于监狱、看守所、劳改场、戒毒所等的建筑用地</w:t>
            </w:r>
          </w:p>
        </w:tc>
        <w:tc>
          <w:tcPr>
            <w:tcW w:w="1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公共管理与公共服务一类用地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jc w:val="center"/>
        </w:trPr>
        <w:tc>
          <w:tcPr>
            <w:tcW w:w="912"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904</w:t>
            </w:r>
          </w:p>
        </w:tc>
        <w:tc>
          <w:tcPr>
            <w:tcW w:w="20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宗教用地</w:t>
            </w:r>
          </w:p>
        </w:tc>
        <w:tc>
          <w:tcPr>
            <w:tcW w:w="4350"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指专门用于宗教活动的庙宇、寺院、道观、教堂等宗教自用地</w:t>
            </w:r>
          </w:p>
        </w:tc>
        <w:tc>
          <w:tcPr>
            <w:tcW w:w="1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公共管理与公共服务一类用地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jc w:val="center"/>
        </w:trPr>
        <w:tc>
          <w:tcPr>
            <w:tcW w:w="912"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901</w:t>
            </w:r>
          </w:p>
        </w:tc>
        <w:tc>
          <w:tcPr>
            <w:tcW w:w="20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军事设施用地</w:t>
            </w:r>
          </w:p>
        </w:tc>
        <w:tc>
          <w:tcPr>
            <w:tcW w:w="4350"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指直接用于军事目的的设施用地</w:t>
            </w:r>
          </w:p>
        </w:tc>
        <w:tc>
          <w:tcPr>
            <w:tcW w:w="1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工矿仓储用地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jc w:val="center"/>
        </w:trPr>
        <w:tc>
          <w:tcPr>
            <w:tcW w:w="912"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1001</w:t>
            </w:r>
          </w:p>
        </w:tc>
        <w:tc>
          <w:tcPr>
            <w:tcW w:w="20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铁路用地</w:t>
            </w:r>
          </w:p>
        </w:tc>
        <w:tc>
          <w:tcPr>
            <w:tcW w:w="4350"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指用于铁道线路及场站的用地。包括征地范围内的路堤、路堑、道沟、桥梁、林木等用地</w:t>
            </w:r>
          </w:p>
        </w:tc>
        <w:tc>
          <w:tcPr>
            <w:tcW w:w="1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工矿仓储用地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jc w:val="center"/>
        </w:trPr>
        <w:tc>
          <w:tcPr>
            <w:tcW w:w="912"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1002</w:t>
            </w:r>
          </w:p>
        </w:tc>
        <w:tc>
          <w:tcPr>
            <w:tcW w:w="20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轨道交通用地</w:t>
            </w:r>
          </w:p>
        </w:tc>
        <w:tc>
          <w:tcPr>
            <w:tcW w:w="4350"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指用于轻轨、现代有轨电车、单轨等轨道交通用地，以及场站的用地</w:t>
            </w:r>
          </w:p>
        </w:tc>
        <w:tc>
          <w:tcPr>
            <w:tcW w:w="1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工矿仓储用地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jc w:val="center"/>
        </w:trPr>
        <w:tc>
          <w:tcPr>
            <w:tcW w:w="912"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1003</w:t>
            </w:r>
          </w:p>
        </w:tc>
        <w:tc>
          <w:tcPr>
            <w:tcW w:w="20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公路用地</w:t>
            </w:r>
          </w:p>
        </w:tc>
        <w:tc>
          <w:tcPr>
            <w:tcW w:w="4350"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指用于国道、省道、县道和乡道的用地。包括征地范围内的路堤、路堑、道沟、桥梁、汽车停靠站、林木及直接为其服务的附属用地</w:t>
            </w:r>
          </w:p>
        </w:tc>
        <w:tc>
          <w:tcPr>
            <w:tcW w:w="1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工矿仓储用地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jc w:val="center"/>
        </w:trPr>
        <w:tc>
          <w:tcPr>
            <w:tcW w:w="912"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1004</w:t>
            </w:r>
          </w:p>
        </w:tc>
        <w:tc>
          <w:tcPr>
            <w:tcW w:w="20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城镇村道路用地</w:t>
            </w:r>
          </w:p>
        </w:tc>
        <w:tc>
          <w:tcPr>
            <w:tcW w:w="4350"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指城镇、村庄范围内的公用道路及行道树用地，包括快速路、主干道、次干道、支路、专用人行道和非机动车道，及其交叉口等</w:t>
            </w:r>
          </w:p>
        </w:tc>
        <w:tc>
          <w:tcPr>
            <w:tcW w:w="1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工矿仓储用地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jc w:val="center"/>
        </w:trPr>
        <w:tc>
          <w:tcPr>
            <w:tcW w:w="912"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1005</w:t>
            </w:r>
          </w:p>
        </w:tc>
        <w:tc>
          <w:tcPr>
            <w:tcW w:w="20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交通服务场站用地</w:t>
            </w:r>
          </w:p>
        </w:tc>
        <w:tc>
          <w:tcPr>
            <w:tcW w:w="4350"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指城镇、村庄范围内交通服务设施用地，包括公交枢纽及其附属设施用地、公路长途客运站、公共交通场站、公共停车场（含设有充电桩的停车场）、停车楼教练场等用地，不包括交通指挥中心、交通队用地</w:t>
            </w:r>
          </w:p>
        </w:tc>
        <w:tc>
          <w:tcPr>
            <w:tcW w:w="1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工矿仓储用地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jc w:val="center"/>
        </w:trPr>
        <w:tc>
          <w:tcPr>
            <w:tcW w:w="912"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1006</w:t>
            </w:r>
          </w:p>
        </w:tc>
        <w:tc>
          <w:tcPr>
            <w:tcW w:w="20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农村道路</w:t>
            </w:r>
          </w:p>
        </w:tc>
        <w:tc>
          <w:tcPr>
            <w:tcW w:w="4350"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在农村范围内，南方宽度</w:t>
            </w:r>
            <w:r>
              <w:rPr>
                <w:color w:val="000000"/>
                <w:kern w:val="0"/>
                <w:szCs w:val="21"/>
              </w:rPr>
              <w:t>≥1.0m</w:t>
            </w:r>
            <w:r>
              <w:rPr>
                <w:rFonts w:hint="eastAsia" w:ascii="宋体" w:hAnsi="宋体" w:cs="宋体"/>
                <w:color w:val="000000"/>
                <w:kern w:val="0"/>
                <w:szCs w:val="21"/>
              </w:rPr>
              <w:t>、</w:t>
            </w:r>
            <w:r>
              <w:rPr>
                <w:color w:val="000000"/>
                <w:kern w:val="0"/>
                <w:szCs w:val="21"/>
              </w:rPr>
              <w:t>≤8m,</w:t>
            </w:r>
            <w:r>
              <w:rPr>
                <w:rFonts w:hint="eastAsia" w:ascii="宋体" w:hAnsi="宋体" w:cs="宋体"/>
                <w:color w:val="000000"/>
                <w:kern w:val="0"/>
                <w:szCs w:val="21"/>
              </w:rPr>
              <w:t>北方宽度</w:t>
            </w:r>
            <w:r>
              <w:rPr>
                <w:color w:val="000000"/>
                <w:kern w:val="0"/>
                <w:szCs w:val="21"/>
              </w:rPr>
              <w:t>≥2.0 m</w:t>
            </w:r>
            <w:r>
              <w:rPr>
                <w:rFonts w:hint="eastAsia" w:ascii="宋体" w:hAnsi="宋体" w:cs="宋体"/>
                <w:color w:val="000000"/>
                <w:kern w:val="0"/>
                <w:szCs w:val="21"/>
              </w:rPr>
              <w:t>、</w:t>
            </w:r>
            <w:r>
              <w:rPr>
                <w:color w:val="000000"/>
                <w:kern w:val="0"/>
                <w:szCs w:val="21"/>
              </w:rPr>
              <w:t>≤8m</w:t>
            </w:r>
            <w:r>
              <w:rPr>
                <w:rFonts w:hint="eastAsia" w:ascii="宋体" w:hAnsi="宋体" w:cs="宋体"/>
                <w:color w:val="000000"/>
                <w:kern w:val="0"/>
                <w:szCs w:val="21"/>
              </w:rPr>
              <w:t>，用于村间、田间交通运输，并在国家公路网络体系之外，以服务于农村农业生产为主要用途的道路（含机耕道）</w:t>
            </w:r>
          </w:p>
        </w:tc>
        <w:tc>
          <w:tcPr>
            <w:tcW w:w="1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工矿仓储用地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jc w:val="center"/>
        </w:trPr>
        <w:tc>
          <w:tcPr>
            <w:tcW w:w="912"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1007</w:t>
            </w:r>
          </w:p>
        </w:tc>
        <w:tc>
          <w:tcPr>
            <w:tcW w:w="20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机场用地</w:t>
            </w:r>
          </w:p>
        </w:tc>
        <w:tc>
          <w:tcPr>
            <w:tcW w:w="4350"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指用于民用机场、军民合用机场的用地</w:t>
            </w:r>
          </w:p>
        </w:tc>
        <w:tc>
          <w:tcPr>
            <w:tcW w:w="1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工矿仓储用地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jc w:val="center"/>
        </w:trPr>
        <w:tc>
          <w:tcPr>
            <w:tcW w:w="912"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1008</w:t>
            </w:r>
          </w:p>
        </w:tc>
        <w:tc>
          <w:tcPr>
            <w:tcW w:w="20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港口码头用地</w:t>
            </w:r>
          </w:p>
        </w:tc>
        <w:tc>
          <w:tcPr>
            <w:tcW w:w="4350"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指用于人工修建的客运、货运、捕捞及工程、工作船舶停靠的场所及其附属建筑物的用地，不包括常水位以下部分</w:t>
            </w:r>
          </w:p>
        </w:tc>
        <w:tc>
          <w:tcPr>
            <w:tcW w:w="1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工矿仓储用地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jc w:val="center"/>
        </w:trPr>
        <w:tc>
          <w:tcPr>
            <w:tcW w:w="912"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1009</w:t>
            </w:r>
          </w:p>
        </w:tc>
        <w:tc>
          <w:tcPr>
            <w:tcW w:w="203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管道运输用地</w:t>
            </w:r>
          </w:p>
        </w:tc>
        <w:tc>
          <w:tcPr>
            <w:tcW w:w="4350" w:type="dxa"/>
            <w:tcBorders>
              <w:top w:val="nil"/>
              <w:left w:val="nil"/>
              <w:bottom w:val="single" w:color="auto" w:sz="4" w:space="0"/>
              <w:right w:val="single" w:color="auto" w:sz="4" w:space="0"/>
            </w:tcBorders>
            <w:vAlign w:val="center"/>
          </w:tcPr>
          <w:p>
            <w:pPr>
              <w:widowControl/>
              <w:rPr>
                <w:rFonts w:ascii="宋体" w:hAnsi="宋体" w:cs="宋体"/>
                <w:color w:val="000000"/>
                <w:kern w:val="0"/>
                <w:szCs w:val="21"/>
              </w:rPr>
            </w:pPr>
            <w:r>
              <w:rPr>
                <w:rFonts w:hint="eastAsia" w:ascii="宋体" w:hAnsi="宋体" w:cs="宋体"/>
                <w:color w:val="000000"/>
                <w:kern w:val="0"/>
                <w:szCs w:val="21"/>
              </w:rPr>
              <w:t>指用于运输煤炭、矿石、石油、天然气等管道及其相应附属设施的地上部分用地</w:t>
            </w:r>
          </w:p>
        </w:tc>
        <w:tc>
          <w:tcPr>
            <w:tcW w:w="17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工矿仓储用地</w:t>
            </w:r>
          </w:p>
        </w:tc>
      </w:tr>
    </w:tbl>
    <w:p>
      <w:pPr>
        <w:spacing w:line="360" w:lineRule="auto"/>
        <w:jc w:val="center"/>
        <w:textAlignment w:val="baseline"/>
        <w:outlineLvl w:val="1"/>
        <w:rPr>
          <w:rFonts w:eastAsia="黑体"/>
          <w:sz w:val="32"/>
          <w:szCs w:val="32"/>
        </w:rPr>
      </w:pPr>
      <w:r>
        <w:rPr>
          <w:rFonts w:eastAsia="黑体"/>
          <w:sz w:val="32"/>
          <w:szCs w:val="32"/>
        </w:rPr>
        <w:br w:type="page"/>
      </w:r>
      <w:bookmarkStart w:id="688" w:name="_Toc11735"/>
      <w:bookmarkStart w:id="689" w:name="_Toc19640"/>
      <w:r>
        <w:rPr>
          <w:rFonts w:eastAsia="黑体"/>
          <w:sz w:val="32"/>
          <w:szCs w:val="32"/>
        </w:rPr>
        <w:t>第八章  城市地下空间土地使用权基准地价评估</w:t>
      </w:r>
      <w:bookmarkEnd w:id="658"/>
      <w:bookmarkEnd w:id="659"/>
      <w:bookmarkEnd w:id="660"/>
      <w:bookmarkEnd w:id="661"/>
      <w:bookmarkEnd w:id="679"/>
      <w:bookmarkEnd w:id="680"/>
      <w:bookmarkEnd w:id="681"/>
      <w:bookmarkEnd w:id="682"/>
      <w:bookmarkEnd w:id="683"/>
      <w:bookmarkEnd w:id="688"/>
      <w:bookmarkEnd w:id="689"/>
    </w:p>
    <w:p>
      <w:pPr>
        <w:spacing w:line="360" w:lineRule="auto"/>
        <w:ind w:firstLine="560" w:firstLineChars="200"/>
        <w:outlineLvl w:val="2"/>
        <w:rPr>
          <w:rFonts w:eastAsia="黑体"/>
          <w:sz w:val="28"/>
          <w:szCs w:val="28"/>
        </w:rPr>
      </w:pPr>
      <w:bookmarkStart w:id="690" w:name="_Toc20273"/>
      <w:bookmarkStart w:id="691" w:name="_Toc470721339"/>
      <w:bookmarkStart w:id="692" w:name="_Toc469296489"/>
      <w:bookmarkStart w:id="693" w:name="_Toc13582"/>
      <w:r>
        <w:rPr>
          <w:rFonts w:eastAsia="黑体"/>
          <w:sz w:val="28"/>
          <w:szCs w:val="28"/>
        </w:rPr>
        <w:t>一、城市地下空间评估的背景及意义</w:t>
      </w:r>
      <w:bookmarkEnd w:id="690"/>
      <w:bookmarkEnd w:id="691"/>
      <w:bookmarkEnd w:id="692"/>
      <w:bookmarkEnd w:id="693"/>
    </w:p>
    <w:p>
      <w:pPr>
        <w:spacing w:line="520" w:lineRule="exact"/>
        <w:ind w:firstLine="480" w:firstLineChars="200"/>
        <w:rPr>
          <w:sz w:val="24"/>
          <w:szCs w:val="24"/>
        </w:rPr>
      </w:pPr>
      <w:r>
        <w:rPr>
          <w:sz w:val="24"/>
          <w:szCs w:val="24"/>
        </w:rPr>
        <w:t>由于土地资源具有稀缺性，且长沙县正处在一个城市规模不断扩大、城市人口快速增长的时期，对不动产资源不断增长的需求与土地资源的稀缺性之间的矛盾越来越突出，地下可利用空间的价值也逐步受到关注。</w:t>
      </w:r>
    </w:p>
    <w:p>
      <w:pPr>
        <w:spacing w:line="520" w:lineRule="exact"/>
        <w:ind w:firstLine="480" w:firstLineChars="200"/>
        <w:rPr>
          <w:sz w:val="24"/>
          <w:szCs w:val="24"/>
        </w:rPr>
      </w:pPr>
      <w:r>
        <w:rPr>
          <w:sz w:val="24"/>
          <w:szCs w:val="24"/>
        </w:rPr>
        <w:t>我国于2007年10月1日起颁布实施的《中华人民共和国物权法》第136条规定：“建设用地使用权可与土地的地表、地上或地下分别设立。新设立的建设用地使用权，不得损害已设立的用益物权。”这一规定确立了建设用权分层出让制度，将建设用地使用权由传统意义上的二维平面概念明确为立体空间概念。2011年，为切实推进全国土地统一登记工作，国土资源部印发了《宗地代码编制规则（试行）》（国土资厅发[2011]57号），在编码方法上，明确了建设用地使用权宗地（地下）这一土地权属类型，把地下空间国有建设用地使用权纳入了登记范畴。近几年，我省也先后出台了一系列政策鼓励开发利用地下空间。如《湖南省人民政府关于节约集约用地的若干意见》（湘政发[2011]42号）。</w:t>
      </w:r>
    </w:p>
    <w:p>
      <w:pPr>
        <w:spacing w:line="440" w:lineRule="exact"/>
        <w:ind w:firstLine="480" w:firstLineChars="200"/>
        <w:rPr>
          <w:sz w:val="24"/>
          <w:szCs w:val="24"/>
        </w:rPr>
      </w:pPr>
      <w:r>
        <w:rPr>
          <w:sz w:val="24"/>
          <w:szCs w:val="24"/>
        </w:rPr>
        <w:t>因此，本轮城市地下空间基准地价评估中，实践上，有利于促进长沙县土地集约节约利用和土地资源的可持续利用，有利于促进地上地下空间使用权的合理流转，激发权利人对于空间投资积极性。从土地权利人角度，有利于减少地上地下空间使用权的权属纠纷和有效保障权利人的权益；从国家角度，有利于国家对地上地下空间使用权的制度化管理，保证国有资产不流失；从社会角度出发，有利于促进城市空间的合理开发利用，并进一步促进城市建设的可持续发展。</w:t>
      </w:r>
    </w:p>
    <w:p>
      <w:pPr>
        <w:spacing w:line="360" w:lineRule="auto"/>
        <w:ind w:firstLine="560" w:firstLineChars="200"/>
        <w:outlineLvl w:val="2"/>
        <w:rPr>
          <w:rFonts w:eastAsia="黑体"/>
          <w:sz w:val="28"/>
          <w:szCs w:val="28"/>
        </w:rPr>
      </w:pPr>
      <w:bookmarkStart w:id="694" w:name="_Toc28469"/>
      <w:bookmarkStart w:id="695" w:name="_Toc4766"/>
      <w:bookmarkStart w:id="696" w:name="_Toc470721340"/>
      <w:bookmarkStart w:id="697" w:name="_Toc469296490"/>
      <w:r>
        <w:rPr>
          <w:rFonts w:eastAsia="黑体"/>
          <w:sz w:val="28"/>
          <w:szCs w:val="28"/>
        </w:rPr>
        <w:t>二、地下空间及使用权价格以及理论基础</w:t>
      </w:r>
      <w:bookmarkEnd w:id="694"/>
      <w:bookmarkEnd w:id="695"/>
      <w:bookmarkEnd w:id="696"/>
      <w:bookmarkEnd w:id="697"/>
    </w:p>
    <w:p>
      <w:pPr>
        <w:spacing w:line="440" w:lineRule="exact"/>
        <w:ind w:firstLine="480" w:firstLineChars="200"/>
        <w:rPr>
          <w:sz w:val="24"/>
          <w:szCs w:val="24"/>
        </w:rPr>
      </w:pPr>
      <w:r>
        <w:rPr>
          <w:sz w:val="24"/>
          <w:szCs w:val="24"/>
        </w:rPr>
        <w:t>地下空间是指在地球表面以下的天然形成或经过人工开发而成的空间。包括结合地面建筑一并开发建设的地下工程，简称“结建地下空间”；独立开发建设的地下工程，简称“单建地下空间”。地下空间的提出一方面使土地利用由二维平面转为三维立体，另一方面也将不动产估价的客体扩大到地表上下空间，在客观上要求对地下空间使用权价格进行评估。地下空间土地使用权价格可以通过类比土地使用权价格定义，即为在正常市场条件下一定年期的地下空间土地使用权未来收益的现值总和。</w:t>
      </w:r>
    </w:p>
    <w:p>
      <w:pPr>
        <w:spacing w:line="520" w:lineRule="exact"/>
        <w:ind w:firstLine="480" w:firstLineChars="200"/>
        <w:rPr>
          <w:sz w:val="24"/>
          <w:szCs w:val="24"/>
        </w:rPr>
      </w:pPr>
      <w:r>
        <w:rPr>
          <w:sz w:val="24"/>
          <w:szCs w:val="24"/>
        </w:rPr>
        <w:t>由于地下空间是土地资源不可分割的组成部分，所以城市地下空间使用权有偿出让的实质是土地使用权的有偿出让，所反映的是使用者与政府的一种租赁关系，法律依据是我国现行的《中华人民共和国土地管理法》《中华人民共和国城镇国有土地使用权出让和转让暂行条例》等相关法规。从本质上来说，其出让费同样符合马克思主义经典土地经济学中绝对地租和级差地租划分的有关原理。马克思主义经典土地经济学认为，土地使用者必须向土地所有权的拥有者交纳绝对地租以体现成租关系，同时还应交纳级差地租以体现使用权拥有者对剩余价值的拥有权。城市中，绝对地租是城市地租的最低量值，以郊区农业地租为起点计算。城市绝对地租相对于农业地租来说，既包含了绝对地租，又包含级差地租，而级差地租则体现城市土地价格梯度形成的关键。马克思在研究级差地租的一般原理时指出：级差地租是一种超额利润的转化形式，如果两个等量资本和劳动使用在等面积土地上产生的收益不同，这个超额利润就转化为级差地租。城市级差地租由土地的地理区域所带来的级差地租I和对土地追加投资所带来的级差地租Ⅱ组成，而对城市基础设施的投资加大则会引起级差地租Ⅱ的增长。在我国一般是以地价(地价=地租/税率)来反映绝对地租和级差地租。</w:t>
      </w:r>
    </w:p>
    <w:p>
      <w:pPr>
        <w:spacing w:line="520" w:lineRule="exact"/>
        <w:ind w:firstLine="480" w:firstLineChars="200"/>
        <w:rPr>
          <w:sz w:val="24"/>
          <w:szCs w:val="24"/>
        </w:rPr>
      </w:pPr>
      <w:r>
        <w:rPr>
          <w:sz w:val="24"/>
          <w:szCs w:val="24"/>
        </w:rPr>
        <w:t>由于城市地下空间使用权出让的实质是土地使用权的有偿出让，所以在理论上目前适合于土地价格的各种计算方法均适合于计算城市地下空间土地使用权价格，如市场比较法、收益还原法、剩余法等。。</w:t>
      </w:r>
      <w:bookmarkStart w:id="698" w:name="_Toc452663671"/>
    </w:p>
    <w:p>
      <w:pPr>
        <w:spacing w:line="360" w:lineRule="auto"/>
        <w:ind w:firstLine="560" w:firstLineChars="200"/>
        <w:outlineLvl w:val="2"/>
        <w:rPr>
          <w:rFonts w:eastAsia="黑体"/>
          <w:sz w:val="28"/>
          <w:szCs w:val="28"/>
        </w:rPr>
      </w:pPr>
      <w:bookmarkStart w:id="699" w:name="_Toc470721341"/>
      <w:bookmarkStart w:id="700" w:name="_Toc29716"/>
      <w:bookmarkStart w:id="701" w:name="_Toc19871"/>
      <w:bookmarkStart w:id="702" w:name="_Toc467846874"/>
      <w:bookmarkStart w:id="703" w:name="_Toc463701898"/>
      <w:bookmarkStart w:id="704" w:name="_Toc469296491"/>
      <w:r>
        <w:rPr>
          <w:rFonts w:eastAsia="黑体"/>
          <w:sz w:val="28"/>
          <w:szCs w:val="28"/>
        </w:rPr>
        <w:t>三、影响城市地下空间土地使用权基准地价的因素</w:t>
      </w:r>
      <w:bookmarkEnd w:id="698"/>
      <w:bookmarkEnd w:id="699"/>
      <w:bookmarkEnd w:id="700"/>
      <w:bookmarkEnd w:id="701"/>
      <w:bookmarkEnd w:id="702"/>
      <w:bookmarkEnd w:id="703"/>
      <w:bookmarkEnd w:id="704"/>
    </w:p>
    <w:p>
      <w:pPr>
        <w:spacing w:line="520" w:lineRule="exact"/>
        <w:ind w:firstLine="480" w:firstLineChars="200"/>
        <w:rPr>
          <w:sz w:val="24"/>
          <w:szCs w:val="24"/>
        </w:rPr>
      </w:pPr>
      <w:r>
        <w:rPr>
          <w:sz w:val="24"/>
          <w:szCs w:val="24"/>
        </w:rPr>
        <w:t>影响城市地下空间土地使用权基准地价的因素很多，如经济地理区位、地价、交通便利程度、工程地质与水文地质条件、地下空间开发后功能、与临近地下空间设施连接程度、环境与投资条件等。由于地价的形成综合了大多主要的因素，所以影响城市地下空间土地使用权基准地价的主要因素是地价、地下空间开发后功能、与临近地下空间设施连接程度等。</w:t>
      </w:r>
    </w:p>
    <w:p>
      <w:pPr>
        <w:spacing w:line="360" w:lineRule="auto"/>
        <w:ind w:firstLine="560" w:firstLineChars="200"/>
        <w:outlineLvl w:val="2"/>
        <w:rPr>
          <w:rFonts w:eastAsia="黑体"/>
          <w:sz w:val="28"/>
          <w:szCs w:val="28"/>
        </w:rPr>
      </w:pPr>
      <w:bookmarkStart w:id="705" w:name="_Toc470721342"/>
      <w:bookmarkStart w:id="706" w:name="_Toc22251"/>
      <w:bookmarkStart w:id="707" w:name="_Toc463701899"/>
      <w:bookmarkStart w:id="708" w:name="_Toc17008"/>
      <w:bookmarkStart w:id="709" w:name="_Toc452663672"/>
      <w:bookmarkStart w:id="710" w:name="_Toc469296492"/>
      <w:bookmarkStart w:id="711" w:name="_Toc467846875"/>
      <w:r>
        <w:rPr>
          <w:rFonts w:eastAsia="黑体"/>
          <w:sz w:val="28"/>
          <w:szCs w:val="28"/>
        </w:rPr>
        <w:t>四、地下空间土地使用权基准地价测算方法</w:t>
      </w:r>
      <w:bookmarkEnd w:id="705"/>
      <w:bookmarkEnd w:id="706"/>
      <w:bookmarkEnd w:id="707"/>
      <w:bookmarkEnd w:id="708"/>
      <w:bookmarkEnd w:id="709"/>
      <w:bookmarkEnd w:id="710"/>
      <w:bookmarkEnd w:id="711"/>
    </w:p>
    <w:p>
      <w:pPr>
        <w:spacing w:line="360" w:lineRule="auto"/>
        <w:ind w:firstLine="480" w:firstLineChars="200"/>
        <w:rPr>
          <w:sz w:val="24"/>
        </w:rPr>
      </w:pPr>
      <w:r>
        <w:rPr>
          <w:sz w:val="24"/>
        </w:rPr>
        <w:t>土地价格是土地利用效益的外在表现形式，随着城市土地利用由一个二维平面变为一个三维立体空间，土地价格也由平面地价转为立体空间价格。立体空间地价是指基于土地在地表及地下一定范围内开发利用所产生的立体空间收益的资本化，它不仅表现为地价在平面空间内的不同， 也反映了在同一地面区域的垂直立体空间价格的变化。立体空间地价包含地上土地价格与地下空间价格。地下空间价格是指地下空间使用权的收益价格，其本质是与经典地价理论相通的，即地下空间租金的资本化。下面两图说明立体空间地价较传统地价的变化。传统的平面地价理论如图5-8-1所示，O代表市中心，横轴OS表示距离市中心的距离，纵轴表示土地价格，ac则表示随着距离市中心越来越远，地价逐渐降低。而引入立体空间地价概念后，地价的变化趋势由图3-8-1演变为图3-8-2。立体空间价格图中引入OH轴线即距离地面垂直高度轴线，使得地价变化图由二维的X-Y型，转变为X-Y-Z的三维立体形态。ab 是随着与地面距离绝对值的增大，土地价格逐渐下降的变化曲线。立体地价的表现也由曲线ab转变为曲面abc，曲面abc上同一水平面上的两点价格相同，如点M与N。对立体空间地价与地下空间价格分布规律的掌握，对于土地价格评估有重要意义。一是扩大了客体范围，将股价对象延伸至地表之下的土地空间；二是对现有评估方法的适用性提出新的要求；三是使基准地价的内涵更为丰富。</w:t>
      </w:r>
    </w:p>
    <w:p>
      <w:pPr>
        <w:spacing w:line="460" w:lineRule="exact"/>
        <w:jc w:val="center"/>
        <w:rPr>
          <w:sz w:val="24"/>
          <w:szCs w:val="24"/>
        </w:rPr>
      </w:pPr>
      <w:r>
        <w:rPr>
          <w:rFonts w:ascii="Times New Roman" w:hAnsi="Times New Roman" w:eastAsia="宋体" w:cs="Times New Roman"/>
          <w:kern w:val="2"/>
          <w:sz w:val="24"/>
          <w:szCs w:val="24"/>
          <w:lang w:val="en-US" w:eastAsia="zh-CN" w:bidi="ar-SA"/>
        </w:rPr>
        <w:pict>
          <v:shape id="图片 1435" o:spid="_x0000_s1325" type="#_x0000_t75" style="position:absolute;left:0;margin-left:18.8pt;margin-top:3.65pt;height:171.75pt;width:203.35pt;mso-wrap-distance-bottom:0pt;mso-wrap-distance-top:0pt;rotation:0f;z-index:251660288;" o:ole="f" fillcolor="#FFFFFF" filled="f" o:preferrelative="t" stroked="f" coordorigin="0,0" coordsize="21600,21600">
            <v:fill on="f" color2="#FFFFFF" focus="0%"/>
            <v:imagedata cropleft="5328f" croptop="3448f" cropright="4083f" gain="65536f" blacklevel="0f" gamma="0" o:title="" r:id="rId132"/>
            <o:lock v:ext="edit" position="f" selection="f" grouping="f" rotation="f" cropping="f" text="f" aspectratio="t"/>
            <w10:wrap type="topAndBottom"/>
          </v:shape>
        </w:pict>
      </w:r>
      <w:r>
        <w:rPr>
          <w:rFonts w:ascii="Times New Roman" w:hAnsi="Times New Roman" w:eastAsia="宋体" w:cs="Times New Roman"/>
          <w:kern w:val="2"/>
          <w:sz w:val="24"/>
          <w:szCs w:val="24"/>
          <w:lang w:val="en-US" w:eastAsia="zh-CN" w:bidi="ar-SA"/>
        </w:rPr>
        <w:pict>
          <v:shape id="图片 1436" o:spid="_x0000_s1326" type="#_x0000_t75" style="position:absolute;left:0;margin-left:233.15pt;margin-top:3.65pt;height:173.1pt;width:189.2pt;rotation:0f;z-index:-251655168;" o:ole="f" fillcolor="#FFFFFF" filled="f" o:preferrelative="t" stroked="f" coordorigin="0,0" coordsize="21600,21600">
            <v:fill on="f" color2="#FFFFFF" focus="0%"/>
            <v:imagedata cropleft="4033f" croptop="1838f" cropright="5761f" cropbottom="1576f" gain="65536f" blacklevel="0f" gamma="0" o:title="" r:id="rId133"/>
            <o:lock v:ext="edit" position="f" selection="f" grouping="f" rotation="f" cropping="f" text="f" aspectratio="t"/>
          </v:shape>
        </w:pict>
      </w:r>
      <w:r>
        <w:rPr>
          <w:rFonts w:hint="eastAsia"/>
          <w:b/>
          <w:sz w:val="24"/>
          <w:szCs w:val="24"/>
        </w:rPr>
        <w:t xml:space="preserve">  </w:t>
      </w:r>
      <w:r>
        <w:rPr>
          <w:b/>
          <w:sz w:val="24"/>
          <w:szCs w:val="24"/>
        </w:rPr>
        <w:t>图3-8-1 平面地价变化图</w:t>
      </w:r>
      <w:r>
        <w:rPr>
          <w:sz w:val="24"/>
          <w:szCs w:val="24"/>
        </w:rPr>
        <w:t xml:space="preserve">              </w:t>
      </w:r>
      <w:r>
        <w:rPr>
          <w:b/>
          <w:sz w:val="24"/>
          <w:szCs w:val="24"/>
        </w:rPr>
        <w:t>图3-8-2 立体空间地价变化图</w:t>
      </w:r>
    </w:p>
    <w:p>
      <w:pPr>
        <w:spacing w:line="360" w:lineRule="auto"/>
        <w:ind w:firstLine="560" w:firstLineChars="200"/>
        <w:outlineLvl w:val="2"/>
        <w:rPr>
          <w:rFonts w:eastAsia="黑体"/>
          <w:sz w:val="28"/>
          <w:szCs w:val="28"/>
        </w:rPr>
      </w:pPr>
      <w:bookmarkStart w:id="712" w:name="_Toc7062"/>
      <w:bookmarkStart w:id="713" w:name="_Toc466018403"/>
      <w:bookmarkStart w:id="714" w:name="_Toc470721343"/>
      <w:bookmarkStart w:id="715" w:name="_Toc28057"/>
      <w:bookmarkStart w:id="716" w:name="_Toc469296493"/>
      <w:r>
        <w:rPr>
          <w:rFonts w:eastAsia="黑体"/>
          <w:sz w:val="28"/>
          <w:szCs w:val="28"/>
        </w:rPr>
        <w:t>五、地下空间土地使用权基准地价测算</w:t>
      </w:r>
      <w:bookmarkEnd w:id="712"/>
      <w:bookmarkEnd w:id="713"/>
      <w:bookmarkEnd w:id="714"/>
      <w:bookmarkEnd w:id="715"/>
      <w:bookmarkEnd w:id="716"/>
    </w:p>
    <w:p>
      <w:pPr>
        <w:spacing w:line="460" w:lineRule="exact"/>
        <w:ind w:firstLine="480" w:firstLineChars="200"/>
        <w:rPr>
          <w:sz w:val="24"/>
        </w:rPr>
      </w:pPr>
      <w:r>
        <w:rPr>
          <w:sz w:val="24"/>
        </w:rPr>
        <w:t>由于城市地下空间具有一些特殊性质，如地下工程的建设具有投资大、施工周期长、风险较大的特点，同时多数地下工程在建成之后往往具有多种功能和性质，既有商服功能又有人防功能，同时还有社会公益性，故地下空间开发方具有与普通地面房地产开发不同的成本和收益特点。所以，城市地下空间土地使用权价格中级差地租的构成有所不同，城市地下空间土地使用权的价格并不能等同于土地使用权价格，相当于土地使用权的受让方必须投入更多的投资才能获得地上同面积的投资收益。因此，研究城市地下空间使用权规律性方法时，若直接采用通常使用的地价计算方法，由于种种因素不易确定，往往就会出现一些困难。如：采用市场比较法，则难以找到较合适的地下空间交易案例；剩余法较难分离同一建筑地下和地上部分的造价和收益；收益还原法由于地下空间的特殊性质对于长期收益的预测、各种不同类型收益的分解和资本化率的确定也不易把握。同时，还有一个共性的问题就是上述方法较适合于一些具体案例的评估，而没有建立一个地面—地下土地使用权价格的对应模型，缺乏规律性。正是由于这些原因，给相关地价政策的制定和地下空间项目开发带来困难。为了建立一个地面—地下土地使用权价格的对应模型，我们可以从投资的角度来考虑，考察地下、地面的同类设施，只有在认为其单位投资收益率相等，才会同等地去投资地下空间，所以根据投资经济学基本原理，将剩余法和市场比较法相结合，可以得出一个简化算法。为了计算宗地A的地下空间土地使用权价格，可以根据市场资料比较法，在同一供需圈内找出与宗地A相似的宗地B，并以宗地B的地价作为参考的基准。为了便于计算，假设宗地容积率均为1。以P、S、K、C、M分别表示宗地B的地价、平均售价、其他费用(销售费用及税金等)、地面设施平均造价和投资收益率；相应地以P’、S’、K’、C’、M’分别表示宗地A的地下空间土地使用权价格、平均售价、其他费用(销售费用及税金等)、地面设施平均造价和投资收益率。</w:t>
      </w:r>
    </w:p>
    <w:p>
      <w:pPr>
        <w:spacing w:line="460" w:lineRule="exact"/>
        <w:ind w:firstLine="480" w:firstLineChars="200"/>
        <w:rPr>
          <w:sz w:val="24"/>
        </w:rPr>
      </w:pPr>
      <w:r>
        <w:rPr>
          <w:sz w:val="24"/>
        </w:rPr>
        <w:t>在正常投资前提下，应有考虑投资收益率相等，即M=M’</w:t>
      </w:r>
    </w:p>
    <w:p>
      <w:pPr>
        <w:spacing w:line="460" w:lineRule="exact"/>
        <w:ind w:firstLine="480" w:firstLineChars="200"/>
        <w:rPr>
          <w:sz w:val="24"/>
        </w:rPr>
      </w:pPr>
      <w:r>
        <w:rPr>
          <w:sz w:val="24"/>
        </w:rPr>
        <w:t>由于M=(S-P-C-K)/S，</w:t>
      </w:r>
    </w:p>
    <w:p>
      <w:pPr>
        <w:spacing w:line="460" w:lineRule="exact"/>
        <w:ind w:firstLine="480" w:firstLineChars="200"/>
        <w:rPr>
          <w:sz w:val="24"/>
        </w:rPr>
      </w:pPr>
      <w:r>
        <w:rPr>
          <w:sz w:val="24"/>
        </w:rPr>
        <w:t>M’=(S’-P’-C’-K’)/S’</w:t>
      </w:r>
    </w:p>
    <w:p>
      <w:pPr>
        <w:spacing w:line="460" w:lineRule="exact"/>
        <w:ind w:firstLine="480" w:firstLineChars="200"/>
        <w:rPr>
          <w:sz w:val="24"/>
        </w:rPr>
      </w:pPr>
      <w:r>
        <w:rPr>
          <w:sz w:val="24"/>
        </w:rPr>
        <w:t>故有下式成立：</w:t>
      </w:r>
    </w:p>
    <w:p>
      <w:pPr>
        <w:spacing w:line="460" w:lineRule="exact"/>
        <w:ind w:firstLine="480" w:firstLineChars="200"/>
        <w:rPr>
          <w:sz w:val="24"/>
        </w:rPr>
      </w:pPr>
      <w:r>
        <w:rPr>
          <w:sz w:val="24"/>
        </w:rPr>
        <w:t>(S-P-C-K)/S</w:t>
      </w:r>
    </w:p>
    <w:p>
      <w:pPr>
        <w:spacing w:line="460" w:lineRule="exact"/>
        <w:ind w:firstLine="480" w:firstLineChars="200"/>
        <w:rPr>
          <w:sz w:val="24"/>
        </w:rPr>
      </w:pPr>
      <w:r>
        <w:rPr>
          <w:sz w:val="24"/>
        </w:rPr>
        <w:t>=(S’-P’-C’-K’　)/S’</w:t>
      </w:r>
    </w:p>
    <w:p>
      <w:pPr>
        <w:spacing w:line="460" w:lineRule="exact"/>
        <w:ind w:firstLine="480" w:firstLineChars="200"/>
        <w:rPr>
          <w:sz w:val="24"/>
        </w:rPr>
      </w:pPr>
      <w:r>
        <w:rPr>
          <w:sz w:val="24"/>
        </w:rPr>
        <w:t>经简化可得：</w:t>
      </w:r>
    </w:p>
    <w:p>
      <w:pPr>
        <w:spacing w:line="460" w:lineRule="exact"/>
        <w:ind w:firstLine="480" w:firstLineChars="200"/>
        <w:rPr>
          <w:sz w:val="24"/>
        </w:rPr>
      </w:pPr>
      <w:r>
        <w:rPr>
          <w:sz w:val="24"/>
        </w:rPr>
        <w:t>(P’十C’+K’)/S’</w:t>
      </w:r>
    </w:p>
    <w:p>
      <w:pPr>
        <w:spacing w:line="460" w:lineRule="exact"/>
        <w:ind w:firstLine="480" w:firstLineChars="200"/>
        <w:rPr>
          <w:sz w:val="24"/>
        </w:rPr>
      </w:pPr>
      <w:r>
        <w:rPr>
          <w:sz w:val="24"/>
        </w:rPr>
        <w:t>=(P+C+K)/S</w:t>
      </w:r>
    </w:p>
    <w:p>
      <w:pPr>
        <w:spacing w:line="460" w:lineRule="exact"/>
        <w:ind w:firstLine="480" w:firstLineChars="200"/>
        <w:rPr>
          <w:sz w:val="24"/>
        </w:rPr>
      </w:pPr>
      <w:r>
        <w:rPr>
          <w:sz w:val="24"/>
        </w:rPr>
        <w:t>考虑到一般工程中其他费用占平均售价的比例相似，即K’/S’≈K/S</w:t>
      </w:r>
    </w:p>
    <w:p>
      <w:pPr>
        <w:spacing w:line="460" w:lineRule="exact"/>
        <w:ind w:firstLine="480" w:firstLineChars="200"/>
        <w:rPr>
          <w:sz w:val="24"/>
        </w:rPr>
      </w:pPr>
      <w:r>
        <w:rPr>
          <w:sz w:val="24"/>
        </w:rPr>
        <w:t>上式可简化为：</w:t>
      </w:r>
    </w:p>
    <w:p>
      <w:pPr>
        <w:spacing w:line="460" w:lineRule="exact"/>
        <w:ind w:firstLine="480" w:firstLineChars="200"/>
        <w:rPr>
          <w:sz w:val="24"/>
        </w:rPr>
      </w:pPr>
      <w:r>
        <w:rPr>
          <w:sz w:val="24"/>
        </w:rPr>
        <w:t>(P’+C’)/S’=(P+C)/S</w:t>
      </w:r>
    </w:p>
    <w:p>
      <w:pPr>
        <w:spacing w:line="460" w:lineRule="exact"/>
        <w:ind w:firstLine="480" w:firstLineChars="200"/>
        <w:rPr>
          <w:sz w:val="24"/>
        </w:rPr>
      </w:pPr>
      <w:r>
        <w:rPr>
          <w:sz w:val="24"/>
        </w:rPr>
        <w:t>一般情况下，C’/S’大于C/S，S’/S约为0.3～0.5。但如果主要的地下空间投资属于政府公益性或人防工程需要投资(如</w:t>
      </w:r>
      <w:r>
        <w:rPr>
          <w:rFonts w:hint="eastAsia"/>
          <w:sz w:val="24"/>
        </w:rPr>
        <w:t>轨道交通</w:t>
      </w:r>
      <w:r>
        <w:rPr>
          <w:sz w:val="24"/>
        </w:rPr>
        <w:t>等)，在此基础上增加的商服设施其造价售价比C’/S’与地面同类设施造价售价比C/S大致相等。在这种特定条件下，上式可近似为：</w:t>
      </w:r>
    </w:p>
    <w:p>
      <w:pPr>
        <w:spacing w:line="460" w:lineRule="exact"/>
        <w:ind w:firstLine="480" w:firstLineChars="200"/>
        <w:jc w:val="center"/>
        <w:rPr>
          <w:sz w:val="24"/>
        </w:rPr>
      </w:pPr>
      <w:r>
        <w:rPr>
          <w:sz w:val="24"/>
        </w:rPr>
        <w:t>P’/P≈S’/S</w:t>
      </w:r>
    </w:p>
    <w:p>
      <w:pPr>
        <w:spacing w:line="460" w:lineRule="exact"/>
        <w:ind w:firstLine="480" w:firstLineChars="200"/>
        <w:rPr>
          <w:sz w:val="24"/>
        </w:rPr>
      </w:pPr>
      <w:r>
        <w:rPr>
          <w:sz w:val="24"/>
        </w:rPr>
        <w:t>上述方法中有关售价、造价售价比等可通过市场调查、比较的方法得到，地面土地使用权价格可以直接应用现有的地价系统，这样就建立了一个地面—地下土地使用权价格的对应模型，为地下土地使用权价格创造了条件。</w:t>
      </w:r>
    </w:p>
    <w:p>
      <w:pPr>
        <w:spacing w:line="520" w:lineRule="exact"/>
        <w:ind w:firstLine="480" w:firstLineChars="200"/>
        <w:rPr>
          <w:sz w:val="24"/>
          <w:szCs w:val="24"/>
        </w:rPr>
      </w:pPr>
      <w:r>
        <w:rPr>
          <w:sz w:val="24"/>
          <w:szCs w:val="24"/>
        </w:rPr>
        <w:t>依此及考虑到地下空间利用的实际性，参考《湖南省人民政府关于进一步加强节约集约用地的意见》（湘政发【2016】10号）文件中的第十一条：在兼顾国防、人防、防灾等需要的前提下，鼓励合理利用地下空间；结合《长沙市人民政府关于印发《长沙市国有建设用地使用权有偿使用规定》》（长政发【2014】24号）及其实施文件《长沙市国有建设用地使用权出让土地价款测算规范》确定的商服用途、住宅及其他用途地下空间土地使用权协议出让单价比例；通过专家论证法，并广泛征求市级各部门意见，且为了使长沙县与长沙市市区地下空间使用权保持同一地价测算体系，商服用地、住宅及其他用途地下空间土地使用权协议出让楼层分配系数和地下空间土地使用权协议出让单价见下表。</w:t>
      </w:r>
    </w:p>
    <w:p>
      <w:pPr>
        <w:snapToGrid w:val="0"/>
        <w:spacing w:line="440" w:lineRule="exact"/>
        <w:jc w:val="center"/>
        <w:rPr>
          <w:b/>
          <w:bCs/>
          <w:sz w:val="24"/>
        </w:rPr>
      </w:pPr>
      <w:r>
        <w:rPr>
          <w:b/>
          <w:bCs/>
          <w:sz w:val="24"/>
        </w:rPr>
        <w:t>表3-8-1  长沙县城区商服用地地下空间土地使用权协议出让楼层分配系数</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3"/>
        <w:gridCol w:w="1200"/>
        <w:gridCol w:w="1812"/>
        <w:gridCol w:w="1812"/>
        <w:gridCol w:w="1812"/>
        <w:gridCol w:w="18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trPr>
        <w:tc>
          <w:tcPr>
            <w:tcW w:w="1813" w:type="dxa"/>
            <w:gridSpan w:val="2"/>
            <w:tcBorders>
              <w:top w:val="single" w:color="auto" w:sz="8" w:space="0"/>
              <w:left w:val="single" w:color="auto" w:sz="8" w:space="0"/>
              <w:bottom w:val="single" w:color="auto" w:sz="8" w:space="0"/>
              <w:right w:val="single" w:color="000000" w:sz="8" w:space="0"/>
            </w:tcBorders>
            <w:vAlign w:val="center"/>
          </w:tcPr>
          <w:p>
            <w:pPr>
              <w:widowControl/>
              <w:jc w:val="center"/>
              <w:rPr>
                <w:color w:val="000000"/>
                <w:kern w:val="0"/>
                <w:sz w:val="20"/>
              </w:rPr>
            </w:pPr>
            <w:r>
              <w:rPr>
                <w:color w:val="000000"/>
                <w:kern w:val="0"/>
                <w:sz w:val="20"/>
              </w:rPr>
              <w:t>级别及地下层数</w:t>
            </w:r>
          </w:p>
        </w:tc>
        <w:tc>
          <w:tcPr>
            <w:tcW w:w="181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地下建一层系数</w:t>
            </w:r>
          </w:p>
        </w:tc>
        <w:tc>
          <w:tcPr>
            <w:tcW w:w="181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地下建二层系数</w:t>
            </w:r>
          </w:p>
        </w:tc>
        <w:tc>
          <w:tcPr>
            <w:tcW w:w="181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地下建三层系数</w:t>
            </w:r>
          </w:p>
        </w:tc>
        <w:tc>
          <w:tcPr>
            <w:tcW w:w="181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地下建四层系数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Ⅰ</w:t>
            </w: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0.2</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0.17</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0.1445</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0.1445</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0.1228</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0.1044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0.1044</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Ⅱ</w:t>
            </w: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0.2</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0.17</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0.1445</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0.1445</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0.1228</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0.1045</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Ⅲ</w:t>
            </w: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0.2</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0.17</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0.1445</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0.1445</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0.1226</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0.1044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0.1044</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Ⅳ</w:t>
            </w: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0.2</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0.17</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0.1446</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0.1446</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0.1229</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0.1045</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Ⅴ</w:t>
            </w: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0.2</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0.1699</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0.1444</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0.1444</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0.1228</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0.1043</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0.0755</w:t>
            </w:r>
          </w:p>
        </w:tc>
      </w:tr>
    </w:tbl>
    <w:p>
      <w:pPr>
        <w:snapToGrid w:val="0"/>
        <w:spacing w:line="440" w:lineRule="exact"/>
        <w:jc w:val="center"/>
        <w:rPr>
          <w:b/>
          <w:bCs/>
          <w:sz w:val="24"/>
        </w:rPr>
      </w:pPr>
      <w:r>
        <w:rPr>
          <w:b/>
          <w:bCs/>
          <w:sz w:val="24"/>
        </w:rPr>
        <w:br w:type="page"/>
      </w:r>
    </w:p>
    <w:p>
      <w:pPr>
        <w:snapToGrid w:val="0"/>
        <w:spacing w:line="440" w:lineRule="exact"/>
        <w:jc w:val="center"/>
        <w:rPr>
          <w:b/>
          <w:bCs/>
          <w:sz w:val="24"/>
        </w:rPr>
      </w:pPr>
      <w:r>
        <w:rPr>
          <w:b/>
          <w:bCs/>
          <w:sz w:val="24"/>
        </w:rPr>
        <w:t>表3-8-2 长沙县城区商服用地地下空间土地使用权协议出让单价表</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2"/>
        <w:gridCol w:w="1259"/>
        <w:gridCol w:w="1432"/>
        <w:gridCol w:w="1432"/>
        <w:gridCol w:w="1432"/>
        <w:gridCol w:w="1432"/>
        <w:gridCol w:w="1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01" w:type="dxa"/>
            <w:gridSpan w:val="2"/>
            <w:tcBorders>
              <w:top w:val="single" w:color="auto" w:sz="8" w:space="0"/>
              <w:left w:val="single" w:color="auto" w:sz="8" w:space="0"/>
              <w:bottom w:val="single" w:color="auto" w:sz="8" w:space="0"/>
              <w:right w:val="single" w:color="000000" w:sz="8" w:space="0"/>
            </w:tcBorders>
            <w:vAlign w:val="center"/>
          </w:tcPr>
          <w:p>
            <w:pPr>
              <w:widowControl/>
              <w:jc w:val="center"/>
              <w:rPr>
                <w:color w:val="000000"/>
                <w:kern w:val="0"/>
                <w:sz w:val="20"/>
              </w:rPr>
            </w:pPr>
            <w:r>
              <w:rPr>
                <w:color w:val="000000"/>
                <w:kern w:val="0"/>
                <w:sz w:val="20"/>
              </w:rPr>
              <w:t>级别及地下层数</w:t>
            </w:r>
          </w:p>
        </w:tc>
        <w:tc>
          <w:tcPr>
            <w:tcW w:w="143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各级别地价</w:t>
            </w:r>
          </w:p>
        </w:tc>
        <w:tc>
          <w:tcPr>
            <w:tcW w:w="143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地下建一层</w:t>
            </w:r>
          </w:p>
        </w:tc>
        <w:tc>
          <w:tcPr>
            <w:tcW w:w="143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地下建二层</w:t>
            </w:r>
          </w:p>
        </w:tc>
        <w:tc>
          <w:tcPr>
            <w:tcW w:w="143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地下建三层</w:t>
            </w:r>
          </w:p>
        </w:tc>
        <w:tc>
          <w:tcPr>
            <w:tcW w:w="143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地下建四层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Ⅰ</w:t>
            </w: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4590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918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780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663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564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4590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663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564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479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4590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479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407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4590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346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Ⅱ</w:t>
            </w: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3360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672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571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486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413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3360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486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413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351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3360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351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298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3360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253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Ⅲ</w:t>
            </w: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2550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510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434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368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313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2550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368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313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266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2550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266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226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2550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192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Ⅳ</w:t>
            </w: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1780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356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303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257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219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1780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257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219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186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1780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186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158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1780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Ⅴ</w:t>
            </w: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1280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256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217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185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157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1280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185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157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134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1280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134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114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1280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sz w:val="20"/>
              </w:rPr>
            </w:pPr>
            <w:r>
              <w:rPr>
                <w:rFonts w:eastAsia="Tahoma"/>
                <w:color w:val="000000"/>
                <w:kern w:val="0"/>
                <w:sz w:val="20"/>
                <w:lang/>
              </w:rPr>
              <w:t xml:space="preserve">97 </w:t>
            </w:r>
          </w:p>
        </w:tc>
      </w:tr>
    </w:tbl>
    <w:p>
      <w:pPr>
        <w:snapToGrid w:val="0"/>
        <w:spacing w:line="440" w:lineRule="exact"/>
        <w:jc w:val="center"/>
        <w:rPr>
          <w:b/>
          <w:bCs/>
          <w:sz w:val="24"/>
        </w:rPr>
      </w:pPr>
      <w:r>
        <w:rPr>
          <w:b/>
          <w:bCs/>
          <w:sz w:val="24"/>
        </w:rPr>
        <w:t>表3-8-3长沙县城区住宅及其他用途地下空间土地使用权协议出让楼层分配系数</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3"/>
        <w:gridCol w:w="1200"/>
        <w:gridCol w:w="1812"/>
        <w:gridCol w:w="1812"/>
        <w:gridCol w:w="1812"/>
        <w:gridCol w:w="18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trPr>
        <w:tc>
          <w:tcPr>
            <w:tcW w:w="1813" w:type="dxa"/>
            <w:gridSpan w:val="2"/>
            <w:tcBorders>
              <w:top w:val="single" w:color="auto" w:sz="8" w:space="0"/>
              <w:left w:val="single" w:color="auto" w:sz="8" w:space="0"/>
              <w:bottom w:val="single" w:color="auto" w:sz="8" w:space="0"/>
              <w:right w:val="single" w:color="000000" w:sz="8" w:space="0"/>
            </w:tcBorders>
            <w:vAlign w:val="center"/>
          </w:tcPr>
          <w:p>
            <w:pPr>
              <w:widowControl/>
              <w:jc w:val="center"/>
              <w:rPr>
                <w:color w:val="000000"/>
                <w:kern w:val="0"/>
                <w:sz w:val="20"/>
              </w:rPr>
            </w:pPr>
            <w:r>
              <w:rPr>
                <w:color w:val="000000"/>
                <w:kern w:val="0"/>
                <w:sz w:val="20"/>
              </w:rPr>
              <w:t>级别及地下层数</w:t>
            </w:r>
          </w:p>
        </w:tc>
        <w:tc>
          <w:tcPr>
            <w:tcW w:w="181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地下建一层系数</w:t>
            </w:r>
          </w:p>
        </w:tc>
        <w:tc>
          <w:tcPr>
            <w:tcW w:w="181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地下建二层系数</w:t>
            </w:r>
          </w:p>
        </w:tc>
        <w:tc>
          <w:tcPr>
            <w:tcW w:w="181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地下建三层系数</w:t>
            </w:r>
          </w:p>
        </w:tc>
        <w:tc>
          <w:tcPr>
            <w:tcW w:w="181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地下建四层系数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9" w:hRule="atLeast"/>
        </w:trPr>
        <w:tc>
          <w:tcPr>
            <w:tcW w:w="613"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Ⅰ</w:t>
            </w: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0.0876</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0.0744</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0.0632</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0.0537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0.0632</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0.0537</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0.0456</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Ⅱ</w:t>
            </w: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0.0875</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0.0744</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0.0632</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0.0537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0.0632</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0.0537</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0.0457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0.0457</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Ⅲ</w:t>
            </w: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0.0875</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0.0743</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0.0632</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0.0537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0.0632</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0.0537</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0.0456</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Ⅳ</w:t>
            </w: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0.0875</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0.0743</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0.0633</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0.0633</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0.0536</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0.0458</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0.0389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Ⅴ</w:t>
            </w: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0.0876</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0.0742</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0.0631</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0.0538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0.0631</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0.0538</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0.0458</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3"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00"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p>
        </w:tc>
        <w:tc>
          <w:tcPr>
            <w:tcW w:w="1812"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0.0329</w:t>
            </w:r>
          </w:p>
        </w:tc>
      </w:tr>
    </w:tbl>
    <w:p>
      <w:pPr>
        <w:snapToGrid w:val="0"/>
        <w:spacing w:line="440" w:lineRule="exact"/>
        <w:jc w:val="center"/>
        <w:rPr>
          <w:b/>
          <w:bCs/>
          <w:sz w:val="24"/>
        </w:rPr>
      </w:pPr>
      <w:r>
        <w:rPr>
          <w:b/>
          <w:bCs/>
          <w:sz w:val="24"/>
        </w:rPr>
        <w:t>表3-8-4 长沙县城区住宅用地及其他用途地下空间土地使用权协议出让单价表</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2"/>
        <w:gridCol w:w="1259"/>
        <w:gridCol w:w="1432"/>
        <w:gridCol w:w="1432"/>
        <w:gridCol w:w="1432"/>
        <w:gridCol w:w="1432"/>
        <w:gridCol w:w="1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01" w:type="dxa"/>
            <w:gridSpan w:val="2"/>
            <w:tcBorders>
              <w:top w:val="single" w:color="auto" w:sz="8" w:space="0"/>
              <w:left w:val="single" w:color="auto" w:sz="8" w:space="0"/>
              <w:bottom w:val="single" w:color="auto" w:sz="8" w:space="0"/>
              <w:right w:val="single" w:color="000000" w:sz="8" w:space="0"/>
            </w:tcBorders>
            <w:vAlign w:val="center"/>
          </w:tcPr>
          <w:p>
            <w:pPr>
              <w:widowControl/>
              <w:jc w:val="center"/>
              <w:rPr>
                <w:color w:val="000000"/>
                <w:kern w:val="0"/>
                <w:sz w:val="20"/>
              </w:rPr>
            </w:pPr>
            <w:r>
              <w:rPr>
                <w:color w:val="000000"/>
                <w:kern w:val="0"/>
                <w:sz w:val="20"/>
              </w:rPr>
              <w:t>级别及地下层数</w:t>
            </w:r>
          </w:p>
        </w:tc>
        <w:tc>
          <w:tcPr>
            <w:tcW w:w="143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各级别地价</w:t>
            </w:r>
          </w:p>
        </w:tc>
        <w:tc>
          <w:tcPr>
            <w:tcW w:w="143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地下建一层</w:t>
            </w:r>
          </w:p>
        </w:tc>
        <w:tc>
          <w:tcPr>
            <w:tcW w:w="143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地下建二层</w:t>
            </w:r>
          </w:p>
        </w:tc>
        <w:tc>
          <w:tcPr>
            <w:tcW w:w="143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地下建三层</w:t>
            </w:r>
          </w:p>
        </w:tc>
        <w:tc>
          <w:tcPr>
            <w:tcW w:w="1432" w:type="dxa"/>
            <w:tcBorders>
              <w:top w:val="single" w:color="auto" w:sz="8" w:space="0"/>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地下建四层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Ⅰ</w:t>
            </w: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3480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305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259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220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3480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220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187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3480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159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3480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Ⅱ</w:t>
            </w: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2540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222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189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161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2540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161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136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2540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116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2540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Ⅲ</w:t>
            </w: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1920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168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143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121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1920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121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103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88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1920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88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1920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Ⅳ</w:t>
            </w: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hint="eastAsia" w:eastAsia="Tahoma"/>
                <w:color w:val="000000"/>
                <w:kern w:val="0"/>
                <w:sz w:val="20"/>
                <w:lang/>
              </w:rPr>
              <w:t>1480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132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112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96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hint="eastAsia" w:eastAsia="Tahoma"/>
                <w:color w:val="000000"/>
                <w:kern w:val="0"/>
                <w:sz w:val="20"/>
                <w:lang/>
              </w:rPr>
              <w:t>1480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96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81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hint="eastAsia" w:eastAsia="Tahoma"/>
                <w:color w:val="000000"/>
                <w:kern w:val="0"/>
                <w:sz w:val="20"/>
                <w:lang/>
              </w:rPr>
              <w:t>1480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69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hint="eastAsia" w:eastAsia="Tahoma"/>
                <w:color w:val="000000"/>
                <w:kern w:val="0"/>
                <w:sz w:val="20"/>
                <w:lang/>
              </w:rPr>
              <w:t>1480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restart"/>
            <w:tcBorders>
              <w:top w:val="nil"/>
              <w:left w:val="single" w:color="auto" w:sz="8" w:space="0"/>
              <w:bottom w:val="single" w:color="000000" w:sz="8" w:space="0"/>
              <w:right w:val="single" w:color="auto" w:sz="8" w:space="0"/>
            </w:tcBorders>
            <w:vAlign w:val="center"/>
          </w:tcPr>
          <w:p>
            <w:pPr>
              <w:widowControl/>
              <w:jc w:val="center"/>
              <w:rPr>
                <w:color w:val="000000"/>
                <w:kern w:val="0"/>
                <w:sz w:val="20"/>
              </w:rPr>
            </w:pPr>
            <w:r>
              <w:rPr>
                <w:color w:val="000000"/>
                <w:kern w:val="0"/>
                <w:sz w:val="20"/>
              </w:rPr>
              <w:t>Ⅴ</w:t>
            </w: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负一层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hint="eastAsia" w:eastAsia="Tahoma"/>
                <w:color w:val="000000"/>
                <w:kern w:val="0"/>
                <w:sz w:val="20"/>
                <w:lang/>
              </w:rPr>
              <w:t>1060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98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83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71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负二层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hint="eastAsia" w:eastAsia="Tahoma"/>
                <w:color w:val="000000"/>
                <w:kern w:val="0"/>
                <w:sz w:val="20"/>
                <w:lang/>
              </w:rPr>
              <w:t>1060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71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60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负三层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hint="eastAsia" w:eastAsia="Tahoma"/>
                <w:color w:val="000000"/>
                <w:kern w:val="0"/>
                <w:sz w:val="20"/>
                <w:lang/>
              </w:rPr>
              <w:t>1060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51 </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43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42" w:type="dxa"/>
            <w:vMerge w:val="continue"/>
            <w:tcBorders>
              <w:top w:val="nil"/>
              <w:left w:val="single" w:color="auto" w:sz="8" w:space="0"/>
              <w:bottom w:val="single" w:color="000000" w:sz="8" w:space="0"/>
              <w:right w:val="single" w:color="auto" w:sz="8" w:space="0"/>
            </w:tcBorders>
            <w:vAlign w:val="center"/>
          </w:tcPr>
          <w:p>
            <w:pPr>
              <w:widowControl/>
              <w:jc w:val="left"/>
              <w:rPr>
                <w:color w:val="000000"/>
                <w:kern w:val="0"/>
                <w:sz w:val="20"/>
              </w:rPr>
            </w:pPr>
          </w:p>
        </w:tc>
        <w:tc>
          <w:tcPr>
            <w:tcW w:w="1259" w:type="dxa"/>
            <w:tcBorders>
              <w:top w:val="nil"/>
              <w:left w:val="nil"/>
              <w:bottom w:val="single" w:color="auto" w:sz="8" w:space="0"/>
              <w:right w:val="single" w:color="auto" w:sz="8" w:space="0"/>
            </w:tcBorders>
            <w:vAlign w:val="center"/>
          </w:tcPr>
          <w:p>
            <w:pPr>
              <w:widowControl/>
              <w:jc w:val="center"/>
              <w:rPr>
                <w:color w:val="000000"/>
                <w:kern w:val="0"/>
                <w:sz w:val="20"/>
              </w:rPr>
            </w:pPr>
            <w:r>
              <w:rPr>
                <w:color w:val="000000"/>
                <w:kern w:val="0"/>
                <w:sz w:val="20"/>
              </w:rPr>
              <w:t>负四层</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hint="eastAsia" w:eastAsia="Tahoma"/>
                <w:color w:val="000000"/>
                <w:kern w:val="0"/>
                <w:sz w:val="20"/>
                <w:lang/>
              </w:rPr>
              <w:t>1060</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color w:val="000000"/>
                <w:kern w:val="0"/>
                <w:sz w:val="20"/>
              </w:rPr>
              <w:t>—</w:t>
            </w:r>
          </w:p>
        </w:tc>
        <w:tc>
          <w:tcPr>
            <w:tcW w:w="1432" w:type="dxa"/>
            <w:tcBorders>
              <w:top w:val="nil"/>
              <w:left w:val="nil"/>
              <w:bottom w:val="single" w:color="auto" w:sz="8" w:space="0"/>
              <w:right w:val="single" w:color="auto" w:sz="8" w:space="0"/>
            </w:tcBorders>
            <w:vAlign w:val="bottom"/>
          </w:tcPr>
          <w:p>
            <w:pPr>
              <w:widowControl/>
              <w:jc w:val="center"/>
              <w:textAlignment w:val="bottom"/>
              <w:rPr>
                <w:color w:val="000000"/>
                <w:kern w:val="0"/>
                <w:sz w:val="20"/>
              </w:rPr>
            </w:pPr>
            <w:r>
              <w:rPr>
                <w:rFonts w:eastAsia="Tahoma"/>
                <w:color w:val="000000"/>
                <w:kern w:val="0"/>
                <w:sz w:val="20"/>
                <w:lang/>
              </w:rPr>
              <w:t xml:space="preserve">37 </w:t>
            </w:r>
          </w:p>
        </w:tc>
      </w:tr>
    </w:tbl>
    <w:p>
      <w:pPr>
        <w:pStyle w:val="35"/>
        <w:tabs>
          <w:tab w:val="right" w:leader="dot" w:pos="8845"/>
        </w:tabs>
        <w:spacing w:line="360" w:lineRule="auto"/>
        <w:ind w:left="0"/>
        <w:jc w:val="center"/>
        <w:outlineLvl w:val="0"/>
        <w:rPr>
          <w:rFonts w:eastAsia="黑体"/>
          <w:sz w:val="36"/>
          <w:szCs w:val="36"/>
        </w:rPr>
      </w:pPr>
      <w:bookmarkStart w:id="717" w:name="_Toc470721344"/>
      <w:bookmarkStart w:id="718" w:name="_Toc14688"/>
      <w:bookmarkStart w:id="719" w:name="_Toc469296494"/>
      <w:bookmarkStart w:id="720" w:name="_Toc11810"/>
      <w:bookmarkStart w:id="721" w:name="_Toc467846876"/>
      <w:r>
        <w:rPr>
          <w:rFonts w:eastAsia="黑体"/>
          <w:sz w:val="32"/>
          <w:szCs w:val="32"/>
        </w:rPr>
        <w:br w:type="page"/>
      </w:r>
      <w:bookmarkEnd w:id="422"/>
      <w:bookmarkEnd w:id="717"/>
      <w:bookmarkEnd w:id="718"/>
      <w:bookmarkEnd w:id="719"/>
      <w:bookmarkEnd w:id="720"/>
      <w:bookmarkEnd w:id="721"/>
      <w:bookmarkStart w:id="722" w:name="_Toc467846880"/>
      <w:bookmarkStart w:id="723" w:name="_Toc362244281"/>
      <w:bookmarkStart w:id="724" w:name="_Toc29005"/>
      <w:bookmarkStart w:id="725" w:name="_Toc4103"/>
      <w:bookmarkStart w:id="726" w:name="_Toc6160"/>
      <w:bookmarkStart w:id="727" w:name="_Toc469296498"/>
      <w:bookmarkStart w:id="728" w:name="_Toc30880"/>
      <w:bookmarkStart w:id="729" w:name="_Toc470721348"/>
      <w:bookmarkStart w:id="730" w:name="_Toc213589817"/>
      <w:r>
        <w:rPr>
          <w:rFonts w:eastAsia="黑体"/>
          <w:sz w:val="36"/>
          <w:szCs w:val="36"/>
        </w:rPr>
        <w:t>第四篇  城区宗地地价修正体系</w:t>
      </w:r>
      <w:bookmarkEnd w:id="722"/>
      <w:bookmarkEnd w:id="723"/>
      <w:r>
        <w:rPr>
          <w:rFonts w:eastAsia="黑体"/>
          <w:sz w:val="36"/>
          <w:szCs w:val="36"/>
        </w:rPr>
        <w:t>的编制</w:t>
      </w:r>
      <w:bookmarkEnd w:id="724"/>
      <w:bookmarkEnd w:id="725"/>
      <w:bookmarkEnd w:id="726"/>
      <w:bookmarkEnd w:id="727"/>
      <w:bookmarkEnd w:id="728"/>
      <w:bookmarkEnd w:id="729"/>
    </w:p>
    <w:p>
      <w:pPr>
        <w:pStyle w:val="49"/>
        <w:spacing w:line="360" w:lineRule="auto"/>
        <w:rPr>
          <w:bCs/>
          <w:szCs w:val="24"/>
        </w:rPr>
      </w:pPr>
      <w:r>
        <w:rPr>
          <w:bCs/>
          <w:szCs w:val="24"/>
        </w:rPr>
        <w:t>宗地地价是指某一宗地在一定时点、一定开发程度、一定权利状态下的价格，是基准地价的延伸，和基准地价共同构成地价体系。宗地地价评估的目的在于使土地价格更加贴近实际，反映地块的特性，使土地价格更具有实用性和可操作性。目前，宗地地价评估的方法很多，但基准地价系数修正法因操作简便、评估速度快，在我国得到广泛应用。基准地价系数修正法评估结果的可靠性既取决于基准地价是否准确，同时也取决于宗地地价修正体系是否合理。</w:t>
      </w:r>
    </w:p>
    <w:p>
      <w:pPr>
        <w:spacing w:line="360" w:lineRule="auto"/>
        <w:jc w:val="center"/>
        <w:textAlignment w:val="baseline"/>
        <w:outlineLvl w:val="1"/>
        <w:rPr>
          <w:rFonts w:eastAsia="黑体"/>
          <w:sz w:val="32"/>
          <w:szCs w:val="32"/>
        </w:rPr>
      </w:pPr>
      <w:bookmarkStart w:id="731" w:name="_Toc4884"/>
      <w:bookmarkStart w:id="732" w:name="_Toc19309"/>
      <w:bookmarkStart w:id="733" w:name="_Toc467846881"/>
      <w:bookmarkStart w:id="734" w:name="_Toc12459"/>
      <w:bookmarkStart w:id="735" w:name="_Toc9101"/>
      <w:bookmarkStart w:id="736" w:name="_Toc469296499"/>
      <w:bookmarkStart w:id="737" w:name="_Toc362244282"/>
      <w:bookmarkStart w:id="738" w:name="_Toc470721349"/>
      <w:r>
        <w:rPr>
          <w:rFonts w:eastAsia="黑体"/>
          <w:sz w:val="32"/>
          <w:szCs w:val="32"/>
        </w:rPr>
        <w:t>第一章  体系设计</w:t>
      </w:r>
      <w:bookmarkEnd w:id="731"/>
      <w:bookmarkEnd w:id="732"/>
      <w:bookmarkEnd w:id="733"/>
      <w:bookmarkEnd w:id="734"/>
      <w:bookmarkEnd w:id="735"/>
      <w:bookmarkEnd w:id="736"/>
      <w:bookmarkEnd w:id="737"/>
      <w:bookmarkEnd w:id="738"/>
    </w:p>
    <w:p>
      <w:pPr>
        <w:spacing w:line="360" w:lineRule="auto"/>
        <w:ind w:firstLine="560" w:firstLineChars="200"/>
        <w:outlineLvl w:val="2"/>
        <w:rPr>
          <w:rFonts w:eastAsia="黑体"/>
          <w:sz w:val="28"/>
          <w:szCs w:val="28"/>
        </w:rPr>
      </w:pPr>
      <w:bookmarkStart w:id="739" w:name="_Toc8237"/>
      <w:bookmarkStart w:id="740" w:name="_Toc470721350"/>
      <w:bookmarkStart w:id="741" w:name="_Toc28179"/>
      <w:bookmarkStart w:id="742" w:name="_Toc467846882"/>
      <w:bookmarkStart w:id="743" w:name="_Toc469296500"/>
      <w:r>
        <w:rPr>
          <w:rFonts w:eastAsia="黑体"/>
          <w:sz w:val="28"/>
          <w:szCs w:val="28"/>
        </w:rPr>
        <w:t>一、编制原理</w:t>
      </w:r>
      <w:bookmarkEnd w:id="739"/>
      <w:bookmarkEnd w:id="740"/>
      <w:bookmarkEnd w:id="741"/>
      <w:bookmarkEnd w:id="742"/>
      <w:bookmarkEnd w:id="743"/>
    </w:p>
    <w:p>
      <w:pPr>
        <w:tabs>
          <w:tab w:val="left" w:pos="2679"/>
        </w:tabs>
        <w:spacing w:line="460" w:lineRule="exact"/>
        <w:ind w:firstLine="480" w:firstLineChars="200"/>
        <w:rPr>
          <w:sz w:val="24"/>
        </w:rPr>
      </w:pPr>
      <w:r>
        <w:rPr>
          <w:sz w:val="24"/>
        </w:rPr>
        <w:t>宗地地价是城市内级别基准地价的延伸，它与基准地价共同构成了一个完整的评估价格体系。建立宗地地价修正体系，可以使基准地价通过系数修正，求取任一宗地地价。基准地价与宗地地价存在着个别到一般、从一般到个别的辩证关系，基准地价是利用宗地的个别因素条件，通过科学的评估方法和数理统计原理方法得出的区段或区片级别价格，宗地价格通过区域条件和个别条件差别加以量化（即系数法），结合基准地价评估得出，所以，各宗地地价必须由反映区域和个别影响因素（包括区域因素和微观因素）所设定的调整系数进行修正确定。宗地地价修正体系就是采用替代原理，建立基准地价、宗地地价及其影响因素之间的相关关系，编制出基准地价在不同因素条件下修正为宗地地价的体系。主要目的在于在宗地条件调查的基础上，按对应的修正系数，快速、高效及时地评估出宗地地价。</w:t>
      </w:r>
    </w:p>
    <w:p>
      <w:pPr>
        <w:spacing w:line="360" w:lineRule="auto"/>
        <w:ind w:firstLine="560" w:firstLineChars="200"/>
        <w:outlineLvl w:val="2"/>
        <w:rPr>
          <w:rFonts w:eastAsia="黑体"/>
          <w:sz w:val="28"/>
          <w:szCs w:val="28"/>
        </w:rPr>
      </w:pPr>
      <w:bookmarkStart w:id="744" w:name="_Toc24455"/>
      <w:bookmarkStart w:id="745" w:name="_Toc470721351"/>
      <w:bookmarkStart w:id="746" w:name="_Toc29317"/>
      <w:bookmarkStart w:id="747" w:name="_Toc467846883"/>
      <w:bookmarkStart w:id="748" w:name="_Toc469296501"/>
      <w:bookmarkStart w:id="749" w:name="_Toc213589820"/>
      <w:r>
        <w:rPr>
          <w:rFonts w:eastAsia="黑体"/>
          <w:sz w:val="28"/>
          <w:szCs w:val="28"/>
        </w:rPr>
        <w:t>二、编制方法</w:t>
      </w:r>
      <w:bookmarkEnd w:id="744"/>
      <w:bookmarkEnd w:id="745"/>
      <w:bookmarkEnd w:id="746"/>
      <w:bookmarkEnd w:id="747"/>
      <w:bookmarkEnd w:id="748"/>
    </w:p>
    <w:p>
      <w:pPr>
        <w:spacing w:line="460" w:lineRule="exact"/>
        <w:ind w:firstLine="480" w:firstLineChars="200"/>
        <w:rPr>
          <w:sz w:val="24"/>
        </w:rPr>
      </w:pPr>
      <w:r>
        <w:rPr>
          <w:sz w:val="24"/>
        </w:rPr>
        <w:t>此次基准地价更新，在编制宗地地价修正体系时，对于各因素量化指标的选取，我们在划分均质区域的基础上，能定量描述的以定量描述，体现出与之相对的量化数值；不能定量描述的则结合长沙县的实际情况，并参照其他城市的经验进行定性描述。最后分用途编制修正体系。</w:t>
      </w:r>
    </w:p>
    <w:p>
      <w:pPr>
        <w:widowControl/>
        <w:ind w:firstLine="562" w:firstLineChars="200"/>
        <w:jc w:val="left"/>
        <w:rPr>
          <w:b/>
          <w:bCs/>
          <w:sz w:val="28"/>
          <w:szCs w:val="28"/>
        </w:rPr>
      </w:pPr>
      <w:r>
        <w:rPr>
          <w:b/>
          <w:bCs/>
          <w:sz w:val="28"/>
          <w:szCs w:val="28"/>
        </w:rPr>
        <w:br w:type="page"/>
      </w:r>
    </w:p>
    <w:p>
      <w:pPr>
        <w:spacing w:line="360" w:lineRule="auto"/>
        <w:ind w:firstLine="560" w:firstLineChars="200"/>
        <w:outlineLvl w:val="2"/>
        <w:rPr>
          <w:rFonts w:eastAsia="黑体"/>
          <w:sz w:val="28"/>
          <w:szCs w:val="28"/>
        </w:rPr>
      </w:pPr>
      <w:bookmarkStart w:id="750" w:name="_Toc469296502"/>
      <w:bookmarkStart w:id="751" w:name="_Toc467846884"/>
      <w:bookmarkStart w:id="752" w:name="_Toc470721352"/>
      <w:bookmarkStart w:id="753" w:name="_Toc24994"/>
      <w:bookmarkStart w:id="754" w:name="_Toc12632"/>
      <w:r>
        <w:rPr>
          <w:rFonts w:eastAsia="黑体"/>
          <w:sz w:val="28"/>
          <w:szCs w:val="28"/>
        </w:rPr>
        <w:t>三、体系设计</w:t>
      </w:r>
      <w:bookmarkEnd w:id="750"/>
      <w:bookmarkEnd w:id="751"/>
      <w:bookmarkEnd w:id="752"/>
      <w:bookmarkEnd w:id="753"/>
      <w:bookmarkEnd w:id="754"/>
    </w:p>
    <w:bookmarkEnd w:id="749"/>
    <w:p>
      <w:pPr>
        <w:tabs>
          <w:tab w:val="left" w:pos="2679"/>
        </w:tabs>
        <w:spacing w:line="460" w:lineRule="exact"/>
        <w:ind w:firstLine="420" w:firstLineChars="200"/>
        <w:jc w:val="center"/>
        <w:rPr>
          <w:sz w:val="24"/>
        </w:rPr>
      </w:pPr>
      <w:r>
        <w:rPr>
          <w:rFonts w:ascii="Times New Roman" w:hAnsi="Times New Roman" w:eastAsia="宋体" w:cs="Times New Roman"/>
          <w:kern w:val="2"/>
          <w:sz w:val="21"/>
          <w:lang w:val="en-US" w:eastAsia="zh-CN" w:bidi="ar-SA"/>
        </w:rPr>
        <w:pict>
          <v:line id="直接连接符 15" o:spid="_x0000_s1327" style="position:absolute;left:0;flip:x;margin-left:434.55pt;margin-top:114.85pt;height:19.65pt;width:0.1pt;rotation:0f;z-index:251708416;"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w:pict>
      </w:r>
      <w:r>
        <w:rPr>
          <w:rFonts w:ascii="Times New Roman" w:hAnsi="Times New Roman" w:eastAsia="宋体" w:cs="Times New Roman"/>
          <w:kern w:val="2"/>
          <w:sz w:val="21"/>
          <w:lang w:val="en-US" w:eastAsia="zh-CN" w:bidi="ar-SA"/>
        </w:rPr>
        <w:pict>
          <v:line id="直接连接符 15" o:spid="_x0000_s1328" style="position:absolute;left:0;margin-left:300.9pt;margin-top:113.4pt;height:18pt;width:0.4pt;rotation:0f;z-index:251707392;"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w:pict>
      </w:r>
      <w:r>
        <w:rPr>
          <w:rFonts w:ascii="Times New Roman" w:hAnsi="Times New Roman" w:eastAsia="宋体" w:cs="Times New Roman"/>
          <w:kern w:val="2"/>
          <w:sz w:val="21"/>
          <w:lang w:val="en-US" w:eastAsia="zh-CN" w:bidi="ar-SA"/>
        </w:rPr>
        <w:pict>
          <v:shape id="肘形连接符 19" o:spid="_x0000_s1329" type="#_x0000_t34" style="position:absolute;left:0;flip:x;margin-left:436.55pt;margin-top:116.7pt;height:71.15pt;width:2pt;rotation:5898240f;z-index:251706368;" o:ole="f" fillcolor="#FFFFFF" filled="t" o:preferrelative="t" stroked="t" coordorigin="0,0" coordsize="21600,21600" adj="-186801">
            <v:stroke color="#000000" color2="#FFFFFF" miterlimit="2"/>
            <v:imagedata gain="65536f" blacklevel="0f" gamma="0"/>
            <o:lock v:ext="edit" position="f" selection="f" grouping="f" rotation="f" cropping="f" text="f" aspectratio="f"/>
          </v:shape>
        </w:pict>
      </w:r>
      <w:r>
        <w:rPr>
          <w:rFonts w:ascii="Times New Roman" w:hAnsi="Times New Roman" w:eastAsia="宋体" w:cs="Times New Roman"/>
          <w:kern w:val="2"/>
          <w:sz w:val="21"/>
          <w:lang w:val="en-US" w:eastAsia="zh-CN" w:bidi="ar-SA"/>
        </w:rPr>
        <w:pict>
          <v:rect id="Text Box 453" o:spid="_x0000_s1330" style="position:absolute;left:0;margin-left:369.4pt;margin-top:72.4pt;height:42.85pt;width:120.55pt;rotation:0f;z-index:251702272;"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pStyle w:val="39"/>
                    <w:jc w:val="center"/>
                    <w:textAlignment w:val="baseline"/>
                    <w:rPr>
                      <w:sz w:val="22"/>
                      <w:szCs w:val="18"/>
                    </w:rPr>
                  </w:pPr>
                  <w:r>
                    <w:rPr>
                      <w:rFonts w:hint="eastAsia"/>
                      <w:color w:val="000000"/>
                      <w:kern w:val="24"/>
                      <w:sz w:val="18"/>
                      <w:szCs w:val="18"/>
                    </w:rPr>
                    <w:t>公共管理与公共服务用地地宗地地价修正体系</w:t>
                  </w:r>
                </w:p>
              </w:txbxContent>
            </v:textbox>
          </v:rect>
        </w:pict>
      </w:r>
      <w:r>
        <w:rPr>
          <w:rFonts w:ascii="Times New Roman" w:hAnsi="Times New Roman" w:eastAsia="宋体" w:cs="Times New Roman"/>
          <w:kern w:val="2"/>
          <w:sz w:val="21"/>
          <w:lang w:val="en-US" w:eastAsia="zh-CN" w:bidi="ar-SA"/>
        </w:rPr>
        <w:pict>
          <v:rect id="Text Box 458" o:spid="_x0000_s1331" style="position:absolute;left:0;margin-left:442.3pt;margin-top:152.75pt;height:112.7pt;width:68.05pt;rotation:0f;z-index:251703296;" o:ole="f" fillcolor="#FFFFFF" filled="t" o:preferrelative="t" stroked="t" coordsize="21600,21600">
            <v:stroke color="#000000" color2="#FFFFFF" miterlimit="2"/>
            <v:imagedata gain="65536f" blacklevel="0f" gamma="0"/>
            <o:lock v:ext="edit" position="f" selection="f" grouping="f" rotation="f" cropping="f" text="f" aspectratio="f"/>
            <v:textbox style="layout-flow:vertical-ideographic;">
              <w:txbxContent>
                <w:p>
                  <w:pPr>
                    <w:pStyle w:val="39"/>
                    <w:textAlignment w:val="baseline"/>
                  </w:pPr>
                  <w:r>
                    <w:rPr>
                      <w:rFonts w:hint="eastAsia"/>
                      <w:color w:val="000000"/>
                      <w:kern w:val="24"/>
                      <w:sz w:val="18"/>
                      <w:szCs w:val="18"/>
                    </w:rPr>
                    <w:t>公共管理与公共服务用地</w:t>
                  </w:r>
                  <w:r>
                    <w:rPr>
                      <w:rFonts w:hint="eastAsia"/>
                      <w:color w:val="000000"/>
                      <w:kern w:val="24"/>
                      <w:sz w:val="20"/>
                    </w:rPr>
                    <w:t>宗地地价</w:t>
                  </w:r>
                </w:p>
                <w:p>
                  <w:pPr>
                    <w:pStyle w:val="39"/>
                    <w:kinsoku w:val="0"/>
                    <w:overflowPunct w:val="0"/>
                    <w:textAlignment w:val="baseline"/>
                  </w:pPr>
                  <w:r>
                    <w:rPr>
                      <w:rFonts w:hint="eastAsia"/>
                      <w:color w:val="000000"/>
                      <w:kern w:val="24"/>
                      <w:sz w:val="20"/>
                    </w:rPr>
                    <w:t>个别因素修正体系</w:t>
                  </w:r>
                </w:p>
              </w:txbxContent>
            </v:textbox>
          </v:rect>
        </w:pict>
      </w:r>
      <w:r>
        <w:rPr>
          <w:rFonts w:ascii="Times New Roman" w:hAnsi="Times New Roman" w:eastAsia="宋体" w:cs="Times New Roman"/>
          <w:kern w:val="2"/>
          <w:sz w:val="21"/>
          <w:lang w:val="en-US" w:eastAsia="zh-CN" w:bidi="ar-SA"/>
        </w:rPr>
        <w:pict>
          <v:shape id="肘形连接符 17" o:spid="_x0000_s1332" type="#_x0000_t33" style="position:absolute;left:0;flip:y;margin-left:180.55pt;margin-top:125.15pt;height:31.75pt;width:19.2pt;rotation:5898240f;z-index:251705344;" o:ole="f" fillcolor="#FFFFFF" filled="t" o:preferrelative="t" stroked="t" coordorigin="0,0" coordsize="21600,21600">
            <v:stroke color="#000000" color2="#FFFFFF" miterlimit="2"/>
            <v:imagedata gain="65536f" blacklevel="0f" gamma="0"/>
            <o:lock v:ext="edit" position="f" selection="f" grouping="f" rotation="f" cropping="f" text="f" aspectratio="f"/>
          </v:shape>
        </w:pict>
      </w:r>
      <w:r>
        <w:rPr>
          <w:rFonts w:ascii="Times New Roman" w:hAnsi="Times New Roman" w:eastAsia="宋体" w:cs="Times New Roman"/>
          <w:kern w:val="2"/>
          <w:sz w:val="21"/>
          <w:lang w:val="en-US" w:eastAsia="zh-CN" w:bidi="ar-SA"/>
        </w:rPr>
        <w:pict>
          <v:rect id="Text Box 459" o:spid="_x0000_s1333" style="position:absolute;left:0;margin-left:240.1pt;margin-top:150.75pt;height:111.7pt;width:52.15pt;rotation:0f;z-index:251704320;" o:ole="f" fillcolor="#FFFFFF" filled="t" o:preferrelative="t" stroked="t" coordsize="21600,21600">
            <v:stroke color="#000000" color2="#FFFFFF" miterlimit="2"/>
            <v:imagedata gain="65536f" blacklevel="0f" gamma="0"/>
            <o:lock v:ext="edit" position="f" selection="f" grouping="f" rotation="f" cropping="f" text="f" aspectratio="f"/>
            <v:textbox style="layout-flow:vertical-ideographic;">
              <w:txbxContent>
                <w:p>
                  <w:pPr>
                    <w:pStyle w:val="39"/>
                    <w:textAlignment w:val="baseline"/>
                    <w:rPr>
                      <w:color w:val="000000"/>
                      <w:kern w:val="24"/>
                      <w:sz w:val="20"/>
                    </w:rPr>
                  </w:pPr>
                  <w:r>
                    <w:rPr>
                      <w:rFonts w:hint="eastAsia"/>
                      <w:color w:val="000000"/>
                      <w:kern w:val="24"/>
                      <w:sz w:val="20"/>
                    </w:rPr>
                    <w:t xml:space="preserve">工矿仓储用地宗地地价   </w:t>
                  </w:r>
                </w:p>
                <w:p>
                  <w:pPr>
                    <w:pStyle w:val="39"/>
                    <w:textAlignment w:val="baseline"/>
                  </w:pPr>
                  <w:r>
                    <w:rPr>
                      <w:rFonts w:hint="eastAsia"/>
                      <w:color w:val="000000"/>
                      <w:kern w:val="24"/>
                      <w:sz w:val="20"/>
                    </w:rPr>
                    <w:t>区域因素修正体系</w:t>
                  </w:r>
                </w:p>
              </w:txbxContent>
            </v:textbox>
          </v:rect>
        </w:pict>
      </w:r>
      <w:r>
        <w:rPr>
          <w:rFonts w:ascii="Times New Roman" w:hAnsi="Times New Roman" w:eastAsia="宋体" w:cs="Times New Roman"/>
          <w:kern w:val="0"/>
          <w:sz w:val="24"/>
          <w:szCs w:val="24"/>
          <w:lang w:val="en-US" w:eastAsia="zh-CN" w:bidi="ar-SA"/>
        </w:rPr>
        <w:pict>
          <v:group id="组合 11" o:spid="_x0000_s1334" style="position:absolute;left:0;margin-left:-65.7pt;margin-top:13.5pt;height:252.05pt;width:496.5pt;mso-wrap-distance-bottom:0pt;mso-wrap-distance-top:0pt;rotation:0f;z-index:251668480;" coordorigin="-562,0" coordsize="9929,5041">
            <o:lock v:ext="edit" position="f" selection="f" grouping="f" rotation="f" cropping="f" text="f" aspectratio="f"/>
            <v:rect id="Text Box 447" o:spid="_x0000_s1335" style="position:absolute;left:2376;top:0;height:532;width:6111;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pStyle w:val="39"/>
                      <w:jc w:val="center"/>
                      <w:textAlignment w:val="baseline"/>
                    </w:pPr>
                    <w:r>
                      <w:rPr>
                        <w:rFonts w:hint="eastAsia"/>
                        <w:color w:val="000000"/>
                        <w:kern w:val="24"/>
                        <w:sz w:val="20"/>
                      </w:rPr>
                      <w:t>长沙县宗地地价修正体系</w:t>
                    </w:r>
                  </w:p>
                </w:txbxContent>
              </v:textbox>
            </v:rect>
            <v:rect id="Text Box 451" o:spid="_x0000_s1336" style="position:absolute;left:315;top:1202;height:857;width:1768;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pStyle w:val="39"/>
                      <w:jc w:val="center"/>
                      <w:textAlignment w:val="baseline"/>
                    </w:pPr>
                    <w:r>
                      <w:rPr>
                        <w:rFonts w:hint="eastAsia"/>
                        <w:color w:val="000000"/>
                        <w:kern w:val="24"/>
                        <w:sz w:val="20"/>
                      </w:rPr>
                      <w:t>商服用地宗地地价修正体系</w:t>
                    </w:r>
                  </w:p>
                </w:txbxContent>
              </v:textbox>
            </v:rect>
            <v:rect id="Text Box 452" o:spid="_x0000_s1337" style="position:absolute;left:3177;top:1219;height:741;width:1963;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pStyle w:val="39"/>
                      <w:jc w:val="center"/>
                      <w:textAlignment w:val="baseline"/>
                    </w:pPr>
                    <w:r>
                      <w:rPr>
                        <w:rFonts w:hint="eastAsia"/>
                        <w:color w:val="000000"/>
                        <w:kern w:val="24"/>
                        <w:sz w:val="20"/>
                      </w:rPr>
                      <w:t>住宅用地宗地地价修正体系</w:t>
                    </w:r>
                  </w:p>
                </w:txbxContent>
              </v:textbox>
            </v:rect>
            <v:rect id="Text Box 453" o:spid="_x0000_s1338" style="position:absolute;left:5543;top:1189;height:802;width:2259;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pStyle w:val="39"/>
                      <w:jc w:val="center"/>
                      <w:textAlignment w:val="baseline"/>
                    </w:pPr>
                    <w:r>
                      <w:rPr>
                        <w:rFonts w:hint="eastAsia"/>
                        <w:color w:val="000000"/>
                        <w:kern w:val="24"/>
                        <w:sz w:val="20"/>
                      </w:rPr>
                      <w:t>工矿仓储用地宗地地价修正体系</w:t>
                    </w:r>
                  </w:p>
                </w:txbxContent>
              </v:textbox>
            </v:rect>
            <v:rect id="Text Box 455" o:spid="_x0000_s1339" style="position:absolute;left:685;top:2705;height:2251;width:1063;rotation:0f;" o:ole="f" fillcolor="#FFFFFF" filled="t" o:preferrelative="t" stroked="t" coordsize="21600,21600">
              <v:stroke color="#000000" color2="#FFFFFF" miterlimit="2"/>
              <v:imagedata gain="65536f" blacklevel="0f" gamma="0"/>
              <o:lock v:ext="edit" position="f" selection="f" grouping="f" rotation="f" cropping="f" text="f" aspectratio="f"/>
              <v:textbox style="layout-flow:vertical-ideographic;">
                <w:txbxContent>
                  <w:p>
                    <w:pPr>
                      <w:pStyle w:val="39"/>
                      <w:textAlignment w:val="baseline"/>
                    </w:pPr>
                    <w:r>
                      <w:rPr>
                        <w:rFonts w:hint="eastAsia"/>
                        <w:color w:val="000000"/>
                        <w:kern w:val="24"/>
                        <w:sz w:val="20"/>
                      </w:rPr>
                      <w:t>商服用地宗地地价</w:t>
                    </w:r>
                  </w:p>
                  <w:p>
                    <w:pPr>
                      <w:pStyle w:val="39"/>
                      <w:kinsoku w:val="0"/>
                      <w:overflowPunct w:val="0"/>
                      <w:textAlignment w:val="baseline"/>
                    </w:pPr>
                    <w:r>
                      <w:rPr>
                        <w:rFonts w:hint="eastAsia"/>
                        <w:color w:val="000000"/>
                        <w:kern w:val="24"/>
                        <w:sz w:val="20"/>
                      </w:rPr>
                      <w:t>个别因素修正体系</w:t>
                    </w:r>
                  </w:p>
                </w:txbxContent>
              </v:textbox>
            </v:rect>
            <v:rect id="Text Box 456" o:spid="_x0000_s1340" style="position:absolute;left:4367;top:2743;height:2233;width:1011;rotation:0f;" o:ole="f" fillcolor="#FFFFFF" filled="t" o:preferrelative="t" stroked="t" coordsize="21600,21600">
              <v:stroke color="#000000" color2="#FFFFFF" miterlimit="2"/>
              <v:imagedata gain="65536f" blacklevel="0f" gamma="0"/>
              <o:lock v:ext="edit" position="f" selection="f" grouping="f" rotation="f" cropping="f" text="f" aspectratio="f"/>
              <v:textbox style="layout-flow:vertical-ideographic;">
                <w:txbxContent>
                  <w:p>
                    <w:pPr>
                      <w:pStyle w:val="39"/>
                      <w:spacing w:line="200" w:lineRule="exact"/>
                      <w:textAlignment w:val="baseline"/>
                    </w:pPr>
                    <w:r>
                      <w:rPr>
                        <w:rFonts w:hint="eastAsia"/>
                        <w:color w:val="000000"/>
                        <w:kern w:val="24"/>
                        <w:sz w:val="20"/>
                      </w:rPr>
                      <w:t>住宅用地宗地地价</w:t>
                    </w:r>
                  </w:p>
                  <w:p>
                    <w:pPr>
                      <w:pStyle w:val="39"/>
                      <w:kinsoku w:val="0"/>
                      <w:overflowPunct w:val="0"/>
                      <w:spacing w:line="200" w:lineRule="exact"/>
                      <w:textAlignment w:val="baseline"/>
                    </w:pPr>
                    <w:r>
                      <w:rPr>
                        <w:rFonts w:hint="eastAsia"/>
                        <w:color w:val="000000"/>
                        <w:kern w:val="24"/>
                        <w:sz w:val="20"/>
                      </w:rPr>
                      <w:t>个别因素修正体系</w:t>
                    </w:r>
                  </w:p>
                </w:txbxContent>
              </v:textbox>
            </v:rect>
            <v:rect id="Text Box 457" o:spid="_x0000_s1341" style="position:absolute;left:3195;top:2735;height:2239;width:964;rotation:0f;" o:ole="f" fillcolor="#FFFFFF" filled="t" o:preferrelative="t" stroked="t" coordsize="21600,21600">
              <v:stroke color="#000000" color2="#FFFFFF" miterlimit="2"/>
              <v:imagedata gain="65536f" blacklevel="0f" gamma="0"/>
              <o:lock v:ext="edit" position="f" selection="f" grouping="f" rotation="f" cropping="f" text="f" aspectratio="f"/>
              <v:textbox style="layout-flow:vertical-ideographic;">
                <w:txbxContent>
                  <w:p>
                    <w:pPr>
                      <w:pStyle w:val="39"/>
                      <w:spacing w:line="200" w:lineRule="exact"/>
                      <w:textAlignment w:val="baseline"/>
                    </w:pPr>
                    <w:r>
                      <w:rPr>
                        <w:rFonts w:hint="eastAsia"/>
                        <w:color w:val="000000"/>
                        <w:kern w:val="24"/>
                        <w:sz w:val="20"/>
                      </w:rPr>
                      <w:t>住宅用地宗地地价</w:t>
                    </w:r>
                  </w:p>
                  <w:p>
                    <w:pPr>
                      <w:pStyle w:val="39"/>
                      <w:kinsoku w:val="0"/>
                      <w:overflowPunct w:val="0"/>
                      <w:spacing w:line="200" w:lineRule="exact"/>
                      <w:textAlignment w:val="baseline"/>
                    </w:pPr>
                    <w:r>
                      <w:rPr>
                        <w:rFonts w:hint="eastAsia"/>
                        <w:color w:val="000000"/>
                        <w:kern w:val="24"/>
                        <w:sz w:val="20"/>
                      </w:rPr>
                      <w:t>区域因素修正体系</w:t>
                    </w:r>
                  </w:p>
                </w:txbxContent>
              </v:textbox>
            </v:rect>
            <v:rect id="Text Box 458" o:spid="_x0000_s1342" style="position:absolute;left:8023;top:2787;height:2254;width:1344;rotation:0f;" o:ole="f" fillcolor="#FFFFFF" filled="t" o:preferrelative="t" stroked="t" coordsize="21600,21600">
              <v:stroke color="#000000" color2="#FFFFFF" miterlimit="2"/>
              <v:imagedata gain="65536f" blacklevel="0f" gamma="0"/>
              <o:lock v:ext="edit" position="f" selection="f" grouping="f" rotation="f" cropping="f" text="f" aspectratio="f"/>
              <v:textbox style="layout-flow:vertical-ideographic;">
                <w:txbxContent>
                  <w:p>
                    <w:pPr>
                      <w:pStyle w:val="39"/>
                      <w:textAlignment w:val="baseline"/>
                      <w:rPr>
                        <w:color w:val="000000"/>
                        <w:kern w:val="24"/>
                        <w:sz w:val="20"/>
                      </w:rPr>
                    </w:pPr>
                    <w:r>
                      <w:rPr>
                        <w:rFonts w:hint="eastAsia"/>
                        <w:color w:val="000000"/>
                        <w:kern w:val="24"/>
                        <w:sz w:val="20"/>
                      </w:rPr>
                      <w:t>公共管理与公共服务用地宗地地价</w:t>
                    </w:r>
                  </w:p>
                  <w:p>
                    <w:pPr>
                      <w:pStyle w:val="39"/>
                      <w:textAlignment w:val="baseline"/>
                      <w:rPr>
                        <w:sz w:val="20"/>
                      </w:rPr>
                    </w:pPr>
                    <w:r>
                      <w:rPr>
                        <w:rFonts w:hint="eastAsia"/>
                        <w:color w:val="000000"/>
                        <w:kern w:val="24"/>
                        <w:sz w:val="20"/>
                      </w:rPr>
                      <w:t>个别因素修正体系</w:t>
                    </w:r>
                  </w:p>
                </w:txbxContent>
              </v:textbox>
            </v:rect>
            <v:rect id="Text Box 459" o:spid="_x0000_s1343" style="position:absolute;left:6885;top:2776;height:2234;width:1042;rotation:0f;" o:ole="f" fillcolor="#FFFFFF" filled="t" o:preferrelative="t" stroked="t" coordsize="21600,21600">
              <v:stroke color="#000000" color2="#FFFFFF" miterlimit="2"/>
              <v:imagedata gain="65536f" blacklevel="0f" gamma="0"/>
              <o:lock v:ext="edit" position="f" selection="f" grouping="f" rotation="f" cropping="f" text="f" aspectratio="f"/>
              <v:textbox style="layout-flow:vertical-ideographic;">
                <w:txbxContent>
                  <w:p>
                    <w:pPr>
                      <w:pStyle w:val="39"/>
                      <w:textAlignment w:val="baseline"/>
                      <w:rPr>
                        <w:color w:val="000000"/>
                        <w:kern w:val="24"/>
                        <w:sz w:val="20"/>
                      </w:rPr>
                    </w:pPr>
                    <w:r>
                      <w:rPr>
                        <w:rFonts w:hint="eastAsia"/>
                        <w:color w:val="000000"/>
                        <w:kern w:val="24"/>
                        <w:sz w:val="20"/>
                      </w:rPr>
                      <w:t xml:space="preserve">工矿仓储用地宗地地价   </w:t>
                    </w:r>
                  </w:p>
                  <w:p>
                    <w:pPr>
                      <w:pStyle w:val="39"/>
                      <w:textAlignment w:val="baseline"/>
                    </w:pPr>
                    <w:r>
                      <w:rPr>
                        <w:rFonts w:hint="eastAsia"/>
                        <w:color w:val="000000"/>
                        <w:kern w:val="24"/>
                        <w:sz w:val="20"/>
                      </w:rPr>
                      <w:t>区域因素修正体系</w:t>
                    </w:r>
                  </w:p>
                </w:txbxContent>
              </v:textbox>
            </v:rect>
            <v:rect id="Text Box 466" o:spid="_x0000_s1344" style="position:absolute;left:-562;top:2682;height:2274;width:1009;rotation:0f;" o:ole="f" fillcolor="#FFFFFF" filled="t" o:preferrelative="t" stroked="t" coordsize="21600,21600">
              <v:stroke color="#000000" color2="#FFFFFF" miterlimit="2"/>
              <v:imagedata gain="65536f" blacklevel="0f" gamma="0"/>
              <o:lock v:ext="edit" position="f" selection="f" grouping="f" rotation="f" cropping="f" text="f" aspectratio="f"/>
              <v:textbox style="layout-flow:vertical-ideographic;">
                <w:txbxContent>
                  <w:p>
                    <w:pPr>
                      <w:pStyle w:val="39"/>
                      <w:spacing w:line="200" w:lineRule="exact"/>
                      <w:textAlignment w:val="baseline"/>
                    </w:pPr>
                    <w:r>
                      <w:rPr>
                        <w:rFonts w:hint="eastAsia"/>
                        <w:color w:val="000000"/>
                        <w:kern w:val="24"/>
                        <w:sz w:val="20"/>
                      </w:rPr>
                      <w:t>商服用地宗地地价</w:t>
                    </w:r>
                  </w:p>
                  <w:p>
                    <w:pPr>
                      <w:pStyle w:val="39"/>
                      <w:kinsoku w:val="0"/>
                      <w:overflowPunct w:val="0"/>
                      <w:spacing w:line="200" w:lineRule="exact"/>
                      <w:textAlignment w:val="baseline"/>
                    </w:pPr>
                    <w:r>
                      <w:rPr>
                        <w:rFonts w:hint="eastAsia"/>
                        <w:color w:val="000000"/>
                        <w:kern w:val="24"/>
                        <w:sz w:val="20"/>
                      </w:rPr>
                      <w:t>区域因素修正体系</w:t>
                    </w:r>
                  </w:p>
                </w:txbxContent>
              </v:textbox>
            </v:rect>
            <v:rect id="Text Box 3" o:spid="_x0000_s1345" style="position:absolute;left:1994;top:2727;height:2239;width:964;rotation:0f;" o:ole="f" fillcolor="#FFFFFF" filled="t" o:preferrelative="t" stroked="t" coordsize="21600,21600">
              <v:stroke color="#000000" color2="#FFFFFF" miterlimit="2"/>
              <v:imagedata gain="65536f" blacklevel="0f" gamma="0"/>
              <o:lock v:ext="edit" position="f" selection="f" grouping="f" rotation="f" cropping="f" text="f" aspectratio="f"/>
              <v:textbox style="layout-flow:vertical-ideographic;">
                <w:txbxContent>
                  <w:p>
                    <w:pPr>
                      <w:pStyle w:val="39"/>
                      <w:spacing w:line="200" w:lineRule="exact"/>
                      <w:textAlignment w:val="baseline"/>
                    </w:pPr>
                    <w:r>
                      <w:rPr>
                        <w:rFonts w:hint="eastAsia"/>
                        <w:color w:val="000000"/>
                        <w:kern w:val="24"/>
                        <w:sz w:val="20"/>
                      </w:rPr>
                      <w:t>商服用地宗地地价</w:t>
                    </w:r>
                  </w:p>
                  <w:p>
                    <w:pPr>
                      <w:pStyle w:val="39"/>
                      <w:kinsoku w:val="0"/>
                      <w:overflowPunct w:val="0"/>
                      <w:spacing w:line="200" w:lineRule="exact"/>
                      <w:textAlignment w:val="baseline"/>
                    </w:pPr>
                    <w:r>
                      <w:rPr>
                        <w:rFonts w:hint="eastAsia"/>
                        <w:color w:val="000000"/>
                        <w:kern w:val="24"/>
                        <w:sz w:val="20"/>
                      </w:rPr>
                      <w:t>特殊因素修正体系</w:t>
                    </w:r>
                  </w:p>
                </w:txbxContent>
              </v:textbox>
            </v:rect>
            <v:line id="直接连接符 13" o:spid="_x0000_s1346" style="position:absolute;left:5427;top:532;flip:x;height:313;width:5;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shape id="肘形连接符 14" o:spid="_x0000_s1347" type="#_x0000_t34" style="position:absolute;left:5257;top:-2221;height:6822;width:29;rotation:17694720f;" o:ole="f" fillcolor="#FFFFFF" filled="t" o:preferrelative="t" stroked="t" coordorigin="0,0" coordsize="21600,21600" adj="359100">
              <v:stroke color="#000000" color2="#FFFFFF" miterlimit="2"/>
              <v:imagedata gain="65536f" blacklevel="0f" gamma="0"/>
              <o:lock v:ext="edit" position="f" selection="f" grouping="f" rotation="f" cropping="f" text="f" aspectratio="f"/>
            </v:shape>
            <v:line id="直接连接符 15" o:spid="_x0000_s1348" style="position:absolute;left:1200;top:2059;height:643;width:1;rotation:0f;" o:ole="f" fillcolor="#FFFFFF" filled="f" o:preferrelative="t" stroked="t" coordsize="21600,21600">
              <v:fill on="f" color2="#FFFFFF" focus="0%"/>
              <v:stroke color="#000000" color2="#FFFFFF" joinstyle="round"/>
              <v:imagedata gain="65536f" blacklevel="0f" gamma="0"/>
              <o:lock v:ext="edit" position="f" selection="f" grouping="f" rotation="f" cropping="f" text="f" aspectratio="f"/>
            </v:line>
            <v:shape id="肘形连接符 16" o:spid="_x0000_s1349" type="#_x0000_t34" style="position:absolute;left:1182;top:1643;flip:x;height:2121;width:54;rotation:5898240f;" o:ole="f" fillcolor="#FFFFFF" filled="t" o:preferrelative="t" stroked="t" coordorigin="0,0" coordsize="21600,21600" adj="-180240">
              <v:stroke color="#000000" color2="#FFFFFF" miterlimit="2"/>
              <v:imagedata gain="65536f" blacklevel="0f" gamma="0"/>
              <o:lock v:ext="edit" position="f" selection="f" grouping="f" rotation="f" cropping="f" text="f" aspectratio="f"/>
            </v:shape>
            <v:shape id="肘形连接符 17" o:spid="_x0000_s1350" type="#_x0000_t34" style="position:absolute;left:3508;top:2109;height:492;width:896;rotation:17694720f;" o:ole="f" fillcolor="#FFFFFF" filled="t" o:preferrelative="t" stroked="t" coordorigin="0,0" coordsize="21600,21600" adj="10803">
              <v:stroke color="#000000" color2="#FFFFFF" miterlimit="2"/>
              <v:imagedata gain="65536f" blacklevel="0f" gamma="0"/>
              <o:lock v:ext="edit" position="f" selection="f" grouping="f" rotation="f" cropping="f" text="f" aspectratio="f"/>
            </v:shape>
            <v:shape id="肘形连接符 19" o:spid="_x0000_s1351" type="#_x0000_t34" style="position:absolute;left:6771;top:2116;flip:x;height:1193;width:48;rotation:5898240f;" o:ole="f" fillcolor="#FFFFFF" filled="t" o:preferrelative="t" stroked="t" coordorigin="0,0" coordsize="21600,21600" adj="-186801">
              <v:stroke color="#000000" color2="#FFFFFF" miterlimit="2"/>
              <v:imagedata gain="65536f" blacklevel="0f" gamma="0"/>
              <o:lock v:ext="edit" position="f" selection="f" grouping="f" rotation="f" cropping="f" text="f" aspectratio="f"/>
            </v:shape>
            <w10:wrap type="topAndBottom"/>
          </v:group>
        </w:pict>
      </w:r>
      <w:r>
        <w:rPr>
          <w:b/>
          <w:sz w:val="24"/>
        </w:rPr>
        <w:t>图4-1-1  宗地地价修正体系图</w:t>
      </w:r>
    </w:p>
    <w:p>
      <w:pPr>
        <w:spacing w:line="360" w:lineRule="auto"/>
        <w:ind w:firstLine="560" w:firstLineChars="200"/>
        <w:outlineLvl w:val="2"/>
        <w:rPr>
          <w:rFonts w:eastAsia="黑体"/>
          <w:sz w:val="28"/>
          <w:szCs w:val="28"/>
        </w:rPr>
      </w:pPr>
      <w:bookmarkStart w:id="755" w:name="_Toc18339"/>
      <w:bookmarkStart w:id="756" w:name="_Toc470721353"/>
      <w:bookmarkStart w:id="757" w:name="_Toc29236"/>
      <w:bookmarkStart w:id="758" w:name="_Toc469296503"/>
      <w:bookmarkStart w:id="759" w:name="_Toc467846885"/>
      <w:r>
        <w:rPr>
          <w:rFonts w:eastAsia="黑体"/>
          <w:sz w:val="28"/>
          <w:szCs w:val="28"/>
        </w:rPr>
        <w:t>四、宗地地价影响因素分析</w:t>
      </w:r>
      <w:bookmarkEnd w:id="755"/>
      <w:bookmarkEnd w:id="756"/>
      <w:bookmarkEnd w:id="757"/>
      <w:bookmarkEnd w:id="758"/>
      <w:bookmarkEnd w:id="759"/>
    </w:p>
    <w:p>
      <w:pPr>
        <w:spacing w:line="460" w:lineRule="exact"/>
        <w:ind w:firstLine="480" w:firstLineChars="200"/>
        <w:rPr>
          <w:sz w:val="24"/>
        </w:rPr>
      </w:pPr>
      <w:r>
        <w:rPr>
          <w:sz w:val="24"/>
        </w:rPr>
        <w:t>影响宗地地价的因素是多方面的，而且各个因素的影响范围和强度也多不一样，但归纳起来可分为三类，即一般因素、区域因素和个别因素。</w:t>
      </w:r>
    </w:p>
    <w:p>
      <w:pPr>
        <w:spacing w:line="460" w:lineRule="exact"/>
        <w:ind w:left="561" w:firstLine="480" w:firstLineChars="200"/>
        <w:rPr>
          <w:sz w:val="24"/>
        </w:rPr>
      </w:pPr>
      <w:r>
        <w:rPr>
          <w:sz w:val="24"/>
        </w:rPr>
        <w:t>1、一般因素</w:t>
      </w:r>
    </w:p>
    <w:p>
      <w:pPr>
        <w:spacing w:line="460" w:lineRule="exact"/>
        <w:ind w:firstLine="480" w:firstLineChars="200"/>
        <w:rPr>
          <w:sz w:val="24"/>
        </w:rPr>
      </w:pPr>
      <w:r>
        <w:rPr>
          <w:sz w:val="24"/>
        </w:rPr>
        <w:t>一般因素是指影响城镇地价总体水平的自然、社会、经济、政策等因素，这些因素对地价的影响是整体性的，覆盖面是整个地区，它们对具体宗地的地价影响不明显，但它们是决定宗地地价的基础。一般因素对地价的影响可通过期日修正系数来修正。</w:t>
      </w:r>
    </w:p>
    <w:p>
      <w:pPr>
        <w:spacing w:line="460" w:lineRule="exact"/>
        <w:ind w:left="561" w:firstLine="480" w:firstLineChars="200"/>
        <w:rPr>
          <w:sz w:val="24"/>
        </w:rPr>
      </w:pPr>
      <w:r>
        <w:rPr>
          <w:sz w:val="24"/>
        </w:rPr>
        <w:t>2、区域因素</w:t>
      </w:r>
    </w:p>
    <w:p>
      <w:pPr>
        <w:spacing w:line="460" w:lineRule="exact"/>
        <w:ind w:firstLine="480" w:firstLineChars="200"/>
        <w:rPr>
          <w:sz w:val="24"/>
        </w:rPr>
      </w:pPr>
      <w:r>
        <w:rPr>
          <w:sz w:val="24"/>
        </w:rPr>
        <w:t>区域因素是指土地所在地区的特性而影响土地价格的因素，主要包括繁华程度、交通条件、基础设施、环境条件、人口密度等因素。在城镇内部，由于区域因素的差异，城镇土地可划分为若干个级别或均质地域，且每个级别或均质地域具有不同的基准地价。但一个级别或均质地域所包围的土地面积较大，同级别或均质地域内的不同宗地仍然存在着一定的区域差异。因而在宗地地价更新时，还应选择繁华程度、交通条件、基础设施、环境条件、公用服务设施等区域因素来修正级内区域差异所导致的宗地地价差异。</w:t>
      </w:r>
    </w:p>
    <w:p>
      <w:pPr>
        <w:spacing w:line="460" w:lineRule="exact"/>
        <w:ind w:left="561" w:firstLine="480" w:firstLineChars="200"/>
        <w:rPr>
          <w:sz w:val="24"/>
        </w:rPr>
      </w:pPr>
      <w:r>
        <w:rPr>
          <w:sz w:val="24"/>
        </w:rPr>
        <w:t>3、个别因素</w:t>
      </w:r>
    </w:p>
    <w:p>
      <w:pPr>
        <w:spacing w:line="460" w:lineRule="exact"/>
        <w:ind w:firstLine="480" w:firstLineChars="200"/>
        <w:rPr>
          <w:sz w:val="24"/>
        </w:rPr>
      </w:pPr>
      <w:r>
        <w:rPr>
          <w:sz w:val="24"/>
        </w:rPr>
        <w:t>个别因素是指由于土地的不可移动性、异质性和特殊性而引导起的仅对具体宗地价格有影响的因素，主要包括土地权利状况、土地利用强度、土地实体状况（含土地深度、宽度、面积、形状、地质、地形、朝向等）及土地开发程度等因素。</w:t>
      </w:r>
    </w:p>
    <w:p>
      <w:pPr>
        <w:spacing w:line="460" w:lineRule="exact"/>
        <w:ind w:firstLine="480" w:firstLineChars="200"/>
        <w:rPr>
          <w:sz w:val="24"/>
        </w:rPr>
      </w:pPr>
      <w:r>
        <w:rPr>
          <w:sz w:val="24"/>
        </w:rPr>
        <w:t>按因素对地价的作用机制和规律，又可将影响宗地地价的因素分为普通因素和特别因素两大类。普通因素与土地价格之间的关系难以用数学模型来描述，通常只能用定性和半定量的方法，按优劣度水平来确定它们的修正系数，编制修正系数表。特别因素对土地价格的作用机制和规律较为清晰，其修正系数可通过因素与地价之间的数学模型来编制。</w:t>
      </w:r>
    </w:p>
    <w:p>
      <w:pPr>
        <w:spacing w:line="360" w:lineRule="auto"/>
        <w:jc w:val="center"/>
        <w:textAlignment w:val="baseline"/>
        <w:outlineLvl w:val="1"/>
        <w:rPr>
          <w:rFonts w:eastAsia="黑体"/>
          <w:sz w:val="32"/>
          <w:szCs w:val="32"/>
        </w:rPr>
      </w:pPr>
      <w:r>
        <w:rPr>
          <w:rFonts w:eastAsia="黑体"/>
          <w:sz w:val="32"/>
        </w:rPr>
        <w:br w:type="page"/>
      </w:r>
      <w:bookmarkStart w:id="760" w:name="_Toc467846886"/>
      <w:bookmarkStart w:id="761" w:name="_Toc16773"/>
      <w:bookmarkStart w:id="762" w:name="_Toc470721354"/>
      <w:bookmarkStart w:id="763" w:name="_Toc25530"/>
      <w:bookmarkStart w:id="764" w:name="_Toc469296504"/>
      <w:bookmarkStart w:id="765" w:name="_Toc22021"/>
      <w:bookmarkStart w:id="766" w:name="_Toc362244283"/>
      <w:bookmarkStart w:id="767" w:name="_Toc6888"/>
      <w:r>
        <w:rPr>
          <w:rFonts w:eastAsia="黑体"/>
          <w:sz w:val="32"/>
          <w:szCs w:val="32"/>
        </w:rPr>
        <w:t>第二章　宗地地价修正系数表的编制</w:t>
      </w:r>
      <w:bookmarkEnd w:id="760"/>
      <w:bookmarkEnd w:id="761"/>
      <w:bookmarkEnd w:id="762"/>
      <w:bookmarkEnd w:id="763"/>
      <w:bookmarkEnd w:id="764"/>
      <w:bookmarkEnd w:id="765"/>
      <w:bookmarkEnd w:id="766"/>
      <w:bookmarkEnd w:id="767"/>
    </w:p>
    <w:p>
      <w:pPr>
        <w:spacing w:line="360" w:lineRule="auto"/>
        <w:ind w:firstLine="560" w:firstLineChars="200"/>
        <w:outlineLvl w:val="2"/>
        <w:rPr>
          <w:rFonts w:eastAsia="黑体"/>
          <w:sz w:val="28"/>
          <w:szCs w:val="28"/>
        </w:rPr>
      </w:pPr>
      <w:bookmarkStart w:id="768" w:name="_Toc29800"/>
      <w:bookmarkStart w:id="769" w:name="_Toc467846887"/>
      <w:bookmarkStart w:id="770" w:name="_Toc469296505"/>
      <w:bookmarkStart w:id="771" w:name="_Toc470721355"/>
      <w:bookmarkStart w:id="772" w:name="_Toc15966"/>
      <w:r>
        <w:rPr>
          <w:rFonts w:eastAsia="黑体"/>
          <w:sz w:val="28"/>
          <w:szCs w:val="28"/>
        </w:rPr>
        <w:t>一、宗地地价区域因素修正体系的编制</w:t>
      </w:r>
      <w:bookmarkEnd w:id="768"/>
      <w:bookmarkEnd w:id="769"/>
      <w:bookmarkEnd w:id="770"/>
      <w:bookmarkEnd w:id="771"/>
      <w:bookmarkEnd w:id="772"/>
    </w:p>
    <w:p>
      <w:pPr>
        <w:spacing w:line="460" w:lineRule="exact"/>
        <w:ind w:firstLine="480" w:firstLineChars="200"/>
        <w:rPr>
          <w:sz w:val="24"/>
        </w:rPr>
      </w:pPr>
      <w:r>
        <w:rPr>
          <w:sz w:val="24"/>
        </w:rPr>
        <w:t>毋庸置疑，上述罗列的各项因素都能对宗地地价构成影响，但并不意味着这些因素都应成为需要修正的因素。我们认为，修正体系所选择的修正因素必须是影响土地使用价值，并且在级别内或均质区域内有差异的因素。根据长沙县所在区域的特点，参照《城镇土地估价规程》提供的参考因素，分用途确定用于宗地地价修正的主要因素，并根据因素对土地质量作用的规律和特点，最后确定长沙县宗地地价的修正因素。本次基准地价是土地级别控制下的均质区域价，其修正因素重点考虑均质区域内的微观区位因素及宗地个别因素。</w:t>
      </w:r>
    </w:p>
    <w:p>
      <w:pPr>
        <w:spacing w:line="460" w:lineRule="exact"/>
        <w:ind w:firstLine="480" w:firstLineChars="200"/>
        <w:rPr>
          <w:sz w:val="24"/>
        </w:rPr>
      </w:pPr>
      <w:r>
        <w:rPr>
          <w:sz w:val="24"/>
        </w:rPr>
        <w:t>影响因素选定之后须解决的另一个实质问题是确定修正因素的量化指标。量化指标的确定必须坚持科学性与操作性相结合的原则，即要求量化指标既能准确地反映影响因素的内涵又能在实际操作过程中容易获所需的数据。</w:t>
      </w:r>
    </w:p>
    <w:p>
      <w:pPr>
        <w:spacing w:line="460" w:lineRule="exact"/>
        <w:ind w:firstLine="480" w:firstLineChars="200"/>
        <w:rPr>
          <w:sz w:val="24"/>
        </w:rPr>
      </w:pPr>
      <w:r>
        <w:rPr>
          <w:sz w:val="24"/>
        </w:rPr>
        <w:t>根据长沙县的实际情况，本次基准地价更新各类用地的修正因素选择参考原成果的内容，同时根据长沙县的发展状况和基准地价更新的技术要求，作了相应的调整，最后修正因素的选择及量化指标如下：</w:t>
      </w:r>
    </w:p>
    <w:p>
      <w:pPr>
        <w:spacing w:line="500" w:lineRule="exact"/>
        <w:ind w:firstLine="482" w:firstLineChars="200"/>
        <w:jc w:val="left"/>
        <w:outlineLvl w:val="3"/>
        <w:rPr>
          <w:b/>
          <w:sz w:val="24"/>
          <w:szCs w:val="22"/>
        </w:rPr>
      </w:pPr>
      <w:r>
        <w:rPr>
          <w:rFonts w:hint="eastAsia"/>
          <w:b/>
          <w:sz w:val="24"/>
          <w:szCs w:val="22"/>
        </w:rPr>
        <w:t>1、</w:t>
      </w:r>
      <w:r>
        <w:rPr>
          <w:b/>
          <w:sz w:val="24"/>
          <w:szCs w:val="22"/>
        </w:rPr>
        <w:t>宗地地价区域因素的选择及量化指标</w:t>
      </w:r>
    </w:p>
    <w:p>
      <w:pPr>
        <w:spacing w:line="360" w:lineRule="auto"/>
        <w:ind w:firstLine="480" w:firstLineChars="200"/>
        <w:rPr>
          <w:sz w:val="24"/>
          <w:szCs w:val="24"/>
        </w:rPr>
      </w:pPr>
      <w:r>
        <w:rPr>
          <w:sz w:val="24"/>
          <w:szCs w:val="24"/>
        </w:rPr>
        <w:t>宗地地价区域影响因素修正体系包括以下修正因素：</w:t>
      </w:r>
    </w:p>
    <w:p>
      <w:pPr>
        <w:spacing w:line="360" w:lineRule="auto"/>
        <w:ind w:firstLine="480" w:firstLineChars="200"/>
        <w:rPr>
          <w:sz w:val="24"/>
          <w:szCs w:val="24"/>
        </w:rPr>
      </w:pPr>
      <w:r>
        <w:rPr>
          <w:sz w:val="24"/>
          <w:szCs w:val="24"/>
        </w:rPr>
        <w:t>（1）商服繁华影响度：主要指商服中心级别、商服中心的规模。量化指标为距各级商服中心的距离。</w:t>
      </w:r>
    </w:p>
    <w:p>
      <w:pPr>
        <w:spacing w:line="360" w:lineRule="auto"/>
        <w:ind w:firstLine="480" w:firstLineChars="200"/>
        <w:rPr>
          <w:sz w:val="24"/>
          <w:szCs w:val="24"/>
        </w:rPr>
      </w:pPr>
      <w:r>
        <w:rPr>
          <w:sz w:val="24"/>
          <w:szCs w:val="24"/>
        </w:rPr>
        <w:t>（2）道路通达度：主要指宗地所邻道路类型以及相距的距离。</w:t>
      </w:r>
    </w:p>
    <w:p>
      <w:pPr>
        <w:spacing w:line="360" w:lineRule="auto"/>
        <w:ind w:firstLine="480" w:firstLineChars="200"/>
        <w:rPr>
          <w:sz w:val="24"/>
          <w:szCs w:val="24"/>
        </w:rPr>
      </w:pPr>
      <w:r>
        <w:rPr>
          <w:sz w:val="24"/>
          <w:szCs w:val="24"/>
        </w:rPr>
        <w:t>（3）公交便捷度：主要反映公共交通便利程度的差异，量化指标采用距公交站点距离以及公交站点数目。</w:t>
      </w:r>
    </w:p>
    <w:p>
      <w:pPr>
        <w:spacing w:line="360" w:lineRule="auto"/>
        <w:ind w:firstLine="480" w:firstLineChars="200"/>
        <w:rPr>
          <w:sz w:val="24"/>
          <w:szCs w:val="24"/>
        </w:rPr>
      </w:pPr>
      <w:r>
        <w:rPr>
          <w:sz w:val="24"/>
          <w:szCs w:val="24"/>
        </w:rPr>
        <w:t>（4）对外交通便利度：包括货运码头、货运火车站、客运码头、客运长途汽车站、客运火车站，以宗地与其相距的距离为量化指标值。</w:t>
      </w:r>
    </w:p>
    <w:p>
      <w:pPr>
        <w:spacing w:line="360" w:lineRule="auto"/>
        <w:ind w:firstLine="480" w:firstLineChars="200"/>
        <w:rPr>
          <w:sz w:val="24"/>
          <w:szCs w:val="24"/>
        </w:rPr>
      </w:pPr>
      <w:r>
        <w:rPr>
          <w:sz w:val="24"/>
          <w:szCs w:val="24"/>
        </w:rPr>
        <w:t>（5）公用服务设施完备度：包括中小学、医院、农贸市场、文体设施，以宗地与其相距的距离为量化指标值。</w:t>
      </w:r>
    </w:p>
    <w:p>
      <w:pPr>
        <w:spacing w:line="360" w:lineRule="auto"/>
        <w:ind w:firstLine="480" w:firstLineChars="200"/>
        <w:rPr>
          <w:sz w:val="24"/>
          <w:szCs w:val="24"/>
        </w:rPr>
      </w:pPr>
      <w:r>
        <w:rPr>
          <w:sz w:val="24"/>
          <w:szCs w:val="24"/>
        </w:rPr>
        <w:t>（6）基础设施完善度：主要指供水、排水、供气等，以其综合保证率为量化指标。</w:t>
      </w:r>
    </w:p>
    <w:p>
      <w:pPr>
        <w:spacing w:line="360" w:lineRule="auto"/>
        <w:ind w:firstLine="480" w:firstLineChars="200"/>
        <w:rPr>
          <w:sz w:val="24"/>
          <w:szCs w:val="24"/>
        </w:rPr>
      </w:pPr>
      <w:r>
        <w:rPr>
          <w:sz w:val="24"/>
          <w:szCs w:val="24"/>
        </w:rPr>
        <w:t>（7）人口状况：主要指人口密度，量化指标参照人口密度的大小，在同一级内进行定性地五等分。</w:t>
      </w:r>
    </w:p>
    <w:p>
      <w:pPr>
        <w:spacing w:line="360" w:lineRule="auto"/>
        <w:ind w:firstLine="480" w:firstLineChars="200"/>
        <w:rPr>
          <w:sz w:val="24"/>
          <w:szCs w:val="24"/>
        </w:rPr>
      </w:pPr>
      <w:r>
        <w:rPr>
          <w:sz w:val="24"/>
          <w:szCs w:val="24"/>
        </w:rPr>
        <w:t>（8）城市规划：主要指用地规划和道路规划，主要考虑规划限制、规划用途、规划类型等对地价的影响。</w:t>
      </w:r>
    </w:p>
    <w:p>
      <w:pPr>
        <w:spacing w:line="360" w:lineRule="auto"/>
        <w:ind w:firstLine="480" w:firstLineChars="200"/>
        <w:rPr>
          <w:sz w:val="24"/>
          <w:szCs w:val="24"/>
        </w:rPr>
      </w:pPr>
      <w:r>
        <w:rPr>
          <w:sz w:val="24"/>
          <w:szCs w:val="24"/>
        </w:rPr>
        <w:t>（9）环境质量优劣度：环境质量是环境污染状况的反映，我们以宗地距污染源的距离作为量化指标。</w:t>
      </w:r>
    </w:p>
    <w:p>
      <w:pPr>
        <w:spacing w:line="360" w:lineRule="auto"/>
        <w:ind w:firstLine="480" w:firstLineChars="200"/>
        <w:rPr>
          <w:sz w:val="24"/>
          <w:szCs w:val="24"/>
        </w:rPr>
      </w:pPr>
      <w:r>
        <w:rPr>
          <w:sz w:val="24"/>
          <w:szCs w:val="24"/>
        </w:rPr>
        <w:t>（10）自然条件优劣度：包括工程地质、地形、自然灾害等状况，分别以宗地所在的等级为依据。</w:t>
      </w:r>
    </w:p>
    <w:p>
      <w:pPr>
        <w:spacing w:line="360" w:lineRule="auto"/>
        <w:ind w:firstLine="480" w:firstLineChars="200"/>
        <w:rPr>
          <w:sz w:val="24"/>
          <w:szCs w:val="24"/>
        </w:rPr>
      </w:pPr>
      <w:r>
        <w:rPr>
          <w:sz w:val="24"/>
          <w:szCs w:val="24"/>
        </w:rPr>
        <w:t>（11）产业集聚度，以宗地所处的集聚程度和规模为指标。</w:t>
      </w:r>
    </w:p>
    <w:p>
      <w:pPr>
        <w:spacing w:line="500" w:lineRule="exact"/>
        <w:ind w:firstLine="482" w:firstLineChars="200"/>
        <w:jc w:val="left"/>
        <w:outlineLvl w:val="3"/>
        <w:rPr>
          <w:b/>
          <w:sz w:val="24"/>
          <w:szCs w:val="22"/>
        </w:rPr>
      </w:pPr>
      <w:r>
        <w:rPr>
          <w:rFonts w:hint="eastAsia"/>
          <w:b/>
          <w:sz w:val="24"/>
          <w:szCs w:val="22"/>
        </w:rPr>
        <w:t>2、</w:t>
      </w:r>
      <w:r>
        <w:rPr>
          <w:b/>
          <w:sz w:val="24"/>
          <w:szCs w:val="22"/>
        </w:rPr>
        <w:t>宗地地价修正因素的权重的确定</w:t>
      </w:r>
    </w:p>
    <w:p>
      <w:pPr>
        <w:spacing w:line="500" w:lineRule="exact"/>
        <w:ind w:firstLine="480" w:firstLineChars="200"/>
        <w:rPr>
          <w:sz w:val="24"/>
          <w:szCs w:val="22"/>
        </w:rPr>
      </w:pPr>
      <w:r>
        <w:rPr>
          <w:sz w:val="24"/>
          <w:szCs w:val="22"/>
        </w:rPr>
        <w:t>1</w:t>
      </w:r>
      <w:r>
        <w:rPr>
          <w:rFonts w:hint="eastAsia"/>
          <w:sz w:val="24"/>
          <w:szCs w:val="22"/>
        </w:rPr>
        <w:t>.</w:t>
      </w:r>
      <w:r>
        <w:rPr>
          <w:sz w:val="24"/>
          <w:szCs w:val="22"/>
        </w:rPr>
        <w:t>宗地地价修正因素体系的编制</w:t>
      </w:r>
    </w:p>
    <w:p>
      <w:pPr>
        <w:spacing w:line="500" w:lineRule="exact"/>
        <w:ind w:firstLine="480" w:firstLineChars="200"/>
        <w:rPr>
          <w:sz w:val="24"/>
        </w:rPr>
      </w:pPr>
      <w:r>
        <w:rPr>
          <w:sz w:val="24"/>
        </w:rPr>
        <w:t>根据《城镇土地估价规程》，影响宗地地价因素因用途不同而有所区别。在编制宗地地价修正体系时，对于各因素量化指标的选取，在各级别划分的基础上结合土地级别和土地用途的差异，确定各用途的各级别用地的地价区域影响，能定量描述的尽量以定量描述，体现与之相应量化数值；不能定量描述的则结合长沙县的实际情况，进行定量描述。</w:t>
      </w:r>
    </w:p>
    <w:p>
      <w:pPr>
        <w:spacing w:line="500" w:lineRule="exact"/>
        <w:ind w:firstLine="480" w:firstLineChars="200"/>
        <w:rPr>
          <w:sz w:val="24"/>
          <w:szCs w:val="22"/>
        </w:rPr>
      </w:pPr>
      <w:r>
        <w:rPr>
          <w:sz w:val="24"/>
          <w:szCs w:val="22"/>
        </w:rPr>
        <w:t>2</w:t>
      </w:r>
      <w:r>
        <w:rPr>
          <w:rFonts w:hint="eastAsia"/>
          <w:sz w:val="24"/>
          <w:szCs w:val="22"/>
        </w:rPr>
        <w:t>.</w:t>
      </w:r>
      <w:r>
        <w:rPr>
          <w:sz w:val="24"/>
          <w:szCs w:val="22"/>
        </w:rPr>
        <w:t>影响因素权重的确定</w:t>
      </w:r>
    </w:p>
    <w:p>
      <w:pPr>
        <w:spacing w:line="500" w:lineRule="exact"/>
        <w:ind w:firstLine="480" w:firstLineChars="200"/>
        <w:rPr>
          <w:sz w:val="24"/>
        </w:rPr>
      </w:pPr>
      <w:r>
        <w:rPr>
          <w:sz w:val="24"/>
        </w:rPr>
        <w:t>权重是修正因素对宗地地价影响程度的定量测度，是基准地价系数修正法评估宗地地价的关键参数之一，必须准确确定。在本次基准地价评估中，我们采用特尔斐法来确定因素权重，该方法具有思路简明、运算方便的特点。</w:t>
      </w:r>
    </w:p>
    <w:p>
      <w:pPr>
        <w:tabs>
          <w:tab w:val="left" w:pos="2679"/>
        </w:tabs>
        <w:spacing w:line="460" w:lineRule="exact"/>
        <w:jc w:val="center"/>
        <w:rPr>
          <w:sz w:val="24"/>
        </w:rPr>
      </w:pPr>
      <w:r>
        <w:rPr>
          <w:b/>
          <w:sz w:val="24"/>
        </w:rPr>
        <w:t>表4-2-1　 长沙县商服用地宗地地价修正因素及权重表</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36"/>
        <w:gridCol w:w="945"/>
        <w:gridCol w:w="1812"/>
        <w:gridCol w:w="884"/>
        <w:gridCol w:w="3200"/>
        <w:gridCol w:w="8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因素层</w:t>
            </w:r>
          </w:p>
        </w:tc>
        <w:tc>
          <w:tcPr>
            <w:tcW w:w="945"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权重</w:t>
            </w:r>
          </w:p>
        </w:tc>
        <w:tc>
          <w:tcPr>
            <w:tcW w:w="1812"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884"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权重</w:t>
            </w:r>
          </w:p>
        </w:tc>
        <w:tc>
          <w:tcPr>
            <w:tcW w:w="3200"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指标层</w:t>
            </w:r>
          </w:p>
        </w:tc>
        <w:tc>
          <w:tcPr>
            <w:tcW w:w="884"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权重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336"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繁华程度</w:t>
            </w:r>
          </w:p>
        </w:tc>
        <w:tc>
          <w:tcPr>
            <w:tcW w:w="945" w:type="dxa"/>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0.3885</w:t>
            </w:r>
          </w:p>
        </w:tc>
        <w:tc>
          <w:tcPr>
            <w:tcW w:w="1812"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商服繁华影响度</w:t>
            </w:r>
          </w:p>
        </w:tc>
        <w:tc>
          <w:tcPr>
            <w:tcW w:w="884" w:type="dxa"/>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0.3885</w:t>
            </w:r>
          </w:p>
        </w:tc>
        <w:tc>
          <w:tcPr>
            <w:tcW w:w="320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距离商服中心距离</w:t>
            </w:r>
          </w:p>
        </w:tc>
        <w:tc>
          <w:tcPr>
            <w:tcW w:w="88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 xml:space="preserve">0.3885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36"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rFonts w:eastAsia="Tahoma"/>
                <w:color w:val="000000"/>
                <w:kern w:val="0"/>
                <w:szCs w:val="21"/>
                <w:lang/>
              </w:rPr>
            </w:pPr>
            <w:r>
              <w:rPr>
                <w:rFonts w:eastAsia="Tahoma"/>
                <w:color w:val="000000"/>
                <w:kern w:val="0"/>
                <w:szCs w:val="21"/>
                <w:lang/>
              </w:rPr>
              <w:t>交通条件</w:t>
            </w:r>
          </w:p>
        </w:tc>
        <w:tc>
          <w:tcPr>
            <w:tcW w:w="945"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rFonts w:eastAsia="Tahoma"/>
                <w:color w:val="000000"/>
                <w:kern w:val="0"/>
                <w:szCs w:val="21"/>
                <w:lang/>
              </w:rPr>
            </w:pPr>
            <w:r>
              <w:rPr>
                <w:rFonts w:eastAsia="Tahoma"/>
                <w:color w:val="000000"/>
                <w:kern w:val="0"/>
                <w:szCs w:val="21"/>
                <w:lang/>
              </w:rPr>
              <w:t>0.2530</w:t>
            </w:r>
          </w:p>
        </w:tc>
        <w:tc>
          <w:tcPr>
            <w:tcW w:w="181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道路通达度</w:t>
            </w:r>
          </w:p>
        </w:tc>
        <w:tc>
          <w:tcPr>
            <w:tcW w:w="88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0.0753</w:t>
            </w:r>
          </w:p>
        </w:tc>
        <w:tc>
          <w:tcPr>
            <w:tcW w:w="320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临近道路状况</w:t>
            </w:r>
          </w:p>
        </w:tc>
        <w:tc>
          <w:tcPr>
            <w:tcW w:w="88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 xml:space="preserve">0.0753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36"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945"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81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公交便捷度</w:t>
            </w:r>
          </w:p>
        </w:tc>
        <w:tc>
          <w:tcPr>
            <w:tcW w:w="88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0.0964</w:t>
            </w:r>
          </w:p>
        </w:tc>
        <w:tc>
          <w:tcPr>
            <w:tcW w:w="320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距最近公交站点（</w:t>
            </w:r>
            <w:r>
              <w:rPr>
                <w:rFonts w:hint="eastAsia"/>
                <w:color w:val="000000"/>
                <w:kern w:val="0"/>
                <w:szCs w:val="21"/>
              </w:rPr>
              <w:t>轨道交通</w:t>
            </w:r>
            <w:r>
              <w:rPr>
                <w:color w:val="000000"/>
                <w:kern w:val="0"/>
                <w:szCs w:val="21"/>
              </w:rPr>
              <w:t>站）距离</w:t>
            </w:r>
          </w:p>
        </w:tc>
        <w:tc>
          <w:tcPr>
            <w:tcW w:w="88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 xml:space="preserve">0.0964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36"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945"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812"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对外交通便利度</w:t>
            </w:r>
          </w:p>
        </w:tc>
        <w:tc>
          <w:tcPr>
            <w:tcW w:w="884"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0.0813</w:t>
            </w:r>
          </w:p>
        </w:tc>
        <w:tc>
          <w:tcPr>
            <w:tcW w:w="320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距最近长途汽车站距离</w:t>
            </w:r>
          </w:p>
        </w:tc>
        <w:tc>
          <w:tcPr>
            <w:tcW w:w="88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 xml:space="preserve">0.0462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36"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945"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812"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8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20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距普通客运火车站距离</w:t>
            </w:r>
          </w:p>
        </w:tc>
        <w:tc>
          <w:tcPr>
            <w:tcW w:w="88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 xml:space="preserve">0.0163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36"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945"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812"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8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20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距高铁站距离</w:t>
            </w:r>
          </w:p>
        </w:tc>
        <w:tc>
          <w:tcPr>
            <w:tcW w:w="88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 xml:space="preserve">0.0188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36"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基本设施状况</w:t>
            </w:r>
          </w:p>
        </w:tc>
        <w:tc>
          <w:tcPr>
            <w:tcW w:w="945"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0.1864</w:t>
            </w:r>
          </w:p>
        </w:tc>
        <w:tc>
          <w:tcPr>
            <w:tcW w:w="1812"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基础设施完善度</w:t>
            </w:r>
          </w:p>
        </w:tc>
        <w:tc>
          <w:tcPr>
            <w:tcW w:w="884"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0.1864</w:t>
            </w:r>
          </w:p>
        </w:tc>
        <w:tc>
          <w:tcPr>
            <w:tcW w:w="320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排水状况</w:t>
            </w:r>
          </w:p>
        </w:tc>
        <w:tc>
          <w:tcPr>
            <w:tcW w:w="88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 xml:space="preserve">0.0466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36"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945"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812"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8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20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供水状况</w:t>
            </w:r>
          </w:p>
        </w:tc>
        <w:tc>
          <w:tcPr>
            <w:tcW w:w="88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 xml:space="preserve">0.0466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36"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945"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812"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8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20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供电状况</w:t>
            </w:r>
          </w:p>
        </w:tc>
        <w:tc>
          <w:tcPr>
            <w:tcW w:w="88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 xml:space="preserve">0.0466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36"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945"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812"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88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320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供气状况</w:t>
            </w:r>
          </w:p>
        </w:tc>
        <w:tc>
          <w:tcPr>
            <w:tcW w:w="88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 xml:space="preserve">0.0466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36"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人口状况</w:t>
            </w:r>
          </w:p>
        </w:tc>
        <w:tc>
          <w:tcPr>
            <w:tcW w:w="945"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0.0795</w:t>
            </w:r>
          </w:p>
        </w:tc>
        <w:tc>
          <w:tcPr>
            <w:tcW w:w="1812"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人口密度</w:t>
            </w:r>
          </w:p>
        </w:tc>
        <w:tc>
          <w:tcPr>
            <w:tcW w:w="88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0.0795</w:t>
            </w:r>
          </w:p>
        </w:tc>
        <w:tc>
          <w:tcPr>
            <w:tcW w:w="3200"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人口程度</w:t>
            </w:r>
          </w:p>
        </w:tc>
        <w:tc>
          <w:tcPr>
            <w:tcW w:w="88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 xml:space="preserve">0.0795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3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城市规划</w:t>
            </w:r>
          </w:p>
        </w:tc>
        <w:tc>
          <w:tcPr>
            <w:tcW w:w="94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0.0926</w:t>
            </w:r>
          </w:p>
        </w:tc>
        <w:tc>
          <w:tcPr>
            <w:tcW w:w="181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szCs w:val="21"/>
              </w:rPr>
              <w:t>城市规划</w:t>
            </w:r>
          </w:p>
        </w:tc>
        <w:tc>
          <w:tcPr>
            <w:tcW w:w="88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0.0926</w:t>
            </w:r>
          </w:p>
        </w:tc>
        <w:tc>
          <w:tcPr>
            <w:tcW w:w="3200" w:type="dxa"/>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rPr>
            </w:pPr>
            <w:r>
              <w:rPr>
                <w:color w:val="000000"/>
                <w:szCs w:val="21"/>
              </w:rPr>
              <w:t>用地规划</w:t>
            </w:r>
          </w:p>
        </w:tc>
        <w:tc>
          <w:tcPr>
            <w:tcW w:w="8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 xml:space="preserve">0.0463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181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88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320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szCs w:val="21"/>
              </w:rPr>
              <w:t>道路规划</w:t>
            </w:r>
          </w:p>
        </w:tc>
        <w:tc>
          <w:tcPr>
            <w:tcW w:w="8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 xml:space="preserve">0.0463 </w:t>
            </w:r>
          </w:p>
        </w:tc>
      </w:tr>
    </w:tbl>
    <w:p>
      <w:pPr>
        <w:tabs>
          <w:tab w:val="left" w:pos="2679"/>
        </w:tabs>
        <w:spacing w:line="460" w:lineRule="exact"/>
        <w:jc w:val="center"/>
        <w:rPr>
          <w:b/>
          <w:sz w:val="24"/>
        </w:rPr>
      </w:pPr>
      <w:r>
        <w:rPr>
          <w:b/>
          <w:sz w:val="24"/>
        </w:rPr>
        <w:br w:type="page"/>
      </w:r>
      <w:r>
        <w:rPr>
          <w:b/>
          <w:sz w:val="24"/>
        </w:rPr>
        <w:t>表4-2-2　 长沙县住宅用地宗地地价修正因素及权重表</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12"/>
        <w:gridCol w:w="814"/>
        <w:gridCol w:w="1729"/>
        <w:gridCol w:w="814"/>
        <w:gridCol w:w="3378"/>
        <w:gridCol w:w="8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b/>
                <w:bCs/>
                <w:color w:val="000000"/>
                <w:kern w:val="0"/>
                <w:szCs w:val="21"/>
              </w:rPr>
            </w:pPr>
            <w:r>
              <w:rPr>
                <w:color w:val="000000"/>
                <w:kern w:val="0"/>
                <w:szCs w:val="21"/>
                <w:lang/>
              </w:rPr>
              <w:t>基本设施状况</w:t>
            </w:r>
          </w:p>
        </w:tc>
        <w:tc>
          <w:tcPr>
            <w:tcW w:w="814" w:type="dxa"/>
            <w:vMerge w:val="restart"/>
            <w:tcBorders>
              <w:top w:val="single" w:color="auto" w:sz="4" w:space="0"/>
              <w:left w:val="nil"/>
              <w:bottom w:val="single" w:color="auto" w:sz="4" w:space="0"/>
              <w:right w:val="single" w:color="auto" w:sz="4" w:space="0"/>
            </w:tcBorders>
            <w:vAlign w:val="center"/>
          </w:tcPr>
          <w:p>
            <w:pPr>
              <w:widowControl/>
              <w:jc w:val="center"/>
              <w:textAlignment w:val="center"/>
              <w:rPr>
                <w:b/>
                <w:bCs/>
                <w:color w:val="000000"/>
                <w:kern w:val="0"/>
                <w:szCs w:val="21"/>
              </w:rPr>
            </w:pPr>
            <w:r>
              <w:rPr>
                <w:rFonts w:eastAsia="Tahoma"/>
                <w:color w:val="000000"/>
                <w:kern w:val="0"/>
                <w:szCs w:val="21"/>
                <w:lang/>
              </w:rPr>
              <w:t>0.316</w:t>
            </w:r>
          </w:p>
        </w:tc>
        <w:tc>
          <w:tcPr>
            <w:tcW w:w="1729" w:type="dxa"/>
            <w:vMerge w:val="restart"/>
            <w:tcBorders>
              <w:top w:val="single" w:color="auto" w:sz="4" w:space="0"/>
              <w:left w:val="nil"/>
              <w:bottom w:val="single" w:color="auto" w:sz="4" w:space="0"/>
              <w:right w:val="single" w:color="auto" w:sz="4" w:space="0"/>
            </w:tcBorders>
            <w:vAlign w:val="center"/>
          </w:tcPr>
          <w:p>
            <w:pPr>
              <w:widowControl/>
              <w:jc w:val="center"/>
              <w:textAlignment w:val="center"/>
              <w:rPr>
                <w:b/>
                <w:bCs/>
                <w:color w:val="000000"/>
                <w:kern w:val="0"/>
                <w:szCs w:val="21"/>
              </w:rPr>
            </w:pPr>
            <w:r>
              <w:rPr>
                <w:color w:val="000000"/>
                <w:kern w:val="0"/>
                <w:szCs w:val="21"/>
                <w:lang/>
              </w:rPr>
              <w:t>基础设施完善度</w:t>
            </w:r>
          </w:p>
        </w:tc>
        <w:tc>
          <w:tcPr>
            <w:tcW w:w="814" w:type="dxa"/>
            <w:vMerge w:val="restart"/>
            <w:tcBorders>
              <w:top w:val="single" w:color="auto" w:sz="4" w:space="0"/>
              <w:left w:val="nil"/>
              <w:bottom w:val="single" w:color="auto" w:sz="4" w:space="0"/>
              <w:right w:val="single" w:color="auto" w:sz="4" w:space="0"/>
            </w:tcBorders>
            <w:vAlign w:val="center"/>
          </w:tcPr>
          <w:p>
            <w:pPr>
              <w:widowControl/>
              <w:jc w:val="center"/>
              <w:textAlignment w:val="center"/>
              <w:rPr>
                <w:b/>
                <w:bCs/>
                <w:color w:val="000000"/>
                <w:kern w:val="0"/>
                <w:szCs w:val="21"/>
              </w:rPr>
            </w:pPr>
            <w:r>
              <w:rPr>
                <w:rFonts w:eastAsia="Tahoma"/>
                <w:color w:val="000000"/>
                <w:kern w:val="0"/>
                <w:szCs w:val="21"/>
                <w:lang/>
              </w:rPr>
              <w:t>0.1704</w:t>
            </w:r>
          </w:p>
        </w:tc>
        <w:tc>
          <w:tcPr>
            <w:tcW w:w="3378" w:type="dxa"/>
            <w:tcBorders>
              <w:top w:val="single" w:color="auto" w:sz="4" w:space="0"/>
              <w:left w:val="nil"/>
              <w:bottom w:val="single" w:color="auto" w:sz="4" w:space="0"/>
              <w:right w:val="single" w:color="auto" w:sz="4" w:space="0"/>
            </w:tcBorders>
            <w:vAlign w:val="center"/>
          </w:tcPr>
          <w:p>
            <w:pPr>
              <w:widowControl/>
              <w:jc w:val="center"/>
              <w:textAlignment w:val="center"/>
              <w:rPr>
                <w:b/>
                <w:bCs/>
                <w:color w:val="000000"/>
                <w:kern w:val="0"/>
                <w:szCs w:val="21"/>
              </w:rPr>
            </w:pPr>
            <w:r>
              <w:rPr>
                <w:color w:val="000000"/>
                <w:kern w:val="0"/>
                <w:szCs w:val="21"/>
                <w:lang/>
              </w:rPr>
              <w:t>排水状况</w:t>
            </w:r>
          </w:p>
        </w:tc>
        <w:tc>
          <w:tcPr>
            <w:tcW w:w="814" w:type="dxa"/>
            <w:tcBorders>
              <w:top w:val="single" w:color="auto" w:sz="4" w:space="0"/>
              <w:left w:val="nil"/>
              <w:bottom w:val="single" w:color="auto" w:sz="4" w:space="0"/>
              <w:right w:val="single" w:color="auto" w:sz="4" w:space="0"/>
            </w:tcBorders>
            <w:vAlign w:val="center"/>
          </w:tcPr>
          <w:p>
            <w:pPr>
              <w:widowControl/>
              <w:jc w:val="center"/>
              <w:textAlignment w:val="center"/>
              <w:rPr>
                <w:b/>
                <w:bCs/>
                <w:color w:val="000000"/>
                <w:kern w:val="0"/>
                <w:szCs w:val="21"/>
              </w:rPr>
            </w:pPr>
            <w:r>
              <w:rPr>
                <w:rFonts w:eastAsia="Tahoma"/>
                <w:color w:val="000000"/>
                <w:kern w:val="0"/>
                <w:szCs w:val="21"/>
                <w:lang/>
              </w:rPr>
              <w:t xml:space="preserve">0.0426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72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供水状况</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 xml:space="preserve">0.0426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72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供电状况</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 xml:space="preserve">0.0426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72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供气状况</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 xml:space="preserve">0.0426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729"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公用设施完备度</w:t>
            </w:r>
          </w:p>
        </w:tc>
        <w:tc>
          <w:tcPr>
            <w:tcW w:w="814"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0.1456</w:t>
            </w: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距中小学距离</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72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距医院距离</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0.0312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72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距大型超市距离</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72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距文体设施距离</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交通条件</w:t>
            </w:r>
          </w:p>
        </w:tc>
        <w:tc>
          <w:tcPr>
            <w:tcW w:w="814"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0.2378</w:t>
            </w:r>
          </w:p>
        </w:tc>
        <w:tc>
          <w:tcPr>
            <w:tcW w:w="1729" w:type="dxa"/>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道路通达度</w:t>
            </w:r>
          </w:p>
        </w:tc>
        <w:tc>
          <w:tcPr>
            <w:tcW w:w="814" w:type="dxa"/>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0.1124</w:t>
            </w: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临近道路状况</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0.1124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729"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公交便捷度</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0.0821</w:t>
            </w: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距最近公交站点（</w:t>
            </w:r>
            <w:r>
              <w:rPr>
                <w:rFonts w:hint="eastAsia"/>
                <w:color w:val="000000"/>
                <w:kern w:val="0"/>
                <w:szCs w:val="21"/>
                <w:lang/>
              </w:rPr>
              <w:t>轨道交通</w:t>
            </w:r>
            <w:r>
              <w:rPr>
                <w:color w:val="000000"/>
                <w:kern w:val="0"/>
                <w:szCs w:val="21"/>
                <w:lang/>
              </w:rPr>
              <w:t>站）距离</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0.0821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729" w:type="dxa"/>
            <w:vMerge w:val="restart"/>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对外交通便利度</w:t>
            </w:r>
          </w:p>
        </w:tc>
        <w:tc>
          <w:tcPr>
            <w:tcW w:w="814" w:type="dxa"/>
            <w:vMerge w:val="restart"/>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0.0433</w:t>
            </w: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距最近长途汽车站距离</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72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距火车站距离</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72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距高铁站长沙南站距离</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环境条件</w:t>
            </w:r>
          </w:p>
        </w:tc>
        <w:tc>
          <w:tcPr>
            <w:tcW w:w="814"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0.1967</w:t>
            </w:r>
          </w:p>
        </w:tc>
        <w:tc>
          <w:tcPr>
            <w:tcW w:w="1729"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环境优劣度</w:t>
            </w:r>
          </w:p>
        </w:tc>
        <w:tc>
          <w:tcPr>
            <w:tcW w:w="814"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0.1299</w:t>
            </w: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水污染情况</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72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大气污染情况</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72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噪声污染情况</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729" w:type="dxa"/>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自然条件优劣度</w:t>
            </w:r>
          </w:p>
        </w:tc>
        <w:tc>
          <w:tcPr>
            <w:tcW w:w="814" w:type="dxa"/>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0.0668</w:t>
            </w: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洪水淹没状况</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繁华程度</w:t>
            </w:r>
          </w:p>
        </w:tc>
        <w:tc>
          <w:tcPr>
            <w:tcW w:w="814" w:type="dxa"/>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0.1525</w:t>
            </w:r>
          </w:p>
        </w:tc>
        <w:tc>
          <w:tcPr>
            <w:tcW w:w="1729"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商服繁华影响度</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0.1525</w:t>
            </w: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距商服中心距离</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0.1525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人口状况</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0.0486</w:t>
            </w:r>
          </w:p>
        </w:tc>
        <w:tc>
          <w:tcPr>
            <w:tcW w:w="1729"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人口密度</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0.0486</w:t>
            </w: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人口密度</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城市规划</w:t>
            </w:r>
          </w:p>
        </w:tc>
        <w:tc>
          <w:tcPr>
            <w:tcW w:w="814" w:type="dxa"/>
            <w:vMerge w:val="restart"/>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0.0484</w:t>
            </w:r>
          </w:p>
        </w:tc>
        <w:tc>
          <w:tcPr>
            <w:tcW w:w="1729" w:type="dxa"/>
            <w:vMerge w:val="restart"/>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城市规划</w:t>
            </w:r>
          </w:p>
        </w:tc>
        <w:tc>
          <w:tcPr>
            <w:tcW w:w="814" w:type="dxa"/>
            <w:vMerge w:val="restart"/>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0.0484</w:t>
            </w: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用地规划</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512"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72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814"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3378"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道路规划</w:t>
            </w:r>
          </w:p>
        </w:tc>
        <w:tc>
          <w:tcPr>
            <w:tcW w:w="814"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rFonts w:eastAsia="Tahoma"/>
                <w:color w:val="000000"/>
                <w:kern w:val="0"/>
                <w:szCs w:val="21"/>
                <w:lang/>
              </w:rPr>
              <w:t>0.0228</w:t>
            </w:r>
          </w:p>
        </w:tc>
      </w:tr>
    </w:tbl>
    <w:p>
      <w:pPr>
        <w:tabs>
          <w:tab w:val="left" w:pos="2679"/>
        </w:tabs>
        <w:spacing w:line="460" w:lineRule="exact"/>
        <w:jc w:val="center"/>
        <w:rPr>
          <w:b/>
          <w:sz w:val="24"/>
        </w:rPr>
      </w:pPr>
      <w:r>
        <w:rPr>
          <w:b/>
          <w:sz w:val="24"/>
        </w:rPr>
        <w:t>表4-2-3　 长沙县工矿仓储用地用地宗地地价修正因素及权重表</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69"/>
        <w:gridCol w:w="957"/>
        <w:gridCol w:w="1906"/>
        <w:gridCol w:w="957"/>
        <w:gridCol w:w="2619"/>
        <w:gridCol w:w="9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66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b/>
                <w:bCs/>
                <w:color w:val="000000"/>
                <w:kern w:val="0"/>
                <w:szCs w:val="21"/>
              </w:rPr>
            </w:pPr>
            <w:r>
              <w:rPr>
                <w:color w:val="000000"/>
                <w:kern w:val="0"/>
                <w:szCs w:val="21"/>
                <w:lang/>
              </w:rPr>
              <w:t>交通条件</w:t>
            </w:r>
          </w:p>
        </w:tc>
        <w:tc>
          <w:tcPr>
            <w:tcW w:w="957" w:type="dxa"/>
            <w:vMerge w:val="restart"/>
            <w:tcBorders>
              <w:top w:val="single" w:color="auto" w:sz="4" w:space="0"/>
              <w:left w:val="nil"/>
              <w:bottom w:val="single" w:color="auto" w:sz="4" w:space="0"/>
              <w:right w:val="single" w:color="auto" w:sz="4" w:space="0"/>
            </w:tcBorders>
            <w:vAlign w:val="center"/>
          </w:tcPr>
          <w:p>
            <w:pPr>
              <w:widowControl/>
              <w:jc w:val="center"/>
              <w:textAlignment w:val="center"/>
              <w:rPr>
                <w:b/>
                <w:bCs/>
                <w:color w:val="000000"/>
                <w:kern w:val="0"/>
                <w:szCs w:val="21"/>
              </w:rPr>
            </w:pPr>
            <w:r>
              <w:rPr>
                <w:color w:val="000000"/>
                <w:kern w:val="0"/>
                <w:szCs w:val="21"/>
                <w:lang/>
              </w:rPr>
              <w:t>0.3248</w:t>
            </w:r>
          </w:p>
        </w:tc>
        <w:tc>
          <w:tcPr>
            <w:tcW w:w="1906" w:type="dxa"/>
            <w:tcBorders>
              <w:top w:val="single" w:color="auto" w:sz="4" w:space="0"/>
              <w:left w:val="nil"/>
              <w:bottom w:val="single" w:color="auto" w:sz="4" w:space="0"/>
              <w:right w:val="single" w:color="auto" w:sz="4" w:space="0"/>
            </w:tcBorders>
            <w:vAlign w:val="center"/>
          </w:tcPr>
          <w:p>
            <w:pPr>
              <w:widowControl/>
              <w:jc w:val="center"/>
              <w:textAlignment w:val="center"/>
              <w:rPr>
                <w:b/>
                <w:bCs/>
                <w:color w:val="000000"/>
                <w:kern w:val="0"/>
                <w:szCs w:val="21"/>
              </w:rPr>
            </w:pPr>
            <w:r>
              <w:rPr>
                <w:color w:val="000000"/>
                <w:kern w:val="0"/>
                <w:szCs w:val="21"/>
                <w:lang/>
              </w:rPr>
              <w:t>道路通达度</w:t>
            </w:r>
          </w:p>
        </w:tc>
        <w:tc>
          <w:tcPr>
            <w:tcW w:w="957" w:type="dxa"/>
            <w:tcBorders>
              <w:top w:val="single" w:color="auto" w:sz="4" w:space="0"/>
              <w:left w:val="nil"/>
              <w:bottom w:val="single" w:color="auto" w:sz="4" w:space="0"/>
              <w:right w:val="single" w:color="auto" w:sz="4" w:space="0"/>
            </w:tcBorders>
            <w:vAlign w:val="center"/>
          </w:tcPr>
          <w:p>
            <w:pPr>
              <w:widowControl/>
              <w:jc w:val="center"/>
              <w:textAlignment w:val="center"/>
              <w:rPr>
                <w:b/>
                <w:bCs/>
                <w:color w:val="000000"/>
                <w:kern w:val="0"/>
                <w:szCs w:val="21"/>
              </w:rPr>
            </w:pPr>
            <w:r>
              <w:rPr>
                <w:color w:val="000000"/>
                <w:kern w:val="0"/>
                <w:szCs w:val="21"/>
                <w:lang/>
              </w:rPr>
              <w:t>0.1813</w:t>
            </w:r>
          </w:p>
        </w:tc>
        <w:tc>
          <w:tcPr>
            <w:tcW w:w="2619" w:type="dxa"/>
            <w:tcBorders>
              <w:top w:val="single" w:color="auto" w:sz="4" w:space="0"/>
              <w:left w:val="nil"/>
              <w:bottom w:val="single" w:color="auto" w:sz="4" w:space="0"/>
              <w:right w:val="single" w:color="auto" w:sz="4" w:space="0"/>
            </w:tcBorders>
            <w:vAlign w:val="center"/>
          </w:tcPr>
          <w:p>
            <w:pPr>
              <w:widowControl/>
              <w:jc w:val="center"/>
              <w:textAlignment w:val="center"/>
              <w:rPr>
                <w:b/>
                <w:bCs/>
                <w:color w:val="000000"/>
                <w:kern w:val="0"/>
                <w:szCs w:val="21"/>
              </w:rPr>
            </w:pPr>
            <w:r>
              <w:rPr>
                <w:color w:val="000000"/>
                <w:kern w:val="0"/>
                <w:szCs w:val="21"/>
                <w:lang/>
              </w:rPr>
              <w:t>临近道路状况</w:t>
            </w:r>
          </w:p>
        </w:tc>
        <w:tc>
          <w:tcPr>
            <w:tcW w:w="953" w:type="dxa"/>
            <w:tcBorders>
              <w:top w:val="single" w:color="auto" w:sz="4" w:space="0"/>
              <w:left w:val="nil"/>
              <w:bottom w:val="single" w:color="auto" w:sz="4" w:space="0"/>
              <w:right w:val="single" w:color="auto" w:sz="4" w:space="0"/>
            </w:tcBorders>
            <w:vAlign w:val="center"/>
          </w:tcPr>
          <w:p>
            <w:pPr>
              <w:widowControl/>
              <w:jc w:val="center"/>
              <w:textAlignment w:val="center"/>
              <w:rPr>
                <w:b/>
                <w:bCs/>
                <w:color w:val="000000"/>
                <w:kern w:val="0"/>
                <w:szCs w:val="21"/>
              </w:rPr>
            </w:pPr>
            <w:r>
              <w:rPr>
                <w:color w:val="000000"/>
                <w:kern w:val="0"/>
                <w:szCs w:val="21"/>
                <w:lang/>
              </w:rPr>
              <w:t>0.1813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66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957"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906" w:type="dxa"/>
            <w:vMerge w:val="restart"/>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对外交通便利度</w:t>
            </w:r>
          </w:p>
        </w:tc>
        <w:tc>
          <w:tcPr>
            <w:tcW w:w="957" w:type="dxa"/>
            <w:vMerge w:val="restart"/>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0.1435</w:t>
            </w:r>
          </w:p>
        </w:tc>
        <w:tc>
          <w:tcPr>
            <w:tcW w:w="2619"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距最近长途汽车站距离</w:t>
            </w:r>
          </w:p>
        </w:tc>
        <w:tc>
          <w:tcPr>
            <w:tcW w:w="953"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0.0577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66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957"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906"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957"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2619" w:type="dxa"/>
            <w:tcBorders>
              <w:top w:val="nil"/>
              <w:left w:val="nil"/>
              <w:bottom w:val="single" w:color="auto" w:sz="4" w:space="0"/>
              <w:right w:val="single" w:color="auto" w:sz="4" w:space="0"/>
            </w:tcBorders>
            <w:vAlign w:val="center"/>
          </w:tcPr>
          <w:p>
            <w:pPr>
              <w:widowControl/>
              <w:shd w:val="clear" w:color="auto" w:fill="FFFFFF"/>
              <w:jc w:val="center"/>
              <w:rPr>
                <w:color w:val="000000"/>
                <w:kern w:val="0"/>
                <w:szCs w:val="21"/>
              </w:rPr>
            </w:pPr>
            <w:r>
              <w:rPr>
                <w:rFonts w:hint="eastAsia" w:cs="宋体"/>
                <w:color w:val="000000"/>
                <w:kern w:val="0"/>
                <w:szCs w:val="21"/>
              </w:rPr>
              <w:t>临高速出入口距离</w:t>
            </w:r>
          </w:p>
        </w:tc>
        <w:tc>
          <w:tcPr>
            <w:tcW w:w="953"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0.0534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66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957"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906"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957"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2619" w:type="dxa"/>
            <w:tcBorders>
              <w:top w:val="nil"/>
              <w:left w:val="nil"/>
              <w:bottom w:val="single" w:color="auto" w:sz="4" w:space="0"/>
              <w:right w:val="single" w:color="auto" w:sz="4" w:space="0"/>
            </w:tcBorders>
            <w:vAlign w:val="center"/>
          </w:tcPr>
          <w:p>
            <w:pPr>
              <w:widowControl/>
              <w:shd w:val="clear" w:color="auto" w:fill="FFFFFF"/>
              <w:jc w:val="center"/>
              <w:rPr>
                <w:color w:val="000000"/>
                <w:kern w:val="0"/>
                <w:szCs w:val="21"/>
              </w:rPr>
            </w:pPr>
            <w:r>
              <w:rPr>
                <w:rFonts w:hint="eastAsia" w:cs="宋体"/>
                <w:color w:val="000000"/>
                <w:kern w:val="0"/>
                <w:szCs w:val="21"/>
              </w:rPr>
              <w:t>临机场距离</w:t>
            </w:r>
          </w:p>
        </w:tc>
        <w:tc>
          <w:tcPr>
            <w:tcW w:w="953"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0.0324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669"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基本设施状况</w:t>
            </w:r>
          </w:p>
        </w:tc>
        <w:tc>
          <w:tcPr>
            <w:tcW w:w="957"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0.2824</w:t>
            </w:r>
          </w:p>
        </w:tc>
        <w:tc>
          <w:tcPr>
            <w:tcW w:w="1906"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基础设施完善度</w:t>
            </w:r>
          </w:p>
        </w:tc>
        <w:tc>
          <w:tcPr>
            <w:tcW w:w="957"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0.2824</w:t>
            </w:r>
          </w:p>
        </w:tc>
        <w:tc>
          <w:tcPr>
            <w:tcW w:w="2619"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排水状况</w:t>
            </w:r>
          </w:p>
        </w:tc>
        <w:tc>
          <w:tcPr>
            <w:tcW w:w="953"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0.0706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66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957"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906"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957"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2619"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供水状况</w:t>
            </w:r>
          </w:p>
        </w:tc>
        <w:tc>
          <w:tcPr>
            <w:tcW w:w="953"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0.0706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66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957"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906"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957"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2619"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供电状况</w:t>
            </w:r>
          </w:p>
        </w:tc>
        <w:tc>
          <w:tcPr>
            <w:tcW w:w="953"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0.0706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66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957"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906"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957"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2619"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供气状况</w:t>
            </w:r>
          </w:p>
        </w:tc>
        <w:tc>
          <w:tcPr>
            <w:tcW w:w="953"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0.0706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669"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环境条件</w:t>
            </w:r>
          </w:p>
        </w:tc>
        <w:tc>
          <w:tcPr>
            <w:tcW w:w="957"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0.1341</w:t>
            </w:r>
          </w:p>
        </w:tc>
        <w:tc>
          <w:tcPr>
            <w:tcW w:w="1906"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自然条件优劣度</w:t>
            </w:r>
          </w:p>
        </w:tc>
        <w:tc>
          <w:tcPr>
            <w:tcW w:w="957"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0.1341</w:t>
            </w:r>
          </w:p>
        </w:tc>
        <w:tc>
          <w:tcPr>
            <w:tcW w:w="2619"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地质状况</w:t>
            </w:r>
          </w:p>
        </w:tc>
        <w:tc>
          <w:tcPr>
            <w:tcW w:w="953"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0.0667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66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957"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906"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957"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2619"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洪水淹没状况</w:t>
            </w:r>
          </w:p>
        </w:tc>
        <w:tc>
          <w:tcPr>
            <w:tcW w:w="953"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0.0674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669" w:type="dxa"/>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产业集聚效益</w:t>
            </w:r>
          </w:p>
        </w:tc>
        <w:tc>
          <w:tcPr>
            <w:tcW w:w="957" w:type="dxa"/>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0.1547</w:t>
            </w:r>
          </w:p>
        </w:tc>
        <w:tc>
          <w:tcPr>
            <w:tcW w:w="1906" w:type="dxa"/>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产业集聚影响度</w:t>
            </w:r>
          </w:p>
        </w:tc>
        <w:tc>
          <w:tcPr>
            <w:tcW w:w="957" w:type="dxa"/>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0.1547</w:t>
            </w:r>
          </w:p>
        </w:tc>
        <w:tc>
          <w:tcPr>
            <w:tcW w:w="2619"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产业集聚影响度</w:t>
            </w:r>
          </w:p>
        </w:tc>
        <w:tc>
          <w:tcPr>
            <w:tcW w:w="953"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0.1547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669" w:type="dxa"/>
            <w:vMerge w:val="restart"/>
            <w:tcBorders>
              <w:top w:val="nil"/>
              <w:left w:val="single" w:color="auto" w:sz="4" w:space="0"/>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城市规划</w:t>
            </w:r>
          </w:p>
        </w:tc>
        <w:tc>
          <w:tcPr>
            <w:tcW w:w="957" w:type="dxa"/>
            <w:vMerge w:val="restart"/>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0.1040</w:t>
            </w:r>
          </w:p>
        </w:tc>
        <w:tc>
          <w:tcPr>
            <w:tcW w:w="1906" w:type="dxa"/>
            <w:vMerge w:val="restart"/>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城市规划</w:t>
            </w:r>
          </w:p>
        </w:tc>
        <w:tc>
          <w:tcPr>
            <w:tcW w:w="957" w:type="dxa"/>
            <w:vMerge w:val="restart"/>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0.1040</w:t>
            </w:r>
          </w:p>
        </w:tc>
        <w:tc>
          <w:tcPr>
            <w:tcW w:w="2619"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用地规划</w:t>
            </w:r>
          </w:p>
        </w:tc>
        <w:tc>
          <w:tcPr>
            <w:tcW w:w="953"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0.0611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669"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957"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1906"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957" w:type="dxa"/>
            <w:vMerge w:val="continue"/>
            <w:tcBorders>
              <w:top w:val="nil"/>
              <w:left w:val="single" w:color="auto" w:sz="4" w:space="0"/>
              <w:bottom w:val="single" w:color="auto" w:sz="4" w:space="0"/>
              <w:right w:val="single" w:color="auto" w:sz="4" w:space="0"/>
            </w:tcBorders>
            <w:vAlign w:val="center"/>
          </w:tcPr>
          <w:p>
            <w:pPr>
              <w:jc w:val="center"/>
              <w:rPr>
                <w:color w:val="000000"/>
                <w:kern w:val="0"/>
                <w:szCs w:val="21"/>
              </w:rPr>
            </w:pPr>
          </w:p>
        </w:tc>
        <w:tc>
          <w:tcPr>
            <w:tcW w:w="2619"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道路规划</w:t>
            </w:r>
          </w:p>
        </w:tc>
        <w:tc>
          <w:tcPr>
            <w:tcW w:w="953" w:type="dxa"/>
            <w:tcBorders>
              <w:top w:val="nil"/>
              <w:left w:val="nil"/>
              <w:bottom w:val="single" w:color="auto" w:sz="4" w:space="0"/>
              <w:right w:val="single" w:color="auto" w:sz="4" w:space="0"/>
            </w:tcBorders>
            <w:vAlign w:val="center"/>
          </w:tcPr>
          <w:p>
            <w:pPr>
              <w:widowControl/>
              <w:jc w:val="center"/>
              <w:textAlignment w:val="center"/>
              <w:rPr>
                <w:color w:val="000000"/>
                <w:kern w:val="0"/>
                <w:szCs w:val="21"/>
              </w:rPr>
            </w:pPr>
            <w:r>
              <w:rPr>
                <w:color w:val="000000"/>
                <w:kern w:val="0"/>
                <w:szCs w:val="21"/>
                <w:lang/>
              </w:rPr>
              <w:t>0.0429</w:t>
            </w:r>
          </w:p>
        </w:tc>
      </w:tr>
    </w:tbl>
    <w:p>
      <w:pPr>
        <w:tabs>
          <w:tab w:val="left" w:pos="2679"/>
        </w:tabs>
        <w:spacing w:line="460" w:lineRule="exact"/>
        <w:jc w:val="center"/>
        <w:rPr>
          <w:b/>
          <w:sz w:val="24"/>
          <w:szCs w:val="22"/>
        </w:rPr>
      </w:pPr>
      <w:r>
        <w:rPr>
          <w:b/>
          <w:sz w:val="24"/>
          <w:szCs w:val="22"/>
        </w:rPr>
        <w:t>表</w:t>
      </w:r>
      <w:r>
        <w:rPr>
          <w:rFonts w:hint="eastAsia"/>
          <w:b/>
          <w:sz w:val="24"/>
          <w:szCs w:val="22"/>
        </w:rPr>
        <w:t>4</w:t>
      </w:r>
      <w:r>
        <w:rPr>
          <w:b/>
          <w:sz w:val="24"/>
          <w:szCs w:val="22"/>
        </w:rPr>
        <w:t xml:space="preserve">-2-4 </w:t>
      </w:r>
      <w:r>
        <w:rPr>
          <w:rFonts w:hint="eastAsia"/>
          <w:b/>
          <w:sz w:val="24"/>
          <w:szCs w:val="22"/>
        </w:rPr>
        <w:t>长沙县</w:t>
      </w:r>
      <w:r>
        <w:rPr>
          <w:b/>
          <w:sz w:val="24"/>
          <w:szCs w:val="22"/>
        </w:rPr>
        <w:t>公共服务一类用地区域因素因子指标权重</w:t>
      </w:r>
    </w:p>
    <w:tbl>
      <w:tblPr>
        <w:tblW w:w="9078" w:type="dxa"/>
        <w:jc w:val="center"/>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991"/>
        <w:gridCol w:w="1844"/>
        <w:gridCol w:w="984"/>
        <w:gridCol w:w="2135"/>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1858" w:type="dxa"/>
            <w:vAlign w:val="center"/>
          </w:tcPr>
          <w:p>
            <w:pPr>
              <w:widowControl/>
              <w:spacing w:line="360" w:lineRule="auto"/>
              <w:jc w:val="center"/>
              <w:rPr>
                <w:bCs/>
                <w:color w:val="000000"/>
                <w:kern w:val="0"/>
                <w:szCs w:val="21"/>
              </w:rPr>
            </w:pPr>
            <w:r>
              <w:rPr>
                <w:bCs/>
                <w:color w:val="000000"/>
                <w:kern w:val="0"/>
                <w:szCs w:val="21"/>
              </w:rPr>
              <w:t>因素层</w:t>
            </w:r>
          </w:p>
        </w:tc>
        <w:tc>
          <w:tcPr>
            <w:tcW w:w="991" w:type="dxa"/>
            <w:vAlign w:val="center"/>
          </w:tcPr>
          <w:p>
            <w:pPr>
              <w:widowControl/>
              <w:spacing w:line="360" w:lineRule="auto"/>
              <w:jc w:val="center"/>
              <w:rPr>
                <w:bCs/>
                <w:color w:val="000000"/>
                <w:kern w:val="0"/>
                <w:szCs w:val="21"/>
              </w:rPr>
            </w:pPr>
            <w:r>
              <w:rPr>
                <w:bCs/>
                <w:color w:val="000000"/>
                <w:kern w:val="0"/>
                <w:szCs w:val="21"/>
              </w:rPr>
              <w:t>权重</w:t>
            </w:r>
          </w:p>
        </w:tc>
        <w:tc>
          <w:tcPr>
            <w:tcW w:w="1844" w:type="dxa"/>
            <w:vAlign w:val="center"/>
          </w:tcPr>
          <w:p>
            <w:pPr>
              <w:widowControl/>
              <w:spacing w:line="360" w:lineRule="auto"/>
              <w:jc w:val="center"/>
              <w:rPr>
                <w:bCs/>
                <w:color w:val="000000"/>
                <w:kern w:val="0"/>
                <w:szCs w:val="21"/>
              </w:rPr>
            </w:pPr>
            <w:r>
              <w:rPr>
                <w:bCs/>
                <w:color w:val="000000"/>
                <w:kern w:val="0"/>
                <w:szCs w:val="21"/>
              </w:rPr>
              <w:t>因子层</w:t>
            </w:r>
          </w:p>
        </w:tc>
        <w:tc>
          <w:tcPr>
            <w:tcW w:w="984" w:type="dxa"/>
            <w:vAlign w:val="center"/>
          </w:tcPr>
          <w:p>
            <w:pPr>
              <w:widowControl/>
              <w:spacing w:line="360" w:lineRule="auto"/>
              <w:jc w:val="center"/>
              <w:rPr>
                <w:bCs/>
                <w:color w:val="000000"/>
                <w:kern w:val="0"/>
                <w:szCs w:val="21"/>
              </w:rPr>
            </w:pPr>
            <w:r>
              <w:rPr>
                <w:bCs/>
                <w:color w:val="000000"/>
                <w:kern w:val="0"/>
                <w:szCs w:val="21"/>
              </w:rPr>
              <w:t>权重</w:t>
            </w:r>
          </w:p>
        </w:tc>
        <w:tc>
          <w:tcPr>
            <w:tcW w:w="2135" w:type="dxa"/>
            <w:vAlign w:val="center"/>
          </w:tcPr>
          <w:p>
            <w:pPr>
              <w:widowControl/>
              <w:spacing w:line="360" w:lineRule="auto"/>
              <w:jc w:val="center"/>
              <w:rPr>
                <w:bCs/>
                <w:color w:val="000000"/>
                <w:kern w:val="0"/>
                <w:szCs w:val="21"/>
              </w:rPr>
            </w:pPr>
            <w:r>
              <w:rPr>
                <w:bCs/>
                <w:color w:val="000000"/>
                <w:kern w:val="0"/>
                <w:szCs w:val="21"/>
              </w:rPr>
              <w:t>指标层</w:t>
            </w:r>
          </w:p>
        </w:tc>
        <w:tc>
          <w:tcPr>
            <w:tcW w:w="1266" w:type="dxa"/>
            <w:vAlign w:val="center"/>
          </w:tcPr>
          <w:p>
            <w:pPr>
              <w:widowControl/>
              <w:spacing w:line="360" w:lineRule="auto"/>
              <w:jc w:val="center"/>
              <w:rPr>
                <w:bCs/>
                <w:color w:val="000000"/>
                <w:kern w:val="0"/>
                <w:szCs w:val="21"/>
              </w:rPr>
            </w:pPr>
            <w:r>
              <w:rPr>
                <w:bCs/>
                <w:color w:val="000000"/>
                <w:kern w:val="0"/>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858" w:type="dxa"/>
            <w:vMerge w:val="restart"/>
            <w:vAlign w:val="center"/>
          </w:tcPr>
          <w:p>
            <w:pPr>
              <w:widowControl/>
              <w:spacing w:line="360" w:lineRule="auto"/>
              <w:jc w:val="center"/>
              <w:rPr>
                <w:color w:val="000000"/>
                <w:kern w:val="0"/>
                <w:szCs w:val="21"/>
              </w:rPr>
            </w:pPr>
            <w:r>
              <w:rPr>
                <w:color w:val="000000"/>
                <w:kern w:val="0"/>
                <w:szCs w:val="21"/>
              </w:rPr>
              <w:t>基本设施状况</w:t>
            </w:r>
          </w:p>
        </w:tc>
        <w:tc>
          <w:tcPr>
            <w:tcW w:w="991" w:type="dxa"/>
            <w:vMerge w:val="restart"/>
            <w:vAlign w:val="center"/>
          </w:tcPr>
          <w:p>
            <w:pPr>
              <w:spacing w:line="360" w:lineRule="auto"/>
              <w:jc w:val="center"/>
              <w:rPr>
                <w:color w:val="000000"/>
                <w:szCs w:val="21"/>
              </w:rPr>
            </w:pPr>
            <w:r>
              <w:rPr>
                <w:color w:val="000000"/>
                <w:szCs w:val="21"/>
              </w:rPr>
              <w:t>0.1918</w:t>
            </w:r>
          </w:p>
        </w:tc>
        <w:tc>
          <w:tcPr>
            <w:tcW w:w="1844" w:type="dxa"/>
            <w:vMerge w:val="restart"/>
            <w:vAlign w:val="center"/>
          </w:tcPr>
          <w:p>
            <w:pPr>
              <w:spacing w:line="360" w:lineRule="auto"/>
              <w:jc w:val="center"/>
              <w:rPr>
                <w:color w:val="000000"/>
                <w:szCs w:val="21"/>
              </w:rPr>
            </w:pPr>
            <w:r>
              <w:rPr>
                <w:color w:val="000000"/>
                <w:szCs w:val="21"/>
              </w:rPr>
              <w:t>公用设施完备度</w:t>
            </w:r>
          </w:p>
        </w:tc>
        <w:tc>
          <w:tcPr>
            <w:tcW w:w="984" w:type="dxa"/>
            <w:vMerge w:val="restart"/>
            <w:vAlign w:val="center"/>
          </w:tcPr>
          <w:p>
            <w:pPr>
              <w:spacing w:line="360" w:lineRule="auto"/>
              <w:jc w:val="center"/>
              <w:rPr>
                <w:color w:val="000000"/>
                <w:szCs w:val="21"/>
              </w:rPr>
            </w:pPr>
            <w:r>
              <w:rPr>
                <w:color w:val="000000"/>
                <w:szCs w:val="21"/>
              </w:rPr>
              <w:t>0.1918</w:t>
            </w:r>
          </w:p>
        </w:tc>
        <w:tc>
          <w:tcPr>
            <w:tcW w:w="2135" w:type="dxa"/>
            <w:vAlign w:val="center"/>
          </w:tcPr>
          <w:p>
            <w:pPr>
              <w:spacing w:line="360" w:lineRule="auto"/>
              <w:jc w:val="center"/>
              <w:rPr>
                <w:color w:val="000000"/>
                <w:szCs w:val="21"/>
              </w:rPr>
            </w:pPr>
            <w:r>
              <w:rPr>
                <w:color w:val="000000"/>
                <w:szCs w:val="21"/>
              </w:rPr>
              <w:t>距中小学距离</w:t>
            </w:r>
          </w:p>
        </w:tc>
        <w:tc>
          <w:tcPr>
            <w:tcW w:w="1266" w:type="dxa"/>
            <w:vAlign w:val="center"/>
          </w:tcPr>
          <w:p>
            <w:pPr>
              <w:spacing w:line="360" w:lineRule="auto"/>
              <w:jc w:val="center"/>
              <w:rPr>
                <w:color w:val="000000"/>
                <w:szCs w:val="21"/>
              </w:rPr>
            </w:pPr>
            <w:r>
              <w:rPr>
                <w:color w:val="000000"/>
                <w:szCs w:val="21"/>
              </w:rPr>
              <w:t>0.0639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858" w:type="dxa"/>
            <w:vMerge w:val="continue"/>
            <w:vAlign w:val="center"/>
          </w:tcPr>
          <w:p>
            <w:pPr>
              <w:widowControl/>
              <w:spacing w:line="360" w:lineRule="auto"/>
              <w:jc w:val="left"/>
              <w:rPr>
                <w:color w:val="000000"/>
                <w:kern w:val="0"/>
                <w:szCs w:val="21"/>
              </w:rPr>
            </w:pPr>
          </w:p>
        </w:tc>
        <w:tc>
          <w:tcPr>
            <w:tcW w:w="991" w:type="dxa"/>
            <w:vMerge w:val="continue"/>
            <w:vAlign w:val="center"/>
          </w:tcPr>
          <w:p>
            <w:pPr>
              <w:widowControl/>
              <w:spacing w:line="360" w:lineRule="auto"/>
              <w:jc w:val="left"/>
              <w:rPr>
                <w:color w:val="000000"/>
                <w:kern w:val="0"/>
                <w:szCs w:val="21"/>
              </w:rPr>
            </w:pPr>
          </w:p>
        </w:tc>
        <w:tc>
          <w:tcPr>
            <w:tcW w:w="1844" w:type="dxa"/>
            <w:vMerge w:val="continue"/>
            <w:vAlign w:val="center"/>
          </w:tcPr>
          <w:p>
            <w:pPr>
              <w:widowControl/>
              <w:spacing w:line="360" w:lineRule="auto"/>
              <w:jc w:val="left"/>
              <w:rPr>
                <w:color w:val="000000"/>
                <w:kern w:val="0"/>
                <w:szCs w:val="21"/>
              </w:rPr>
            </w:pPr>
          </w:p>
        </w:tc>
        <w:tc>
          <w:tcPr>
            <w:tcW w:w="984" w:type="dxa"/>
            <w:vMerge w:val="continue"/>
            <w:vAlign w:val="center"/>
          </w:tcPr>
          <w:p>
            <w:pPr>
              <w:widowControl/>
              <w:spacing w:line="360" w:lineRule="auto"/>
              <w:jc w:val="left"/>
              <w:rPr>
                <w:color w:val="000000"/>
                <w:kern w:val="0"/>
                <w:szCs w:val="21"/>
              </w:rPr>
            </w:pPr>
          </w:p>
        </w:tc>
        <w:tc>
          <w:tcPr>
            <w:tcW w:w="2135" w:type="dxa"/>
            <w:vAlign w:val="center"/>
          </w:tcPr>
          <w:p>
            <w:pPr>
              <w:widowControl/>
              <w:spacing w:line="360" w:lineRule="auto"/>
              <w:jc w:val="center"/>
              <w:rPr>
                <w:color w:val="000000"/>
                <w:kern w:val="0"/>
                <w:szCs w:val="21"/>
              </w:rPr>
            </w:pPr>
            <w:r>
              <w:rPr>
                <w:color w:val="000000"/>
                <w:szCs w:val="21"/>
              </w:rPr>
              <w:t>距医院距离</w:t>
            </w:r>
          </w:p>
        </w:tc>
        <w:tc>
          <w:tcPr>
            <w:tcW w:w="1266" w:type="dxa"/>
            <w:vAlign w:val="center"/>
          </w:tcPr>
          <w:p>
            <w:pPr>
              <w:widowControl/>
              <w:spacing w:line="360" w:lineRule="auto"/>
              <w:jc w:val="center"/>
              <w:rPr>
                <w:color w:val="000000"/>
                <w:kern w:val="0"/>
                <w:szCs w:val="21"/>
              </w:rPr>
            </w:pPr>
            <w:r>
              <w:rPr>
                <w:color w:val="000000"/>
                <w:szCs w:val="21"/>
              </w:rPr>
              <w:t>0.0639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1858" w:type="dxa"/>
            <w:vMerge w:val="continue"/>
            <w:vAlign w:val="center"/>
          </w:tcPr>
          <w:p>
            <w:pPr>
              <w:widowControl/>
              <w:spacing w:line="360" w:lineRule="auto"/>
              <w:jc w:val="left"/>
              <w:rPr>
                <w:color w:val="000000"/>
                <w:kern w:val="0"/>
                <w:szCs w:val="21"/>
              </w:rPr>
            </w:pPr>
          </w:p>
        </w:tc>
        <w:tc>
          <w:tcPr>
            <w:tcW w:w="991" w:type="dxa"/>
            <w:vMerge w:val="continue"/>
            <w:vAlign w:val="center"/>
          </w:tcPr>
          <w:p>
            <w:pPr>
              <w:widowControl/>
              <w:spacing w:line="360" w:lineRule="auto"/>
              <w:jc w:val="left"/>
              <w:rPr>
                <w:color w:val="000000"/>
                <w:kern w:val="0"/>
                <w:szCs w:val="21"/>
              </w:rPr>
            </w:pPr>
          </w:p>
        </w:tc>
        <w:tc>
          <w:tcPr>
            <w:tcW w:w="1844" w:type="dxa"/>
            <w:vMerge w:val="continue"/>
            <w:vAlign w:val="center"/>
          </w:tcPr>
          <w:p>
            <w:pPr>
              <w:widowControl/>
              <w:spacing w:line="360" w:lineRule="auto"/>
              <w:jc w:val="left"/>
              <w:rPr>
                <w:color w:val="000000"/>
                <w:kern w:val="0"/>
                <w:szCs w:val="21"/>
              </w:rPr>
            </w:pPr>
          </w:p>
        </w:tc>
        <w:tc>
          <w:tcPr>
            <w:tcW w:w="984" w:type="dxa"/>
            <w:vMerge w:val="continue"/>
            <w:vAlign w:val="center"/>
          </w:tcPr>
          <w:p>
            <w:pPr>
              <w:widowControl/>
              <w:spacing w:line="360" w:lineRule="auto"/>
              <w:jc w:val="left"/>
              <w:rPr>
                <w:color w:val="000000"/>
                <w:kern w:val="0"/>
                <w:szCs w:val="21"/>
              </w:rPr>
            </w:pPr>
          </w:p>
        </w:tc>
        <w:tc>
          <w:tcPr>
            <w:tcW w:w="2135" w:type="dxa"/>
            <w:vAlign w:val="center"/>
          </w:tcPr>
          <w:p>
            <w:pPr>
              <w:widowControl/>
              <w:spacing w:line="360" w:lineRule="auto"/>
              <w:jc w:val="center"/>
              <w:rPr>
                <w:color w:val="000000"/>
                <w:kern w:val="0"/>
                <w:szCs w:val="21"/>
              </w:rPr>
            </w:pPr>
            <w:r>
              <w:rPr>
                <w:color w:val="000000"/>
                <w:szCs w:val="21"/>
              </w:rPr>
              <w:t>距文体设施用地距离</w:t>
            </w:r>
          </w:p>
        </w:tc>
        <w:tc>
          <w:tcPr>
            <w:tcW w:w="1266" w:type="dxa"/>
            <w:vAlign w:val="center"/>
          </w:tcPr>
          <w:p>
            <w:pPr>
              <w:widowControl/>
              <w:spacing w:line="360" w:lineRule="auto"/>
              <w:jc w:val="center"/>
              <w:rPr>
                <w:color w:val="000000"/>
                <w:kern w:val="0"/>
                <w:szCs w:val="21"/>
              </w:rPr>
            </w:pPr>
            <w:r>
              <w:rPr>
                <w:color w:val="000000"/>
                <w:szCs w:val="21"/>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858" w:type="dxa"/>
            <w:vAlign w:val="center"/>
          </w:tcPr>
          <w:p>
            <w:pPr>
              <w:widowControl/>
              <w:spacing w:line="360" w:lineRule="auto"/>
              <w:jc w:val="center"/>
              <w:rPr>
                <w:color w:val="000000"/>
                <w:kern w:val="0"/>
                <w:szCs w:val="21"/>
              </w:rPr>
            </w:pPr>
            <w:r>
              <w:rPr>
                <w:color w:val="000000"/>
                <w:kern w:val="0"/>
                <w:szCs w:val="21"/>
              </w:rPr>
              <w:t>繁华程度</w:t>
            </w:r>
          </w:p>
        </w:tc>
        <w:tc>
          <w:tcPr>
            <w:tcW w:w="991" w:type="dxa"/>
            <w:vAlign w:val="center"/>
          </w:tcPr>
          <w:p>
            <w:pPr>
              <w:spacing w:line="360" w:lineRule="auto"/>
              <w:jc w:val="center"/>
              <w:rPr>
                <w:color w:val="000000"/>
                <w:szCs w:val="21"/>
              </w:rPr>
            </w:pPr>
            <w:r>
              <w:rPr>
                <w:color w:val="000000"/>
                <w:szCs w:val="21"/>
              </w:rPr>
              <w:t>0.3123</w:t>
            </w:r>
          </w:p>
        </w:tc>
        <w:tc>
          <w:tcPr>
            <w:tcW w:w="1844" w:type="dxa"/>
            <w:vAlign w:val="center"/>
          </w:tcPr>
          <w:p>
            <w:pPr>
              <w:spacing w:line="360" w:lineRule="auto"/>
              <w:jc w:val="center"/>
              <w:rPr>
                <w:color w:val="000000"/>
                <w:szCs w:val="21"/>
              </w:rPr>
            </w:pPr>
            <w:r>
              <w:rPr>
                <w:color w:val="000000"/>
                <w:szCs w:val="21"/>
              </w:rPr>
              <w:t>商服繁华影响度</w:t>
            </w:r>
          </w:p>
        </w:tc>
        <w:tc>
          <w:tcPr>
            <w:tcW w:w="984" w:type="dxa"/>
            <w:vAlign w:val="center"/>
          </w:tcPr>
          <w:p>
            <w:pPr>
              <w:spacing w:line="360" w:lineRule="auto"/>
              <w:jc w:val="center"/>
              <w:rPr>
                <w:color w:val="000000"/>
                <w:szCs w:val="21"/>
              </w:rPr>
            </w:pPr>
            <w:r>
              <w:rPr>
                <w:color w:val="000000"/>
                <w:szCs w:val="21"/>
              </w:rPr>
              <w:t>0.3123</w:t>
            </w:r>
          </w:p>
        </w:tc>
        <w:tc>
          <w:tcPr>
            <w:tcW w:w="2135" w:type="dxa"/>
            <w:vAlign w:val="center"/>
          </w:tcPr>
          <w:p>
            <w:pPr>
              <w:spacing w:line="360" w:lineRule="auto"/>
              <w:jc w:val="center"/>
              <w:rPr>
                <w:color w:val="000000"/>
                <w:szCs w:val="21"/>
              </w:rPr>
            </w:pPr>
            <w:r>
              <w:rPr>
                <w:color w:val="000000"/>
                <w:szCs w:val="21"/>
              </w:rPr>
              <w:t>距商服中心距离</w:t>
            </w:r>
          </w:p>
        </w:tc>
        <w:tc>
          <w:tcPr>
            <w:tcW w:w="1266" w:type="dxa"/>
            <w:vAlign w:val="center"/>
          </w:tcPr>
          <w:p>
            <w:pPr>
              <w:spacing w:line="360" w:lineRule="auto"/>
              <w:jc w:val="center"/>
              <w:rPr>
                <w:color w:val="000000"/>
                <w:szCs w:val="21"/>
              </w:rPr>
            </w:pPr>
            <w:r>
              <w:rPr>
                <w:color w:val="000000"/>
                <w:szCs w:val="21"/>
              </w:rPr>
              <w:t>0.3123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1858" w:type="dxa"/>
            <w:vAlign w:val="center"/>
          </w:tcPr>
          <w:p>
            <w:pPr>
              <w:widowControl/>
              <w:spacing w:line="360" w:lineRule="auto"/>
              <w:jc w:val="center"/>
              <w:rPr>
                <w:color w:val="000000"/>
                <w:kern w:val="0"/>
                <w:szCs w:val="21"/>
              </w:rPr>
            </w:pPr>
            <w:r>
              <w:rPr>
                <w:color w:val="000000"/>
                <w:kern w:val="0"/>
                <w:szCs w:val="21"/>
              </w:rPr>
              <w:t>人口状况</w:t>
            </w:r>
          </w:p>
        </w:tc>
        <w:tc>
          <w:tcPr>
            <w:tcW w:w="991" w:type="dxa"/>
            <w:vAlign w:val="center"/>
          </w:tcPr>
          <w:p>
            <w:pPr>
              <w:spacing w:line="360" w:lineRule="auto"/>
              <w:jc w:val="center"/>
              <w:rPr>
                <w:color w:val="000000"/>
                <w:szCs w:val="21"/>
              </w:rPr>
            </w:pPr>
            <w:r>
              <w:rPr>
                <w:color w:val="000000"/>
                <w:szCs w:val="21"/>
              </w:rPr>
              <w:t>0.1567</w:t>
            </w:r>
          </w:p>
        </w:tc>
        <w:tc>
          <w:tcPr>
            <w:tcW w:w="1844" w:type="dxa"/>
            <w:vAlign w:val="center"/>
          </w:tcPr>
          <w:p>
            <w:pPr>
              <w:spacing w:line="360" w:lineRule="auto"/>
              <w:jc w:val="center"/>
              <w:rPr>
                <w:color w:val="000000"/>
                <w:szCs w:val="21"/>
              </w:rPr>
            </w:pPr>
            <w:r>
              <w:rPr>
                <w:color w:val="000000"/>
                <w:szCs w:val="21"/>
              </w:rPr>
              <w:t>人口密度</w:t>
            </w:r>
          </w:p>
        </w:tc>
        <w:tc>
          <w:tcPr>
            <w:tcW w:w="984" w:type="dxa"/>
            <w:vAlign w:val="center"/>
          </w:tcPr>
          <w:p>
            <w:pPr>
              <w:spacing w:line="360" w:lineRule="auto"/>
              <w:jc w:val="center"/>
              <w:rPr>
                <w:color w:val="000000"/>
                <w:szCs w:val="21"/>
              </w:rPr>
            </w:pPr>
            <w:r>
              <w:rPr>
                <w:color w:val="000000"/>
                <w:szCs w:val="21"/>
              </w:rPr>
              <w:t>0.1567</w:t>
            </w:r>
          </w:p>
        </w:tc>
        <w:tc>
          <w:tcPr>
            <w:tcW w:w="2135" w:type="dxa"/>
            <w:vAlign w:val="center"/>
          </w:tcPr>
          <w:p>
            <w:pPr>
              <w:spacing w:line="360" w:lineRule="auto"/>
              <w:jc w:val="center"/>
              <w:rPr>
                <w:color w:val="000000"/>
                <w:szCs w:val="21"/>
              </w:rPr>
            </w:pPr>
            <w:r>
              <w:rPr>
                <w:color w:val="000000"/>
                <w:szCs w:val="21"/>
              </w:rPr>
              <w:t>人口密度</w:t>
            </w:r>
          </w:p>
        </w:tc>
        <w:tc>
          <w:tcPr>
            <w:tcW w:w="1266" w:type="dxa"/>
            <w:vAlign w:val="center"/>
          </w:tcPr>
          <w:p>
            <w:pPr>
              <w:spacing w:line="360" w:lineRule="auto"/>
              <w:jc w:val="center"/>
              <w:rPr>
                <w:color w:val="000000"/>
                <w:szCs w:val="21"/>
              </w:rPr>
            </w:pPr>
            <w:r>
              <w:rPr>
                <w:color w:val="000000"/>
                <w:szCs w:val="21"/>
              </w:rPr>
              <w:t>0.1567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858" w:type="dxa"/>
            <w:vMerge w:val="restart"/>
            <w:vAlign w:val="center"/>
          </w:tcPr>
          <w:p>
            <w:pPr>
              <w:widowControl/>
              <w:spacing w:line="360" w:lineRule="auto"/>
              <w:jc w:val="center"/>
              <w:rPr>
                <w:color w:val="000000"/>
                <w:kern w:val="0"/>
                <w:szCs w:val="21"/>
              </w:rPr>
            </w:pPr>
            <w:r>
              <w:rPr>
                <w:color w:val="000000"/>
                <w:kern w:val="0"/>
                <w:szCs w:val="21"/>
              </w:rPr>
              <w:t>交通条件</w:t>
            </w:r>
          </w:p>
        </w:tc>
        <w:tc>
          <w:tcPr>
            <w:tcW w:w="991" w:type="dxa"/>
            <w:vMerge w:val="restart"/>
            <w:vAlign w:val="center"/>
          </w:tcPr>
          <w:p>
            <w:pPr>
              <w:spacing w:line="360" w:lineRule="auto"/>
              <w:jc w:val="center"/>
              <w:rPr>
                <w:color w:val="000000"/>
                <w:szCs w:val="21"/>
              </w:rPr>
            </w:pPr>
            <w:r>
              <w:rPr>
                <w:color w:val="000000"/>
                <w:szCs w:val="21"/>
              </w:rPr>
              <w:t>0.2384</w:t>
            </w:r>
          </w:p>
        </w:tc>
        <w:tc>
          <w:tcPr>
            <w:tcW w:w="1844" w:type="dxa"/>
            <w:vAlign w:val="center"/>
          </w:tcPr>
          <w:p>
            <w:pPr>
              <w:spacing w:line="360" w:lineRule="auto"/>
              <w:jc w:val="center"/>
              <w:rPr>
                <w:color w:val="000000"/>
                <w:szCs w:val="21"/>
              </w:rPr>
            </w:pPr>
            <w:r>
              <w:rPr>
                <w:color w:val="000000"/>
                <w:szCs w:val="21"/>
              </w:rPr>
              <w:t>道路通达度</w:t>
            </w:r>
          </w:p>
        </w:tc>
        <w:tc>
          <w:tcPr>
            <w:tcW w:w="984" w:type="dxa"/>
            <w:vAlign w:val="center"/>
          </w:tcPr>
          <w:p>
            <w:pPr>
              <w:spacing w:line="360" w:lineRule="auto"/>
              <w:jc w:val="center"/>
              <w:rPr>
                <w:color w:val="000000"/>
                <w:szCs w:val="21"/>
              </w:rPr>
            </w:pPr>
            <w:r>
              <w:rPr>
                <w:color w:val="000000"/>
                <w:szCs w:val="21"/>
              </w:rPr>
              <w:t>0.0794</w:t>
            </w:r>
          </w:p>
        </w:tc>
        <w:tc>
          <w:tcPr>
            <w:tcW w:w="2135" w:type="dxa"/>
            <w:vAlign w:val="center"/>
          </w:tcPr>
          <w:p>
            <w:pPr>
              <w:spacing w:line="360" w:lineRule="auto"/>
              <w:jc w:val="center"/>
              <w:rPr>
                <w:color w:val="000000"/>
                <w:szCs w:val="21"/>
              </w:rPr>
            </w:pPr>
            <w:r>
              <w:rPr>
                <w:color w:val="000000"/>
                <w:szCs w:val="21"/>
              </w:rPr>
              <w:t>临近道路状况</w:t>
            </w:r>
          </w:p>
        </w:tc>
        <w:tc>
          <w:tcPr>
            <w:tcW w:w="1266" w:type="dxa"/>
            <w:vAlign w:val="center"/>
          </w:tcPr>
          <w:p>
            <w:pPr>
              <w:spacing w:line="360" w:lineRule="auto"/>
              <w:jc w:val="center"/>
              <w:rPr>
                <w:color w:val="000000"/>
                <w:szCs w:val="21"/>
              </w:rPr>
            </w:pPr>
            <w:r>
              <w:rPr>
                <w:color w:val="000000"/>
                <w:szCs w:val="21"/>
              </w:rPr>
              <w:t>0.0794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1858" w:type="dxa"/>
            <w:vMerge w:val="continue"/>
            <w:vAlign w:val="center"/>
          </w:tcPr>
          <w:p>
            <w:pPr>
              <w:widowControl/>
              <w:spacing w:line="360" w:lineRule="auto"/>
              <w:jc w:val="left"/>
              <w:rPr>
                <w:color w:val="000000"/>
                <w:kern w:val="0"/>
                <w:szCs w:val="21"/>
              </w:rPr>
            </w:pPr>
          </w:p>
        </w:tc>
        <w:tc>
          <w:tcPr>
            <w:tcW w:w="991" w:type="dxa"/>
            <w:vMerge w:val="continue"/>
            <w:vAlign w:val="center"/>
          </w:tcPr>
          <w:p>
            <w:pPr>
              <w:widowControl/>
              <w:spacing w:line="360" w:lineRule="auto"/>
              <w:jc w:val="left"/>
              <w:rPr>
                <w:color w:val="000000"/>
                <w:kern w:val="0"/>
                <w:szCs w:val="21"/>
              </w:rPr>
            </w:pPr>
          </w:p>
        </w:tc>
        <w:tc>
          <w:tcPr>
            <w:tcW w:w="1844" w:type="dxa"/>
            <w:vAlign w:val="center"/>
          </w:tcPr>
          <w:p>
            <w:pPr>
              <w:widowControl/>
              <w:spacing w:line="360" w:lineRule="auto"/>
              <w:jc w:val="center"/>
              <w:rPr>
                <w:color w:val="000000"/>
                <w:kern w:val="0"/>
                <w:szCs w:val="21"/>
              </w:rPr>
            </w:pPr>
            <w:r>
              <w:rPr>
                <w:color w:val="000000"/>
                <w:szCs w:val="21"/>
              </w:rPr>
              <w:t>公交便捷度</w:t>
            </w:r>
          </w:p>
        </w:tc>
        <w:tc>
          <w:tcPr>
            <w:tcW w:w="984" w:type="dxa"/>
            <w:vAlign w:val="center"/>
          </w:tcPr>
          <w:p>
            <w:pPr>
              <w:widowControl/>
              <w:spacing w:line="360" w:lineRule="auto"/>
              <w:jc w:val="center"/>
              <w:rPr>
                <w:color w:val="000000"/>
                <w:kern w:val="0"/>
                <w:szCs w:val="21"/>
              </w:rPr>
            </w:pPr>
            <w:r>
              <w:rPr>
                <w:color w:val="000000"/>
                <w:szCs w:val="21"/>
              </w:rPr>
              <w:t>0.0795</w:t>
            </w:r>
          </w:p>
        </w:tc>
        <w:tc>
          <w:tcPr>
            <w:tcW w:w="2135" w:type="dxa"/>
            <w:vAlign w:val="center"/>
          </w:tcPr>
          <w:p>
            <w:pPr>
              <w:widowControl/>
              <w:spacing w:line="360" w:lineRule="auto"/>
              <w:jc w:val="center"/>
              <w:rPr>
                <w:color w:val="000000"/>
                <w:kern w:val="0"/>
                <w:szCs w:val="21"/>
              </w:rPr>
            </w:pPr>
            <w:r>
              <w:rPr>
                <w:color w:val="000000"/>
                <w:szCs w:val="21"/>
              </w:rPr>
              <w:t>距最近公交站点距离</w:t>
            </w:r>
          </w:p>
        </w:tc>
        <w:tc>
          <w:tcPr>
            <w:tcW w:w="1266" w:type="dxa"/>
            <w:vAlign w:val="center"/>
          </w:tcPr>
          <w:p>
            <w:pPr>
              <w:widowControl/>
              <w:spacing w:line="360" w:lineRule="auto"/>
              <w:jc w:val="center"/>
              <w:rPr>
                <w:color w:val="000000"/>
                <w:kern w:val="0"/>
                <w:szCs w:val="21"/>
              </w:rPr>
            </w:pPr>
            <w:r>
              <w:rPr>
                <w:color w:val="000000"/>
                <w:szCs w:val="21"/>
              </w:rPr>
              <w:t>0.0795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858" w:type="dxa"/>
            <w:vMerge w:val="continue"/>
            <w:vAlign w:val="center"/>
          </w:tcPr>
          <w:p>
            <w:pPr>
              <w:widowControl/>
              <w:spacing w:line="360" w:lineRule="auto"/>
              <w:jc w:val="left"/>
              <w:rPr>
                <w:color w:val="000000"/>
                <w:kern w:val="0"/>
                <w:szCs w:val="21"/>
              </w:rPr>
            </w:pPr>
          </w:p>
        </w:tc>
        <w:tc>
          <w:tcPr>
            <w:tcW w:w="991" w:type="dxa"/>
            <w:vMerge w:val="continue"/>
            <w:vAlign w:val="center"/>
          </w:tcPr>
          <w:p>
            <w:pPr>
              <w:widowControl/>
              <w:spacing w:line="360" w:lineRule="auto"/>
              <w:jc w:val="left"/>
              <w:rPr>
                <w:color w:val="000000"/>
                <w:kern w:val="0"/>
                <w:szCs w:val="21"/>
              </w:rPr>
            </w:pPr>
          </w:p>
        </w:tc>
        <w:tc>
          <w:tcPr>
            <w:tcW w:w="1844" w:type="dxa"/>
            <w:vAlign w:val="center"/>
          </w:tcPr>
          <w:p>
            <w:pPr>
              <w:widowControl/>
              <w:spacing w:line="360" w:lineRule="auto"/>
              <w:jc w:val="center"/>
              <w:rPr>
                <w:color w:val="000000"/>
                <w:kern w:val="0"/>
                <w:szCs w:val="21"/>
              </w:rPr>
            </w:pPr>
            <w:r>
              <w:rPr>
                <w:color w:val="000000"/>
                <w:szCs w:val="21"/>
              </w:rPr>
              <w:t>对外交通便利度</w:t>
            </w:r>
          </w:p>
        </w:tc>
        <w:tc>
          <w:tcPr>
            <w:tcW w:w="984" w:type="dxa"/>
            <w:vAlign w:val="center"/>
          </w:tcPr>
          <w:p>
            <w:pPr>
              <w:widowControl/>
              <w:spacing w:line="360" w:lineRule="auto"/>
              <w:jc w:val="center"/>
              <w:rPr>
                <w:color w:val="000000"/>
                <w:kern w:val="0"/>
                <w:szCs w:val="21"/>
              </w:rPr>
            </w:pPr>
            <w:r>
              <w:rPr>
                <w:color w:val="000000"/>
                <w:szCs w:val="21"/>
              </w:rPr>
              <w:t>0.0795</w:t>
            </w:r>
          </w:p>
        </w:tc>
        <w:tc>
          <w:tcPr>
            <w:tcW w:w="2135" w:type="dxa"/>
            <w:vAlign w:val="center"/>
          </w:tcPr>
          <w:p>
            <w:pPr>
              <w:widowControl/>
              <w:spacing w:line="360" w:lineRule="auto"/>
              <w:jc w:val="center"/>
              <w:rPr>
                <w:color w:val="000000"/>
                <w:kern w:val="0"/>
                <w:szCs w:val="21"/>
              </w:rPr>
            </w:pPr>
            <w:r>
              <w:rPr>
                <w:color w:val="000000"/>
                <w:szCs w:val="21"/>
              </w:rPr>
              <w:t>距最近汽车站距离</w:t>
            </w:r>
          </w:p>
        </w:tc>
        <w:tc>
          <w:tcPr>
            <w:tcW w:w="1266" w:type="dxa"/>
            <w:vAlign w:val="center"/>
          </w:tcPr>
          <w:p>
            <w:pPr>
              <w:widowControl/>
              <w:spacing w:line="360" w:lineRule="auto"/>
              <w:jc w:val="center"/>
              <w:rPr>
                <w:color w:val="000000"/>
                <w:kern w:val="0"/>
                <w:szCs w:val="21"/>
              </w:rPr>
            </w:pPr>
            <w:r>
              <w:rPr>
                <w:color w:val="000000"/>
                <w:szCs w:val="21"/>
              </w:rPr>
              <w:t>0.0795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858" w:type="dxa"/>
            <w:vAlign w:val="center"/>
          </w:tcPr>
          <w:p>
            <w:pPr>
              <w:widowControl/>
              <w:spacing w:line="360" w:lineRule="auto"/>
              <w:jc w:val="center"/>
              <w:rPr>
                <w:color w:val="000000"/>
                <w:kern w:val="0"/>
                <w:szCs w:val="21"/>
              </w:rPr>
            </w:pPr>
            <w:r>
              <w:rPr>
                <w:color w:val="000000"/>
                <w:kern w:val="0"/>
                <w:szCs w:val="21"/>
              </w:rPr>
              <w:t>城市规划</w:t>
            </w:r>
          </w:p>
        </w:tc>
        <w:tc>
          <w:tcPr>
            <w:tcW w:w="991" w:type="dxa"/>
            <w:vAlign w:val="center"/>
          </w:tcPr>
          <w:p>
            <w:pPr>
              <w:spacing w:line="360" w:lineRule="auto"/>
              <w:jc w:val="center"/>
              <w:rPr>
                <w:color w:val="000000"/>
                <w:szCs w:val="21"/>
              </w:rPr>
            </w:pPr>
            <w:r>
              <w:rPr>
                <w:color w:val="000000"/>
                <w:szCs w:val="21"/>
              </w:rPr>
              <w:t>0.1008</w:t>
            </w:r>
          </w:p>
        </w:tc>
        <w:tc>
          <w:tcPr>
            <w:tcW w:w="1844" w:type="dxa"/>
            <w:vAlign w:val="center"/>
          </w:tcPr>
          <w:p>
            <w:pPr>
              <w:spacing w:line="360" w:lineRule="auto"/>
              <w:jc w:val="center"/>
              <w:rPr>
                <w:color w:val="000000"/>
                <w:szCs w:val="21"/>
              </w:rPr>
            </w:pPr>
            <w:r>
              <w:rPr>
                <w:color w:val="000000"/>
                <w:szCs w:val="21"/>
              </w:rPr>
              <w:t>城市规划</w:t>
            </w:r>
          </w:p>
        </w:tc>
        <w:tc>
          <w:tcPr>
            <w:tcW w:w="984" w:type="dxa"/>
            <w:vAlign w:val="center"/>
          </w:tcPr>
          <w:p>
            <w:pPr>
              <w:spacing w:line="360" w:lineRule="auto"/>
              <w:jc w:val="center"/>
              <w:rPr>
                <w:color w:val="000000"/>
                <w:szCs w:val="21"/>
              </w:rPr>
            </w:pPr>
            <w:r>
              <w:rPr>
                <w:color w:val="000000"/>
                <w:szCs w:val="21"/>
              </w:rPr>
              <w:t>0.1008</w:t>
            </w:r>
          </w:p>
        </w:tc>
        <w:tc>
          <w:tcPr>
            <w:tcW w:w="2135" w:type="dxa"/>
            <w:vAlign w:val="center"/>
          </w:tcPr>
          <w:p>
            <w:pPr>
              <w:spacing w:line="360" w:lineRule="auto"/>
              <w:jc w:val="center"/>
              <w:rPr>
                <w:color w:val="000000"/>
                <w:szCs w:val="21"/>
              </w:rPr>
            </w:pPr>
            <w:r>
              <w:rPr>
                <w:color w:val="000000"/>
                <w:szCs w:val="21"/>
              </w:rPr>
              <w:t>公共设施用地规划</w:t>
            </w:r>
          </w:p>
        </w:tc>
        <w:tc>
          <w:tcPr>
            <w:tcW w:w="1266" w:type="dxa"/>
            <w:vAlign w:val="center"/>
          </w:tcPr>
          <w:p>
            <w:pPr>
              <w:spacing w:line="360" w:lineRule="auto"/>
              <w:jc w:val="center"/>
              <w:rPr>
                <w:color w:val="000000"/>
                <w:szCs w:val="21"/>
              </w:rPr>
            </w:pPr>
            <w:r>
              <w:rPr>
                <w:color w:val="000000"/>
                <w:szCs w:val="21"/>
              </w:rPr>
              <w:t>0.1008</w:t>
            </w:r>
          </w:p>
        </w:tc>
      </w:tr>
    </w:tbl>
    <w:p>
      <w:pPr>
        <w:tabs>
          <w:tab w:val="left" w:pos="2679"/>
        </w:tabs>
        <w:spacing w:line="460" w:lineRule="exact"/>
        <w:jc w:val="center"/>
        <w:rPr>
          <w:b/>
          <w:sz w:val="24"/>
          <w:szCs w:val="22"/>
        </w:rPr>
      </w:pPr>
      <w:r>
        <w:rPr>
          <w:b/>
          <w:sz w:val="24"/>
          <w:szCs w:val="22"/>
        </w:rPr>
        <w:t>表</w:t>
      </w:r>
      <w:r>
        <w:rPr>
          <w:rFonts w:hint="eastAsia"/>
          <w:b/>
          <w:sz w:val="24"/>
          <w:szCs w:val="22"/>
        </w:rPr>
        <w:t>4</w:t>
      </w:r>
      <w:r>
        <w:rPr>
          <w:b/>
          <w:sz w:val="24"/>
          <w:szCs w:val="22"/>
        </w:rPr>
        <w:t xml:space="preserve">-2-5 </w:t>
      </w:r>
      <w:r>
        <w:rPr>
          <w:rFonts w:hint="eastAsia"/>
          <w:b/>
          <w:sz w:val="24"/>
          <w:szCs w:val="22"/>
        </w:rPr>
        <w:t>长沙县</w:t>
      </w:r>
      <w:r>
        <w:rPr>
          <w:b/>
          <w:sz w:val="24"/>
          <w:szCs w:val="22"/>
        </w:rPr>
        <w:t>公共服务二类用地区域因素因子指标权重</w:t>
      </w:r>
    </w:p>
    <w:tbl>
      <w:tblPr>
        <w:tblW w:w="9012" w:type="dxa"/>
        <w:jc w:val="center"/>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1140"/>
        <w:gridCol w:w="1667"/>
        <w:gridCol w:w="1140"/>
        <w:gridCol w:w="1752"/>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688" w:type="dxa"/>
            <w:vAlign w:val="center"/>
          </w:tcPr>
          <w:p>
            <w:pPr>
              <w:widowControl/>
              <w:spacing w:line="360" w:lineRule="auto"/>
              <w:jc w:val="center"/>
              <w:rPr>
                <w:bCs/>
                <w:color w:val="000000"/>
                <w:kern w:val="0"/>
                <w:szCs w:val="21"/>
              </w:rPr>
            </w:pPr>
            <w:r>
              <w:rPr>
                <w:bCs/>
                <w:color w:val="000000"/>
                <w:kern w:val="0"/>
                <w:szCs w:val="21"/>
              </w:rPr>
              <w:t>因素层</w:t>
            </w:r>
          </w:p>
        </w:tc>
        <w:tc>
          <w:tcPr>
            <w:tcW w:w="1140" w:type="dxa"/>
            <w:vAlign w:val="center"/>
          </w:tcPr>
          <w:p>
            <w:pPr>
              <w:widowControl/>
              <w:spacing w:line="360" w:lineRule="auto"/>
              <w:jc w:val="center"/>
              <w:rPr>
                <w:bCs/>
                <w:color w:val="000000"/>
                <w:kern w:val="0"/>
                <w:szCs w:val="21"/>
              </w:rPr>
            </w:pPr>
            <w:r>
              <w:rPr>
                <w:bCs/>
                <w:color w:val="000000"/>
                <w:kern w:val="0"/>
                <w:szCs w:val="21"/>
              </w:rPr>
              <w:t>权重</w:t>
            </w:r>
          </w:p>
        </w:tc>
        <w:tc>
          <w:tcPr>
            <w:tcW w:w="1667" w:type="dxa"/>
            <w:vAlign w:val="center"/>
          </w:tcPr>
          <w:p>
            <w:pPr>
              <w:widowControl/>
              <w:spacing w:line="360" w:lineRule="auto"/>
              <w:jc w:val="center"/>
              <w:rPr>
                <w:bCs/>
                <w:color w:val="000000"/>
                <w:kern w:val="0"/>
                <w:szCs w:val="21"/>
              </w:rPr>
            </w:pPr>
            <w:r>
              <w:rPr>
                <w:bCs/>
                <w:color w:val="000000"/>
                <w:kern w:val="0"/>
                <w:szCs w:val="21"/>
              </w:rPr>
              <w:t>因子层</w:t>
            </w:r>
          </w:p>
        </w:tc>
        <w:tc>
          <w:tcPr>
            <w:tcW w:w="1140" w:type="dxa"/>
            <w:vAlign w:val="center"/>
          </w:tcPr>
          <w:p>
            <w:pPr>
              <w:widowControl/>
              <w:spacing w:line="360" w:lineRule="auto"/>
              <w:jc w:val="center"/>
              <w:rPr>
                <w:bCs/>
                <w:color w:val="000000"/>
                <w:kern w:val="0"/>
                <w:szCs w:val="21"/>
              </w:rPr>
            </w:pPr>
            <w:r>
              <w:rPr>
                <w:bCs/>
                <w:color w:val="000000"/>
                <w:kern w:val="0"/>
                <w:szCs w:val="21"/>
              </w:rPr>
              <w:t>权重</w:t>
            </w:r>
          </w:p>
        </w:tc>
        <w:tc>
          <w:tcPr>
            <w:tcW w:w="1752" w:type="dxa"/>
            <w:vAlign w:val="center"/>
          </w:tcPr>
          <w:p>
            <w:pPr>
              <w:widowControl/>
              <w:spacing w:line="360" w:lineRule="auto"/>
              <w:jc w:val="center"/>
              <w:rPr>
                <w:bCs/>
                <w:color w:val="000000"/>
                <w:kern w:val="0"/>
                <w:szCs w:val="21"/>
              </w:rPr>
            </w:pPr>
            <w:r>
              <w:rPr>
                <w:bCs/>
                <w:color w:val="000000"/>
                <w:kern w:val="0"/>
                <w:szCs w:val="21"/>
              </w:rPr>
              <w:t>指标层</w:t>
            </w:r>
          </w:p>
        </w:tc>
        <w:tc>
          <w:tcPr>
            <w:tcW w:w="1625" w:type="dxa"/>
            <w:vAlign w:val="center"/>
          </w:tcPr>
          <w:p>
            <w:pPr>
              <w:widowControl/>
              <w:spacing w:line="360" w:lineRule="auto"/>
              <w:jc w:val="center"/>
              <w:rPr>
                <w:bCs/>
                <w:color w:val="000000"/>
                <w:kern w:val="0"/>
                <w:szCs w:val="21"/>
              </w:rPr>
            </w:pPr>
            <w:r>
              <w:rPr>
                <w:bCs/>
                <w:color w:val="000000"/>
                <w:kern w:val="0"/>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1688" w:type="dxa"/>
            <w:vMerge w:val="restart"/>
            <w:vAlign w:val="center"/>
          </w:tcPr>
          <w:p>
            <w:pPr>
              <w:widowControl/>
              <w:spacing w:line="360" w:lineRule="auto"/>
              <w:jc w:val="center"/>
              <w:rPr>
                <w:color w:val="000000"/>
                <w:kern w:val="0"/>
                <w:szCs w:val="21"/>
              </w:rPr>
            </w:pPr>
            <w:r>
              <w:rPr>
                <w:color w:val="000000"/>
                <w:kern w:val="0"/>
                <w:szCs w:val="21"/>
              </w:rPr>
              <w:t>基本设施状况</w:t>
            </w:r>
          </w:p>
        </w:tc>
        <w:tc>
          <w:tcPr>
            <w:tcW w:w="1140" w:type="dxa"/>
            <w:vMerge w:val="restart"/>
            <w:vAlign w:val="center"/>
          </w:tcPr>
          <w:p>
            <w:pPr>
              <w:spacing w:line="360" w:lineRule="auto"/>
              <w:jc w:val="center"/>
              <w:rPr>
                <w:color w:val="000000"/>
                <w:szCs w:val="21"/>
              </w:rPr>
            </w:pPr>
            <w:r>
              <w:rPr>
                <w:color w:val="000000"/>
                <w:szCs w:val="21"/>
              </w:rPr>
              <w:t>0.3354</w:t>
            </w:r>
          </w:p>
        </w:tc>
        <w:tc>
          <w:tcPr>
            <w:tcW w:w="1667" w:type="dxa"/>
            <w:vMerge w:val="restart"/>
            <w:vAlign w:val="center"/>
          </w:tcPr>
          <w:p>
            <w:pPr>
              <w:spacing w:line="360" w:lineRule="auto"/>
              <w:jc w:val="center"/>
              <w:rPr>
                <w:color w:val="000000"/>
                <w:szCs w:val="21"/>
              </w:rPr>
            </w:pPr>
            <w:r>
              <w:rPr>
                <w:color w:val="000000"/>
                <w:szCs w:val="21"/>
              </w:rPr>
              <w:t>基础设施完善度</w:t>
            </w:r>
          </w:p>
        </w:tc>
        <w:tc>
          <w:tcPr>
            <w:tcW w:w="1140" w:type="dxa"/>
            <w:vMerge w:val="restart"/>
            <w:vAlign w:val="center"/>
          </w:tcPr>
          <w:p>
            <w:pPr>
              <w:spacing w:line="360" w:lineRule="auto"/>
              <w:jc w:val="center"/>
              <w:rPr>
                <w:color w:val="000000"/>
                <w:szCs w:val="21"/>
              </w:rPr>
            </w:pPr>
            <w:r>
              <w:rPr>
                <w:color w:val="000000"/>
                <w:szCs w:val="21"/>
              </w:rPr>
              <w:t>0.3354</w:t>
            </w:r>
          </w:p>
        </w:tc>
        <w:tc>
          <w:tcPr>
            <w:tcW w:w="1752" w:type="dxa"/>
            <w:vAlign w:val="center"/>
          </w:tcPr>
          <w:p>
            <w:pPr>
              <w:spacing w:line="360" w:lineRule="auto"/>
              <w:jc w:val="center"/>
              <w:rPr>
                <w:color w:val="000000"/>
                <w:szCs w:val="21"/>
              </w:rPr>
            </w:pPr>
            <w:r>
              <w:rPr>
                <w:color w:val="000000"/>
                <w:szCs w:val="21"/>
              </w:rPr>
              <w:t>排水状况</w:t>
            </w:r>
          </w:p>
        </w:tc>
        <w:tc>
          <w:tcPr>
            <w:tcW w:w="1625" w:type="dxa"/>
            <w:vAlign w:val="center"/>
          </w:tcPr>
          <w:p>
            <w:pPr>
              <w:spacing w:line="360" w:lineRule="auto"/>
              <w:jc w:val="center"/>
              <w:rPr>
                <w:color w:val="000000"/>
                <w:szCs w:val="21"/>
              </w:rPr>
            </w:pPr>
            <w:r>
              <w:rPr>
                <w:color w:val="000000"/>
                <w:szCs w:val="21"/>
              </w:rPr>
              <w:t>0.0838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1688" w:type="dxa"/>
            <w:vMerge w:val="continue"/>
            <w:vAlign w:val="center"/>
          </w:tcPr>
          <w:p>
            <w:pPr>
              <w:widowControl/>
              <w:spacing w:line="360" w:lineRule="auto"/>
              <w:jc w:val="left"/>
              <w:rPr>
                <w:color w:val="000000"/>
                <w:kern w:val="0"/>
                <w:szCs w:val="21"/>
              </w:rPr>
            </w:pPr>
          </w:p>
        </w:tc>
        <w:tc>
          <w:tcPr>
            <w:tcW w:w="1140" w:type="dxa"/>
            <w:vMerge w:val="continue"/>
            <w:vAlign w:val="center"/>
          </w:tcPr>
          <w:p>
            <w:pPr>
              <w:widowControl/>
              <w:spacing w:line="360" w:lineRule="auto"/>
              <w:jc w:val="left"/>
              <w:rPr>
                <w:color w:val="000000"/>
                <w:kern w:val="0"/>
                <w:szCs w:val="21"/>
              </w:rPr>
            </w:pPr>
          </w:p>
        </w:tc>
        <w:tc>
          <w:tcPr>
            <w:tcW w:w="1667" w:type="dxa"/>
            <w:vMerge w:val="continue"/>
            <w:vAlign w:val="center"/>
          </w:tcPr>
          <w:p>
            <w:pPr>
              <w:widowControl/>
              <w:spacing w:line="360" w:lineRule="auto"/>
              <w:jc w:val="left"/>
              <w:rPr>
                <w:color w:val="000000"/>
                <w:kern w:val="0"/>
                <w:szCs w:val="21"/>
              </w:rPr>
            </w:pPr>
          </w:p>
        </w:tc>
        <w:tc>
          <w:tcPr>
            <w:tcW w:w="1140" w:type="dxa"/>
            <w:vMerge w:val="continue"/>
            <w:vAlign w:val="center"/>
          </w:tcPr>
          <w:p>
            <w:pPr>
              <w:widowControl/>
              <w:spacing w:line="360" w:lineRule="auto"/>
              <w:jc w:val="left"/>
              <w:rPr>
                <w:color w:val="000000"/>
                <w:kern w:val="0"/>
                <w:szCs w:val="21"/>
              </w:rPr>
            </w:pPr>
          </w:p>
        </w:tc>
        <w:tc>
          <w:tcPr>
            <w:tcW w:w="1752" w:type="dxa"/>
            <w:vAlign w:val="center"/>
          </w:tcPr>
          <w:p>
            <w:pPr>
              <w:widowControl/>
              <w:spacing w:line="360" w:lineRule="auto"/>
              <w:jc w:val="center"/>
              <w:rPr>
                <w:color w:val="000000"/>
                <w:kern w:val="0"/>
                <w:szCs w:val="21"/>
              </w:rPr>
            </w:pPr>
            <w:r>
              <w:rPr>
                <w:color w:val="000000"/>
                <w:szCs w:val="21"/>
              </w:rPr>
              <w:t>供水状况</w:t>
            </w:r>
          </w:p>
        </w:tc>
        <w:tc>
          <w:tcPr>
            <w:tcW w:w="1625" w:type="dxa"/>
            <w:vAlign w:val="center"/>
          </w:tcPr>
          <w:p>
            <w:pPr>
              <w:widowControl/>
              <w:spacing w:line="360" w:lineRule="auto"/>
              <w:jc w:val="center"/>
              <w:rPr>
                <w:color w:val="000000"/>
                <w:kern w:val="0"/>
                <w:szCs w:val="21"/>
              </w:rPr>
            </w:pPr>
            <w:r>
              <w:rPr>
                <w:color w:val="000000"/>
                <w:szCs w:val="21"/>
              </w:rPr>
              <w:t>0.0838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1688" w:type="dxa"/>
            <w:vMerge w:val="continue"/>
            <w:vAlign w:val="center"/>
          </w:tcPr>
          <w:p>
            <w:pPr>
              <w:widowControl/>
              <w:spacing w:line="360" w:lineRule="auto"/>
              <w:jc w:val="left"/>
              <w:rPr>
                <w:color w:val="000000"/>
                <w:kern w:val="0"/>
                <w:szCs w:val="21"/>
              </w:rPr>
            </w:pPr>
          </w:p>
        </w:tc>
        <w:tc>
          <w:tcPr>
            <w:tcW w:w="1140" w:type="dxa"/>
            <w:vMerge w:val="continue"/>
            <w:vAlign w:val="center"/>
          </w:tcPr>
          <w:p>
            <w:pPr>
              <w:widowControl/>
              <w:spacing w:line="360" w:lineRule="auto"/>
              <w:jc w:val="left"/>
              <w:rPr>
                <w:color w:val="000000"/>
                <w:kern w:val="0"/>
                <w:szCs w:val="21"/>
              </w:rPr>
            </w:pPr>
          </w:p>
        </w:tc>
        <w:tc>
          <w:tcPr>
            <w:tcW w:w="1667" w:type="dxa"/>
            <w:vMerge w:val="continue"/>
            <w:vAlign w:val="center"/>
          </w:tcPr>
          <w:p>
            <w:pPr>
              <w:widowControl/>
              <w:spacing w:line="360" w:lineRule="auto"/>
              <w:jc w:val="left"/>
              <w:rPr>
                <w:color w:val="000000"/>
                <w:kern w:val="0"/>
                <w:szCs w:val="21"/>
              </w:rPr>
            </w:pPr>
          </w:p>
        </w:tc>
        <w:tc>
          <w:tcPr>
            <w:tcW w:w="1140" w:type="dxa"/>
            <w:vMerge w:val="continue"/>
            <w:vAlign w:val="center"/>
          </w:tcPr>
          <w:p>
            <w:pPr>
              <w:widowControl/>
              <w:spacing w:line="360" w:lineRule="auto"/>
              <w:jc w:val="left"/>
              <w:rPr>
                <w:color w:val="000000"/>
                <w:kern w:val="0"/>
                <w:szCs w:val="21"/>
              </w:rPr>
            </w:pPr>
          </w:p>
        </w:tc>
        <w:tc>
          <w:tcPr>
            <w:tcW w:w="1752" w:type="dxa"/>
            <w:vAlign w:val="center"/>
          </w:tcPr>
          <w:p>
            <w:pPr>
              <w:widowControl/>
              <w:spacing w:line="360" w:lineRule="auto"/>
              <w:jc w:val="center"/>
              <w:rPr>
                <w:color w:val="000000"/>
                <w:kern w:val="0"/>
                <w:szCs w:val="21"/>
              </w:rPr>
            </w:pPr>
            <w:r>
              <w:rPr>
                <w:color w:val="000000"/>
                <w:szCs w:val="21"/>
              </w:rPr>
              <w:t>供电状况</w:t>
            </w:r>
          </w:p>
        </w:tc>
        <w:tc>
          <w:tcPr>
            <w:tcW w:w="1625" w:type="dxa"/>
            <w:vAlign w:val="center"/>
          </w:tcPr>
          <w:p>
            <w:pPr>
              <w:widowControl/>
              <w:spacing w:line="360" w:lineRule="auto"/>
              <w:jc w:val="center"/>
              <w:rPr>
                <w:color w:val="000000"/>
                <w:kern w:val="0"/>
                <w:szCs w:val="21"/>
              </w:rPr>
            </w:pPr>
            <w:r>
              <w:rPr>
                <w:color w:val="000000"/>
                <w:szCs w:val="21"/>
              </w:rPr>
              <w:t>0.0839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1688" w:type="dxa"/>
            <w:vMerge w:val="continue"/>
            <w:vAlign w:val="center"/>
          </w:tcPr>
          <w:p>
            <w:pPr>
              <w:widowControl/>
              <w:spacing w:line="360" w:lineRule="auto"/>
              <w:jc w:val="left"/>
              <w:rPr>
                <w:color w:val="000000"/>
                <w:kern w:val="0"/>
                <w:szCs w:val="21"/>
              </w:rPr>
            </w:pPr>
          </w:p>
        </w:tc>
        <w:tc>
          <w:tcPr>
            <w:tcW w:w="1140" w:type="dxa"/>
            <w:vMerge w:val="continue"/>
            <w:vAlign w:val="center"/>
          </w:tcPr>
          <w:p>
            <w:pPr>
              <w:widowControl/>
              <w:spacing w:line="360" w:lineRule="auto"/>
              <w:jc w:val="left"/>
              <w:rPr>
                <w:color w:val="000000"/>
                <w:kern w:val="0"/>
                <w:szCs w:val="21"/>
              </w:rPr>
            </w:pPr>
          </w:p>
        </w:tc>
        <w:tc>
          <w:tcPr>
            <w:tcW w:w="1667" w:type="dxa"/>
            <w:vMerge w:val="continue"/>
            <w:vAlign w:val="center"/>
          </w:tcPr>
          <w:p>
            <w:pPr>
              <w:widowControl/>
              <w:spacing w:line="360" w:lineRule="auto"/>
              <w:jc w:val="left"/>
              <w:rPr>
                <w:color w:val="000000"/>
                <w:kern w:val="0"/>
                <w:szCs w:val="21"/>
              </w:rPr>
            </w:pPr>
          </w:p>
        </w:tc>
        <w:tc>
          <w:tcPr>
            <w:tcW w:w="1140" w:type="dxa"/>
            <w:vMerge w:val="continue"/>
            <w:vAlign w:val="center"/>
          </w:tcPr>
          <w:p>
            <w:pPr>
              <w:widowControl/>
              <w:spacing w:line="360" w:lineRule="auto"/>
              <w:jc w:val="left"/>
              <w:rPr>
                <w:color w:val="000000"/>
                <w:kern w:val="0"/>
                <w:szCs w:val="21"/>
              </w:rPr>
            </w:pPr>
          </w:p>
        </w:tc>
        <w:tc>
          <w:tcPr>
            <w:tcW w:w="1752" w:type="dxa"/>
            <w:vAlign w:val="center"/>
          </w:tcPr>
          <w:p>
            <w:pPr>
              <w:widowControl/>
              <w:spacing w:line="360" w:lineRule="auto"/>
              <w:jc w:val="center"/>
              <w:rPr>
                <w:color w:val="000000"/>
                <w:kern w:val="0"/>
                <w:szCs w:val="21"/>
              </w:rPr>
            </w:pPr>
            <w:r>
              <w:rPr>
                <w:color w:val="000000"/>
                <w:szCs w:val="21"/>
              </w:rPr>
              <w:t>供气状况</w:t>
            </w:r>
          </w:p>
        </w:tc>
        <w:tc>
          <w:tcPr>
            <w:tcW w:w="1625" w:type="dxa"/>
            <w:vAlign w:val="center"/>
          </w:tcPr>
          <w:p>
            <w:pPr>
              <w:widowControl/>
              <w:spacing w:line="360" w:lineRule="auto"/>
              <w:jc w:val="center"/>
              <w:rPr>
                <w:color w:val="000000"/>
                <w:kern w:val="0"/>
                <w:szCs w:val="21"/>
              </w:rPr>
            </w:pPr>
            <w:r>
              <w:rPr>
                <w:color w:val="000000"/>
                <w:szCs w:val="21"/>
              </w:rPr>
              <w:t>0.0839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688" w:type="dxa"/>
            <w:vMerge w:val="restart"/>
            <w:vAlign w:val="center"/>
          </w:tcPr>
          <w:p>
            <w:pPr>
              <w:widowControl/>
              <w:spacing w:line="360" w:lineRule="auto"/>
              <w:jc w:val="center"/>
              <w:rPr>
                <w:color w:val="000000"/>
                <w:kern w:val="0"/>
                <w:szCs w:val="21"/>
              </w:rPr>
            </w:pPr>
            <w:r>
              <w:rPr>
                <w:color w:val="000000"/>
                <w:kern w:val="0"/>
                <w:szCs w:val="21"/>
              </w:rPr>
              <w:t>交通条件</w:t>
            </w:r>
          </w:p>
        </w:tc>
        <w:tc>
          <w:tcPr>
            <w:tcW w:w="1140" w:type="dxa"/>
            <w:vMerge w:val="restart"/>
            <w:vAlign w:val="center"/>
          </w:tcPr>
          <w:p>
            <w:pPr>
              <w:spacing w:line="360" w:lineRule="auto"/>
              <w:jc w:val="center"/>
              <w:rPr>
                <w:color w:val="000000"/>
                <w:szCs w:val="21"/>
              </w:rPr>
            </w:pPr>
            <w:r>
              <w:rPr>
                <w:color w:val="000000"/>
                <w:szCs w:val="21"/>
              </w:rPr>
              <w:t>0.2732</w:t>
            </w:r>
          </w:p>
        </w:tc>
        <w:tc>
          <w:tcPr>
            <w:tcW w:w="1667" w:type="dxa"/>
            <w:vAlign w:val="center"/>
          </w:tcPr>
          <w:p>
            <w:pPr>
              <w:spacing w:line="360" w:lineRule="auto"/>
              <w:jc w:val="center"/>
              <w:rPr>
                <w:color w:val="000000"/>
                <w:szCs w:val="21"/>
              </w:rPr>
            </w:pPr>
            <w:r>
              <w:rPr>
                <w:color w:val="000000"/>
                <w:szCs w:val="21"/>
              </w:rPr>
              <w:t>道路通达度</w:t>
            </w:r>
          </w:p>
        </w:tc>
        <w:tc>
          <w:tcPr>
            <w:tcW w:w="1140" w:type="dxa"/>
            <w:vAlign w:val="center"/>
          </w:tcPr>
          <w:p>
            <w:pPr>
              <w:spacing w:line="360" w:lineRule="auto"/>
              <w:jc w:val="center"/>
              <w:rPr>
                <w:color w:val="000000"/>
                <w:szCs w:val="21"/>
              </w:rPr>
            </w:pPr>
            <w:r>
              <w:rPr>
                <w:color w:val="000000"/>
                <w:szCs w:val="21"/>
              </w:rPr>
              <w:t>0.1366</w:t>
            </w:r>
          </w:p>
        </w:tc>
        <w:tc>
          <w:tcPr>
            <w:tcW w:w="1752" w:type="dxa"/>
            <w:vAlign w:val="center"/>
          </w:tcPr>
          <w:p>
            <w:pPr>
              <w:spacing w:line="360" w:lineRule="auto"/>
              <w:jc w:val="center"/>
              <w:rPr>
                <w:color w:val="000000"/>
                <w:szCs w:val="21"/>
              </w:rPr>
            </w:pPr>
            <w:r>
              <w:rPr>
                <w:color w:val="000000"/>
                <w:szCs w:val="21"/>
              </w:rPr>
              <w:t>临近道路状况</w:t>
            </w:r>
          </w:p>
        </w:tc>
        <w:tc>
          <w:tcPr>
            <w:tcW w:w="1625" w:type="dxa"/>
            <w:vAlign w:val="center"/>
          </w:tcPr>
          <w:p>
            <w:pPr>
              <w:spacing w:line="360" w:lineRule="auto"/>
              <w:jc w:val="center"/>
              <w:rPr>
                <w:color w:val="000000"/>
                <w:szCs w:val="21"/>
              </w:rPr>
            </w:pPr>
            <w:r>
              <w:rPr>
                <w:color w:val="000000"/>
                <w:szCs w:val="21"/>
              </w:rPr>
              <w:t>0.1366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1688" w:type="dxa"/>
            <w:vMerge w:val="continue"/>
            <w:vAlign w:val="center"/>
          </w:tcPr>
          <w:p>
            <w:pPr>
              <w:widowControl/>
              <w:spacing w:line="360" w:lineRule="auto"/>
              <w:jc w:val="left"/>
              <w:rPr>
                <w:color w:val="000000"/>
                <w:kern w:val="0"/>
                <w:szCs w:val="21"/>
              </w:rPr>
            </w:pPr>
          </w:p>
        </w:tc>
        <w:tc>
          <w:tcPr>
            <w:tcW w:w="1140" w:type="dxa"/>
            <w:vMerge w:val="continue"/>
            <w:vAlign w:val="center"/>
          </w:tcPr>
          <w:p>
            <w:pPr>
              <w:widowControl/>
              <w:spacing w:line="360" w:lineRule="auto"/>
              <w:jc w:val="left"/>
              <w:rPr>
                <w:color w:val="000000"/>
                <w:kern w:val="0"/>
                <w:szCs w:val="21"/>
              </w:rPr>
            </w:pPr>
          </w:p>
        </w:tc>
        <w:tc>
          <w:tcPr>
            <w:tcW w:w="1667" w:type="dxa"/>
            <w:vAlign w:val="center"/>
          </w:tcPr>
          <w:p>
            <w:pPr>
              <w:widowControl/>
              <w:spacing w:line="360" w:lineRule="auto"/>
              <w:jc w:val="center"/>
              <w:rPr>
                <w:color w:val="000000"/>
                <w:kern w:val="0"/>
                <w:szCs w:val="21"/>
              </w:rPr>
            </w:pPr>
            <w:r>
              <w:rPr>
                <w:color w:val="000000"/>
                <w:szCs w:val="21"/>
              </w:rPr>
              <w:t>公交便捷度</w:t>
            </w:r>
          </w:p>
        </w:tc>
        <w:tc>
          <w:tcPr>
            <w:tcW w:w="1140" w:type="dxa"/>
            <w:vAlign w:val="center"/>
          </w:tcPr>
          <w:p>
            <w:pPr>
              <w:widowControl/>
              <w:spacing w:line="360" w:lineRule="auto"/>
              <w:jc w:val="center"/>
              <w:rPr>
                <w:color w:val="000000"/>
                <w:kern w:val="0"/>
                <w:szCs w:val="21"/>
              </w:rPr>
            </w:pPr>
            <w:r>
              <w:rPr>
                <w:color w:val="000000"/>
                <w:szCs w:val="21"/>
              </w:rPr>
              <w:t>0.1366</w:t>
            </w:r>
          </w:p>
        </w:tc>
        <w:tc>
          <w:tcPr>
            <w:tcW w:w="1752" w:type="dxa"/>
            <w:vAlign w:val="center"/>
          </w:tcPr>
          <w:p>
            <w:pPr>
              <w:widowControl/>
              <w:spacing w:line="360" w:lineRule="auto"/>
              <w:jc w:val="center"/>
              <w:rPr>
                <w:color w:val="000000"/>
                <w:kern w:val="0"/>
                <w:szCs w:val="21"/>
              </w:rPr>
            </w:pPr>
            <w:r>
              <w:rPr>
                <w:color w:val="000000"/>
                <w:szCs w:val="21"/>
              </w:rPr>
              <w:t>距最近公交站点距离</w:t>
            </w:r>
          </w:p>
        </w:tc>
        <w:tc>
          <w:tcPr>
            <w:tcW w:w="1625" w:type="dxa"/>
            <w:vAlign w:val="center"/>
          </w:tcPr>
          <w:p>
            <w:pPr>
              <w:widowControl/>
              <w:spacing w:line="360" w:lineRule="auto"/>
              <w:jc w:val="center"/>
              <w:rPr>
                <w:color w:val="000000"/>
                <w:kern w:val="0"/>
                <w:szCs w:val="21"/>
              </w:rPr>
            </w:pPr>
            <w:r>
              <w:rPr>
                <w:color w:val="000000"/>
                <w:szCs w:val="21"/>
              </w:rPr>
              <w:t>0.1366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1688" w:type="dxa"/>
            <w:vAlign w:val="center"/>
          </w:tcPr>
          <w:p>
            <w:pPr>
              <w:widowControl/>
              <w:spacing w:line="360" w:lineRule="auto"/>
              <w:jc w:val="center"/>
              <w:rPr>
                <w:color w:val="000000"/>
                <w:kern w:val="0"/>
                <w:szCs w:val="21"/>
              </w:rPr>
            </w:pPr>
            <w:r>
              <w:rPr>
                <w:color w:val="000000"/>
                <w:kern w:val="0"/>
                <w:szCs w:val="21"/>
              </w:rPr>
              <w:t>人口状况</w:t>
            </w:r>
          </w:p>
        </w:tc>
        <w:tc>
          <w:tcPr>
            <w:tcW w:w="1140" w:type="dxa"/>
            <w:vAlign w:val="center"/>
          </w:tcPr>
          <w:p>
            <w:pPr>
              <w:spacing w:line="360" w:lineRule="auto"/>
              <w:jc w:val="center"/>
              <w:rPr>
                <w:color w:val="000000"/>
                <w:szCs w:val="21"/>
              </w:rPr>
            </w:pPr>
            <w:r>
              <w:rPr>
                <w:color w:val="000000"/>
                <w:szCs w:val="21"/>
              </w:rPr>
              <w:t>0.0886</w:t>
            </w:r>
          </w:p>
        </w:tc>
        <w:tc>
          <w:tcPr>
            <w:tcW w:w="1667" w:type="dxa"/>
            <w:vAlign w:val="center"/>
          </w:tcPr>
          <w:p>
            <w:pPr>
              <w:spacing w:line="360" w:lineRule="auto"/>
              <w:jc w:val="center"/>
              <w:rPr>
                <w:color w:val="000000"/>
                <w:szCs w:val="21"/>
              </w:rPr>
            </w:pPr>
            <w:r>
              <w:rPr>
                <w:color w:val="000000"/>
                <w:szCs w:val="21"/>
              </w:rPr>
              <w:t>人口密度</w:t>
            </w:r>
          </w:p>
        </w:tc>
        <w:tc>
          <w:tcPr>
            <w:tcW w:w="1140" w:type="dxa"/>
            <w:vAlign w:val="center"/>
          </w:tcPr>
          <w:p>
            <w:pPr>
              <w:spacing w:line="360" w:lineRule="auto"/>
              <w:jc w:val="center"/>
              <w:rPr>
                <w:color w:val="000000"/>
                <w:szCs w:val="21"/>
              </w:rPr>
            </w:pPr>
            <w:r>
              <w:rPr>
                <w:color w:val="000000"/>
                <w:szCs w:val="21"/>
              </w:rPr>
              <w:t>0.0886</w:t>
            </w:r>
          </w:p>
        </w:tc>
        <w:tc>
          <w:tcPr>
            <w:tcW w:w="1752" w:type="dxa"/>
            <w:vAlign w:val="center"/>
          </w:tcPr>
          <w:p>
            <w:pPr>
              <w:spacing w:line="360" w:lineRule="auto"/>
              <w:jc w:val="center"/>
              <w:rPr>
                <w:color w:val="000000"/>
                <w:szCs w:val="21"/>
              </w:rPr>
            </w:pPr>
            <w:r>
              <w:rPr>
                <w:color w:val="000000"/>
                <w:szCs w:val="21"/>
              </w:rPr>
              <w:t>人口密度</w:t>
            </w:r>
          </w:p>
        </w:tc>
        <w:tc>
          <w:tcPr>
            <w:tcW w:w="1625" w:type="dxa"/>
            <w:vAlign w:val="center"/>
          </w:tcPr>
          <w:p>
            <w:pPr>
              <w:spacing w:line="360" w:lineRule="auto"/>
              <w:jc w:val="center"/>
              <w:rPr>
                <w:color w:val="000000"/>
                <w:szCs w:val="21"/>
              </w:rPr>
            </w:pPr>
            <w:r>
              <w:rPr>
                <w:color w:val="000000"/>
                <w:szCs w:val="21"/>
              </w:rPr>
              <w:t>0.0886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1688" w:type="dxa"/>
            <w:vMerge w:val="restart"/>
            <w:vAlign w:val="center"/>
          </w:tcPr>
          <w:p>
            <w:pPr>
              <w:widowControl/>
              <w:spacing w:line="360" w:lineRule="auto"/>
              <w:jc w:val="center"/>
              <w:rPr>
                <w:color w:val="000000"/>
                <w:kern w:val="0"/>
                <w:szCs w:val="21"/>
              </w:rPr>
            </w:pPr>
            <w:r>
              <w:rPr>
                <w:color w:val="000000"/>
                <w:kern w:val="0"/>
                <w:szCs w:val="21"/>
              </w:rPr>
              <w:t>环境条件</w:t>
            </w:r>
          </w:p>
        </w:tc>
        <w:tc>
          <w:tcPr>
            <w:tcW w:w="1140" w:type="dxa"/>
            <w:vMerge w:val="restart"/>
            <w:vAlign w:val="center"/>
          </w:tcPr>
          <w:p>
            <w:pPr>
              <w:spacing w:line="360" w:lineRule="auto"/>
              <w:jc w:val="center"/>
              <w:rPr>
                <w:color w:val="000000"/>
                <w:szCs w:val="21"/>
              </w:rPr>
            </w:pPr>
            <w:r>
              <w:rPr>
                <w:color w:val="000000"/>
                <w:szCs w:val="21"/>
              </w:rPr>
              <w:t>0.2014</w:t>
            </w:r>
          </w:p>
        </w:tc>
        <w:tc>
          <w:tcPr>
            <w:tcW w:w="1667" w:type="dxa"/>
            <w:vMerge w:val="restart"/>
            <w:vAlign w:val="center"/>
          </w:tcPr>
          <w:p>
            <w:pPr>
              <w:spacing w:line="360" w:lineRule="auto"/>
              <w:jc w:val="center"/>
              <w:rPr>
                <w:color w:val="000000"/>
                <w:szCs w:val="21"/>
              </w:rPr>
            </w:pPr>
            <w:r>
              <w:rPr>
                <w:color w:val="000000"/>
                <w:szCs w:val="21"/>
              </w:rPr>
              <w:t>自然条件优劣度</w:t>
            </w:r>
          </w:p>
        </w:tc>
        <w:tc>
          <w:tcPr>
            <w:tcW w:w="1140" w:type="dxa"/>
            <w:vMerge w:val="restart"/>
            <w:vAlign w:val="center"/>
          </w:tcPr>
          <w:p>
            <w:pPr>
              <w:spacing w:line="360" w:lineRule="auto"/>
              <w:jc w:val="center"/>
              <w:rPr>
                <w:color w:val="000000"/>
                <w:szCs w:val="21"/>
              </w:rPr>
            </w:pPr>
            <w:r>
              <w:rPr>
                <w:color w:val="000000"/>
                <w:szCs w:val="21"/>
              </w:rPr>
              <w:t>0.2014</w:t>
            </w:r>
          </w:p>
        </w:tc>
        <w:tc>
          <w:tcPr>
            <w:tcW w:w="1752" w:type="dxa"/>
            <w:vAlign w:val="center"/>
          </w:tcPr>
          <w:p>
            <w:pPr>
              <w:spacing w:line="360" w:lineRule="auto"/>
              <w:jc w:val="center"/>
              <w:rPr>
                <w:color w:val="000000"/>
                <w:szCs w:val="21"/>
              </w:rPr>
            </w:pPr>
            <w:r>
              <w:rPr>
                <w:color w:val="000000"/>
                <w:szCs w:val="21"/>
              </w:rPr>
              <w:t>地形状况</w:t>
            </w:r>
          </w:p>
        </w:tc>
        <w:tc>
          <w:tcPr>
            <w:tcW w:w="1625" w:type="dxa"/>
            <w:vAlign w:val="center"/>
          </w:tcPr>
          <w:p>
            <w:pPr>
              <w:spacing w:line="360" w:lineRule="auto"/>
              <w:jc w:val="center"/>
              <w:rPr>
                <w:color w:val="000000"/>
                <w:szCs w:val="21"/>
              </w:rPr>
            </w:pPr>
            <w:r>
              <w:rPr>
                <w:color w:val="000000"/>
                <w:szCs w:val="21"/>
              </w:rPr>
              <w:t>0.1007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688" w:type="dxa"/>
            <w:vMerge w:val="continue"/>
            <w:vAlign w:val="center"/>
          </w:tcPr>
          <w:p>
            <w:pPr>
              <w:widowControl/>
              <w:spacing w:line="360" w:lineRule="auto"/>
              <w:jc w:val="left"/>
              <w:rPr>
                <w:color w:val="000000"/>
                <w:kern w:val="0"/>
                <w:szCs w:val="21"/>
              </w:rPr>
            </w:pPr>
          </w:p>
        </w:tc>
        <w:tc>
          <w:tcPr>
            <w:tcW w:w="1140" w:type="dxa"/>
            <w:vMerge w:val="continue"/>
            <w:vAlign w:val="center"/>
          </w:tcPr>
          <w:p>
            <w:pPr>
              <w:widowControl/>
              <w:spacing w:line="360" w:lineRule="auto"/>
              <w:jc w:val="left"/>
              <w:rPr>
                <w:color w:val="000000"/>
                <w:kern w:val="0"/>
                <w:szCs w:val="21"/>
              </w:rPr>
            </w:pPr>
          </w:p>
        </w:tc>
        <w:tc>
          <w:tcPr>
            <w:tcW w:w="1667" w:type="dxa"/>
            <w:vMerge w:val="continue"/>
            <w:vAlign w:val="center"/>
          </w:tcPr>
          <w:p>
            <w:pPr>
              <w:widowControl/>
              <w:spacing w:line="360" w:lineRule="auto"/>
              <w:jc w:val="left"/>
              <w:rPr>
                <w:color w:val="000000"/>
                <w:kern w:val="0"/>
                <w:szCs w:val="21"/>
              </w:rPr>
            </w:pPr>
          </w:p>
        </w:tc>
        <w:tc>
          <w:tcPr>
            <w:tcW w:w="1140" w:type="dxa"/>
            <w:vMerge w:val="continue"/>
            <w:vAlign w:val="center"/>
          </w:tcPr>
          <w:p>
            <w:pPr>
              <w:widowControl/>
              <w:spacing w:line="360" w:lineRule="auto"/>
              <w:jc w:val="left"/>
              <w:rPr>
                <w:color w:val="000000"/>
                <w:kern w:val="0"/>
                <w:szCs w:val="21"/>
              </w:rPr>
            </w:pPr>
          </w:p>
        </w:tc>
        <w:tc>
          <w:tcPr>
            <w:tcW w:w="1752" w:type="dxa"/>
            <w:vAlign w:val="center"/>
          </w:tcPr>
          <w:p>
            <w:pPr>
              <w:widowControl/>
              <w:spacing w:line="360" w:lineRule="auto"/>
              <w:jc w:val="center"/>
              <w:rPr>
                <w:color w:val="000000"/>
                <w:kern w:val="0"/>
                <w:szCs w:val="21"/>
              </w:rPr>
            </w:pPr>
            <w:r>
              <w:rPr>
                <w:color w:val="000000"/>
                <w:szCs w:val="21"/>
              </w:rPr>
              <w:t>洪水淹没状况</w:t>
            </w:r>
          </w:p>
        </w:tc>
        <w:tc>
          <w:tcPr>
            <w:tcW w:w="1625" w:type="dxa"/>
            <w:vAlign w:val="center"/>
          </w:tcPr>
          <w:p>
            <w:pPr>
              <w:widowControl/>
              <w:spacing w:line="360" w:lineRule="auto"/>
              <w:jc w:val="center"/>
              <w:rPr>
                <w:color w:val="000000"/>
                <w:kern w:val="0"/>
                <w:szCs w:val="21"/>
              </w:rPr>
            </w:pPr>
            <w:r>
              <w:rPr>
                <w:color w:val="000000"/>
                <w:szCs w:val="21"/>
              </w:rPr>
              <w:t>0.1007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1688" w:type="dxa"/>
            <w:vAlign w:val="center"/>
          </w:tcPr>
          <w:p>
            <w:pPr>
              <w:widowControl/>
              <w:spacing w:line="360" w:lineRule="auto"/>
              <w:jc w:val="center"/>
              <w:rPr>
                <w:color w:val="000000"/>
                <w:kern w:val="0"/>
                <w:szCs w:val="21"/>
              </w:rPr>
            </w:pPr>
            <w:r>
              <w:rPr>
                <w:color w:val="000000"/>
                <w:kern w:val="0"/>
                <w:szCs w:val="21"/>
              </w:rPr>
              <w:t>城市规划</w:t>
            </w:r>
          </w:p>
        </w:tc>
        <w:tc>
          <w:tcPr>
            <w:tcW w:w="1140" w:type="dxa"/>
            <w:vAlign w:val="center"/>
          </w:tcPr>
          <w:p>
            <w:pPr>
              <w:spacing w:line="360" w:lineRule="auto"/>
              <w:jc w:val="center"/>
              <w:rPr>
                <w:color w:val="000000"/>
                <w:szCs w:val="21"/>
              </w:rPr>
            </w:pPr>
            <w:r>
              <w:rPr>
                <w:color w:val="000000"/>
                <w:szCs w:val="21"/>
              </w:rPr>
              <w:t>0.1014</w:t>
            </w:r>
          </w:p>
        </w:tc>
        <w:tc>
          <w:tcPr>
            <w:tcW w:w="1667" w:type="dxa"/>
            <w:vAlign w:val="center"/>
          </w:tcPr>
          <w:p>
            <w:pPr>
              <w:spacing w:line="360" w:lineRule="auto"/>
              <w:jc w:val="center"/>
              <w:rPr>
                <w:color w:val="000000"/>
                <w:szCs w:val="21"/>
              </w:rPr>
            </w:pPr>
            <w:r>
              <w:rPr>
                <w:color w:val="000000"/>
                <w:szCs w:val="21"/>
              </w:rPr>
              <w:t>城市规划</w:t>
            </w:r>
          </w:p>
        </w:tc>
        <w:tc>
          <w:tcPr>
            <w:tcW w:w="1140" w:type="dxa"/>
            <w:vAlign w:val="center"/>
          </w:tcPr>
          <w:p>
            <w:pPr>
              <w:spacing w:line="360" w:lineRule="auto"/>
              <w:jc w:val="center"/>
              <w:rPr>
                <w:color w:val="000000"/>
                <w:szCs w:val="21"/>
              </w:rPr>
            </w:pPr>
            <w:r>
              <w:rPr>
                <w:color w:val="000000"/>
                <w:szCs w:val="21"/>
              </w:rPr>
              <w:t>0.1014</w:t>
            </w:r>
          </w:p>
        </w:tc>
        <w:tc>
          <w:tcPr>
            <w:tcW w:w="1752" w:type="dxa"/>
            <w:vAlign w:val="center"/>
          </w:tcPr>
          <w:p>
            <w:pPr>
              <w:spacing w:line="360" w:lineRule="auto"/>
              <w:jc w:val="center"/>
              <w:rPr>
                <w:color w:val="000000"/>
                <w:szCs w:val="21"/>
              </w:rPr>
            </w:pPr>
            <w:r>
              <w:rPr>
                <w:color w:val="000000"/>
                <w:szCs w:val="21"/>
              </w:rPr>
              <w:t>道路规划</w:t>
            </w:r>
          </w:p>
        </w:tc>
        <w:tc>
          <w:tcPr>
            <w:tcW w:w="1625" w:type="dxa"/>
            <w:vAlign w:val="center"/>
          </w:tcPr>
          <w:p>
            <w:pPr>
              <w:spacing w:line="360" w:lineRule="auto"/>
              <w:jc w:val="center"/>
              <w:rPr>
                <w:color w:val="000000"/>
                <w:szCs w:val="21"/>
              </w:rPr>
            </w:pPr>
            <w:r>
              <w:rPr>
                <w:color w:val="000000"/>
                <w:szCs w:val="21"/>
              </w:rPr>
              <w:t>0.1014</w:t>
            </w:r>
          </w:p>
        </w:tc>
      </w:tr>
    </w:tbl>
    <w:p>
      <w:pPr>
        <w:spacing w:line="500" w:lineRule="exact"/>
        <w:ind w:firstLine="482" w:firstLineChars="200"/>
        <w:jc w:val="left"/>
        <w:outlineLvl w:val="3"/>
        <w:rPr>
          <w:b/>
          <w:sz w:val="24"/>
          <w:szCs w:val="22"/>
        </w:rPr>
      </w:pPr>
      <w:r>
        <w:rPr>
          <w:rFonts w:hint="eastAsia"/>
          <w:b/>
          <w:sz w:val="24"/>
          <w:szCs w:val="22"/>
        </w:rPr>
        <w:t>3、</w:t>
      </w:r>
      <w:r>
        <w:rPr>
          <w:b/>
          <w:sz w:val="24"/>
          <w:szCs w:val="22"/>
        </w:rPr>
        <w:t>宗地地价修正系数表编制方法</w:t>
      </w:r>
    </w:p>
    <w:p>
      <w:pPr>
        <w:spacing w:line="500" w:lineRule="exact"/>
        <w:ind w:firstLine="480" w:firstLineChars="200"/>
        <w:rPr>
          <w:sz w:val="24"/>
          <w:szCs w:val="22"/>
        </w:rPr>
      </w:pPr>
      <w:r>
        <w:rPr>
          <w:sz w:val="24"/>
          <w:szCs w:val="22"/>
        </w:rPr>
        <w:t>1</w:t>
      </w:r>
      <w:r>
        <w:rPr>
          <w:rFonts w:hint="eastAsia"/>
          <w:sz w:val="24"/>
          <w:szCs w:val="22"/>
        </w:rPr>
        <w:t>.</w:t>
      </w:r>
      <w:r>
        <w:rPr>
          <w:sz w:val="24"/>
          <w:szCs w:val="22"/>
        </w:rPr>
        <w:t>因素影响地价修正幅度值的计算</w:t>
      </w:r>
    </w:p>
    <w:p>
      <w:pPr>
        <w:pStyle w:val="33"/>
        <w:ind w:firstLine="480" w:firstLineChars="200"/>
        <w:rPr>
          <w:rFonts w:hint="default" w:ascii="Times New Roman" w:hAnsi="Times New Roman"/>
          <w:sz w:val="24"/>
        </w:rPr>
      </w:pPr>
      <w:r>
        <w:rPr>
          <w:rFonts w:hint="default" w:ascii="Times New Roman" w:hAnsi="Times New Roman"/>
          <w:sz w:val="24"/>
        </w:rPr>
        <w:t>以级别单位，调查各级别中正常土地价格的上限、下限值等，分别以级别基准地价相减，得到上调或下调的最高值，结果见表4-2-4。</w:t>
      </w:r>
    </w:p>
    <w:p>
      <w:pPr>
        <w:spacing w:line="460" w:lineRule="exact"/>
        <w:ind w:firstLine="480" w:firstLineChars="200"/>
        <w:rPr>
          <w:sz w:val="24"/>
        </w:rPr>
      </w:pPr>
      <w:r>
        <w:rPr>
          <w:sz w:val="24"/>
        </w:rPr>
        <w:t>上调幅度的计算公式为：</w:t>
      </w:r>
    </w:p>
    <w:p>
      <w:pPr>
        <w:spacing w:line="460" w:lineRule="exact"/>
        <w:ind w:firstLine="480" w:firstLineChars="200"/>
        <w:rPr>
          <w:sz w:val="24"/>
        </w:rPr>
      </w:pPr>
      <w:r>
        <w:rPr>
          <w:sz w:val="24"/>
        </w:rPr>
        <w:t>F</w:t>
      </w:r>
      <w:r>
        <w:rPr>
          <w:sz w:val="24"/>
          <w:vertAlign w:val="subscript"/>
        </w:rPr>
        <w:t>1</w:t>
      </w:r>
      <w:r>
        <w:rPr>
          <w:sz w:val="24"/>
        </w:rPr>
        <w:t>=（F</w:t>
      </w:r>
      <w:r>
        <w:rPr>
          <w:sz w:val="24"/>
          <w:vertAlign w:val="subscript"/>
        </w:rPr>
        <w:t>max</w:t>
      </w:r>
      <w:r>
        <w:rPr>
          <w:sz w:val="24"/>
        </w:rPr>
        <w:t>-F）/ F×100%</w:t>
      </w:r>
    </w:p>
    <w:p>
      <w:pPr>
        <w:spacing w:line="460" w:lineRule="exact"/>
        <w:ind w:firstLine="480" w:firstLineChars="200"/>
        <w:rPr>
          <w:sz w:val="24"/>
        </w:rPr>
      </w:pPr>
      <w:r>
        <w:rPr>
          <w:sz w:val="24"/>
        </w:rPr>
        <w:t>下调幅度的计算公式为：</w:t>
      </w:r>
    </w:p>
    <w:p>
      <w:pPr>
        <w:spacing w:line="460" w:lineRule="exact"/>
        <w:ind w:firstLine="480" w:firstLineChars="200"/>
        <w:rPr>
          <w:sz w:val="24"/>
          <w:lang/>
        </w:rPr>
      </w:pPr>
      <w:r>
        <w:rPr>
          <w:sz w:val="24"/>
          <w:lang/>
        </w:rPr>
        <w:t>F</w:t>
      </w:r>
      <w:r>
        <w:rPr>
          <w:sz w:val="24"/>
          <w:vertAlign w:val="subscript"/>
          <w:lang/>
        </w:rPr>
        <w:t>2</w:t>
      </w:r>
      <w:r>
        <w:rPr>
          <w:sz w:val="24"/>
          <w:lang/>
        </w:rPr>
        <w:t>=（F</w:t>
      </w:r>
      <w:r>
        <w:rPr>
          <w:sz w:val="24"/>
          <w:vertAlign w:val="subscript"/>
          <w:lang/>
        </w:rPr>
        <w:t>min</w:t>
      </w:r>
      <w:r>
        <w:rPr>
          <w:sz w:val="24"/>
          <w:lang/>
        </w:rPr>
        <w:t>-F）/ F×100%</w:t>
      </w:r>
    </w:p>
    <w:p>
      <w:pPr>
        <w:spacing w:line="460" w:lineRule="exact"/>
        <w:ind w:firstLine="480" w:firstLineChars="200"/>
        <w:rPr>
          <w:sz w:val="24"/>
        </w:rPr>
      </w:pPr>
      <w:r>
        <w:rPr>
          <w:sz w:val="24"/>
        </w:rPr>
        <w:t>式中：F</w:t>
      </w:r>
      <w:r>
        <w:rPr>
          <w:sz w:val="24"/>
          <w:vertAlign w:val="subscript"/>
        </w:rPr>
        <w:t>1</w:t>
      </w:r>
      <w:r>
        <w:rPr>
          <w:sz w:val="24"/>
        </w:rPr>
        <w:t>——基准地价上调最大幅度</w:t>
      </w:r>
    </w:p>
    <w:p>
      <w:pPr>
        <w:spacing w:line="460" w:lineRule="exact"/>
        <w:ind w:firstLine="480" w:firstLineChars="200"/>
        <w:rPr>
          <w:sz w:val="24"/>
        </w:rPr>
      </w:pPr>
      <w:r>
        <w:rPr>
          <w:sz w:val="24"/>
        </w:rPr>
        <w:t>F</w:t>
      </w:r>
      <w:r>
        <w:rPr>
          <w:sz w:val="24"/>
          <w:vertAlign w:val="subscript"/>
        </w:rPr>
        <w:t>2</w:t>
      </w:r>
      <w:r>
        <w:rPr>
          <w:sz w:val="24"/>
        </w:rPr>
        <w:t>——基准地价下调最大幅度</w:t>
      </w:r>
    </w:p>
    <w:p>
      <w:pPr>
        <w:spacing w:line="460" w:lineRule="exact"/>
        <w:ind w:firstLine="480" w:firstLineChars="200"/>
        <w:rPr>
          <w:sz w:val="24"/>
        </w:rPr>
      </w:pPr>
      <w:r>
        <w:rPr>
          <w:sz w:val="24"/>
        </w:rPr>
        <w:t>F——级别基准地价</w:t>
      </w:r>
    </w:p>
    <w:p>
      <w:pPr>
        <w:spacing w:line="460" w:lineRule="exact"/>
        <w:ind w:firstLine="480" w:firstLineChars="200"/>
        <w:rPr>
          <w:sz w:val="24"/>
        </w:rPr>
      </w:pPr>
      <w:r>
        <w:rPr>
          <w:sz w:val="24"/>
        </w:rPr>
        <w:t>F</w:t>
      </w:r>
      <w:r>
        <w:rPr>
          <w:sz w:val="24"/>
          <w:vertAlign w:val="subscript"/>
        </w:rPr>
        <w:t>max</w:t>
      </w:r>
      <w:r>
        <w:rPr>
          <w:sz w:val="24"/>
        </w:rPr>
        <w:t>——级别有效样点地价最高值</w:t>
      </w:r>
    </w:p>
    <w:p>
      <w:pPr>
        <w:spacing w:line="460" w:lineRule="exact"/>
        <w:ind w:firstLine="480" w:firstLineChars="200"/>
        <w:rPr>
          <w:sz w:val="24"/>
        </w:rPr>
      </w:pPr>
      <w:r>
        <w:rPr>
          <w:sz w:val="24"/>
        </w:rPr>
        <w:t>F</w:t>
      </w:r>
      <w:r>
        <w:rPr>
          <w:sz w:val="24"/>
          <w:vertAlign w:val="subscript"/>
        </w:rPr>
        <w:t>min</w:t>
      </w:r>
      <w:r>
        <w:rPr>
          <w:sz w:val="24"/>
        </w:rPr>
        <w:t>——级别有效样点地价最低值。</w:t>
      </w:r>
    </w:p>
    <w:p>
      <w:pPr>
        <w:tabs>
          <w:tab w:val="left" w:pos="2679"/>
        </w:tabs>
        <w:spacing w:line="460" w:lineRule="exact"/>
        <w:jc w:val="center"/>
        <w:rPr>
          <w:b/>
          <w:sz w:val="24"/>
        </w:rPr>
      </w:pPr>
      <w:r>
        <w:rPr>
          <w:b/>
          <w:sz w:val="24"/>
        </w:rPr>
        <w:t>表4-2-</w:t>
      </w:r>
      <w:r>
        <w:rPr>
          <w:rFonts w:hint="eastAsia"/>
          <w:b/>
          <w:sz w:val="24"/>
        </w:rPr>
        <w:t>6</w:t>
      </w:r>
      <w:r>
        <w:rPr>
          <w:b/>
          <w:sz w:val="24"/>
        </w:rPr>
        <w:t xml:space="preserve">  长沙县地价修正幅度计算表</w:t>
      </w:r>
    </w:p>
    <w:tbl>
      <w:tblPr>
        <w:tblW w:w="9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
        <w:gridCol w:w="874"/>
        <w:gridCol w:w="874"/>
        <w:gridCol w:w="874"/>
        <w:gridCol w:w="874"/>
        <w:gridCol w:w="874"/>
        <w:gridCol w:w="874"/>
        <w:gridCol w:w="865"/>
        <w:gridCol w:w="859"/>
        <w:gridCol w:w="859"/>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9" w:type="dxa"/>
            <w:vMerge w:val="restart"/>
            <w:vAlign w:val="center"/>
          </w:tcPr>
          <w:p>
            <w:pPr>
              <w:spacing w:line="460" w:lineRule="exact"/>
              <w:jc w:val="center"/>
              <w:rPr>
                <w:szCs w:val="21"/>
              </w:rPr>
            </w:pPr>
            <w:r>
              <w:rPr>
                <w:szCs w:val="21"/>
              </w:rPr>
              <w:t>级别</w:t>
            </w:r>
          </w:p>
        </w:tc>
        <w:tc>
          <w:tcPr>
            <w:tcW w:w="1748" w:type="dxa"/>
            <w:gridSpan w:val="2"/>
            <w:vAlign w:val="center"/>
          </w:tcPr>
          <w:p>
            <w:pPr>
              <w:spacing w:line="400" w:lineRule="exact"/>
              <w:jc w:val="center"/>
              <w:rPr>
                <w:szCs w:val="21"/>
              </w:rPr>
            </w:pPr>
            <w:r>
              <w:rPr>
                <w:szCs w:val="21"/>
              </w:rPr>
              <w:t>商服用地</w:t>
            </w:r>
          </w:p>
        </w:tc>
        <w:tc>
          <w:tcPr>
            <w:tcW w:w="1748" w:type="dxa"/>
            <w:gridSpan w:val="2"/>
            <w:vAlign w:val="center"/>
          </w:tcPr>
          <w:p>
            <w:pPr>
              <w:spacing w:line="400" w:lineRule="exact"/>
              <w:jc w:val="center"/>
              <w:rPr>
                <w:szCs w:val="21"/>
              </w:rPr>
            </w:pPr>
            <w:r>
              <w:rPr>
                <w:szCs w:val="21"/>
              </w:rPr>
              <w:t>住宅用地</w:t>
            </w:r>
          </w:p>
        </w:tc>
        <w:tc>
          <w:tcPr>
            <w:tcW w:w="1748" w:type="dxa"/>
            <w:gridSpan w:val="2"/>
            <w:vAlign w:val="center"/>
          </w:tcPr>
          <w:p>
            <w:pPr>
              <w:spacing w:line="400" w:lineRule="exact"/>
              <w:jc w:val="center"/>
              <w:rPr>
                <w:szCs w:val="21"/>
              </w:rPr>
            </w:pPr>
            <w:r>
              <w:rPr>
                <w:szCs w:val="21"/>
              </w:rPr>
              <w:t>工矿仓储用地</w:t>
            </w:r>
          </w:p>
        </w:tc>
        <w:tc>
          <w:tcPr>
            <w:tcW w:w="3434" w:type="dxa"/>
            <w:gridSpan w:val="4"/>
            <w:vAlign w:val="center"/>
          </w:tcPr>
          <w:p>
            <w:pPr>
              <w:autoSpaceDE w:val="0"/>
              <w:autoSpaceDN w:val="0"/>
              <w:spacing w:line="400" w:lineRule="exact"/>
              <w:jc w:val="center"/>
              <w:rPr>
                <w:szCs w:val="21"/>
              </w:rPr>
            </w:pPr>
            <w:r>
              <w:rPr>
                <w:rFonts w:hint="eastAsia"/>
                <w:szCs w:val="21"/>
              </w:rPr>
              <w:t>公共管理与公共服务用地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9" w:type="dxa"/>
            <w:vMerge w:val="continue"/>
            <w:vAlign w:val="center"/>
          </w:tcPr>
          <w:p>
            <w:pPr>
              <w:spacing w:line="460" w:lineRule="exact"/>
              <w:jc w:val="center"/>
              <w:rPr>
                <w:szCs w:val="21"/>
              </w:rPr>
            </w:pPr>
          </w:p>
        </w:tc>
        <w:tc>
          <w:tcPr>
            <w:tcW w:w="874" w:type="dxa"/>
            <w:vAlign w:val="center"/>
          </w:tcPr>
          <w:p>
            <w:pPr>
              <w:jc w:val="center"/>
              <w:rPr>
                <w:szCs w:val="21"/>
              </w:rPr>
            </w:pPr>
            <w:r>
              <w:rPr>
                <w:szCs w:val="21"/>
              </w:rPr>
              <w:t>最大上调幅度(%)</w:t>
            </w:r>
          </w:p>
        </w:tc>
        <w:tc>
          <w:tcPr>
            <w:tcW w:w="874" w:type="dxa"/>
            <w:vAlign w:val="center"/>
          </w:tcPr>
          <w:p>
            <w:pPr>
              <w:jc w:val="center"/>
              <w:rPr>
                <w:szCs w:val="21"/>
              </w:rPr>
            </w:pPr>
            <w:r>
              <w:rPr>
                <w:szCs w:val="21"/>
              </w:rPr>
              <w:t>最大下调幅度(%)</w:t>
            </w:r>
          </w:p>
        </w:tc>
        <w:tc>
          <w:tcPr>
            <w:tcW w:w="874" w:type="dxa"/>
            <w:vAlign w:val="center"/>
          </w:tcPr>
          <w:p>
            <w:pPr>
              <w:jc w:val="center"/>
              <w:rPr>
                <w:szCs w:val="21"/>
              </w:rPr>
            </w:pPr>
            <w:r>
              <w:rPr>
                <w:szCs w:val="21"/>
              </w:rPr>
              <w:t>最大上调幅度(%)</w:t>
            </w:r>
          </w:p>
        </w:tc>
        <w:tc>
          <w:tcPr>
            <w:tcW w:w="874" w:type="dxa"/>
            <w:vAlign w:val="center"/>
          </w:tcPr>
          <w:p>
            <w:pPr>
              <w:jc w:val="center"/>
              <w:rPr>
                <w:szCs w:val="21"/>
              </w:rPr>
            </w:pPr>
            <w:r>
              <w:rPr>
                <w:szCs w:val="21"/>
              </w:rPr>
              <w:t>最大下调幅度(%)</w:t>
            </w:r>
          </w:p>
        </w:tc>
        <w:tc>
          <w:tcPr>
            <w:tcW w:w="874" w:type="dxa"/>
            <w:vAlign w:val="center"/>
          </w:tcPr>
          <w:p>
            <w:pPr>
              <w:jc w:val="center"/>
              <w:rPr>
                <w:szCs w:val="21"/>
              </w:rPr>
            </w:pPr>
            <w:r>
              <w:rPr>
                <w:szCs w:val="21"/>
              </w:rPr>
              <w:t>最大上调幅度(%)</w:t>
            </w:r>
          </w:p>
        </w:tc>
        <w:tc>
          <w:tcPr>
            <w:tcW w:w="874" w:type="dxa"/>
            <w:vAlign w:val="center"/>
          </w:tcPr>
          <w:p>
            <w:pPr>
              <w:jc w:val="center"/>
              <w:rPr>
                <w:szCs w:val="21"/>
              </w:rPr>
            </w:pPr>
            <w:r>
              <w:rPr>
                <w:szCs w:val="21"/>
              </w:rPr>
              <w:t>最大下调幅度(%)</w:t>
            </w:r>
          </w:p>
        </w:tc>
        <w:tc>
          <w:tcPr>
            <w:tcW w:w="1724" w:type="dxa"/>
            <w:gridSpan w:val="2"/>
            <w:vAlign w:val="center"/>
          </w:tcPr>
          <w:p>
            <w:pPr>
              <w:autoSpaceDE w:val="0"/>
              <w:autoSpaceDN w:val="0"/>
              <w:spacing w:line="360" w:lineRule="auto"/>
              <w:jc w:val="center"/>
              <w:rPr>
                <w:szCs w:val="21"/>
              </w:rPr>
            </w:pPr>
            <w:r>
              <w:rPr>
                <w:szCs w:val="21"/>
              </w:rPr>
              <w:t>最大上调幅度（一类/二类）(%)</w:t>
            </w:r>
          </w:p>
        </w:tc>
        <w:tc>
          <w:tcPr>
            <w:tcW w:w="1710" w:type="dxa"/>
            <w:gridSpan w:val="2"/>
            <w:vAlign w:val="center"/>
          </w:tcPr>
          <w:p>
            <w:pPr>
              <w:autoSpaceDE w:val="0"/>
              <w:autoSpaceDN w:val="0"/>
              <w:spacing w:line="360" w:lineRule="auto"/>
              <w:jc w:val="center"/>
              <w:rPr>
                <w:szCs w:val="21"/>
              </w:rPr>
            </w:pPr>
            <w:r>
              <w:rPr>
                <w:szCs w:val="21"/>
              </w:rPr>
              <w:t>最大下调幅度（一类/二类）(%)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349" w:type="dxa"/>
            <w:vAlign w:val="center"/>
          </w:tcPr>
          <w:p>
            <w:pPr>
              <w:spacing w:line="460" w:lineRule="exact"/>
              <w:jc w:val="center"/>
              <w:rPr>
                <w:szCs w:val="21"/>
              </w:rPr>
            </w:pPr>
            <w:r>
              <w:rPr>
                <w:szCs w:val="21"/>
              </w:rPr>
              <w:t>Ⅰ</w:t>
            </w:r>
          </w:p>
        </w:tc>
        <w:tc>
          <w:tcPr>
            <w:tcW w:w="874" w:type="dxa"/>
            <w:vAlign w:val="center"/>
          </w:tcPr>
          <w:p>
            <w:pPr>
              <w:widowControl/>
              <w:jc w:val="center"/>
              <w:textAlignment w:val="center"/>
              <w:rPr>
                <w:szCs w:val="21"/>
              </w:rPr>
            </w:pPr>
            <w:r>
              <w:rPr>
                <w:color w:val="000000"/>
                <w:kern w:val="0"/>
                <w:szCs w:val="21"/>
                <w:lang/>
              </w:rPr>
              <w:t xml:space="preserve">13.36 </w:t>
            </w:r>
          </w:p>
        </w:tc>
        <w:tc>
          <w:tcPr>
            <w:tcW w:w="874" w:type="dxa"/>
            <w:vAlign w:val="center"/>
          </w:tcPr>
          <w:p>
            <w:pPr>
              <w:widowControl/>
              <w:jc w:val="center"/>
              <w:textAlignment w:val="center"/>
              <w:rPr>
                <w:szCs w:val="21"/>
              </w:rPr>
            </w:pPr>
            <w:r>
              <w:rPr>
                <w:color w:val="000000"/>
                <w:kern w:val="0"/>
                <w:szCs w:val="21"/>
                <w:lang/>
              </w:rPr>
              <w:t xml:space="preserve">11.37 </w:t>
            </w:r>
          </w:p>
        </w:tc>
        <w:tc>
          <w:tcPr>
            <w:tcW w:w="874" w:type="dxa"/>
            <w:vAlign w:val="center"/>
          </w:tcPr>
          <w:p>
            <w:pPr>
              <w:widowControl/>
              <w:jc w:val="center"/>
              <w:textAlignment w:val="center"/>
              <w:rPr>
                <w:szCs w:val="21"/>
              </w:rPr>
            </w:pPr>
            <w:r>
              <w:rPr>
                <w:color w:val="000000"/>
                <w:kern w:val="0"/>
                <w:szCs w:val="21"/>
                <w:lang/>
              </w:rPr>
              <w:t xml:space="preserve">14.20 </w:t>
            </w:r>
          </w:p>
        </w:tc>
        <w:tc>
          <w:tcPr>
            <w:tcW w:w="874" w:type="dxa"/>
            <w:vAlign w:val="center"/>
          </w:tcPr>
          <w:p>
            <w:pPr>
              <w:widowControl/>
              <w:jc w:val="center"/>
              <w:textAlignment w:val="center"/>
              <w:rPr>
                <w:szCs w:val="21"/>
              </w:rPr>
            </w:pPr>
            <w:r>
              <w:rPr>
                <w:color w:val="000000"/>
                <w:kern w:val="0"/>
                <w:szCs w:val="21"/>
                <w:lang/>
              </w:rPr>
              <w:t xml:space="preserve">12.15 </w:t>
            </w:r>
          </w:p>
        </w:tc>
        <w:tc>
          <w:tcPr>
            <w:tcW w:w="874" w:type="dxa"/>
            <w:vAlign w:val="center"/>
          </w:tcPr>
          <w:p>
            <w:pPr>
              <w:widowControl/>
              <w:spacing w:line="400" w:lineRule="exact"/>
              <w:jc w:val="center"/>
              <w:textAlignment w:val="center"/>
              <w:rPr>
                <w:szCs w:val="21"/>
              </w:rPr>
            </w:pPr>
            <w:r>
              <w:rPr>
                <w:color w:val="000000"/>
                <w:kern w:val="0"/>
                <w:szCs w:val="21"/>
                <w:lang/>
              </w:rPr>
              <w:t>13.41</w:t>
            </w:r>
          </w:p>
        </w:tc>
        <w:tc>
          <w:tcPr>
            <w:tcW w:w="874" w:type="dxa"/>
            <w:vAlign w:val="center"/>
          </w:tcPr>
          <w:p>
            <w:pPr>
              <w:widowControl/>
              <w:spacing w:line="400" w:lineRule="exact"/>
              <w:jc w:val="center"/>
              <w:textAlignment w:val="center"/>
              <w:rPr>
                <w:szCs w:val="21"/>
              </w:rPr>
            </w:pPr>
            <w:r>
              <w:rPr>
                <w:color w:val="000000"/>
                <w:kern w:val="0"/>
                <w:szCs w:val="21"/>
                <w:lang/>
              </w:rPr>
              <w:t>14.82</w:t>
            </w:r>
          </w:p>
        </w:tc>
        <w:tc>
          <w:tcPr>
            <w:tcW w:w="865" w:type="dxa"/>
            <w:vAlign w:val="center"/>
          </w:tcPr>
          <w:p>
            <w:pPr>
              <w:spacing w:line="400" w:lineRule="exact"/>
              <w:jc w:val="center"/>
              <w:rPr>
                <w:color w:val="000000"/>
                <w:kern w:val="0"/>
                <w:szCs w:val="21"/>
                <w:lang/>
              </w:rPr>
            </w:pPr>
            <w:r>
              <w:rPr>
                <w:color w:val="000000"/>
                <w:sz w:val="22"/>
                <w:szCs w:val="22"/>
              </w:rPr>
              <w:t>19.95</w:t>
            </w:r>
          </w:p>
        </w:tc>
        <w:tc>
          <w:tcPr>
            <w:tcW w:w="859" w:type="dxa"/>
            <w:vAlign w:val="center"/>
          </w:tcPr>
          <w:p>
            <w:pPr>
              <w:spacing w:line="400" w:lineRule="exact"/>
              <w:jc w:val="center"/>
              <w:rPr>
                <w:color w:val="000000"/>
                <w:kern w:val="0"/>
                <w:szCs w:val="21"/>
                <w:lang/>
              </w:rPr>
            </w:pPr>
            <w:r>
              <w:rPr>
                <w:color w:val="000000"/>
                <w:sz w:val="22"/>
                <w:szCs w:val="22"/>
              </w:rPr>
              <w:t>19.22</w:t>
            </w:r>
          </w:p>
        </w:tc>
        <w:tc>
          <w:tcPr>
            <w:tcW w:w="859" w:type="dxa"/>
            <w:vAlign w:val="center"/>
          </w:tcPr>
          <w:p>
            <w:pPr>
              <w:spacing w:line="400" w:lineRule="exact"/>
              <w:jc w:val="center"/>
              <w:rPr>
                <w:color w:val="000000"/>
                <w:kern w:val="0"/>
                <w:szCs w:val="21"/>
                <w:lang/>
              </w:rPr>
            </w:pPr>
            <w:r>
              <w:rPr>
                <w:color w:val="000000"/>
                <w:sz w:val="22"/>
                <w:szCs w:val="22"/>
              </w:rPr>
              <w:t>13.86</w:t>
            </w:r>
          </w:p>
        </w:tc>
        <w:tc>
          <w:tcPr>
            <w:tcW w:w="851" w:type="dxa"/>
            <w:vAlign w:val="center"/>
          </w:tcPr>
          <w:p>
            <w:pPr>
              <w:spacing w:line="400" w:lineRule="exact"/>
              <w:jc w:val="center"/>
              <w:rPr>
                <w:color w:val="000000"/>
                <w:kern w:val="0"/>
                <w:szCs w:val="21"/>
                <w:lang/>
              </w:rPr>
            </w:pPr>
            <w:r>
              <w:rPr>
                <w:color w:val="000000"/>
                <w:sz w:val="22"/>
                <w:szCs w:val="22"/>
              </w:rPr>
              <w:t>13.44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9" w:type="dxa"/>
            <w:vAlign w:val="center"/>
          </w:tcPr>
          <w:p>
            <w:pPr>
              <w:spacing w:line="460" w:lineRule="exact"/>
              <w:jc w:val="center"/>
              <w:rPr>
                <w:szCs w:val="21"/>
              </w:rPr>
            </w:pPr>
            <w:r>
              <w:rPr>
                <w:szCs w:val="21"/>
              </w:rPr>
              <w:t>Ⅱ</w:t>
            </w:r>
          </w:p>
        </w:tc>
        <w:tc>
          <w:tcPr>
            <w:tcW w:w="874" w:type="dxa"/>
            <w:vAlign w:val="center"/>
          </w:tcPr>
          <w:p>
            <w:pPr>
              <w:widowControl/>
              <w:jc w:val="center"/>
              <w:textAlignment w:val="center"/>
              <w:rPr>
                <w:szCs w:val="21"/>
              </w:rPr>
            </w:pPr>
            <w:r>
              <w:rPr>
                <w:color w:val="000000"/>
                <w:kern w:val="0"/>
                <w:szCs w:val="21"/>
                <w:lang/>
              </w:rPr>
              <w:t xml:space="preserve">12.54 </w:t>
            </w:r>
          </w:p>
        </w:tc>
        <w:tc>
          <w:tcPr>
            <w:tcW w:w="874" w:type="dxa"/>
            <w:vAlign w:val="center"/>
          </w:tcPr>
          <w:p>
            <w:pPr>
              <w:widowControl/>
              <w:jc w:val="center"/>
              <w:textAlignment w:val="center"/>
              <w:rPr>
                <w:szCs w:val="21"/>
              </w:rPr>
            </w:pPr>
            <w:r>
              <w:rPr>
                <w:color w:val="000000"/>
                <w:kern w:val="0"/>
                <w:szCs w:val="21"/>
                <w:lang/>
              </w:rPr>
              <w:t xml:space="preserve">14.04 </w:t>
            </w:r>
          </w:p>
        </w:tc>
        <w:tc>
          <w:tcPr>
            <w:tcW w:w="874" w:type="dxa"/>
            <w:vAlign w:val="center"/>
          </w:tcPr>
          <w:p>
            <w:pPr>
              <w:widowControl/>
              <w:jc w:val="center"/>
              <w:textAlignment w:val="center"/>
              <w:rPr>
                <w:szCs w:val="21"/>
              </w:rPr>
            </w:pPr>
            <w:r>
              <w:rPr>
                <w:color w:val="000000"/>
                <w:kern w:val="0"/>
                <w:szCs w:val="21"/>
                <w:lang/>
              </w:rPr>
              <w:t xml:space="preserve">13.49 </w:t>
            </w:r>
          </w:p>
        </w:tc>
        <w:tc>
          <w:tcPr>
            <w:tcW w:w="874" w:type="dxa"/>
            <w:vAlign w:val="center"/>
          </w:tcPr>
          <w:p>
            <w:pPr>
              <w:widowControl/>
              <w:jc w:val="center"/>
              <w:textAlignment w:val="center"/>
              <w:rPr>
                <w:szCs w:val="21"/>
              </w:rPr>
            </w:pPr>
            <w:r>
              <w:rPr>
                <w:color w:val="000000"/>
                <w:kern w:val="0"/>
                <w:szCs w:val="21"/>
                <w:lang/>
              </w:rPr>
              <w:t xml:space="preserve">12.38 </w:t>
            </w:r>
          </w:p>
        </w:tc>
        <w:tc>
          <w:tcPr>
            <w:tcW w:w="874" w:type="dxa"/>
            <w:vAlign w:val="center"/>
          </w:tcPr>
          <w:p>
            <w:pPr>
              <w:widowControl/>
              <w:spacing w:line="400" w:lineRule="exact"/>
              <w:jc w:val="center"/>
              <w:textAlignment w:val="center"/>
              <w:rPr>
                <w:szCs w:val="21"/>
              </w:rPr>
            </w:pPr>
            <w:r>
              <w:rPr>
                <w:color w:val="000000"/>
                <w:kern w:val="0"/>
                <w:szCs w:val="21"/>
                <w:lang/>
              </w:rPr>
              <w:t>14.25</w:t>
            </w:r>
          </w:p>
        </w:tc>
        <w:tc>
          <w:tcPr>
            <w:tcW w:w="874" w:type="dxa"/>
            <w:vAlign w:val="center"/>
          </w:tcPr>
          <w:p>
            <w:pPr>
              <w:widowControl/>
              <w:spacing w:line="400" w:lineRule="exact"/>
              <w:jc w:val="center"/>
              <w:textAlignment w:val="center"/>
              <w:rPr>
                <w:szCs w:val="21"/>
              </w:rPr>
            </w:pPr>
            <w:r>
              <w:rPr>
                <w:color w:val="000000"/>
                <w:kern w:val="0"/>
                <w:szCs w:val="21"/>
                <w:lang/>
              </w:rPr>
              <w:t>15.81</w:t>
            </w:r>
          </w:p>
        </w:tc>
        <w:tc>
          <w:tcPr>
            <w:tcW w:w="865" w:type="dxa"/>
            <w:vAlign w:val="center"/>
          </w:tcPr>
          <w:p>
            <w:pPr>
              <w:spacing w:line="400" w:lineRule="exact"/>
              <w:jc w:val="center"/>
              <w:rPr>
                <w:color w:val="000000"/>
                <w:kern w:val="0"/>
                <w:szCs w:val="21"/>
                <w:lang/>
              </w:rPr>
            </w:pPr>
            <w:r>
              <w:rPr>
                <w:color w:val="000000"/>
                <w:sz w:val="22"/>
                <w:szCs w:val="22"/>
              </w:rPr>
              <w:t>17.85</w:t>
            </w:r>
          </w:p>
        </w:tc>
        <w:tc>
          <w:tcPr>
            <w:tcW w:w="859" w:type="dxa"/>
            <w:vAlign w:val="center"/>
          </w:tcPr>
          <w:p>
            <w:pPr>
              <w:spacing w:line="400" w:lineRule="exact"/>
              <w:jc w:val="center"/>
              <w:rPr>
                <w:color w:val="000000"/>
                <w:kern w:val="0"/>
                <w:szCs w:val="21"/>
                <w:lang/>
              </w:rPr>
            </w:pPr>
            <w:r>
              <w:rPr>
                <w:color w:val="000000"/>
                <w:sz w:val="22"/>
                <w:szCs w:val="22"/>
              </w:rPr>
              <w:t>17.22</w:t>
            </w:r>
          </w:p>
        </w:tc>
        <w:tc>
          <w:tcPr>
            <w:tcW w:w="859" w:type="dxa"/>
            <w:vAlign w:val="center"/>
          </w:tcPr>
          <w:p>
            <w:pPr>
              <w:spacing w:line="400" w:lineRule="exact"/>
              <w:jc w:val="center"/>
              <w:rPr>
                <w:color w:val="000000"/>
                <w:kern w:val="0"/>
                <w:szCs w:val="21"/>
                <w:lang/>
              </w:rPr>
            </w:pPr>
            <w:r>
              <w:rPr>
                <w:color w:val="000000"/>
                <w:sz w:val="22"/>
                <w:szCs w:val="22"/>
              </w:rPr>
              <w:t>14.91</w:t>
            </w:r>
          </w:p>
        </w:tc>
        <w:tc>
          <w:tcPr>
            <w:tcW w:w="851" w:type="dxa"/>
            <w:vAlign w:val="center"/>
          </w:tcPr>
          <w:p>
            <w:pPr>
              <w:spacing w:line="400" w:lineRule="exact"/>
              <w:jc w:val="center"/>
              <w:rPr>
                <w:color w:val="000000"/>
                <w:kern w:val="0"/>
                <w:szCs w:val="21"/>
                <w:lang/>
              </w:rPr>
            </w:pPr>
            <w:r>
              <w:rPr>
                <w:color w:val="000000"/>
                <w:sz w:val="22"/>
                <w:szCs w:val="22"/>
              </w:rPr>
              <w:t>14.39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9" w:type="dxa"/>
            <w:vAlign w:val="center"/>
          </w:tcPr>
          <w:p>
            <w:pPr>
              <w:spacing w:line="460" w:lineRule="exact"/>
              <w:jc w:val="center"/>
              <w:rPr>
                <w:szCs w:val="21"/>
              </w:rPr>
            </w:pPr>
            <w:r>
              <w:rPr>
                <w:szCs w:val="21"/>
              </w:rPr>
              <w:t>Ⅲ</w:t>
            </w:r>
          </w:p>
        </w:tc>
        <w:tc>
          <w:tcPr>
            <w:tcW w:w="874" w:type="dxa"/>
            <w:vAlign w:val="center"/>
          </w:tcPr>
          <w:p>
            <w:pPr>
              <w:widowControl/>
              <w:jc w:val="center"/>
              <w:textAlignment w:val="center"/>
              <w:rPr>
                <w:szCs w:val="21"/>
              </w:rPr>
            </w:pPr>
            <w:r>
              <w:rPr>
                <w:color w:val="000000"/>
                <w:kern w:val="0"/>
                <w:szCs w:val="21"/>
                <w:lang/>
              </w:rPr>
              <w:t xml:space="preserve">13.59 </w:t>
            </w:r>
          </w:p>
        </w:tc>
        <w:tc>
          <w:tcPr>
            <w:tcW w:w="874" w:type="dxa"/>
            <w:vAlign w:val="center"/>
          </w:tcPr>
          <w:p>
            <w:pPr>
              <w:widowControl/>
              <w:jc w:val="center"/>
              <w:textAlignment w:val="center"/>
              <w:rPr>
                <w:szCs w:val="21"/>
              </w:rPr>
            </w:pPr>
            <w:r>
              <w:rPr>
                <w:color w:val="000000"/>
                <w:kern w:val="0"/>
                <w:szCs w:val="21"/>
                <w:lang/>
              </w:rPr>
              <w:t xml:space="preserve">13.41 </w:t>
            </w:r>
          </w:p>
        </w:tc>
        <w:tc>
          <w:tcPr>
            <w:tcW w:w="874" w:type="dxa"/>
            <w:vAlign w:val="center"/>
          </w:tcPr>
          <w:p>
            <w:pPr>
              <w:widowControl/>
              <w:jc w:val="center"/>
              <w:textAlignment w:val="center"/>
              <w:rPr>
                <w:szCs w:val="21"/>
              </w:rPr>
            </w:pPr>
            <w:r>
              <w:rPr>
                <w:color w:val="000000"/>
                <w:kern w:val="0"/>
                <w:szCs w:val="21"/>
                <w:lang/>
              </w:rPr>
              <w:t xml:space="preserve">12.65 </w:t>
            </w:r>
          </w:p>
        </w:tc>
        <w:tc>
          <w:tcPr>
            <w:tcW w:w="874" w:type="dxa"/>
            <w:vAlign w:val="center"/>
          </w:tcPr>
          <w:p>
            <w:pPr>
              <w:widowControl/>
              <w:jc w:val="center"/>
              <w:textAlignment w:val="center"/>
              <w:rPr>
                <w:szCs w:val="21"/>
              </w:rPr>
            </w:pPr>
            <w:r>
              <w:rPr>
                <w:color w:val="000000"/>
                <w:kern w:val="0"/>
                <w:szCs w:val="21"/>
                <w:lang/>
              </w:rPr>
              <w:t xml:space="preserve">12.18 </w:t>
            </w:r>
          </w:p>
        </w:tc>
        <w:tc>
          <w:tcPr>
            <w:tcW w:w="874" w:type="dxa"/>
            <w:vAlign w:val="center"/>
          </w:tcPr>
          <w:p>
            <w:pPr>
              <w:widowControl/>
              <w:spacing w:line="400" w:lineRule="exact"/>
              <w:jc w:val="center"/>
              <w:textAlignment w:val="center"/>
              <w:rPr>
                <w:szCs w:val="21"/>
              </w:rPr>
            </w:pPr>
            <w:r>
              <w:rPr>
                <w:color w:val="000000"/>
                <w:kern w:val="0"/>
                <w:szCs w:val="21"/>
                <w:lang/>
              </w:rPr>
              <w:t>13.33</w:t>
            </w:r>
          </w:p>
        </w:tc>
        <w:tc>
          <w:tcPr>
            <w:tcW w:w="874" w:type="dxa"/>
            <w:vAlign w:val="center"/>
          </w:tcPr>
          <w:p>
            <w:pPr>
              <w:widowControl/>
              <w:spacing w:line="400" w:lineRule="exact"/>
              <w:jc w:val="center"/>
              <w:textAlignment w:val="center"/>
              <w:rPr>
                <w:szCs w:val="21"/>
              </w:rPr>
            </w:pPr>
            <w:r>
              <w:rPr>
                <w:color w:val="000000"/>
                <w:kern w:val="0"/>
                <w:szCs w:val="21"/>
                <w:lang/>
              </w:rPr>
              <w:t>13.78</w:t>
            </w:r>
          </w:p>
        </w:tc>
        <w:tc>
          <w:tcPr>
            <w:tcW w:w="865" w:type="dxa"/>
            <w:vAlign w:val="center"/>
          </w:tcPr>
          <w:p>
            <w:pPr>
              <w:spacing w:line="400" w:lineRule="exact"/>
              <w:jc w:val="center"/>
              <w:rPr>
                <w:color w:val="000000"/>
                <w:kern w:val="0"/>
                <w:szCs w:val="21"/>
                <w:lang/>
              </w:rPr>
            </w:pPr>
            <w:r>
              <w:rPr>
                <w:color w:val="000000"/>
                <w:sz w:val="22"/>
                <w:szCs w:val="22"/>
              </w:rPr>
              <w:t>21.21</w:t>
            </w:r>
          </w:p>
        </w:tc>
        <w:tc>
          <w:tcPr>
            <w:tcW w:w="859" w:type="dxa"/>
            <w:vAlign w:val="center"/>
          </w:tcPr>
          <w:p>
            <w:pPr>
              <w:spacing w:line="400" w:lineRule="exact"/>
              <w:jc w:val="center"/>
              <w:rPr>
                <w:color w:val="000000"/>
                <w:kern w:val="0"/>
                <w:szCs w:val="21"/>
                <w:lang/>
              </w:rPr>
            </w:pPr>
            <w:r>
              <w:rPr>
                <w:color w:val="000000"/>
                <w:sz w:val="22"/>
                <w:szCs w:val="22"/>
              </w:rPr>
              <w:t>20.48</w:t>
            </w:r>
          </w:p>
        </w:tc>
        <w:tc>
          <w:tcPr>
            <w:tcW w:w="859" w:type="dxa"/>
            <w:vAlign w:val="center"/>
          </w:tcPr>
          <w:p>
            <w:pPr>
              <w:spacing w:line="400" w:lineRule="exact"/>
              <w:jc w:val="center"/>
              <w:rPr>
                <w:color w:val="000000"/>
                <w:kern w:val="0"/>
                <w:szCs w:val="21"/>
                <w:lang/>
              </w:rPr>
            </w:pPr>
            <w:r>
              <w:rPr>
                <w:color w:val="000000"/>
                <w:sz w:val="22"/>
                <w:szCs w:val="22"/>
              </w:rPr>
              <w:t>16.80</w:t>
            </w:r>
          </w:p>
        </w:tc>
        <w:tc>
          <w:tcPr>
            <w:tcW w:w="851" w:type="dxa"/>
            <w:vAlign w:val="center"/>
          </w:tcPr>
          <w:p>
            <w:pPr>
              <w:spacing w:line="400" w:lineRule="exact"/>
              <w:jc w:val="center"/>
              <w:rPr>
                <w:color w:val="000000"/>
                <w:kern w:val="0"/>
                <w:szCs w:val="21"/>
                <w:lang/>
              </w:rPr>
            </w:pPr>
            <w:r>
              <w:rPr>
                <w:color w:val="000000"/>
                <w:sz w:val="22"/>
                <w:szCs w:val="22"/>
              </w:rPr>
              <w:t>16.28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9" w:type="dxa"/>
            <w:vAlign w:val="center"/>
          </w:tcPr>
          <w:p>
            <w:pPr>
              <w:spacing w:line="460" w:lineRule="exact"/>
              <w:jc w:val="center"/>
              <w:rPr>
                <w:szCs w:val="21"/>
              </w:rPr>
            </w:pPr>
            <w:r>
              <w:rPr>
                <w:szCs w:val="21"/>
              </w:rPr>
              <w:t>Ⅳ</w:t>
            </w:r>
          </w:p>
        </w:tc>
        <w:tc>
          <w:tcPr>
            <w:tcW w:w="874" w:type="dxa"/>
            <w:vAlign w:val="center"/>
          </w:tcPr>
          <w:p>
            <w:pPr>
              <w:widowControl/>
              <w:jc w:val="center"/>
              <w:textAlignment w:val="center"/>
              <w:rPr>
                <w:szCs w:val="21"/>
              </w:rPr>
            </w:pPr>
            <w:r>
              <w:rPr>
                <w:color w:val="000000"/>
                <w:kern w:val="0"/>
                <w:szCs w:val="21"/>
                <w:lang/>
              </w:rPr>
              <w:t xml:space="preserve">13.24 </w:t>
            </w:r>
          </w:p>
        </w:tc>
        <w:tc>
          <w:tcPr>
            <w:tcW w:w="874" w:type="dxa"/>
            <w:vAlign w:val="center"/>
          </w:tcPr>
          <w:p>
            <w:pPr>
              <w:widowControl/>
              <w:jc w:val="center"/>
              <w:textAlignment w:val="center"/>
              <w:rPr>
                <w:szCs w:val="21"/>
              </w:rPr>
            </w:pPr>
            <w:r>
              <w:rPr>
                <w:color w:val="000000"/>
                <w:kern w:val="0"/>
                <w:szCs w:val="21"/>
                <w:lang/>
              </w:rPr>
              <w:t xml:space="preserve">10.55 </w:t>
            </w:r>
          </w:p>
        </w:tc>
        <w:tc>
          <w:tcPr>
            <w:tcW w:w="874" w:type="dxa"/>
            <w:vAlign w:val="center"/>
          </w:tcPr>
          <w:p>
            <w:pPr>
              <w:widowControl/>
              <w:jc w:val="center"/>
              <w:textAlignment w:val="center"/>
              <w:rPr>
                <w:szCs w:val="21"/>
              </w:rPr>
            </w:pPr>
            <w:r>
              <w:rPr>
                <w:color w:val="000000"/>
                <w:kern w:val="0"/>
                <w:szCs w:val="21"/>
                <w:lang/>
              </w:rPr>
              <w:t xml:space="preserve">12.80 </w:t>
            </w:r>
          </w:p>
        </w:tc>
        <w:tc>
          <w:tcPr>
            <w:tcW w:w="874" w:type="dxa"/>
            <w:vAlign w:val="center"/>
          </w:tcPr>
          <w:p>
            <w:pPr>
              <w:widowControl/>
              <w:jc w:val="center"/>
              <w:textAlignment w:val="center"/>
              <w:rPr>
                <w:szCs w:val="21"/>
              </w:rPr>
            </w:pPr>
            <w:r>
              <w:rPr>
                <w:color w:val="000000"/>
                <w:kern w:val="0"/>
                <w:szCs w:val="21"/>
                <w:lang/>
              </w:rPr>
              <w:t xml:space="preserve">12.32 </w:t>
            </w:r>
          </w:p>
        </w:tc>
        <w:tc>
          <w:tcPr>
            <w:tcW w:w="874" w:type="dxa"/>
            <w:vAlign w:val="center"/>
          </w:tcPr>
          <w:p>
            <w:pPr>
              <w:widowControl/>
              <w:spacing w:line="400" w:lineRule="exact"/>
              <w:jc w:val="center"/>
              <w:textAlignment w:val="center"/>
              <w:rPr>
                <w:szCs w:val="21"/>
              </w:rPr>
            </w:pPr>
            <w:r>
              <w:rPr>
                <w:color w:val="000000"/>
                <w:kern w:val="0"/>
                <w:szCs w:val="21"/>
                <w:lang/>
              </w:rPr>
              <w:t>11.08</w:t>
            </w:r>
          </w:p>
        </w:tc>
        <w:tc>
          <w:tcPr>
            <w:tcW w:w="874" w:type="dxa"/>
            <w:vAlign w:val="center"/>
          </w:tcPr>
          <w:p>
            <w:pPr>
              <w:widowControl/>
              <w:spacing w:line="400" w:lineRule="exact"/>
              <w:jc w:val="center"/>
              <w:textAlignment w:val="center"/>
              <w:rPr>
                <w:szCs w:val="21"/>
              </w:rPr>
            </w:pPr>
            <w:r>
              <w:rPr>
                <w:color w:val="000000"/>
                <w:kern w:val="0"/>
                <w:szCs w:val="21"/>
                <w:lang/>
              </w:rPr>
              <w:t>12.24</w:t>
            </w:r>
          </w:p>
        </w:tc>
        <w:tc>
          <w:tcPr>
            <w:tcW w:w="865" w:type="dxa"/>
            <w:vAlign w:val="center"/>
          </w:tcPr>
          <w:p>
            <w:pPr>
              <w:widowControl/>
              <w:spacing w:line="400" w:lineRule="exact"/>
              <w:jc w:val="center"/>
              <w:textAlignment w:val="center"/>
              <w:rPr>
                <w:color w:val="000000"/>
                <w:kern w:val="0"/>
                <w:szCs w:val="21"/>
                <w:lang/>
              </w:rPr>
            </w:pPr>
            <w:r>
              <w:rPr>
                <w:color w:val="000000"/>
                <w:kern w:val="0"/>
                <w:szCs w:val="21"/>
                <w:lang/>
              </w:rPr>
              <w:t>22.58</w:t>
            </w:r>
          </w:p>
        </w:tc>
        <w:tc>
          <w:tcPr>
            <w:tcW w:w="859" w:type="dxa"/>
            <w:vAlign w:val="center"/>
          </w:tcPr>
          <w:p>
            <w:pPr>
              <w:widowControl/>
              <w:spacing w:line="400" w:lineRule="exact"/>
              <w:jc w:val="center"/>
              <w:textAlignment w:val="center"/>
              <w:rPr>
                <w:color w:val="000000"/>
                <w:kern w:val="0"/>
                <w:szCs w:val="21"/>
                <w:lang/>
              </w:rPr>
            </w:pPr>
            <w:r>
              <w:rPr>
                <w:color w:val="000000"/>
                <w:kern w:val="0"/>
                <w:szCs w:val="21"/>
                <w:lang/>
              </w:rPr>
              <w:t>21.77</w:t>
            </w:r>
          </w:p>
        </w:tc>
        <w:tc>
          <w:tcPr>
            <w:tcW w:w="859" w:type="dxa"/>
            <w:vAlign w:val="center"/>
          </w:tcPr>
          <w:p>
            <w:pPr>
              <w:widowControl/>
              <w:spacing w:line="400" w:lineRule="exact"/>
              <w:jc w:val="center"/>
              <w:textAlignment w:val="center"/>
              <w:rPr>
                <w:color w:val="000000"/>
                <w:kern w:val="0"/>
                <w:szCs w:val="21"/>
                <w:lang/>
              </w:rPr>
            </w:pPr>
            <w:r>
              <w:rPr>
                <w:color w:val="000000"/>
                <w:kern w:val="0"/>
                <w:szCs w:val="21"/>
                <w:lang/>
              </w:rPr>
              <w:t>18.21</w:t>
            </w:r>
          </w:p>
        </w:tc>
        <w:tc>
          <w:tcPr>
            <w:tcW w:w="851" w:type="dxa"/>
            <w:vAlign w:val="center"/>
          </w:tcPr>
          <w:p>
            <w:pPr>
              <w:widowControl/>
              <w:spacing w:line="400" w:lineRule="exact"/>
              <w:jc w:val="center"/>
              <w:textAlignment w:val="center"/>
              <w:rPr>
                <w:color w:val="000000"/>
                <w:kern w:val="0"/>
                <w:szCs w:val="21"/>
                <w:lang/>
              </w:rPr>
            </w:pPr>
            <w:r>
              <w:rPr>
                <w:color w:val="000000"/>
                <w:kern w:val="0"/>
                <w:szCs w:val="21"/>
                <w:lang/>
              </w:rPr>
              <w:t>15.73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49" w:type="dxa"/>
            <w:vAlign w:val="center"/>
          </w:tcPr>
          <w:p>
            <w:pPr>
              <w:spacing w:line="460" w:lineRule="exact"/>
              <w:jc w:val="center"/>
              <w:rPr>
                <w:szCs w:val="21"/>
              </w:rPr>
            </w:pPr>
            <w:r>
              <w:rPr>
                <w:szCs w:val="21"/>
              </w:rPr>
              <w:t>Ⅴ</w:t>
            </w:r>
          </w:p>
        </w:tc>
        <w:tc>
          <w:tcPr>
            <w:tcW w:w="874" w:type="dxa"/>
            <w:vAlign w:val="center"/>
          </w:tcPr>
          <w:p>
            <w:pPr>
              <w:widowControl/>
              <w:jc w:val="center"/>
              <w:textAlignment w:val="center"/>
              <w:rPr>
                <w:szCs w:val="21"/>
              </w:rPr>
            </w:pPr>
            <w:r>
              <w:rPr>
                <w:color w:val="000000"/>
                <w:kern w:val="0"/>
                <w:szCs w:val="21"/>
                <w:lang/>
              </w:rPr>
              <w:t xml:space="preserve">11.93 </w:t>
            </w:r>
          </w:p>
        </w:tc>
        <w:tc>
          <w:tcPr>
            <w:tcW w:w="874" w:type="dxa"/>
            <w:vAlign w:val="center"/>
          </w:tcPr>
          <w:p>
            <w:pPr>
              <w:widowControl/>
              <w:jc w:val="center"/>
              <w:textAlignment w:val="center"/>
              <w:rPr>
                <w:szCs w:val="21"/>
              </w:rPr>
            </w:pPr>
            <w:r>
              <w:rPr>
                <w:color w:val="000000"/>
                <w:kern w:val="0"/>
                <w:szCs w:val="21"/>
                <w:lang/>
              </w:rPr>
              <w:t xml:space="preserve">13.25 </w:t>
            </w:r>
          </w:p>
        </w:tc>
        <w:tc>
          <w:tcPr>
            <w:tcW w:w="874" w:type="dxa"/>
            <w:vAlign w:val="center"/>
          </w:tcPr>
          <w:p>
            <w:pPr>
              <w:widowControl/>
              <w:jc w:val="center"/>
              <w:textAlignment w:val="center"/>
              <w:rPr>
                <w:szCs w:val="21"/>
              </w:rPr>
            </w:pPr>
            <w:r>
              <w:rPr>
                <w:color w:val="000000"/>
                <w:kern w:val="0"/>
                <w:szCs w:val="21"/>
                <w:lang/>
              </w:rPr>
              <w:t xml:space="preserve">10.78 </w:t>
            </w:r>
          </w:p>
        </w:tc>
        <w:tc>
          <w:tcPr>
            <w:tcW w:w="874" w:type="dxa"/>
            <w:vAlign w:val="center"/>
          </w:tcPr>
          <w:p>
            <w:pPr>
              <w:widowControl/>
              <w:jc w:val="center"/>
              <w:textAlignment w:val="center"/>
              <w:rPr>
                <w:szCs w:val="21"/>
              </w:rPr>
            </w:pPr>
            <w:r>
              <w:rPr>
                <w:color w:val="000000"/>
                <w:kern w:val="0"/>
                <w:szCs w:val="21"/>
                <w:lang/>
              </w:rPr>
              <w:t xml:space="preserve">10.23 </w:t>
            </w:r>
          </w:p>
        </w:tc>
        <w:tc>
          <w:tcPr>
            <w:tcW w:w="874" w:type="dxa"/>
            <w:vAlign w:val="center"/>
          </w:tcPr>
          <w:p>
            <w:pPr>
              <w:widowControl/>
              <w:spacing w:line="400" w:lineRule="exact"/>
              <w:jc w:val="center"/>
              <w:textAlignment w:val="center"/>
              <w:rPr>
                <w:szCs w:val="21"/>
              </w:rPr>
            </w:pPr>
            <w:r>
              <w:rPr>
                <w:color w:val="000000"/>
                <w:kern w:val="0"/>
                <w:szCs w:val="21"/>
                <w:lang/>
              </w:rPr>
              <w:t>13.59</w:t>
            </w:r>
          </w:p>
        </w:tc>
        <w:tc>
          <w:tcPr>
            <w:tcW w:w="874" w:type="dxa"/>
            <w:vAlign w:val="center"/>
          </w:tcPr>
          <w:p>
            <w:pPr>
              <w:widowControl/>
              <w:spacing w:line="400" w:lineRule="exact"/>
              <w:jc w:val="center"/>
              <w:textAlignment w:val="center"/>
              <w:rPr>
                <w:szCs w:val="21"/>
              </w:rPr>
            </w:pPr>
            <w:r>
              <w:rPr>
                <w:color w:val="000000"/>
                <w:kern w:val="0"/>
                <w:szCs w:val="21"/>
                <w:lang/>
              </w:rPr>
              <w:t>14.76</w:t>
            </w:r>
          </w:p>
        </w:tc>
        <w:tc>
          <w:tcPr>
            <w:tcW w:w="865" w:type="dxa"/>
            <w:vAlign w:val="center"/>
          </w:tcPr>
          <w:p>
            <w:pPr>
              <w:widowControl/>
              <w:spacing w:line="400" w:lineRule="exact"/>
              <w:jc w:val="center"/>
              <w:textAlignment w:val="center"/>
              <w:rPr>
                <w:color w:val="000000"/>
                <w:kern w:val="0"/>
                <w:szCs w:val="21"/>
                <w:lang/>
              </w:rPr>
            </w:pPr>
            <w:r>
              <w:rPr>
                <w:color w:val="000000"/>
                <w:kern w:val="0"/>
                <w:szCs w:val="21"/>
                <w:lang/>
              </w:rPr>
              <w:t>21.23</w:t>
            </w:r>
          </w:p>
        </w:tc>
        <w:tc>
          <w:tcPr>
            <w:tcW w:w="859" w:type="dxa"/>
            <w:vAlign w:val="center"/>
          </w:tcPr>
          <w:p>
            <w:pPr>
              <w:widowControl/>
              <w:spacing w:line="400" w:lineRule="exact"/>
              <w:jc w:val="center"/>
              <w:textAlignment w:val="center"/>
              <w:rPr>
                <w:color w:val="000000"/>
                <w:kern w:val="0"/>
                <w:szCs w:val="21"/>
                <w:lang/>
              </w:rPr>
            </w:pPr>
            <w:r>
              <w:rPr>
                <w:color w:val="000000"/>
                <w:kern w:val="0"/>
                <w:szCs w:val="21"/>
                <w:lang/>
              </w:rPr>
              <w:t>22.54</w:t>
            </w:r>
          </w:p>
        </w:tc>
        <w:tc>
          <w:tcPr>
            <w:tcW w:w="859" w:type="dxa"/>
            <w:vAlign w:val="center"/>
          </w:tcPr>
          <w:p>
            <w:pPr>
              <w:widowControl/>
              <w:spacing w:line="400" w:lineRule="exact"/>
              <w:jc w:val="center"/>
              <w:textAlignment w:val="center"/>
              <w:rPr>
                <w:color w:val="000000"/>
                <w:kern w:val="0"/>
                <w:szCs w:val="21"/>
                <w:lang/>
              </w:rPr>
            </w:pPr>
            <w:r>
              <w:rPr>
                <w:color w:val="000000"/>
                <w:kern w:val="0"/>
                <w:szCs w:val="21"/>
                <w:lang/>
              </w:rPr>
              <w:t>19.74</w:t>
            </w:r>
          </w:p>
        </w:tc>
        <w:tc>
          <w:tcPr>
            <w:tcW w:w="851" w:type="dxa"/>
            <w:vAlign w:val="center"/>
          </w:tcPr>
          <w:p>
            <w:pPr>
              <w:widowControl/>
              <w:spacing w:line="400" w:lineRule="exact"/>
              <w:jc w:val="center"/>
              <w:textAlignment w:val="center"/>
              <w:rPr>
                <w:color w:val="000000"/>
                <w:kern w:val="0"/>
                <w:szCs w:val="21"/>
                <w:lang/>
              </w:rPr>
            </w:pPr>
            <w:r>
              <w:rPr>
                <w:color w:val="000000"/>
                <w:kern w:val="0"/>
                <w:szCs w:val="21"/>
                <w:lang/>
              </w:rPr>
              <w:t>18.23</w:t>
            </w:r>
          </w:p>
        </w:tc>
      </w:tr>
    </w:tbl>
    <w:p>
      <w:pPr>
        <w:spacing w:line="500" w:lineRule="exact"/>
        <w:ind w:firstLine="480" w:firstLineChars="200"/>
        <w:rPr>
          <w:sz w:val="24"/>
          <w:szCs w:val="22"/>
        </w:rPr>
      </w:pPr>
      <w:r>
        <w:rPr>
          <w:sz w:val="24"/>
          <w:szCs w:val="22"/>
        </w:rPr>
        <w:t>2</w:t>
      </w:r>
      <w:r>
        <w:rPr>
          <w:rFonts w:hint="eastAsia"/>
          <w:sz w:val="24"/>
          <w:szCs w:val="22"/>
        </w:rPr>
        <w:t>.</w:t>
      </w:r>
      <w:r>
        <w:rPr>
          <w:sz w:val="24"/>
          <w:szCs w:val="22"/>
        </w:rPr>
        <w:t>区位因素修正系数的确定</w:t>
      </w:r>
    </w:p>
    <w:p>
      <w:pPr>
        <w:spacing w:line="460" w:lineRule="exact"/>
        <w:ind w:firstLine="480" w:firstLineChars="200"/>
        <w:rPr>
          <w:bCs/>
          <w:sz w:val="24"/>
        </w:rPr>
      </w:pPr>
      <w:r>
        <w:rPr>
          <w:bCs/>
          <w:sz w:val="24"/>
        </w:rPr>
        <w:t>利用各区位因素对宗地地价的影响权重，乘以对应级别内的区位条件水平的基准地价总修正幅度，即得该因素在相应级别内的区位因素修正系数。按下式计算各因素的修正系数。</w:t>
      </w:r>
    </w:p>
    <w:p>
      <w:pPr>
        <w:spacing w:line="460" w:lineRule="exact"/>
        <w:ind w:firstLine="480" w:firstLineChars="200"/>
        <w:rPr>
          <w:sz w:val="24"/>
          <w:vertAlign w:val="subscript"/>
        </w:rPr>
      </w:pPr>
      <w:r>
        <w:rPr>
          <w:sz w:val="24"/>
        </w:rPr>
        <w:t>F</w:t>
      </w:r>
      <w:r>
        <w:rPr>
          <w:sz w:val="24"/>
          <w:vertAlign w:val="subscript"/>
        </w:rPr>
        <w:t>li</w:t>
      </w:r>
      <w:r>
        <w:rPr>
          <w:sz w:val="24"/>
        </w:rPr>
        <w:t>=F</w:t>
      </w:r>
      <w:r>
        <w:rPr>
          <w:sz w:val="24"/>
          <w:vertAlign w:val="subscript"/>
        </w:rPr>
        <w:t>1</w:t>
      </w:r>
      <w:r>
        <w:rPr>
          <w:sz w:val="24"/>
        </w:rPr>
        <w:t>×W</w:t>
      </w:r>
      <w:r>
        <w:rPr>
          <w:sz w:val="24"/>
          <w:vertAlign w:val="subscript"/>
        </w:rPr>
        <w:t>i</w:t>
      </w:r>
    </w:p>
    <w:p>
      <w:pPr>
        <w:spacing w:line="460" w:lineRule="exact"/>
        <w:ind w:firstLine="480" w:firstLineChars="200"/>
        <w:rPr>
          <w:sz w:val="24"/>
        </w:rPr>
      </w:pPr>
      <w:r>
        <w:rPr>
          <w:sz w:val="24"/>
        </w:rPr>
        <w:t>F</w:t>
      </w:r>
      <w:r>
        <w:rPr>
          <w:sz w:val="24"/>
          <w:vertAlign w:val="subscript"/>
        </w:rPr>
        <w:t>2i</w:t>
      </w:r>
      <w:r>
        <w:rPr>
          <w:sz w:val="24"/>
        </w:rPr>
        <w:t>=F</w:t>
      </w:r>
      <w:r>
        <w:rPr>
          <w:sz w:val="24"/>
          <w:vertAlign w:val="subscript"/>
        </w:rPr>
        <w:t>1</w:t>
      </w:r>
      <w:r>
        <w:rPr>
          <w:sz w:val="24"/>
        </w:rPr>
        <w:t>×W</w:t>
      </w:r>
      <w:r>
        <w:rPr>
          <w:sz w:val="24"/>
          <w:vertAlign w:val="subscript"/>
        </w:rPr>
        <w:t>i</w:t>
      </w:r>
    </w:p>
    <w:p>
      <w:pPr>
        <w:spacing w:line="460" w:lineRule="exact"/>
        <w:ind w:firstLine="480" w:firstLineChars="200"/>
        <w:rPr>
          <w:sz w:val="24"/>
        </w:rPr>
      </w:pPr>
      <w:r>
        <w:rPr>
          <w:sz w:val="24"/>
        </w:rPr>
        <w:t>式中：F</w:t>
      </w:r>
      <w:r>
        <w:rPr>
          <w:sz w:val="24"/>
          <w:vertAlign w:val="subscript"/>
        </w:rPr>
        <w:t>1i</w:t>
      </w:r>
      <w:r>
        <w:rPr>
          <w:sz w:val="24"/>
        </w:rPr>
        <w:t>——某一因素的上调系数</w:t>
      </w:r>
    </w:p>
    <w:p>
      <w:pPr>
        <w:spacing w:line="460" w:lineRule="exact"/>
        <w:ind w:firstLine="480" w:firstLineChars="200"/>
        <w:rPr>
          <w:sz w:val="24"/>
        </w:rPr>
      </w:pPr>
      <w:r>
        <w:rPr>
          <w:sz w:val="24"/>
        </w:rPr>
        <w:t>F</w:t>
      </w:r>
      <w:r>
        <w:rPr>
          <w:sz w:val="24"/>
          <w:vertAlign w:val="subscript"/>
        </w:rPr>
        <w:t>2i</w:t>
      </w:r>
      <w:r>
        <w:rPr>
          <w:sz w:val="24"/>
        </w:rPr>
        <w:t>——某一因素的下调系数</w:t>
      </w:r>
    </w:p>
    <w:p>
      <w:pPr>
        <w:pStyle w:val="49"/>
        <w:spacing w:line="360" w:lineRule="auto"/>
        <w:rPr>
          <w:bCs/>
          <w:szCs w:val="24"/>
        </w:rPr>
      </w:pPr>
      <w:r>
        <w:t>W</w:t>
      </w:r>
      <w:r>
        <w:rPr>
          <w:vertAlign w:val="subscript"/>
        </w:rPr>
        <w:t>i</w:t>
      </w:r>
      <w:r>
        <w:t>——某一因素对宗地地价的影响权重。</w:t>
      </w:r>
    </w:p>
    <w:p>
      <w:pPr>
        <w:spacing w:line="500" w:lineRule="exact"/>
        <w:ind w:firstLine="480" w:firstLineChars="200"/>
        <w:rPr>
          <w:sz w:val="24"/>
          <w:szCs w:val="22"/>
        </w:rPr>
      </w:pPr>
      <w:r>
        <w:rPr>
          <w:sz w:val="24"/>
          <w:szCs w:val="22"/>
        </w:rPr>
        <w:t>3</w:t>
      </w:r>
      <w:r>
        <w:rPr>
          <w:rFonts w:hint="eastAsia"/>
          <w:sz w:val="24"/>
          <w:szCs w:val="22"/>
        </w:rPr>
        <w:t>.</w:t>
      </w:r>
      <w:r>
        <w:rPr>
          <w:sz w:val="24"/>
          <w:szCs w:val="22"/>
        </w:rPr>
        <w:t>区位因素修正系数条件指标的编制</w:t>
      </w:r>
    </w:p>
    <w:p>
      <w:pPr>
        <w:spacing w:line="460" w:lineRule="exact"/>
        <w:ind w:firstLine="480" w:firstLineChars="200"/>
        <w:rPr>
          <w:sz w:val="24"/>
        </w:rPr>
      </w:pPr>
      <w:r>
        <w:rPr>
          <w:bCs/>
          <w:sz w:val="24"/>
        </w:rPr>
        <w:t>根据区位因素对宗地地价的修正幅度，利用土地级别划分中各类因子的指标量化结果，考虑各类因子对土地的影响方式，逆推出优、较优、一般、较劣、劣状态下各因素的条件，以此编制区位因素修正系数条件指标表。通常</w:t>
      </w:r>
      <w:r>
        <w:rPr>
          <w:sz w:val="24"/>
        </w:rPr>
        <w:t>基准地价一般水平，其修正系数为零。在一般水平与上限价格之间，内插条件较优的修正系数，一般为F</w:t>
      </w:r>
      <w:r>
        <w:rPr>
          <w:sz w:val="24"/>
          <w:vertAlign w:val="subscript"/>
        </w:rPr>
        <w:t>1i</w:t>
      </w:r>
      <w:r>
        <w:rPr>
          <w:sz w:val="24"/>
        </w:rPr>
        <w:t>/2，同时确定较优条件下的地价标准。在一般水平与下限价格之间，内插条件较劣的修正系数，通常为F</w:t>
      </w:r>
      <w:r>
        <w:rPr>
          <w:sz w:val="24"/>
          <w:vertAlign w:val="subscript"/>
        </w:rPr>
        <w:t>2I</w:t>
      </w:r>
      <w:r>
        <w:rPr>
          <w:sz w:val="24"/>
        </w:rPr>
        <w:t>/2，同时确定较劣条件下的地价标准。</w:t>
      </w:r>
      <w:r>
        <w:rPr>
          <w:bCs/>
          <w:sz w:val="24"/>
        </w:rPr>
        <w:t>并在此基础上，通过已有地价样点的检验、校核，编制出各类用地各级别的宗地地价修正系数条件指标表。</w:t>
      </w:r>
    </w:p>
    <w:p>
      <w:pPr>
        <w:spacing w:line="360" w:lineRule="auto"/>
        <w:ind w:firstLine="560" w:firstLineChars="200"/>
        <w:outlineLvl w:val="2"/>
        <w:rPr>
          <w:rFonts w:eastAsia="黑体"/>
          <w:sz w:val="28"/>
          <w:szCs w:val="28"/>
        </w:rPr>
      </w:pPr>
      <w:bookmarkStart w:id="773" w:name="_Toc470721356"/>
      <w:bookmarkStart w:id="774" w:name="_Toc213589825"/>
      <w:bookmarkStart w:id="775" w:name="_Toc32200"/>
      <w:bookmarkStart w:id="776" w:name="_Toc467846888"/>
      <w:bookmarkStart w:id="777" w:name="_Toc271529507"/>
      <w:bookmarkStart w:id="778" w:name="_Toc469296506"/>
      <w:bookmarkStart w:id="779" w:name="_Toc27843"/>
      <w:r>
        <w:rPr>
          <w:rFonts w:eastAsia="黑体"/>
          <w:sz w:val="28"/>
          <w:szCs w:val="28"/>
        </w:rPr>
        <w:t>二、宗地地价个别因素修正体系的编制</w:t>
      </w:r>
      <w:bookmarkEnd w:id="773"/>
      <w:bookmarkEnd w:id="774"/>
      <w:bookmarkEnd w:id="775"/>
      <w:bookmarkEnd w:id="776"/>
      <w:bookmarkEnd w:id="777"/>
      <w:bookmarkEnd w:id="778"/>
      <w:bookmarkEnd w:id="779"/>
    </w:p>
    <w:p>
      <w:pPr>
        <w:spacing w:line="500" w:lineRule="exact"/>
        <w:ind w:firstLine="482" w:firstLineChars="200"/>
        <w:jc w:val="left"/>
        <w:outlineLvl w:val="3"/>
        <w:rPr>
          <w:b/>
          <w:sz w:val="24"/>
          <w:szCs w:val="22"/>
        </w:rPr>
      </w:pPr>
      <w:r>
        <w:rPr>
          <w:rFonts w:hint="eastAsia"/>
          <w:b/>
          <w:sz w:val="24"/>
          <w:szCs w:val="22"/>
        </w:rPr>
        <w:t>1、</w:t>
      </w:r>
      <w:r>
        <w:rPr>
          <w:b/>
          <w:sz w:val="24"/>
          <w:szCs w:val="22"/>
        </w:rPr>
        <w:t>出让年期修正（Kn）</w:t>
      </w:r>
    </w:p>
    <w:p>
      <w:pPr>
        <w:spacing w:line="460" w:lineRule="exact"/>
        <w:ind w:firstLine="480" w:firstLineChars="200"/>
        <w:rPr>
          <w:sz w:val="24"/>
        </w:rPr>
      </w:pPr>
      <w:r>
        <w:rPr>
          <w:sz w:val="24"/>
        </w:rPr>
        <w:t>基准地价是各类用地法定最高出让年期的地价，在对实际出让年期与法定最高出让年期不一致的宗地进行估价时，必须进行出让年期修正。将法定最高出让年期（m）的基准地价修正到某出让年期（n）的宗地地价修正系数为：</w:t>
      </w:r>
    </w:p>
    <w:p>
      <w:pPr>
        <w:spacing w:line="360" w:lineRule="auto"/>
        <w:ind w:firstLine="480" w:firstLineChars="200"/>
        <w:rPr>
          <w:color w:val="000000"/>
          <w:sz w:val="24"/>
        </w:rPr>
      </w:pPr>
      <w:r>
        <w:rPr>
          <w:rFonts w:ascii="Times New Roman" w:hAnsi="Times New Roman" w:eastAsia="宋体" w:cs="Times New Roman"/>
          <w:color w:val="000000"/>
          <w:kern w:val="2"/>
          <w:position w:val="-62"/>
          <w:sz w:val="24"/>
          <w:lang w:val="en-US" w:eastAsia="zh-CN" w:bidi="ar-SA"/>
        </w:rPr>
        <w:object>
          <v:shape id="Picture 29" type="#_x0000_t75" style="height:67.7pt;width:92.4pt;rotation:0f;" o:ole="t" fillcolor="#FFFFFF" filled="f" o:preferrelative="t" stroked="f" coordorigin="0,0" coordsize="21600,21600">
            <v:fill on="f" color2="#FFFFFF" focus="0%"/>
            <v:imagedata gain="65536f" blacklevel="0f" gamma="0" o:title="" r:id="rId135"/>
            <o:lock v:ext="edit" position="f" selection="f" grouping="f" rotation="f" cropping="f" text="f" aspectratio="t"/>
            <w10:wrap type="none"/>
            <w10:anchorlock/>
          </v:shape>
          <o:OLEObject Type="Embed" ProgID="" ShapeID="Picture 29" DrawAspect="Content" ObjectID="_326" r:id="rId134"/>
        </w:object>
      </w:r>
      <w:r>
        <w:rPr>
          <w:color w:val="000000"/>
          <w:sz w:val="24"/>
        </w:rPr>
        <w:t xml:space="preserve"> …………………………………………（公式4-2-1）</w:t>
      </w:r>
    </w:p>
    <w:p>
      <w:pPr>
        <w:spacing w:line="360" w:lineRule="auto"/>
        <w:ind w:firstLine="480" w:firstLineChars="200"/>
        <w:rPr>
          <w:color w:val="000000"/>
          <w:sz w:val="24"/>
        </w:rPr>
      </w:pPr>
      <w:r>
        <w:rPr>
          <w:color w:val="000000"/>
          <w:sz w:val="24"/>
        </w:rPr>
        <w:t>式中：</w:t>
      </w:r>
      <w:r>
        <w:rPr>
          <w:rFonts w:ascii="Times New Roman" w:hAnsi="Times New Roman" w:eastAsia="宋体" w:cs="Times New Roman"/>
          <w:kern w:val="2"/>
          <w:position w:val="-12"/>
          <w:sz w:val="24"/>
          <w:lang w:val="en-US" w:eastAsia="zh-CN" w:bidi="ar-SA"/>
        </w:rPr>
        <w:object>
          <v:shape id="Picture 30" type="#_x0000_t75" style="height:17.2pt;width:12.9pt;rotation:0f;" o:ole="t" fillcolor="#FFFFFF" filled="f" o:preferrelative="t" stroked="f" coordorigin="0,0" coordsize="21600,21600">
            <v:fill on="f" color2="#FFFFFF" focus="0%"/>
            <v:imagedata gain="65536f" blacklevel="0f" gamma="0" o:title="" r:id="rId137"/>
            <o:lock v:ext="edit" position="f" selection="f" grouping="f" rotation="f" cropping="f" text="f" aspectratio="t"/>
            <w10:wrap type="none"/>
            <w10:anchorlock/>
          </v:shape>
          <o:OLEObject Type="Embed" ProgID="" ShapeID="Picture 30" DrawAspect="Content" ObjectID="_327" r:id="rId136"/>
        </w:object>
      </w:r>
      <w:r>
        <w:rPr>
          <w:color w:val="000000"/>
          <w:sz w:val="24"/>
        </w:rPr>
        <w:t>——出让年期修正系数</w:t>
      </w:r>
    </w:p>
    <w:p>
      <w:pPr>
        <w:spacing w:line="360" w:lineRule="auto"/>
        <w:ind w:firstLine="480" w:firstLineChars="200"/>
        <w:rPr>
          <w:color w:val="000000"/>
          <w:sz w:val="24"/>
        </w:rPr>
      </w:pPr>
      <w:r>
        <w:rPr>
          <w:rFonts w:ascii="Times New Roman" w:hAnsi="Times New Roman" w:eastAsia="宋体" w:cs="Times New Roman"/>
          <w:kern w:val="2"/>
          <w:position w:val="-6"/>
          <w:sz w:val="24"/>
          <w:lang w:val="en-US" w:eastAsia="zh-CN" w:bidi="ar-SA"/>
        </w:rPr>
        <w:object>
          <v:shape id="Picture 31" type="#_x0000_t75" style="height:10.75pt;width:12.9pt;rotation:0f;" o:ole="t" fillcolor="#FFFFFF" filled="f" o:preferrelative="t" stroked="f" coordorigin="0,0" coordsize="21600,21600">
            <v:fill on="f" color2="#FFFFFF" focus="0%"/>
            <v:imagedata gain="65536f" blacklevel="0f" gamma="0" o:title="" r:id="rId139"/>
            <o:lock v:ext="edit" position="f" selection="f" grouping="f" rotation="f" cropping="f" text="f" aspectratio="t"/>
            <w10:wrap type="none"/>
            <w10:anchorlock/>
          </v:shape>
          <o:OLEObject Type="Embed" ProgID="" ShapeID="Picture 31" DrawAspect="Content" ObjectID="_328" r:id="rId138"/>
        </w:object>
      </w:r>
      <w:r>
        <w:rPr>
          <w:color w:val="000000"/>
          <w:sz w:val="24"/>
        </w:rPr>
        <w:t>——法定最高出让年期</w:t>
      </w:r>
    </w:p>
    <w:p>
      <w:pPr>
        <w:spacing w:line="360" w:lineRule="auto"/>
        <w:ind w:firstLine="480" w:firstLineChars="200"/>
        <w:rPr>
          <w:color w:val="000000"/>
          <w:sz w:val="24"/>
        </w:rPr>
      </w:pPr>
      <w:r>
        <w:rPr>
          <w:rFonts w:ascii="Times New Roman" w:hAnsi="Times New Roman" w:eastAsia="宋体" w:cs="Times New Roman"/>
          <w:kern w:val="2"/>
          <w:position w:val="-6"/>
          <w:sz w:val="24"/>
          <w:lang w:val="en-US" w:eastAsia="zh-CN" w:bidi="ar-SA"/>
        </w:rPr>
        <w:object>
          <v:shape id="Picture 32" type="#_x0000_t75" style="height:10.75pt;width:9.65pt;rotation:0f;" o:ole="t" fillcolor="#FFFFFF" filled="f" o:preferrelative="t" stroked="f" coordorigin="0,0" coordsize="21600,21600">
            <v:fill on="f" color2="#FFFFFF" focus="0%"/>
            <v:imagedata gain="65536f" blacklevel="0f" gamma="0" o:title="" r:id="rId141"/>
            <o:lock v:ext="edit" position="f" selection="f" grouping="f" rotation="f" cropping="f" text="f" aspectratio="t"/>
            <w10:wrap type="none"/>
            <w10:anchorlock/>
          </v:shape>
          <o:OLEObject Type="Embed" ProgID="" ShapeID="Picture 32" DrawAspect="Content" ObjectID="_329" r:id="rId140"/>
        </w:object>
      </w:r>
      <w:r>
        <w:rPr>
          <w:color w:val="000000"/>
          <w:sz w:val="24"/>
        </w:rPr>
        <w:t>——实际出让年期</w:t>
      </w:r>
    </w:p>
    <w:p>
      <w:pPr>
        <w:spacing w:line="360" w:lineRule="auto"/>
        <w:ind w:firstLine="480" w:firstLineChars="200"/>
        <w:rPr>
          <w:color w:val="000000"/>
          <w:sz w:val="24"/>
        </w:rPr>
      </w:pPr>
      <w:r>
        <w:rPr>
          <w:rFonts w:ascii="Times New Roman" w:hAnsi="Times New Roman" w:eastAsia="宋体" w:cs="Times New Roman"/>
          <w:kern w:val="2"/>
          <w:position w:val="-12"/>
          <w:sz w:val="24"/>
          <w:lang w:val="en-US" w:eastAsia="zh-CN" w:bidi="ar-SA"/>
        </w:rPr>
        <w:object>
          <v:shape id="Picture 33" type="#_x0000_t75" style="height:17.2pt;width:17.35pt;rotation:0f;" o:ole="t" fillcolor="#FFFFFF" filled="f" o:preferrelative="t" stroked="f" coordorigin="0,0" coordsize="21600,21600">
            <v:fill on="f" color2="#FFFFFF" focus="0%"/>
            <v:imagedata gain="65536f" blacklevel="0f" gamma="0" o:title="" r:id="rId143"/>
            <o:lock v:ext="edit" position="f" selection="f" grouping="f" rotation="f" cropping="f" text="f" aspectratio="t"/>
            <w10:wrap type="none"/>
            <w10:anchorlock/>
          </v:shape>
          <o:OLEObject Type="Embed" ProgID="" ShapeID="Picture 33" DrawAspect="Content" ObjectID="_330" r:id="rId142"/>
        </w:object>
      </w:r>
      <w:r>
        <w:rPr>
          <w:color w:val="000000"/>
          <w:sz w:val="24"/>
        </w:rPr>
        <w:t>——土地还原利率</w:t>
      </w:r>
    </w:p>
    <w:p>
      <w:pPr>
        <w:spacing w:line="500" w:lineRule="exact"/>
        <w:ind w:firstLine="482" w:firstLineChars="200"/>
        <w:jc w:val="left"/>
        <w:outlineLvl w:val="3"/>
        <w:rPr>
          <w:b/>
          <w:sz w:val="24"/>
          <w:szCs w:val="22"/>
        </w:rPr>
      </w:pPr>
      <w:r>
        <w:rPr>
          <w:rFonts w:hint="eastAsia"/>
          <w:b/>
          <w:sz w:val="24"/>
          <w:szCs w:val="22"/>
        </w:rPr>
        <w:t>2、</w:t>
      </w:r>
      <w:r>
        <w:rPr>
          <w:b/>
          <w:sz w:val="24"/>
          <w:szCs w:val="22"/>
        </w:rPr>
        <w:t>交易期日修正</w:t>
      </w:r>
    </w:p>
    <w:p>
      <w:pPr>
        <w:spacing w:line="460" w:lineRule="exact"/>
        <w:ind w:firstLine="480" w:firstLineChars="200"/>
        <w:rPr>
          <w:sz w:val="24"/>
        </w:rPr>
      </w:pPr>
      <w:r>
        <w:rPr>
          <w:sz w:val="24"/>
        </w:rPr>
        <w:t>待估宗地的基准期日与</w:t>
      </w:r>
      <w:r>
        <w:rPr>
          <w:sz w:val="24"/>
          <w:lang/>
        </w:rPr>
        <w:t>基准地价的</w:t>
      </w:r>
      <w:r>
        <w:rPr>
          <w:sz w:val="24"/>
        </w:rPr>
        <w:t>基准期日如不相同，则需根据地价的实际变化程度进行期日修正。交易期日修正系数</w:t>
      </w:r>
      <w:r>
        <w:rPr>
          <w:sz w:val="24"/>
          <w:lang/>
        </w:rPr>
        <w:t>K</w:t>
      </w:r>
      <w:r>
        <w:rPr>
          <w:sz w:val="24"/>
          <w:vertAlign w:val="subscript"/>
          <w:lang/>
        </w:rPr>
        <w:t>t</w:t>
      </w:r>
      <w:r>
        <w:rPr>
          <w:sz w:val="24"/>
        </w:rPr>
        <w:t xml:space="preserve"> 与P</w:t>
      </w:r>
      <w:r>
        <w:rPr>
          <w:sz w:val="24"/>
          <w:vertAlign w:val="subscript"/>
        </w:rPr>
        <w:t>i</w:t>
      </w:r>
      <w:r>
        <w:rPr>
          <w:sz w:val="24"/>
          <w:lang/>
        </w:rPr>
        <w:t xml:space="preserve"> 、P</w:t>
      </w:r>
      <w:r>
        <w:rPr>
          <w:sz w:val="24"/>
          <w:vertAlign w:val="subscript"/>
          <w:lang/>
        </w:rPr>
        <w:t>o</w:t>
      </w:r>
      <w:r>
        <w:rPr>
          <w:sz w:val="24"/>
          <w:lang/>
        </w:rPr>
        <w:t xml:space="preserve"> </w:t>
      </w:r>
      <w:r>
        <w:rPr>
          <w:sz w:val="24"/>
        </w:rPr>
        <w:t>关系如下式：</w:t>
      </w:r>
    </w:p>
    <w:p>
      <w:pPr>
        <w:spacing w:line="360" w:lineRule="auto"/>
        <w:ind w:firstLine="480" w:firstLineChars="200"/>
        <w:rPr>
          <w:color w:val="000000"/>
          <w:sz w:val="24"/>
        </w:rPr>
      </w:pPr>
      <w:r>
        <w:rPr>
          <w:rFonts w:ascii="Times New Roman" w:hAnsi="Times New Roman" w:eastAsia="宋体" w:cs="Times New Roman"/>
          <w:color w:val="000000"/>
          <w:kern w:val="2"/>
          <w:position w:val="-26"/>
          <w:sz w:val="24"/>
          <w:lang w:val="en-US" w:eastAsia="zh-CN" w:bidi="ar-SA"/>
        </w:rPr>
        <w:object>
          <v:shape id="Picture 34" type="#_x0000_t75" style="height:30.1pt;width:41.9pt;rotation:0f;" o:ole="t" fillcolor="#FFFFFF" filled="f" o:preferrelative="t" stroked="f" coordorigin="0,0" coordsize="21600,21600">
            <v:fill on="f" color2="#FFFFFF" focus="0%"/>
            <v:imagedata gain="65536f" blacklevel="0f" gamma="0" o:title="" r:id="rId145"/>
            <o:lock v:ext="edit" position="f" selection="f" grouping="f" rotation="f" cropping="f" text="f" aspectratio="t"/>
            <w10:wrap type="none"/>
            <w10:anchorlock/>
          </v:shape>
          <o:OLEObject Type="Embed" ProgID="" ShapeID="Picture 34" DrawAspect="Content" ObjectID="_331" r:id="rId144"/>
        </w:object>
      </w:r>
      <w:r>
        <w:rPr>
          <w:color w:val="000000"/>
          <w:sz w:val="24"/>
        </w:rPr>
        <w:t xml:space="preserve"> ……………………………………………………（公式4-2-2）</w:t>
      </w:r>
    </w:p>
    <w:p>
      <w:pPr>
        <w:spacing w:line="360" w:lineRule="auto"/>
        <w:ind w:firstLine="480" w:firstLineChars="200"/>
        <w:rPr>
          <w:color w:val="000000"/>
          <w:sz w:val="24"/>
        </w:rPr>
      </w:pPr>
      <w:r>
        <w:rPr>
          <w:color w:val="000000"/>
          <w:sz w:val="24"/>
        </w:rPr>
        <w:t>式中</w:t>
      </w:r>
      <w:r>
        <w:rPr>
          <w:color w:val="000000"/>
          <w:sz w:val="24"/>
          <w:lang/>
        </w:rPr>
        <w:t>：K</w:t>
      </w:r>
      <w:r>
        <w:rPr>
          <w:color w:val="000000"/>
          <w:sz w:val="24"/>
          <w:vertAlign w:val="subscript"/>
          <w:lang/>
        </w:rPr>
        <w:t>t</w:t>
      </w:r>
      <w:r>
        <w:rPr>
          <w:color w:val="000000"/>
          <w:sz w:val="24"/>
          <w:lang/>
        </w:rPr>
        <w:t>——</w:t>
      </w:r>
      <w:r>
        <w:rPr>
          <w:color w:val="000000"/>
          <w:sz w:val="24"/>
        </w:rPr>
        <w:t>将基准地价评估期日修正到待估宗地评估期日的系数</w:t>
      </w:r>
    </w:p>
    <w:p>
      <w:pPr>
        <w:spacing w:line="360" w:lineRule="auto"/>
        <w:ind w:left="601" w:firstLine="480" w:firstLineChars="200"/>
        <w:rPr>
          <w:color w:val="000000"/>
          <w:sz w:val="24"/>
        </w:rPr>
      </w:pPr>
      <w:r>
        <w:rPr>
          <w:color w:val="000000"/>
          <w:sz w:val="24"/>
        </w:rPr>
        <w:t>P</w:t>
      </w:r>
      <w:r>
        <w:rPr>
          <w:color w:val="000000"/>
          <w:sz w:val="24"/>
          <w:vertAlign w:val="subscript"/>
        </w:rPr>
        <w:t>i</w:t>
      </w:r>
      <w:r>
        <w:rPr>
          <w:color w:val="000000"/>
          <w:sz w:val="24"/>
        </w:rPr>
        <w:t>——待估宗地所在土地级别评估期日的地价</w:t>
      </w:r>
    </w:p>
    <w:p>
      <w:pPr>
        <w:spacing w:line="360" w:lineRule="auto"/>
        <w:ind w:left="603" w:firstLine="480" w:firstLineChars="200"/>
        <w:rPr>
          <w:color w:val="000000"/>
          <w:sz w:val="24"/>
        </w:rPr>
      </w:pPr>
      <w:r>
        <w:rPr>
          <w:color w:val="000000"/>
          <w:sz w:val="24"/>
          <w:lang/>
        </w:rPr>
        <w:t>P</w:t>
      </w:r>
      <w:r>
        <w:rPr>
          <w:color w:val="000000"/>
          <w:sz w:val="24"/>
          <w:vertAlign w:val="subscript"/>
          <w:lang/>
        </w:rPr>
        <w:t>o</w:t>
      </w:r>
      <w:r>
        <w:rPr>
          <w:color w:val="000000"/>
          <w:sz w:val="24"/>
          <w:lang/>
        </w:rPr>
        <w:t>——</w:t>
      </w:r>
      <w:r>
        <w:rPr>
          <w:color w:val="000000"/>
          <w:sz w:val="24"/>
        </w:rPr>
        <w:t>基准地价评估期日待估宗地所在土地级别的土地交易平均价格</w:t>
      </w:r>
    </w:p>
    <w:p>
      <w:pPr>
        <w:spacing w:line="500" w:lineRule="exact"/>
        <w:ind w:firstLine="482" w:firstLineChars="200"/>
        <w:jc w:val="left"/>
        <w:outlineLvl w:val="3"/>
        <w:rPr>
          <w:b/>
          <w:sz w:val="24"/>
          <w:szCs w:val="22"/>
        </w:rPr>
      </w:pPr>
      <w:r>
        <w:rPr>
          <w:rFonts w:hint="eastAsia"/>
          <w:b/>
          <w:sz w:val="24"/>
          <w:szCs w:val="22"/>
        </w:rPr>
        <w:t>3、</w:t>
      </w:r>
      <w:r>
        <w:rPr>
          <w:b/>
          <w:sz w:val="24"/>
          <w:szCs w:val="22"/>
        </w:rPr>
        <w:t>土地开发程度修正</w:t>
      </w:r>
    </w:p>
    <w:p>
      <w:pPr>
        <w:spacing w:line="460" w:lineRule="exact"/>
        <w:ind w:firstLine="480" w:firstLineChars="200"/>
        <w:rPr>
          <w:sz w:val="24"/>
        </w:rPr>
      </w:pPr>
      <w:r>
        <w:rPr>
          <w:sz w:val="24"/>
        </w:rPr>
        <w:t>当待估宗地的开发程度与基准地价所设定的平均开发程度不一致时，必须进行开发程度修正。通过对长沙县城市规划区各个区域开发程度以及开发费的调查与分析发现：①长沙县熟地普遍开发程度为五通一平（道路、给水、排水、电力、通讯及宗地内土地平整）；②从规划区中心到规划区外缘由于设施完善度标准和土地使用强度不一样，在整体市政设施网络中所应分摊的开发费有所区别，一般规律是逐渐下降；③不同用途的土地也因对基础设施的需求和使用不同导致开发成本不一样，商服用地最高、住宅用地次之、工矿仓储用地最低；④开发费成本因素明显，许多都是硬性的成本，级差不太明显。</w:t>
      </w:r>
    </w:p>
    <w:p>
      <w:pPr>
        <w:spacing w:line="460" w:lineRule="exact"/>
        <w:ind w:firstLine="480" w:firstLineChars="200"/>
        <w:rPr>
          <w:sz w:val="24"/>
        </w:rPr>
      </w:pPr>
      <w:r>
        <w:rPr>
          <w:sz w:val="24"/>
        </w:rPr>
        <w:t>土地开发修正数按下式计算：</w:t>
      </w:r>
    </w:p>
    <w:p>
      <w:pPr>
        <w:spacing w:line="360" w:lineRule="auto"/>
        <w:ind w:firstLine="480" w:firstLineChars="200"/>
        <w:rPr>
          <w:color w:val="000000"/>
          <w:sz w:val="24"/>
          <w:vertAlign w:val="subscript"/>
        </w:rPr>
      </w:pPr>
      <w:r>
        <w:rPr>
          <w:color w:val="000000"/>
          <w:sz w:val="24"/>
        </w:rPr>
        <w:t>K</w:t>
      </w:r>
      <w:r>
        <w:rPr>
          <w:color w:val="000000"/>
          <w:sz w:val="24"/>
          <w:vertAlign w:val="subscript"/>
        </w:rPr>
        <w:t>f</w:t>
      </w:r>
      <w:r>
        <w:rPr>
          <w:color w:val="000000"/>
          <w:sz w:val="24"/>
        </w:rPr>
        <w:t>=P</w:t>
      </w:r>
      <w:r>
        <w:rPr>
          <w:color w:val="000000"/>
          <w:sz w:val="24"/>
          <w:vertAlign w:val="subscript"/>
        </w:rPr>
        <w:t>o</w:t>
      </w:r>
      <w:r>
        <w:rPr>
          <w:color w:val="000000"/>
          <w:sz w:val="24"/>
        </w:rPr>
        <w:t>-P</w:t>
      </w:r>
      <w:r>
        <w:rPr>
          <w:color w:val="000000"/>
          <w:sz w:val="24"/>
          <w:vertAlign w:val="subscript"/>
        </w:rPr>
        <w:t>i</w:t>
      </w:r>
      <w:r>
        <w:rPr>
          <w:color w:val="000000"/>
          <w:sz w:val="24"/>
        </w:rPr>
        <w:t>………………………………………………（公式4-2-4）</w:t>
      </w:r>
    </w:p>
    <w:p>
      <w:pPr>
        <w:spacing w:line="360" w:lineRule="auto"/>
        <w:ind w:firstLine="480" w:firstLineChars="200"/>
        <w:rPr>
          <w:color w:val="000000"/>
          <w:sz w:val="24"/>
        </w:rPr>
      </w:pPr>
      <w:r>
        <w:rPr>
          <w:color w:val="000000"/>
          <w:sz w:val="24"/>
        </w:rPr>
        <w:t>式中： K</w:t>
      </w:r>
      <w:r>
        <w:rPr>
          <w:color w:val="000000"/>
          <w:sz w:val="24"/>
          <w:vertAlign w:val="subscript"/>
        </w:rPr>
        <w:t>f</w:t>
      </w:r>
      <w:r>
        <w:rPr>
          <w:color w:val="000000"/>
          <w:sz w:val="24"/>
        </w:rPr>
        <w:t>—土地开发修正数</w:t>
      </w:r>
    </w:p>
    <w:p>
      <w:pPr>
        <w:spacing w:line="360" w:lineRule="auto"/>
        <w:ind w:firstLine="480" w:firstLineChars="200"/>
        <w:rPr>
          <w:color w:val="000000"/>
          <w:sz w:val="24"/>
        </w:rPr>
      </w:pPr>
      <w:r>
        <w:rPr>
          <w:color w:val="000000"/>
          <w:sz w:val="24"/>
        </w:rPr>
        <w:t>P</w:t>
      </w:r>
      <w:r>
        <w:rPr>
          <w:color w:val="000000"/>
          <w:sz w:val="24"/>
          <w:vertAlign w:val="subscript"/>
        </w:rPr>
        <w:t>o</w:t>
      </w:r>
      <w:r>
        <w:rPr>
          <w:color w:val="000000"/>
          <w:sz w:val="24"/>
        </w:rPr>
        <w:t>—待估宗地所在级别五通一平开发费</w:t>
      </w:r>
    </w:p>
    <w:p>
      <w:pPr>
        <w:spacing w:line="360" w:lineRule="auto"/>
        <w:ind w:firstLine="480" w:firstLineChars="200"/>
        <w:rPr>
          <w:color w:val="000000"/>
          <w:sz w:val="24"/>
        </w:rPr>
      </w:pPr>
      <w:r>
        <w:rPr>
          <w:color w:val="000000"/>
          <w:sz w:val="24"/>
        </w:rPr>
        <w:t>P</w:t>
      </w:r>
      <w:r>
        <w:rPr>
          <w:color w:val="000000"/>
          <w:sz w:val="24"/>
          <w:vertAlign w:val="subscript"/>
        </w:rPr>
        <w:t>i</w:t>
      </w:r>
      <w:r>
        <w:rPr>
          <w:color w:val="000000"/>
          <w:sz w:val="24"/>
        </w:rPr>
        <w:t>—待估宗地实际土地开发费</w:t>
      </w:r>
    </w:p>
    <w:p>
      <w:pPr>
        <w:spacing w:line="460" w:lineRule="exact"/>
        <w:ind w:firstLine="480" w:firstLineChars="200"/>
        <w:rPr>
          <w:sz w:val="24"/>
        </w:rPr>
      </w:pPr>
      <w:r>
        <w:rPr>
          <w:sz w:val="24"/>
        </w:rPr>
        <w:t>K</w:t>
      </w:r>
      <w:r>
        <w:rPr>
          <w:sz w:val="24"/>
          <w:vertAlign w:val="subscript"/>
        </w:rPr>
        <w:t>f</w:t>
      </w:r>
      <w:r>
        <w:rPr>
          <w:sz w:val="24"/>
        </w:rPr>
        <w:t>的值按下列程序计算：</w:t>
      </w:r>
    </w:p>
    <w:p>
      <w:pPr>
        <w:spacing w:line="460" w:lineRule="exact"/>
        <w:ind w:firstLine="480" w:firstLineChars="200"/>
        <w:rPr>
          <w:sz w:val="24"/>
        </w:rPr>
      </w:pPr>
      <w:r>
        <w:rPr>
          <w:sz w:val="24"/>
        </w:rPr>
        <w:t>①根据宗地的实际情况参照宗地估价经验，按宗地用途和级别，根据五通一平开发费用表确定P</w:t>
      </w:r>
      <w:r>
        <w:rPr>
          <w:sz w:val="24"/>
          <w:vertAlign w:val="subscript"/>
        </w:rPr>
        <w:t>o</w:t>
      </w:r>
      <w:r>
        <w:rPr>
          <w:sz w:val="24"/>
        </w:rPr>
        <w:t>；②P</w:t>
      </w:r>
      <w:r>
        <w:rPr>
          <w:sz w:val="24"/>
          <w:vertAlign w:val="subscript"/>
        </w:rPr>
        <w:t>i</w:t>
      </w:r>
      <w:r>
        <w:rPr>
          <w:sz w:val="24"/>
        </w:rPr>
        <w:t>值根据实际的开发设施构成以及在五通一平中构成项的比例确定值累加求取。须注意的是：五通一平（道路、给水、排水、电力、通讯及宗地内土地平整）各项比例累加值为100%；③P</w:t>
      </w:r>
      <w:r>
        <w:rPr>
          <w:sz w:val="24"/>
          <w:vertAlign w:val="subscript"/>
        </w:rPr>
        <w:t>o</w:t>
      </w:r>
      <w:r>
        <w:rPr>
          <w:sz w:val="24"/>
        </w:rPr>
        <w:t>、P</w:t>
      </w:r>
      <w:r>
        <w:rPr>
          <w:sz w:val="24"/>
          <w:vertAlign w:val="subscript"/>
        </w:rPr>
        <w:t>i</w:t>
      </w:r>
      <w:r>
        <w:rPr>
          <w:sz w:val="24"/>
        </w:rPr>
        <w:t>代入上式求得K</w:t>
      </w:r>
      <w:r>
        <w:rPr>
          <w:sz w:val="24"/>
          <w:vertAlign w:val="subscript"/>
        </w:rPr>
        <w:t>f</w:t>
      </w:r>
      <w:r>
        <w:rPr>
          <w:sz w:val="24"/>
        </w:rPr>
        <w:t>。</w:t>
      </w:r>
    </w:p>
    <w:p>
      <w:pPr>
        <w:spacing w:line="500" w:lineRule="exact"/>
        <w:ind w:firstLine="482" w:firstLineChars="200"/>
        <w:jc w:val="left"/>
        <w:outlineLvl w:val="3"/>
        <w:rPr>
          <w:b/>
          <w:sz w:val="24"/>
          <w:szCs w:val="22"/>
        </w:rPr>
      </w:pPr>
      <w:r>
        <w:rPr>
          <w:rFonts w:hint="eastAsia"/>
          <w:b/>
          <w:sz w:val="24"/>
          <w:szCs w:val="22"/>
        </w:rPr>
        <w:t>4、</w:t>
      </w:r>
      <w:r>
        <w:rPr>
          <w:b/>
          <w:sz w:val="24"/>
          <w:szCs w:val="22"/>
        </w:rPr>
        <w:t>宗地位置偏离度修正</w:t>
      </w:r>
    </w:p>
    <w:p>
      <w:pPr>
        <w:spacing w:line="460" w:lineRule="exact"/>
        <w:ind w:firstLine="480" w:firstLineChars="200"/>
        <w:rPr>
          <w:sz w:val="24"/>
        </w:rPr>
      </w:pPr>
      <w:r>
        <w:rPr>
          <w:sz w:val="24"/>
        </w:rPr>
        <w:t>对中心城镇而言，土地价格随土地级别的降低及距市中心距离的增大呈指数衰减，在无明显障碍物分割的情况下，这种变化趋势应是连续渐变的。基准地价评估是在不影响土地总体变化规律和趋势的情况下，将城镇内部土地划分若干个区间，每个区间作为一个整体赋与同一基准地价，使地价连续渐变趋势转变为阶梯式突变趋势，而宗地地价评估则是通过对基准地价的修正，使地价的这种突变趋势再转变为渐变趋势。</w:t>
      </w:r>
    </w:p>
    <w:p>
      <w:pPr>
        <w:spacing w:line="460" w:lineRule="exact"/>
        <w:ind w:firstLine="480" w:firstLineChars="200"/>
        <w:rPr>
          <w:sz w:val="24"/>
        </w:rPr>
      </w:pPr>
      <w:r>
        <w:rPr>
          <w:sz w:val="24"/>
        </w:rPr>
        <w:t>修正指标值按下式计算：</w:t>
      </w:r>
    </w:p>
    <w:p>
      <w:pPr>
        <w:spacing w:line="360" w:lineRule="auto"/>
        <w:ind w:firstLine="480" w:firstLineChars="200"/>
        <w:rPr>
          <w:color w:val="000000"/>
          <w:sz w:val="24"/>
        </w:rPr>
      </w:pPr>
      <w:r>
        <w:rPr>
          <w:color w:val="000000"/>
          <w:sz w:val="24"/>
        </w:rPr>
        <w:t>K =R/(R+r) …………………………………………………（公式4-2-5）</w:t>
      </w:r>
    </w:p>
    <w:p>
      <w:pPr>
        <w:spacing w:line="360" w:lineRule="auto"/>
        <w:ind w:firstLine="480" w:firstLineChars="200"/>
        <w:rPr>
          <w:color w:val="000000"/>
          <w:sz w:val="24"/>
        </w:rPr>
      </w:pPr>
      <w:r>
        <w:rPr>
          <w:color w:val="000000"/>
          <w:sz w:val="24"/>
        </w:rPr>
        <w:t>式中</w:t>
      </w:r>
      <w:r>
        <w:rPr>
          <w:color w:val="000000"/>
          <w:sz w:val="24"/>
          <w:lang/>
        </w:rPr>
        <w:t>：K——</w:t>
      </w:r>
      <w:r>
        <w:rPr>
          <w:color w:val="000000"/>
          <w:sz w:val="24"/>
        </w:rPr>
        <w:t>宗地位置偏离度修正指标值</w:t>
      </w:r>
    </w:p>
    <w:p>
      <w:pPr>
        <w:spacing w:line="360" w:lineRule="auto"/>
        <w:ind w:firstLine="480" w:firstLineChars="200"/>
        <w:rPr>
          <w:color w:val="000000"/>
          <w:sz w:val="24"/>
        </w:rPr>
      </w:pPr>
      <w:r>
        <w:rPr>
          <w:color w:val="000000"/>
          <w:sz w:val="24"/>
        </w:rPr>
        <w:t>R——宗地几何中心到相邻最高级别的最短直线距离</w:t>
      </w:r>
    </w:p>
    <w:p>
      <w:pPr>
        <w:spacing w:line="360" w:lineRule="auto"/>
        <w:ind w:firstLine="480" w:firstLineChars="200"/>
        <w:rPr>
          <w:color w:val="000000"/>
          <w:sz w:val="24"/>
        </w:rPr>
      </w:pPr>
      <w:r>
        <w:rPr>
          <w:color w:val="000000"/>
          <w:sz w:val="24"/>
        </w:rPr>
        <w:t>r——宗地几何中心到相邻最低级别的最短直线距离</w:t>
      </w:r>
    </w:p>
    <w:p>
      <w:pPr>
        <w:spacing w:line="500" w:lineRule="exact"/>
        <w:ind w:firstLine="482" w:firstLineChars="200"/>
        <w:jc w:val="left"/>
        <w:outlineLvl w:val="3"/>
        <w:rPr>
          <w:b/>
          <w:sz w:val="24"/>
          <w:szCs w:val="22"/>
        </w:rPr>
      </w:pPr>
      <w:r>
        <w:rPr>
          <w:rFonts w:hint="eastAsia"/>
          <w:b/>
          <w:sz w:val="24"/>
          <w:szCs w:val="22"/>
        </w:rPr>
        <w:t>5、</w:t>
      </w:r>
      <w:r>
        <w:rPr>
          <w:b/>
          <w:sz w:val="24"/>
          <w:szCs w:val="22"/>
        </w:rPr>
        <w:t>宗地形状与面积修正</w:t>
      </w:r>
    </w:p>
    <w:p>
      <w:pPr>
        <w:spacing w:line="460" w:lineRule="exact"/>
        <w:ind w:firstLine="480" w:firstLineChars="200"/>
        <w:rPr>
          <w:sz w:val="24"/>
        </w:rPr>
      </w:pPr>
      <w:r>
        <w:rPr>
          <w:sz w:val="24"/>
        </w:rPr>
        <w:t>宗地面积的大小和宗地形状的规则与否将直接影响宗地的利用情况，是影响地价的一个重要因素。我们采用“宗地实际面积 / 宗地形状修正值”作为量化指标。再根据长沙县的实际情况，并参照其他城市的处理方法，分用途将量化指标值划分为五等，并确定其修正值。宗地形状修正值的取值方法如下：①正方形，矩形为1；②长底边临街的梯形、平行四边形、正三角形为1.5；③短边临街的梯形为2；④逆三角形为3。</w:t>
      </w:r>
    </w:p>
    <w:p>
      <w:pPr>
        <w:spacing w:line="360" w:lineRule="auto"/>
        <w:ind w:firstLine="560" w:firstLineChars="200"/>
        <w:outlineLvl w:val="2"/>
        <w:rPr>
          <w:rFonts w:eastAsia="黑体"/>
          <w:sz w:val="28"/>
          <w:szCs w:val="28"/>
        </w:rPr>
      </w:pPr>
      <w:bookmarkStart w:id="780" w:name="_Toc467846889"/>
      <w:bookmarkStart w:id="781" w:name="_Toc13839"/>
      <w:bookmarkStart w:id="782" w:name="_Toc271529508"/>
      <w:bookmarkStart w:id="783" w:name="_Toc469296507"/>
      <w:bookmarkStart w:id="784" w:name="_Toc213589826"/>
      <w:bookmarkStart w:id="785" w:name="_Toc32093"/>
      <w:bookmarkStart w:id="786" w:name="_Toc470721357"/>
      <w:r>
        <w:rPr>
          <w:rFonts w:eastAsia="黑体"/>
          <w:sz w:val="28"/>
          <w:szCs w:val="28"/>
        </w:rPr>
        <w:t>三、商服用地临街宗地特别因素修正体系的编制</w:t>
      </w:r>
      <w:bookmarkEnd w:id="780"/>
      <w:bookmarkEnd w:id="781"/>
      <w:bookmarkEnd w:id="782"/>
      <w:bookmarkEnd w:id="783"/>
      <w:bookmarkEnd w:id="784"/>
      <w:bookmarkEnd w:id="785"/>
      <w:bookmarkEnd w:id="786"/>
    </w:p>
    <w:p>
      <w:pPr>
        <w:spacing w:line="500" w:lineRule="exact"/>
        <w:ind w:firstLine="482" w:firstLineChars="200"/>
        <w:jc w:val="left"/>
        <w:outlineLvl w:val="3"/>
        <w:rPr>
          <w:b/>
          <w:sz w:val="24"/>
          <w:szCs w:val="22"/>
        </w:rPr>
      </w:pPr>
      <w:r>
        <w:rPr>
          <w:rFonts w:hint="eastAsia"/>
          <w:b/>
          <w:sz w:val="24"/>
          <w:szCs w:val="22"/>
        </w:rPr>
        <w:t>1、</w:t>
      </w:r>
      <w:r>
        <w:rPr>
          <w:b/>
          <w:sz w:val="24"/>
          <w:szCs w:val="22"/>
        </w:rPr>
        <w:t>街角地修正</w:t>
      </w:r>
    </w:p>
    <w:p>
      <w:pPr>
        <w:spacing w:line="460" w:lineRule="exact"/>
        <w:ind w:firstLine="480" w:firstLineChars="200"/>
        <w:rPr>
          <w:sz w:val="24"/>
        </w:rPr>
      </w:pPr>
      <w:r>
        <w:rPr>
          <w:sz w:val="24"/>
        </w:rPr>
        <w:t>街角地是影响商服用地地价最为重要的微观区位因素之一。街角地交通便利，车流量、人流量大，单位面积的商服用地效益远高于其它地段，地价水平也相应较高。我们在调查了长沙县主要街道街角地地价与同一街道普通宗地地价比例关系的基础上，并借鉴国内外其它城市的经验，编制了长沙县商服用地街角地修正系数表。在具体操作中，须注意以下几点：（1）修正范围为纵横里地线与临街线之间的区域；（2）街角地的第一宗地以级别较高的街道为正街，级别较低的街道为旁街，其余宗地以直接紧邻的街道为正街，另一街为旁街；（3）修正系数表中的修正幅度为正街地价比例。</w:t>
      </w:r>
    </w:p>
    <w:p>
      <w:pPr>
        <w:spacing w:line="500" w:lineRule="exact"/>
        <w:ind w:firstLine="482" w:firstLineChars="200"/>
        <w:jc w:val="left"/>
        <w:outlineLvl w:val="3"/>
        <w:rPr>
          <w:b/>
          <w:sz w:val="24"/>
          <w:szCs w:val="22"/>
        </w:rPr>
      </w:pPr>
      <w:r>
        <w:rPr>
          <w:rFonts w:hint="eastAsia"/>
          <w:b/>
          <w:sz w:val="24"/>
          <w:szCs w:val="22"/>
        </w:rPr>
        <w:t>2、</w:t>
      </w:r>
      <w:r>
        <w:rPr>
          <w:b/>
          <w:sz w:val="24"/>
          <w:szCs w:val="22"/>
        </w:rPr>
        <w:t>土地深度修正</w:t>
      </w:r>
    </w:p>
    <w:p>
      <w:pPr>
        <w:spacing w:line="460" w:lineRule="exact"/>
        <w:ind w:firstLine="480" w:firstLineChars="200"/>
        <w:rPr>
          <w:sz w:val="24"/>
        </w:rPr>
      </w:pPr>
      <w:r>
        <w:rPr>
          <w:sz w:val="24"/>
        </w:rPr>
        <w:t>各种用地各宗土地价格的高低，随其离开街道的距离呈指数递减。换句话说，一宗土地其接近街道的部分利用价值大，土地价格高；远离街道的部分利用价值小，土地价格低。大型市场和商场中，靠近门口铺面与远离门口铺面的租金（或售价）的巨大差异，反映了这一特性。土地价格的这种差异是用深度修正系数来修正，而深度修正系数、各深度上的样点平均地价与标准深度上的样点平均地价之间关系如下：</w:t>
      </w:r>
    </w:p>
    <w:p>
      <w:pPr>
        <w:spacing w:line="360" w:lineRule="auto"/>
        <w:ind w:firstLine="480" w:firstLineChars="200"/>
        <w:rPr>
          <w:color w:val="000000"/>
          <w:sz w:val="24"/>
        </w:rPr>
      </w:pPr>
      <w:r>
        <w:rPr>
          <w:rFonts w:ascii="Times New Roman" w:hAnsi="Times New Roman" w:eastAsia="宋体" w:cs="Times New Roman"/>
          <w:color w:val="000000"/>
          <w:kern w:val="2"/>
          <w:position w:val="-26"/>
          <w:sz w:val="24"/>
          <w:lang w:val="en-US" w:eastAsia="zh-CN" w:bidi="ar-SA"/>
        </w:rPr>
        <w:object>
          <v:shape id="Picture 35" type="#_x0000_t75" style="height:30.1pt;width:41.9pt;rotation:0f;" o:ole="t" fillcolor="#FFFFFF" filled="f" o:preferrelative="t" stroked="f" coordorigin="0,0" coordsize="21600,21600">
            <v:fill on="f" color2="#FFFFFF" focus="0%"/>
            <v:imagedata gain="65536f" blacklevel="0f" gamma="0" o:title="" r:id="rId147"/>
            <o:lock v:ext="edit" position="f" selection="f" grouping="f" rotation="f" cropping="f" text="f" aspectratio="t"/>
            <w10:wrap type="none"/>
            <w10:anchorlock/>
          </v:shape>
          <o:OLEObject Type="Embed" ProgID="" ShapeID="Picture 35" DrawAspect="Content" ObjectID="_332" r:id="rId146"/>
        </w:object>
      </w:r>
      <w:r>
        <w:rPr>
          <w:color w:val="000000"/>
          <w:sz w:val="24"/>
        </w:rPr>
        <w:t xml:space="preserve"> ……………………………………………………（公式4-2-6）</w:t>
      </w:r>
    </w:p>
    <w:p>
      <w:pPr>
        <w:spacing w:line="360" w:lineRule="auto"/>
        <w:ind w:firstLine="480" w:firstLineChars="200"/>
        <w:rPr>
          <w:color w:val="000000"/>
          <w:sz w:val="24"/>
        </w:rPr>
      </w:pPr>
      <w:r>
        <w:rPr>
          <w:color w:val="000000"/>
          <w:sz w:val="24"/>
        </w:rPr>
        <w:t>式中：K</w:t>
      </w:r>
      <w:r>
        <w:rPr>
          <w:color w:val="000000"/>
          <w:sz w:val="24"/>
          <w:vertAlign w:val="subscript"/>
        </w:rPr>
        <w:t>d</w:t>
      </w:r>
      <w:r>
        <w:rPr>
          <w:color w:val="000000"/>
          <w:sz w:val="24"/>
        </w:rPr>
        <w:t>——深度修正系数</w:t>
      </w:r>
    </w:p>
    <w:p>
      <w:pPr>
        <w:spacing w:line="360" w:lineRule="auto"/>
        <w:ind w:firstLine="480" w:firstLineChars="200"/>
        <w:rPr>
          <w:color w:val="000000"/>
          <w:sz w:val="24"/>
        </w:rPr>
      </w:pPr>
      <w:r>
        <w:rPr>
          <w:color w:val="000000"/>
          <w:sz w:val="24"/>
        </w:rPr>
        <w:t>P</w:t>
      </w:r>
      <w:r>
        <w:rPr>
          <w:color w:val="000000"/>
          <w:sz w:val="24"/>
          <w:vertAlign w:val="subscript"/>
        </w:rPr>
        <w:t>s</w:t>
      </w:r>
      <w:r>
        <w:rPr>
          <w:color w:val="000000"/>
          <w:sz w:val="24"/>
        </w:rPr>
        <w:t>——待估宗地所在街道实际深度上单位面积的平均地价</w:t>
      </w:r>
    </w:p>
    <w:p>
      <w:pPr>
        <w:spacing w:line="360" w:lineRule="auto"/>
        <w:ind w:firstLine="480" w:firstLineChars="200"/>
        <w:rPr>
          <w:color w:val="000000"/>
          <w:sz w:val="24"/>
        </w:rPr>
      </w:pPr>
      <w:r>
        <w:rPr>
          <w:color w:val="000000"/>
          <w:sz w:val="24"/>
        </w:rPr>
        <w:t>P</w:t>
      </w:r>
      <w:r>
        <w:rPr>
          <w:color w:val="000000"/>
          <w:sz w:val="24"/>
          <w:vertAlign w:val="subscript"/>
        </w:rPr>
        <w:t>i</w:t>
      </w:r>
      <w:r>
        <w:rPr>
          <w:color w:val="000000"/>
          <w:sz w:val="24"/>
        </w:rPr>
        <w:t>——待估宗地所在街道标准深度上单位面积的平均地价</w:t>
      </w:r>
      <w:bookmarkStart w:id="787" w:name="_Toc362244284"/>
    </w:p>
    <w:p>
      <w:pPr>
        <w:spacing w:line="360" w:lineRule="auto"/>
        <w:jc w:val="center"/>
        <w:textAlignment w:val="baseline"/>
        <w:outlineLvl w:val="1"/>
        <w:rPr>
          <w:b/>
          <w:bCs/>
          <w:sz w:val="32"/>
        </w:rPr>
      </w:pPr>
      <w:bookmarkStart w:id="788" w:name="_Toc467846890"/>
      <w:bookmarkStart w:id="789" w:name="_Toc469296508"/>
      <w:r>
        <w:rPr>
          <w:rFonts w:eastAsia="黑体"/>
          <w:sz w:val="32"/>
        </w:rPr>
        <w:br w:type="page"/>
      </w:r>
      <w:bookmarkStart w:id="790" w:name="_Toc22501"/>
      <w:bookmarkStart w:id="791" w:name="_Toc470721358"/>
      <w:bookmarkStart w:id="792" w:name="_Toc16449"/>
      <w:bookmarkStart w:id="793" w:name="_Toc10067"/>
      <w:bookmarkStart w:id="794" w:name="_Toc26130"/>
      <w:r>
        <w:rPr>
          <w:rFonts w:eastAsia="黑体"/>
          <w:sz w:val="32"/>
        </w:rPr>
        <w:t>第三章　商服用地修正体系</w:t>
      </w:r>
      <w:bookmarkEnd w:id="787"/>
      <w:bookmarkEnd w:id="788"/>
      <w:bookmarkEnd w:id="789"/>
      <w:bookmarkEnd w:id="790"/>
      <w:bookmarkEnd w:id="791"/>
      <w:bookmarkEnd w:id="792"/>
      <w:bookmarkEnd w:id="793"/>
      <w:bookmarkEnd w:id="794"/>
    </w:p>
    <w:p>
      <w:pPr>
        <w:spacing w:line="360" w:lineRule="auto"/>
        <w:ind w:firstLine="560" w:firstLineChars="200"/>
        <w:outlineLvl w:val="2"/>
        <w:rPr>
          <w:rFonts w:eastAsia="黑体"/>
          <w:sz w:val="28"/>
          <w:szCs w:val="28"/>
        </w:rPr>
      </w:pPr>
      <w:bookmarkStart w:id="795" w:name="_Toc21186"/>
      <w:bookmarkStart w:id="796" w:name="_Toc467846891"/>
      <w:bookmarkStart w:id="797" w:name="_Toc469296509"/>
      <w:bookmarkStart w:id="798" w:name="_Toc470721359"/>
      <w:bookmarkStart w:id="799" w:name="_Toc14294"/>
      <w:r>
        <w:rPr>
          <w:rFonts w:eastAsia="黑体"/>
          <w:sz w:val="28"/>
          <w:szCs w:val="28"/>
        </w:rPr>
        <w:t>一、宗地地价区域因素修正</w:t>
      </w:r>
      <w:bookmarkEnd w:id="795"/>
      <w:bookmarkEnd w:id="796"/>
      <w:bookmarkEnd w:id="797"/>
      <w:bookmarkEnd w:id="798"/>
      <w:bookmarkEnd w:id="799"/>
    </w:p>
    <w:p>
      <w:pPr>
        <w:pStyle w:val="131"/>
        <w:spacing w:line="360" w:lineRule="auto"/>
        <w:ind w:firstLine="0" w:firstLineChars="0"/>
        <w:rPr>
          <w:rFonts w:ascii="Times New Roman" w:hAnsi="Times New Roman"/>
          <w:bCs w:val="0"/>
          <w:sz w:val="24"/>
          <w:szCs w:val="24"/>
        </w:rPr>
      </w:pPr>
      <w:r>
        <w:rPr>
          <w:rFonts w:ascii="Times New Roman" w:hAnsi="Times New Roman"/>
          <w:bCs w:val="0"/>
          <w:sz w:val="24"/>
          <w:szCs w:val="24"/>
        </w:rPr>
        <w:t>4-3-1  长沙县Ⅰ级商服用地宗地地价区域因素修正系数表（%）</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56"/>
        <w:gridCol w:w="2551"/>
        <w:gridCol w:w="830"/>
        <w:gridCol w:w="830"/>
        <w:gridCol w:w="830"/>
        <w:gridCol w:w="830"/>
        <w:gridCol w:w="830"/>
        <w:gridCol w:w="9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456"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255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指标层</w:t>
            </w:r>
          </w:p>
        </w:tc>
        <w:tc>
          <w:tcPr>
            <w:tcW w:w="830" w:type="dxa"/>
            <w:tcBorders>
              <w:top w:val="single" w:color="auto" w:sz="4" w:space="0"/>
              <w:left w:val="nil"/>
              <w:bottom w:val="single" w:color="auto" w:sz="4" w:space="0"/>
              <w:right w:val="single" w:color="auto" w:sz="4" w:space="0"/>
            </w:tcBorders>
            <w:vAlign w:val="center"/>
          </w:tcPr>
          <w:p>
            <w:pPr>
              <w:widowControl/>
              <w:jc w:val="center"/>
              <w:rPr>
                <w:b/>
                <w:bCs/>
                <w:kern w:val="0"/>
                <w:szCs w:val="21"/>
              </w:rPr>
            </w:pPr>
            <w:r>
              <w:rPr>
                <w:b/>
                <w:bCs/>
                <w:kern w:val="0"/>
                <w:szCs w:val="21"/>
              </w:rPr>
              <w:t>权重</w:t>
            </w:r>
          </w:p>
        </w:tc>
        <w:tc>
          <w:tcPr>
            <w:tcW w:w="830" w:type="dxa"/>
            <w:tcBorders>
              <w:top w:val="single" w:color="auto" w:sz="4" w:space="0"/>
              <w:left w:val="nil"/>
              <w:bottom w:val="single" w:color="auto" w:sz="4" w:space="0"/>
              <w:right w:val="single" w:color="auto" w:sz="4" w:space="0"/>
            </w:tcBorders>
            <w:vAlign w:val="center"/>
          </w:tcPr>
          <w:p>
            <w:pPr>
              <w:widowControl/>
              <w:jc w:val="center"/>
              <w:rPr>
                <w:b/>
                <w:bCs/>
                <w:kern w:val="0"/>
                <w:szCs w:val="21"/>
              </w:rPr>
            </w:pPr>
            <w:r>
              <w:rPr>
                <w:b/>
                <w:bCs/>
                <w:kern w:val="0"/>
                <w:szCs w:val="21"/>
              </w:rPr>
              <w:t>优</w:t>
            </w:r>
          </w:p>
        </w:tc>
        <w:tc>
          <w:tcPr>
            <w:tcW w:w="830" w:type="dxa"/>
            <w:tcBorders>
              <w:top w:val="single" w:color="auto" w:sz="4" w:space="0"/>
              <w:left w:val="nil"/>
              <w:bottom w:val="single" w:color="auto" w:sz="4" w:space="0"/>
              <w:right w:val="single" w:color="auto" w:sz="4" w:space="0"/>
            </w:tcBorders>
            <w:vAlign w:val="center"/>
          </w:tcPr>
          <w:p>
            <w:pPr>
              <w:widowControl/>
              <w:jc w:val="center"/>
              <w:rPr>
                <w:b/>
                <w:bCs/>
                <w:kern w:val="0"/>
                <w:szCs w:val="21"/>
              </w:rPr>
            </w:pPr>
            <w:r>
              <w:rPr>
                <w:b/>
                <w:bCs/>
                <w:kern w:val="0"/>
                <w:szCs w:val="21"/>
              </w:rPr>
              <w:t>较优</w:t>
            </w:r>
          </w:p>
        </w:tc>
        <w:tc>
          <w:tcPr>
            <w:tcW w:w="830" w:type="dxa"/>
            <w:tcBorders>
              <w:top w:val="single" w:color="auto" w:sz="4" w:space="0"/>
              <w:left w:val="nil"/>
              <w:bottom w:val="single" w:color="auto" w:sz="4" w:space="0"/>
              <w:right w:val="single" w:color="auto" w:sz="4" w:space="0"/>
            </w:tcBorders>
            <w:vAlign w:val="center"/>
          </w:tcPr>
          <w:p>
            <w:pPr>
              <w:widowControl/>
              <w:jc w:val="center"/>
              <w:rPr>
                <w:b/>
                <w:bCs/>
                <w:kern w:val="0"/>
                <w:szCs w:val="21"/>
              </w:rPr>
            </w:pPr>
            <w:r>
              <w:rPr>
                <w:b/>
                <w:bCs/>
                <w:kern w:val="0"/>
                <w:szCs w:val="21"/>
              </w:rPr>
              <w:t>一般</w:t>
            </w:r>
          </w:p>
        </w:tc>
        <w:tc>
          <w:tcPr>
            <w:tcW w:w="830" w:type="dxa"/>
            <w:tcBorders>
              <w:top w:val="single" w:color="auto" w:sz="4" w:space="0"/>
              <w:left w:val="nil"/>
              <w:bottom w:val="single" w:color="auto" w:sz="4" w:space="0"/>
              <w:right w:val="single" w:color="auto" w:sz="4" w:space="0"/>
            </w:tcBorders>
            <w:vAlign w:val="center"/>
          </w:tcPr>
          <w:p>
            <w:pPr>
              <w:widowControl/>
              <w:jc w:val="center"/>
              <w:rPr>
                <w:b/>
                <w:bCs/>
                <w:kern w:val="0"/>
                <w:szCs w:val="21"/>
              </w:rPr>
            </w:pPr>
            <w:r>
              <w:rPr>
                <w:b/>
                <w:bCs/>
                <w:kern w:val="0"/>
                <w:szCs w:val="21"/>
              </w:rPr>
              <w:t>较劣</w:t>
            </w:r>
          </w:p>
        </w:tc>
        <w:tc>
          <w:tcPr>
            <w:tcW w:w="904" w:type="dxa"/>
            <w:tcBorders>
              <w:top w:val="single" w:color="auto" w:sz="4" w:space="0"/>
              <w:left w:val="nil"/>
              <w:bottom w:val="single" w:color="auto" w:sz="4" w:space="0"/>
              <w:right w:val="single" w:color="auto" w:sz="4" w:space="0"/>
            </w:tcBorders>
            <w:vAlign w:val="center"/>
          </w:tcPr>
          <w:p>
            <w:pPr>
              <w:widowControl/>
              <w:jc w:val="center"/>
              <w:rPr>
                <w:b/>
                <w:bCs/>
                <w:kern w:val="0"/>
                <w:szCs w:val="21"/>
              </w:rPr>
            </w:pPr>
            <w:r>
              <w:rPr>
                <w:b/>
                <w:bCs/>
                <w:kern w:val="0"/>
                <w:szCs w:val="21"/>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trPr>
        <w:tc>
          <w:tcPr>
            <w:tcW w:w="1456"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商服繁华影响度</w:t>
            </w:r>
          </w:p>
        </w:tc>
        <w:tc>
          <w:tcPr>
            <w:tcW w:w="255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距商服中心距离</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0.3885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5.190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2.595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-2.209 </w:t>
            </w:r>
          </w:p>
        </w:tc>
        <w:tc>
          <w:tcPr>
            <w:tcW w:w="904"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-4.417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atLeast"/>
        </w:trPr>
        <w:tc>
          <w:tcPr>
            <w:tcW w:w="1456"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道路通达度</w:t>
            </w:r>
          </w:p>
        </w:tc>
        <w:tc>
          <w:tcPr>
            <w:tcW w:w="255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临近道路状况</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0.0753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1.006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0.503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-0.428 </w:t>
            </w:r>
          </w:p>
        </w:tc>
        <w:tc>
          <w:tcPr>
            <w:tcW w:w="904"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-0.856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trPr>
        <w:tc>
          <w:tcPr>
            <w:tcW w:w="1456"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公交便捷度</w:t>
            </w:r>
          </w:p>
        </w:tc>
        <w:tc>
          <w:tcPr>
            <w:tcW w:w="255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距最近公交站点（</w:t>
            </w:r>
            <w:r>
              <w:rPr>
                <w:rFonts w:hint="eastAsia"/>
                <w:color w:val="000000"/>
                <w:kern w:val="0"/>
                <w:szCs w:val="21"/>
                <w:lang/>
              </w:rPr>
              <w:t>轨道交通</w:t>
            </w:r>
            <w:r>
              <w:rPr>
                <w:color w:val="000000"/>
                <w:kern w:val="0"/>
                <w:szCs w:val="21"/>
                <w:lang/>
              </w:rPr>
              <w:t>站）距离</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0.0964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1.288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0.644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-0.548 </w:t>
            </w:r>
          </w:p>
        </w:tc>
        <w:tc>
          <w:tcPr>
            <w:tcW w:w="904"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-1.096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5" w:hRule="atLeast"/>
        </w:trPr>
        <w:tc>
          <w:tcPr>
            <w:tcW w:w="1456" w:type="dxa"/>
            <w:vMerge w:val="restart"/>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对外交通便利度</w:t>
            </w:r>
          </w:p>
        </w:tc>
        <w:tc>
          <w:tcPr>
            <w:tcW w:w="255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距最近长途汽车站距离</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0.0462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0.617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0.309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-0.263 </w:t>
            </w:r>
          </w:p>
        </w:tc>
        <w:tc>
          <w:tcPr>
            <w:tcW w:w="904"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456"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55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距长沙火车站距离</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0.0163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0.218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0.109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-0.093 </w:t>
            </w:r>
          </w:p>
        </w:tc>
        <w:tc>
          <w:tcPr>
            <w:tcW w:w="904"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456"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55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距长沙南高铁站距离</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0.0188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0.251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0.126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-0.107 </w:t>
            </w:r>
          </w:p>
        </w:tc>
        <w:tc>
          <w:tcPr>
            <w:tcW w:w="904"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456" w:type="dxa"/>
            <w:vMerge w:val="restart"/>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基础设施完善度</w:t>
            </w:r>
          </w:p>
        </w:tc>
        <w:tc>
          <w:tcPr>
            <w:tcW w:w="255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排水状况</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0.623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0.311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-0.265 </w:t>
            </w:r>
          </w:p>
        </w:tc>
        <w:tc>
          <w:tcPr>
            <w:tcW w:w="904"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456"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55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供水状况</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0.623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0.311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-0.265 </w:t>
            </w:r>
          </w:p>
        </w:tc>
        <w:tc>
          <w:tcPr>
            <w:tcW w:w="904"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456"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55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供电状况</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0.623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0.311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-0.265 </w:t>
            </w:r>
          </w:p>
        </w:tc>
        <w:tc>
          <w:tcPr>
            <w:tcW w:w="904"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456"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55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供气状况</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0.623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0.311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-0.265 </w:t>
            </w:r>
          </w:p>
        </w:tc>
        <w:tc>
          <w:tcPr>
            <w:tcW w:w="904"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trPr>
        <w:tc>
          <w:tcPr>
            <w:tcW w:w="1456"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人口密度</w:t>
            </w:r>
          </w:p>
        </w:tc>
        <w:tc>
          <w:tcPr>
            <w:tcW w:w="255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人口程度</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0.0795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1.062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0.531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3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-0.452 </w:t>
            </w:r>
          </w:p>
        </w:tc>
        <w:tc>
          <w:tcPr>
            <w:tcW w:w="904"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-0.904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45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城市规划</w:t>
            </w:r>
          </w:p>
        </w:tc>
        <w:tc>
          <w:tcPr>
            <w:tcW w:w="2551"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color w:val="000000"/>
                <w:kern w:val="0"/>
                <w:szCs w:val="21"/>
                <w:lang/>
              </w:rPr>
            </w:pPr>
            <w:r>
              <w:rPr>
                <w:color w:val="000000"/>
                <w:kern w:val="0"/>
                <w:szCs w:val="21"/>
                <w:lang/>
              </w:rPr>
              <w:t>用地规划</w:t>
            </w:r>
          </w:p>
        </w:tc>
        <w:tc>
          <w:tcPr>
            <w:tcW w:w="8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0.0463 </w:t>
            </w:r>
          </w:p>
        </w:tc>
        <w:tc>
          <w:tcPr>
            <w:tcW w:w="8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0.619 </w:t>
            </w:r>
          </w:p>
        </w:tc>
        <w:tc>
          <w:tcPr>
            <w:tcW w:w="8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0.309 </w:t>
            </w:r>
          </w:p>
        </w:tc>
        <w:tc>
          <w:tcPr>
            <w:tcW w:w="8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-0.263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45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551"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color w:val="000000"/>
                <w:kern w:val="0"/>
                <w:szCs w:val="21"/>
                <w:lang/>
              </w:rPr>
            </w:pPr>
            <w:r>
              <w:rPr>
                <w:color w:val="000000"/>
                <w:kern w:val="0"/>
                <w:szCs w:val="21"/>
                <w:lang/>
              </w:rPr>
              <w:t>道路规划</w:t>
            </w:r>
          </w:p>
        </w:tc>
        <w:tc>
          <w:tcPr>
            <w:tcW w:w="8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0.0463 </w:t>
            </w:r>
          </w:p>
        </w:tc>
        <w:tc>
          <w:tcPr>
            <w:tcW w:w="8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0.619 </w:t>
            </w:r>
          </w:p>
        </w:tc>
        <w:tc>
          <w:tcPr>
            <w:tcW w:w="8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0.309 </w:t>
            </w:r>
          </w:p>
        </w:tc>
        <w:tc>
          <w:tcPr>
            <w:tcW w:w="8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-0.263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-0.526 </w:t>
            </w:r>
          </w:p>
        </w:tc>
      </w:tr>
    </w:tbl>
    <w:p>
      <w:pPr>
        <w:pStyle w:val="131"/>
        <w:spacing w:line="360" w:lineRule="auto"/>
        <w:ind w:firstLine="0" w:firstLineChars="0"/>
        <w:rPr>
          <w:rFonts w:ascii="Times New Roman" w:hAnsi="Times New Roman"/>
          <w:bCs w:val="0"/>
          <w:sz w:val="24"/>
          <w:szCs w:val="24"/>
        </w:rPr>
      </w:pPr>
      <w:r>
        <w:rPr>
          <w:rFonts w:ascii="Times New Roman" w:hAnsi="Times New Roman"/>
          <w:bCs w:val="0"/>
          <w:sz w:val="24"/>
          <w:szCs w:val="24"/>
        </w:rPr>
        <w:t>表4-3-2  长沙县Ⅰ级商服用地宗地地价区域因素修正系数指标说明表</w:t>
      </w:r>
    </w:p>
    <w:tbl>
      <w:tblPr>
        <w:tblW w:w="9810" w:type="dxa"/>
        <w:tblInd w:w="-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900"/>
        <w:gridCol w:w="1695"/>
        <w:gridCol w:w="884"/>
        <w:gridCol w:w="1336"/>
        <w:gridCol w:w="1336"/>
        <w:gridCol w:w="1469"/>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45" w:type="dxa"/>
            <w:vAlign w:val="center"/>
          </w:tcPr>
          <w:p>
            <w:pPr>
              <w:widowControl/>
              <w:jc w:val="center"/>
              <w:rPr>
                <w:b/>
                <w:bCs/>
                <w:color w:val="000000"/>
                <w:kern w:val="0"/>
                <w:szCs w:val="21"/>
              </w:rPr>
            </w:pPr>
            <w:r>
              <w:rPr>
                <w:b/>
                <w:bCs/>
                <w:color w:val="000000"/>
                <w:kern w:val="0"/>
                <w:szCs w:val="21"/>
              </w:rPr>
              <w:t>因素层</w:t>
            </w:r>
          </w:p>
        </w:tc>
        <w:tc>
          <w:tcPr>
            <w:tcW w:w="900" w:type="dxa"/>
            <w:vAlign w:val="center"/>
          </w:tcPr>
          <w:p>
            <w:pPr>
              <w:widowControl/>
              <w:jc w:val="center"/>
              <w:rPr>
                <w:b/>
                <w:bCs/>
                <w:color w:val="000000"/>
                <w:kern w:val="0"/>
                <w:szCs w:val="21"/>
              </w:rPr>
            </w:pPr>
            <w:r>
              <w:rPr>
                <w:b/>
                <w:bCs/>
                <w:color w:val="000000"/>
                <w:kern w:val="0"/>
                <w:szCs w:val="21"/>
              </w:rPr>
              <w:t>因子层</w:t>
            </w:r>
          </w:p>
        </w:tc>
        <w:tc>
          <w:tcPr>
            <w:tcW w:w="1695" w:type="dxa"/>
            <w:vAlign w:val="center"/>
          </w:tcPr>
          <w:p>
            <w:pPr>
              <w:widowControl/>
              <w:jc w:val="center"/>
              <w:rPr>
                <w:b/>
                <w:bCs/>
                <w:color w:val="000000"/>
                <w:kern w:val="0"/>
                <w:szCs w:val="21"/>
              </w:rPr>
            </w:pPr>
            <w:r>
              <w:rPr>
                <w:b/>
                <w:bCs/>
                <w:color w:val="000000"/>
                <w:kern w:val="0"/>
                <w:szCs w:val="21"/>
              </w:rPr>
              <w:t>指标层</w:t>
            </w:r>
          </w:p>
        </w:tc>
        <w:tc>
          <w:tcPr>
            <w:tcW w:w="884" w:type="dxa"/>
            <w:vAlign w:val="center"/>
          </w:tcPr>
          <w:p>
            <w:pPr>
              <w:widowControl/>
              <w:jc w:val="center"/>
              <w:rPr>
                <w:b/>
                <w:bCs/>
                <w:kern w:val="0"/>
                <w:szCs w:val="21"/>
              </w:rPr>
            </w:pPr>
            <w:r>
              <w:rPr>
                <w:b/>
                <w:bCs/>
                <w:kern w:val="0"/>
                <w:szCs w:val="21"/>
              </w:rPr>
              <w:t>优</w:t>
            </w:r>
          </w:p>
        </w:tc>
        <w:tc>
          <w:tcPr>
            <w:tcW w:w="1336" w:type="dxa"/>
            <w:vAlign w:val="center"/>
          </w:tcPr>
          <w:p>
            <w:pPr>
              <w:widowControl/>
              <w:jc w:val="center"/>
              <w:rPr>
                <w:b/>
                <w:bCs/>
                <w:kern w:val="0"/>
                <w:szCs w:val="21"/>
              </w:rPr>
            </w:pPr>
            <w:r>
              <w:rPr>
                <w:b/>
                <w:bCs/>
                <w:kern w:val="0"/>
                <w:szCs w:val="21"/>
              </w:rPr>
              <w:t>较优</w:t>
            </w:r>
          </w:p>
        </w:tc>
        <w:tc>
          <w:tcPr>
            <w:tcW w:w="1336" w:type="dxa"/>
            <w:vAlign w:val="center"/>
          </w:tcPr>
          <w:p>
            <w:pPr>
              <w:widowControl/>
              <w:jc w:val="center"/>
              <w:rPr>
                <w:b/>
                <w:bCs/>
                <w:kern w:val="0"/>
                <w:szCs w:val="21"/>
              </w:rPr>
            </w:pPr>
            <w:r>
              <w:rPr>
                <w:b/>
                <w:bCs/>
                <w:kern w:val="0"/>
                <w:szCs w:val="21"/>
              </w:rPr>
              <w:t>一般</w:t>
            </w:r>
          </w:p>
        </w:tc>
        <w:tc>
          <w:tcPr>
            <w:tcW w:w="1469" w:type="dxa"/>
            <w:vAlign w:val="center"/>
          </w:tcPr>
          <w:p>
            <w:pPr>
              <w:widowControl/>
              <w:jc w:val="center"/>
              <w:rPr>
                <w:b/>
                <w:bCs/>
                <w:kern w:val="0"/>
                <w:szCs w:val="21"/>
              </w:rPr>
            </w:pPr>
            <w:r>
              <w:rPr>
                <w:b/>
                <w:bCs/>
                <w:kern w:val="0"/>
                <w:szCs w:val="21"/>
              </w:rPr>
              <w:t>较劣</w:t>
            </w:r>
          </w:p>
        </w:tc>
        <w:tc>
          <w:tcPr>
            <w:tcW w:w="1245" w:type="dxa"/>
            <w:vAlign w:val="center"/>
          </w:tcPr>
          <w:p>
            <w:pPr>
              <w:widowControl/>
              <w:jc w:val="center"/>
              <w:rPr>
                <w:b/>
                <w:bCs/>
                <w:kern w:val="0"/>
                <w:szCs w:val="21"/>
              </w:rPr>
            </w:pPr>
            <w:r>
              <w:rPr>
                <w:b/>
                <w:bCs/>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45" w:type="dxa"/>
            <w:vAlign w:val="center"/>
          </w:tcPr>
          <w:p>
            <w:pPr>
              <w:widowControl/>
              <w:jc w:val="center"/>
              <w:textAlignment w:val="bottom"/>
              <w:rPr>
                <w:color w:val="000000"/>
                <w:kern w:val="0"/>
                <w:szCs w:val="21"/>
                <w:lang/>
              </w:rPr>
            </w:pPr>
            <w:r>
              <w:rPr>
                <w:color w:val="000000"/>
                <w:kern w:val="0"/>
                <w:szCs w:val="21"/>
                <w:lang/>
              </w:rPr>
              <w:t>繁华程度</w:t>
            </w:r>
          </w:p>
        </w:tc>
        <w:tc>
          <w:tcPr>
            <w:tcW w:w="900" w:type="dxa"/>
            <w:vAlign w:val="center"/>
          </w:tcPr>
          <w:p>
            <w:pPr>
              <w:widowControl/>
              <w:jc w:val="center"/>
              <w:textAlignment w:val="bottom"/>
              <w:rPr>
                <w:color w:val="000000"/>
                <w:kern w:val="0"/>
                <w:szCs w:val="21"/>
                <w:lang/>
              </w:rPr>
            </w:pPr>
            <w:r>
              <w:rPr>
                <w:color w:val="000000"/>
                <w:kern w:val="0"/>
                <w:szCs w:val="21"/>
                <w:lang/>
              </w:rPr>
              <w:t>商服繁华影响度</w:t>
            </w:r>
          </w:p>
        </w:tc>
        <w:tc>
          <w:tcPr>
            <w:tcW w:w="1695" w:type="dxa"/>
            <w:vAlign w:val="center"/>
          </w:tcPr>
          <w:p>
            <w:pPr>
              <w:widowControl/>
              <w:jc w:val="center"/>
              <w:textAlignment w:val="bottom"/>
              <w:rPr>
                <w:color w:val="000000"/>
                <w:kern w:val="0"/>
                <w:szCs w:val="21"/>
                <w:lang/>
              </w:rPr>
            </w:pPr>
            <w:r>
              <w:rPr>
                <w:color w:val="000000"/>
                <w:kern w:val="0"/>
                <w:szCs w:val="21"/>
                <w:lang/>
              </w:rPr>
              <w:t>距商服中心距离</w:t>
            </w:r>
          </w:p>
        </w:tc>
        <w:tc>
          <w:tcPr>
            <w:tcW w:w="884" w:type="dxa"/>
            <w:vAlign w:val="center"/>
          </w:tcPr>
          <w:p>
            <w:pPr>
              <w:widowControl/>
              <w:jc w:val="center"/>
              <w:textAlignment w:val="bottom"/>
              <w:rPr>
                <w:color w:val="000000"/>
                <w:kern w:val="0"/>
                <w:szCs w:val="21"/>
                <w:lang/>
              </w:rPr>
            </w:pPr>
            <w:r>
              <w:rPr>
                <w:color w:val="000000"/>
                <w:kern w:val="0"/>
                <w:szCs w:val="21"/>
                <w:lang/>
              </w:rPr>
              <w:t>≤150</w:t>
            </w:r>
          </w:p>
        </w:tc>
        <w:tc>
          <w:tcPr>
            <w:tcW w:w="1336" w:type="dxa"/>
            <w:vAlign w:val="center"/>
          </w:tcPr>
          <w:p>
            <w:pPr>
              <w:widowControl/>
              <w:jc w:val="center"/>
              <w:textAlignment w:val="bottom"/>
              <w:rPr>
                <w:color w:val="000000"/>
                <w:kern w:val="0"/>
                <w:szCs w:val="21"/>
                <w:lang/>
              </w:rPr>
            </w:pPr>
            <w:r>
              <w:rPr>
                <w:color w:val="000000"/>
                <w:kern w:val="0"/>
                <w:szCs w:val="21"/>
                <w:lang/>
              </w:rPr>
              <w:t>150-300</w:t>
            </w:r>
          </w:p>
        </w:tc>
        <w:tc>
          <w:tcPr>
            <w:tcW w:w="1336" w:type="dxa"/>
            <w:vAlign w:val="center"/>
          </w:tcPr>
          <w:p>
            <w:pPr>
              <w:widowControl/>
              <w:jc w:val="center"/>
              <w:textAlignment w:val="bottom"/>
              <w:rPr>
                <w:color w:val="000000"/>
                <w:kern w:val="0"/>
                <w:szCs w:val="21"/>
                <w:lang/>
              </w:rPr>
            </w:pPr>
            <w:r>
              <w:rPr>
                <w:color w:val="000000"/>
                <w:kern w:val="0"/>
                <w:szCs w:val="21"/>
                <w:lang/>
              </w:rPr>
              <w:t>300-450</w:t>
            </w:r>
          </w:p>
        </w:tc>
        <w:tc>
          <w:tcPr>
            <w:tcW w:w="1469" w:type="dxa"/>
            <w:vAlign w:val="center"/>
          </w:tcPr>
          <w:p>
            <w:pPr>
              <w:widowControl/>
              <w:jc w:val="center"/>
              <w:textAlignment w:val="bottom"/>
              <w:rPr>
                <w:color w:val="000000"/>
                <w:kern w:val="0"/>
                <w:szCs w:val="21"/>
                <w:lang/>
              </w:rPr>
            </w:pPr>
            <w:r>
              <w:rPr>
                <w:color w:val="000000"/>
                <w:kern w:val="0"/>
                <w:szCs w:val="21"/>
                <w:lang/>
              </w:rPr>
              <w:t>450-750</w:t>
            </w:r>
          </w:p>
        </w:tc>
        <w:tc>
          <w:tcPr>
            <w:tcW w:w="1245" w:type="dxa"/>
            <w:vAlign w:val="center"/>
          </w:tcPr>
          <w:p>
            <w:pPr>
              <w:widowControl/>
              <w:jc w:val="center"/>
              <w:textAlignment w:val="bottom"/>
              <w:rPr>
                <w:color w:val="000000"/>
                <w:kern w:val="0"/>
                <w:szCs w:val="21"/>
                <w:lang/>
              </w:rPr>
            </w:pPr>
            <w:r>
              <w:rPr>
                <w:color w:val="000000"/>
                <w:kern w:val="0"/>
                <w:szCs w:val="21"/>
                <w:lang/>
              </w:rPr>
              <w:t>&gt;700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45" w:type="dxa"/>
            <w:vMerge w:val="restart"/>
            <w:vAlign w:val="center"/>
          </w:tcPr>
          <w:p>
            <w:pPr>
              <w:widowControl/>
              <w:jc w:val="center"/>
              <w:textAlignment w:val="bottom"/>
              <w:rPr>
                <w:color w:val="000000"/>
                <w:kern w:val="0"/>
                <w:szCs w:val="21"/>
                <w:lang/>
              </w:rPr>
            </w:pPr>
            <w:r>
              <w:rPr>
                <w:color w:val="000000"/>
                <w:kern w:val="0"/>
                <w:szCs w:val="21"/>
                <w:lang/>
              </w:rPr>
              <w:t>交通条件</w:t>
            </w:r>
          </w:p>
        </w:tc>
        <w:tc>
          <w:tcPr>
            <w:tcW w:w="900" w:type="dxa"/>
            <w:vAlign w:val="center"/>
          </w:tcPr>
          <w:p>
            <w:pPr>
              <w:widowControl/>
              <w:jc w:val="center"/>
              <w:textAlignment w:val="bottom"/>
              <w:rPr>
                <w:color w:val="000000"/>
                <w:kern w:val="0"/>
                <w:szCs w:val="21"/>
                <w:lang/>
              </w:rPr>
            </w:pPr>
            <w:r>
              <w:rPr>
                <w:color w:val="000000"/>
                <w:kern w:val="0"/>
                <w:szCs w:val="21"/>
                <w:lang/>
              </w:rPr>
              <w:t>道路通达度</w:t>
            </w:r>
          </w:p>
        </w:tc>
        <w:tc>
          <w:tcPr>
            <w:tcW w:w="1695" w:type="dxa"/>
            <w:vAlign w:val="center"/>
          </w:tcPr>
          <w:p>
            <w:pPr>
              <w:widowControl/>
              <w:jc w:val="center"/>
              <w:textAlignment w:val="bottom"/>
              <w:rPr>
                <w:color w:val="000000"/>
                <w:kern w:val="0"/>
                <w:szCs w:val="21"/>
                <w:lang/>
              </w:rPr>
            </w:pPr>
            <w:r>
              <w:rPr>
                <w:color w:val="000000"/>
                <w:kern w:val="0"/>
                <w:szCs w:val="21"/>
                <w:lang/>
              </w:rPr>
              <w:t>临近道路状况</w:t>
            </w:r>
          </w:p>
        </w:tc>
        <w:tc>
          <w:tcPr>
            <w:tcW w:w="884" w:type="dxa"/>
            <w:vAlign w:val="center"/>
          </w:tcPr>
          <w:p>
            <w:pPr>
              <w:widowControl/>
              <w:jc w:val="center"/>
              <w:textAlignment w:val="bottom"/>
              <w:rPr>
                <w:color w:val="000000"/>
                <w:kern w:val="0"/>
                <w:szCs w:val="21"/>
                <w:lang/>
              </w:rPr>
            </w:pPr>
            <w:r>
              <w:rPr>
                <w:color w:val="000000"/>
                <w:kern w:val="0"/>
                <w:szCs w:val="21"/>
                <w:lang/>
              </w:rPr>
              <w:t>临繁华主干道</w:t>
            </w:r>
          </w:p>
        </w:tc>
        <w:tc>
          <w:tcPr>
            <w:tcW w:w="1336" w:type="dxa"/>
            <w:vAlign w:val="center"/>
          </w:tcPr>
          <w:p>
            <w:pPr>
              <w:widowControl/>
              <w:jc w:val="center"/>
              <w:textAlignment w:val="bottom"/>
              <w:rPr>
                <w:color w:val="000000"/>
                <w:kern w:val="0"/>
                <w:szCs w:val="21"/>
                <w:lang/>
              </w:rPr>
            </w:pPr>
            <w:r>
              <w:rPr>
                <w:color w:val="000000"/>
                <w:kern w:val="0"/>
                <w:szCs w:val="21"/>
                <w:lang/>
              </w:rPr>
              <w:t>临主干道</w:t>
            </w:r>
          </w:p>
        </w:tc>
        <w:tc>
          <w:tcPr>
            <w:tcW w:w="1336" w:type="dxa"/>
            <w:vAlign w:val="center"/>
          </w:tcPr>
          <w:p>
            <w:pPr>
              <w:widowControl/>
              <w:jc w:val="center"/>
              <w:textAlignment w:val="bottom"/>
              <w:rPr>
                <w:color w:val="000000"/>
                <w:kern w:val="0"/>
                <w:szCs w:val="21"/>
                <w:lang/>
              </w:rPr>
            </w:pPr>
            <w:r>
              <w:rPr>
                <w:color w:val="000000"/>
                <w:kern w:val="0"/>
                <w:szCs w:val="21"/>
                <w:lang/>
              </w:rPr>
              <w:t>临繁华次干道</w:t>
            </w:r>
          </w:p>
        </w:tc>
        <w:tc>
          <w:tcPr>
            <w:tcW w:w="1469" w:type="dxa"/>
            <w:vAlign w:val="center"/>
          </w:tcPr>
          <w:p>
            <w:pPr>
              <w:widowControl/>
              <w:jc w:val="center"/>
              <w:textAlignment w:val="bottom"/>
              <w:rPr>
                <w:color w:val="000000"/>
                <w:kern w:val="0"/>
                <w:szCs w:val="21"/>
                <w:lang/>
              </w:rPr>
            </w:pPr>
            <w:r>
              <w:rPr>
                <w:color w:val="000000"/>
                <w:kern w:val="0"/>
                <w:szCs w:val="21"/>
                <w:lang/>
              </w:rPr>
              <w:t>临次干道</w:t>
            </w:r>
          </w:p>
        </w:tc>
        <w:tc>
          <w:tcPr>
            <w:tcW w:w="1245" w:type="dxa"/>
            <w:vAlign w:val="center"/>
          </w:tcPr>
          <w:p>
            <w:pPr>
              <w:widowControl/>
              <w:jc w:val="center"/>
              <w:textAlignment w:val="bottom"/>
              <w:rPr>
                <w:color w:val="000000"/>
                <w:kern w:val="0"/>
                <w:szCs w:val="21"/>
                <w:lang/>
              </w:rPr>
            </w:pPr>
            <w:r>
              <w:rPr>
                <w:color w:val="000000"/>
                <w:kern w:val="0"/>
                <w:szCs w:val="21"/>
                <w:lang/>
              </w:rPr>
              <w:t>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45" w:type="dxa"/>
            <w:vMerge w:val="continue"/>
            <w:vAlign w:val="center"/>
          </w:tcPr>
          <w:p>
            <w:pPr>
              <w:widowControl/>
              <w:jc w:val="center"/>
              <w:textAlignment w:val="bottom"/>
              <w:rPr>
                <w:color w:val="000000"/>
                <w:kern w:val="0"/>
                <w:szCs w:val="21"/>
                <w:lang/>
              </w:rPr>
            </w:pPr>
          </w:p>
        </w:tc>
        <w:tc>
          <w:tcPr>
            <w:tcW w:w="900" w:type="dxa"/>
            <w:vAlign w:val="center"/>
          </w:tcPr>
          <w:p>
            <w:pPr>
              <w:widowControl/>
              <w:jc w:val="center"/>
              <w:textAlignment w:val="bottom"/>
              <w:rPr>
                <w:color w:val="000000"/>
                <w:kern w:val="0"/>
                <w:szCs w:val="21"/>
                <w:lang/>
              </w:rPr>
            </w:pPr>
            <w:r>
              <w:rPr>
                <w:color w:val="000000"/>
                <w:kern w:val="0"/>
                <w:szCs w:val="21"/>
                <w:lang/>
              </w:rPr>
              <w:t>公交便捷度</w:t>
            </w:r>
          </w:p>
        </w:tc>
        <w:tc>
          <w:tcPr>
            <w:tcW w:w="1695" w:type="dxa"/>
            <w:vAlign w:val="center"/>
          </w:tcPr>
          <w:p>
            <w:pPr>
              <w:widowControl/>
              <w:jc w:val="center"/>
              <w:textAlignment w:val="bottom"/>
              <w:rPr>
                <w:color w:val="000000"/>
                <w:kern w:val="0"/>
                <w:szCs w:val="21"/>
                <w:lang/>
              </w:rPr>
            </w:pPr>
            <w:r>
              <w:rPr>
                <w:color w:val="000000"/>
                <w:kern w:val="0"/>
                <w:szCs w:val="21"/>
                <w:lang/>
              </w:rPr>
              <w:t>距最近公交站（</w:t>
            </w:r>
            <w:r>
              <w:rPr>
                <w:rFonts w:hint="eastAsia"/>
                <w:color w:val="000000"/>
                <w:kern w:val="0"/>
                <w:szCs w:val="21"/>
                <w:lang/>
              </w:rPr>
              <w:t>轨道交通</w:t>
            </w:r>
            <w:r>
              <w:rPr>
                <w:color w:val="000000"/>
                <w:kern w:val="0"/>
                <w:szCs w:val="21"/>
                <w:lang/>
              </w:rPr>
              <w:t>站）距离</w:t>
            </w:r>
          </w:p>
        </w:tc>
        <w:tc>
          <w:tcPr>
            <w:tcW w:w="884" w:type="dxa"/>
            <w:vAlign w:val="center"/>
          </w:tcPr>
          <w:p>
            <w:pPr>
              <w:widowControl/>
              <w:jc w:val="center"/>
              <w:textAlignment w:val="bottom"/>
              <w:rPr>
                <w:color w:val="000000"/>
                <w:kern w:val="0"/>
                <w:szCs w:val="21"/>
                <w:lang/>
              </w:rPr>
            </w:pPr>
            <w:r>
              <w:rPr>
                <w:color w:val="000000"/>
                <w:kern w:val="0"/>
                <w:szCs w:val="21"/>
                <w:lang/>
              </w:rPr>
              <w:t>≤50</w:t>
            </w:r>
          </w:p>
        </w:tc>
        <w:tc>
          <w:tcPr>
            <w:tcW w:w="1336" w:type="dxa"/>
            <w:vAlign w:val="center"/>
          </w:tcPr>
          <w:p>
            <w:pPr>
              <w:widowControl/>
              <w:jc w:val="center"/>
              <w:textAlignment w:val="bottom"/>
              <w:rPr>
                <w:color w:val="000000"/>
                <w:kern w:val="0"/>
                <w:szCs w:val="21"/>
                <w:lang/>
              </w:rPr>
            </w:pPr>
            <w:r>
              <w:rPr>
                <w:color w:val="000000"/>
                <w:kern w:val="0"/>
                <w:szCs w:val="21"/>
                <w:lang/>
              </w:rPr>
              <w:t>50-100</w:t>
            </w:r>
          </w:p>
        </w:tc>
        <w:tc>
          <w:tcPr>
            <w:tcW w:w="1336" w:type="dxa"/>
            <w:vAlign w:val="center"/>
          </w:tcPr>
          <w:p>
            <w:pPr>
              <w:widowControl/>
              <w:jc w:val="center"/>
              <w:textAlignment w:val="bottom"/>
              <w:rPr>
                <w:color w:val="000000"/>
                <w:kern w:val="0"/>
                <w:szCs w:val="21"/>
                <w:lang/>
              </w:rPr>
            </w:pPr>
            <w:r>
              <w:rPr>
                <w:color w:val="000000"/>
                <w:kern w:val="0"/>
                <w:szCs w:val="21"/>
                <w:lang/>
              </w:rPr>
              <w:t>100-150</w:t>
            </w:r>
          </w:p>
        </w:tc>
        <w:tc>
          <w:tcPr>
            <w:tcW w:w="1469" w:type="dxa"/>
            <w:vAlign w:val="center"/>
          </w:tcPr>
          <w:p>
            <w:pPr>
              <w:widowControl/>
              <w:jc w:val="center"/>
              <w:textAlignment w:val="bottom"/>
              <w:rPr>
                <w:color w:val="000000"/>
                <w:kern w:val="0"/>
                <w:szCs w:val="21"/>
                <w:lang/>
              </w:rPr>
            </w:pPr>
            <w:r>
              <w:rPr>
                <w:color w:val="000000"/>
                <w:kern w:val="0"/>
                <w:szCs w:val="21"/>
                <w:lang/>
              </w:rPr>
              <w:t>150-200</w:t>
            </w:r>
          </w:p>
        </w:tc>
        <w:tc>
          <w:tcPr>
            <w:tcW w:w="1245" w:type="dxa"/>
            <w:vAlign w:val="center"/>
          </w:tcPr>
          <w:p>
            <w:pPr>
              <w:widowControl/>
              <w:jc w:val="center"/>
              <w:textAlignment w:val="bottom"/>
              <w:rPr>
                <w:color w:val="000000"/>
                <w:kern w:val="0"/>
                <w:szCs w:val="21"/>
                <w:lang/>
              </w:rPr>
            </w:pPr>
            <w:r>
              <w:rPr>
                <w:color w:val="000000"/>
                <w:kern w:val="0"/>
                <w:szCs w:val="21"/>
                <w:lang/>
              </w:rPr>
              <w:t>&gt;200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45" w:type="dxa"/>
            <w:vMerge w:val="continue"/>
            <w:vAlign w:val="center"/>
          </w:tcPr>
          <w:p>
            <w:pPr>
              <w:widowControl/>
              <w:jc w:val="center"/>
              <w:textAlignment w:val="bottom"/>
              <w:rPr>
                <w:color w:val="000000"/>
                <w:kern w:val="0"/>
                <w:szCs w:val="21"/>
                <w:lang/>
              </w:rPr>
            </w:pPr>
          </w:p>
        </w:tc>
        <w:tc>
          <w:tcPr>
            <w:tcW w:w="900" w:type="dxa"/>
            <w:vMerge w:val="restart"/>
            <w:vAlign w:val="center"/>
          </w:tcPr>
          <w:p>
            <w:pPr>
              <w:widowControl/>
              <w:jc w:val="center"/>
              <w:textAlignment w:val="bottom"/>
              <w:rPr>
                <w:color w:val="000000"/>
                <w:kern w:val="0"/>
                <w:szCs w:val="21"/>
                <w:lang/>
              </w:rPr>
            </w:pPr>
            <w:r>
              <w:rPr>
                <w:color w:val="000000"/>
                <w:kern w:val="0"/>
                <w:szCs w:val="21"/>
                <w:lang/>
              </w:rPr>
              <w:t>对外交通便利度</w:t>
            </w:r>
          </w:p>
        </w:tc>
        <w:tc>
          <w:tcPr>
            <w:tcW w:w="1695" w:type="dxa"/>
            <w:vAlign w:val="center"/>
          </w:tcPr>
          <w:p>
            <w:pPr>
              <w:widowControl/>
              <w:jc w:val="center"/>
              <w:textAlignment w:val="bottom"/>
              <w:rPr>
                <w:color w:val="000000"/>
                <w:kern w:val="0"/>
                <w:szCs w:val="21"/>
                <w:lang/>
              </w:rPr>
            </w:pPr>
            <w:r>
              <w:rPr>
                <w:color w:val="000000"/>
                <w:kern w:val="0"/>
                <w:szCs w:val="21"/>
                <w:lang/>
              </w:rPr>
              <w:t>距最近长途汽车站距离</w:t>
            </w:r>
          </w:p>
        </w:tc>
        <w:tc>
          <w:tcPr>
            <w:tcW w:w="884" w:type="dxa"/>
            <w:vAlign w:val="center"/>
          </w:tcPr>
          <w:p>
            <w:pPr>
              <w:widowControl/>
              <w:jc w:val="center"/>
              <w:textAlignment w:val="bottom"/>
              <w:rPr>
                <w:color w:val="000000"/>
                <w:kern w:val="0"/>
                <w:szCs w:val="21"/>
                <w:lang/>
              </w:rPr>
            </w:pPr>
            <w:r>
              <w:rPr>
                <w:color w:val="000000"/>
                <w:kern w:val="0"/>
                <w:szCs w:val="21"/>
                <w:lang/>
              </w:rPr>
              <w:t>≤1600</w:t>
            </w:r>
          </w:p>
        </w:tc>
        <w:tc>
          <w:tcPr>
            <w:tcW w:w="1336" w:type="dxa"/>
            <w:vAlign w:val="center"/>
          </w:tcPr>
          <w:p>
            <w:pPr>
              <w:widowControl/>
              <w:jc w:val="center"/>
              <w:textAlignment w:val="bottom"/>
              <w:rPr>
                <w:color w:val="000000"/>
                <w:kern w:val="0"/>
                <w:szCs w:val="21"/>
                <w:lang/>
              </w:rPr>
            </w:pPr>
            <w:r>
              <w:rPr>
                <w:color w:val="000000"/>
                <w:kern w:val="0"/>
                <w:szCs w:val="21"/>
                <w:lang/>
              </w:rPr>
              <w:t>1600-2000</w:t>
            </w:r>
          </w:p>
        </w:tc>
        <w:tc>
          <w:tcPr>
            <w:tcW w:w="1336" w:type="dxa"/>
            <w:vAlign w:val="center"/>
          </w:tcPr>
          <w:p>
            <w:pPr>
              <w:widowControl/>
              <w:jc w:val="center"/>
              <w:textAlignment w:val="bottom"/>
              <w:rPr>
                <w:color w:val="000000"/>
                <w:kern w:val="0"/>
                <w:szCs w:val="21"/>
                <w:lang/>
              </w:rPr>
            </w:pPr>
            <w:r>
              <w:rPr>
                <w:color w:val="000000"/>
                <w:kern w:val="0"/>
                <w:szCs w:val="21"/>
                <w:lang/>
              </w:rPr>
              <w:t>2000-2400</w:t>
            </w:r>
          </w:p>
        </w:tc>
        <w:tc>
          <w:tcPr>
            <w:tcW w:w="1469" w:type="dxa"/>
            <w:vAlign w:val="center"/>
          </w:tcPr>
          <w:p>
            <w:pPr>
              <w:widowControl/>
              <w:jc w:val="center"/>
              <w:textAlignment w:val="bottom"/>
              <w:rPr>
                <w:color w:val="000000"/>
                <w:kern w:val="0"/>
                <w:szCs w:val="21"/>
                <w:lang/>
              </w:rPr>
            </w:pPr>
            <w:r>
              <w:rPr>
                <w:color w:val="000000"/>
                <w:kern w:val="0"/>
                <w:szCs w:val="21"/>
                <w:lang/>
              </w:rPr>
              <w:t>2400-2800</w:t>
            </w:r>
          </w:p>
        </w:tc>
        <w:tc>
          <w:tcPr>
            <w:tcW w:w="1245" w:type="dxa"/>
            <w:vAlign w:val="center"/>
          </w:tcPr>
          <w:p>
            <w:pPr>
              <w:widowControl/>
              <w:jc w:val="center"/>
              <w:textAlignment w:val="bottom"/>
              <w:rPr>
                <w:color w:val="000000"/>
                <w:kern w:val="0"/>
                <w:szCs w:val="21"/>
                <w:lang/>
              </w:rPr>
            </w:pPr>
            <w:r>
              <w:rPr>
                <w:color w:val="000000"/>
                <w:kern w:val="0"/>
                <w:szCs w:val="21"/>
                <w:lang/>
              </w:rPr>
              <w:t>&gt;2800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45" w:type="dxa"/>
            <w:vMerge w:val="continue"/>
            <w:vAlign w:val="center"/>
          </w:tcPr>
          <w:p>
            <w:pPr>
              <w:widowControl/>
              <w:jc w:val="center"/>
              <w:textAlignment w:val="bottom"/>
              <w:rPr>
                <w:color w:val="000000"/>
                <w:kern w:val="0"/>
                <w:szCs w:val="21"/>
                <w:lang/>
              </w:rPr>
            </w:pPr>
          </w:p>
        </w:tc>
        <w:tc>
          <w:tcPr>
            <w:tcW w:w="900" w:type="dxa"/>
            <w:vMerge w:val="continue"/>
            <w:vAlign w:val="center"/>
          </w:tcPr>
          <w:p>
            <w:pPr>
              <w:widowControl/>
              <w:jc w:val="center"/>
              <w:textAlignment w:val="bottom"/>
              <w:rPr>
                <w:color w:val="000000"/>
                <w:kern w:val="0"/>
                <w:szCs w:val="21"/>
                <w:lang/>
              </w:rPr>
            </w:pPr>
          </w:p>
        </w:tc>
        <w:tc>
          <w:tcPr>
            <w:tcW w:w="1695" w:type="dxa"/>
            <w:vAlign w:val="center"/>
          </w:tcPr>
          <w:p>
            <w:pPr>
              <w:widowControl/>
              <w:jc w:val="center"/>
              <w:textAlignment w:val="bottom"/>
              <w:rPr>
                <w:color w:val="000000"/>
                <w:kern w:val="0"/>
                <w:szCs w:val="21"/>
                <w:lang/>
              </w:rPr>
            </w:pPr>
            <w:r>
              <w:rPr>
                <w:color w:val="000000"/>
                <w:kern w:val="0"/>
                <w:szCs w:val="21"/>
                <w:lang/>
              </w:rPr>
              <w:t>距长沙火车站距离</w:t>
            </w:r>
          </w:p>
        </w:tc>
        <w:tc>
          <w:tcPr>
            <w:tcW w:w="884" w:type="dxa"/>
            <w:vAlign w:val="center"/>
          </w:tcPr>
          <w:p>
            <w:pPr>
              <w:widowControl/>
              <w:jc w:val="center"/>
              <w:textAlignment w:val="bottom"/>
              <w:rPr>
                <w:color w:val="000000"/>
                <w:kern w:val="0"/>
                <w:szCs w:val="21"/>
                <w:lang/>
              </w:rPr>
            </w:pPr>
            <w:r>
              <w:rPr>
                <w:color w:val="000000"/>
                <w:kern w:val="0"/>
                <w:szCs w:val="21"/>
                <w:lang/>
              </w:rPr>
              <w:t>&lt;1000</w:t>
            </w:r>
          </w:p>
        </w:tc>
        <w:tc>
          <w:tcPr>
            <w:tcW w:w="1336" w:type="dxa"/>
            <w:vAlign w:val="center"/>
          </w:tcPr>
          <w:p>
            <w:pPr>
              <w:widowControl/>
              <w:jc w:val="center"/>
              <w:textAlignment w:val="bottom"/>
              <w:rPr>
                <w:color w:val="000000"/>
                <w:kern w:val="0"/>
                <w:szCs w:val="21"/>
                <w:lang/>
              </w:rPr>
            </w:pPr>
            <w:r>
              <w:rPr>
                <w:color w:val="000000"/>
                <w:kern w:val="0"/>
                <w:szCs w:val="21"/>
                <w:lang/>
              </w:rPr>
              <w:t>1000-1800</w:t>
            </w:r>
          </w:p>
        </w:tc>
        <w:tc>
          <w:tcPr>
            <w:tcW w:w="1336" w:type="dxa"/>
            <w:vAlign w:val="center"/>
          </w:tcPr>
          <w:p>
            <w:pPr>
              <w:widowControl/>
              <w:jc w:val="center"/>
              <w:textAlignment w:val="bottom"/>
              <w:rPr>
                <w:color w:val="000000"/>
                <w:kern w:val="0"/>
                <w:szCs w:val="21"/>
                <w:lang/>
              </w:rPr>
            </w:pPr>
            <w:r>
              <w:rPr>
                <w:color w:val="000000"/>
                <w:kern w:val="0"/>
                <w:szCs w:val="21"/>
                <w:lang/>
              </w:rPr>
              <w:t>1800-2600</w:t>
            </w:r>
          </w:p>
        </w:tc>
        <w:tc>
          <w:tcPr>
            <w:tcW w:w="1469" w:type="dxa"/>
            <w:vAlign w:val="center"/>
          </w:tcPr>
          <w:p>
            <w:pPr>
              <w:widowControl/>
              <w:jc w:val="center"/>
              <w:textAlignment w:val="bottom"/>
              <w:rPr>
                <w:color w:val="000000"/>
                <w:kern w:val="0"/>
                <w:szCs w:val="21"/>
                <w:lang/>
              </w:rPr>
            </w:pPr>
            <w:r>
              <w:rPr>
                <w:color w:val="000000"/>
                <w:kern w:val="0"/>
                <w:szCs w:val="21"/>
                <w:lang/>
              </w:rPr>
              <w:t>2600-3000</w:t>
            </w:r>
          </w:p>
        </w:tc>
        <w:tc>
          <w:tcPr>
            <w:tcW w:w="1245" w:type="dxa"/>
            <w:vAlign w:val="center"/>
          </w:tcPr>
          <w:p>
            <w:pPr>
              <w:widowControl/>
              <w:jc w:val="center"/>
              <w:textAlignment w:val="bottom"/>
              <w:rPr>
                <w:color w:val="000000"/>
                <w:kern w:val="0"/>
                <w:szCs w:val="21"/>
                <w:lang/>
              </w:rPr>
            </w:pPr>
            <w:r>
              <w:rPr>
                <w:color w:val="000000"/>
                <w:kern w:val="0"/>
                <w:szCs w:val="21"/>
                <w:lang/>
              </w:rPr>
              <w:t>&gt;3000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45" w:type="dxa"/>
            <w:vMerge w:val="continue"/>
            <w:vAlign w:val="center"/>
          </w:tcPr>
          <w:p>
            <w:pPr>
              <w:widowControl/>
              <w:jc w:val="center"/>
              <w:textAlignment w:val="bottom"/>
              <w:rPr>
                <w:color w:val="000000"/>
                <w:kern w:val="0"/>
                <w:szCs w:val="21"/>
                <w:lang/>
              </w:rPr>
            </w:pPr>
          </w:p>
        </w:tc>
        <w:tc>
          <w:tcPr>
            <w:tcW w:w="900" w:type="dxa"/>
            <w:vMerge w:val="continue"/>
            <w:vAlign w:val="center"/>
          </w:tcPr>
          <w:p>
            <w:pPr>
              <w:widowControl/>
              <w:jc w:val="center"/>
              <w:textAlignment w:val="bottom"/>
              <w:rPr>
                <w:color w:val="000000"/>
                <w:kern w:val="0"/>
                <w:szCs w:val="21"/>
                <w:lang/>
              </w:rPr>
            </w:pPr>
          </w:p>
        </w:tc>
        <w:tc>
          <w:tcPr>
            <w:tcW w:w="1695" w:type="dxa"/>
            <w:vAlign w:val="center"/>
          </w:tcPr>
          <w:p>
            <w:pPr>
              <w:widowControl/>
              <w:jc w:val="center"/>
              <w:textAlignment w:val="bottom"/>
              <w:rPr>
                <w:color w:val="000000"/>
                <w:kern w:val="0"/>
                <w:szCs w:val="21"/>
                <w:lang/>
              </w:rPr>
            </w:pPr>
            <w:r>
              <w:rPr>
                <w:color w:val="000000"/>
                <w:kern w:val="0"/>
                <w:szCs w:val="21"/>
                <w:lang/>
              </w:rPr>
              <w:t>距长沙南高铁站距离</w:t>
            </w:r>
          </w:p>
        </w:tc>
        <w:tc>
          <w:tcPr>
            <w:tcW w:w="884" w:type="dxa"/>
            <w:vAlign w:val="center"/>
          </w:tcPr>
          <w:p>
            <w:pPr>
              <w:widowControl/>
              <w:jc w:val="center"/>
              <w:textAlignment w:val="bottom"/>
              <w:rPr>
                <w:color w:val="000000"/>
                <w:kern w:val="0"/>
                <w:szCs w:val="21"/>
                <w:lang/>
              </w:rPr>
            </w:pPr>
            <w:r>
              <w:rPr>
                <w:color w:val="000000"/>
                <w:kern w:val="0"/>
                <w:szCs w:val="21"/>
                <w:lang/>
              </w:rPr>
              <w:t>&lt;20000</w:t>
            </w:r>
          </w:p>
        </w:tc>
        <w:tc>
          <w:tcPr>
            <w:tcW w:w="1336" w:type="dxa"/>
            <w:vAlign w:val="center"/>
          </w:tcPr>
          <w:p>
            <w:pPr>
              <w:widowControl/>
              <w:jc w:val="center"/>
              <w:textAlignment w:val="bottom"/>
              <w:rPr>
                <w:color w:val="000000"/>
                <w:kern w:val="0"/>
                <w:szCs w:val="21"/>
                <w:lang/>
              </w:rPr>
            </w:pPr>
            <w:r>
              <w:rPr>
                <w:color w:val="000000"/>
                <w:kern w:val="0"/>
                <w:szCs w:val="21"/>
                <w:lang/>
              </w:rPr>
              <w:t>20000-23000</w:t>
            </w:r>
          </w:p>
        </w:tc>
        <w:tc>
          <w:tcPr>
            <w:tcW w:w="1336" w:type="dxa"/>
            <w:vAlign w:val="center"/>
          </w:tcPr>
          <w:p>
            <w:pPr>
              <w:widowControl/>
              <w:jc w:val="center"/>
              <w:textAlignment w:val="bottom"/>
              <w:rPr>
                <w:color w:val="000000"/>
                <w:kern w:val="0"/>
                <w:szCs w:val="21"/>
                <w:lang/>
              </w:rPr>
            </w:pPr>
            <w:r>
              <w:rPr>
                <w:color w:val="000000"/>
                <w:kern w:val="0"/>
                <w:szCs w:val="21"/>
                <w:lang/>
              </w:rPr>
              <w:t>23000-27000</w:t>
            </w:r>
          </w:p>
        </w:tc>
        <w:tc>
          <w:tcPr>
            <w:tcW w:w="1469" w:type="dxa"/>
            <w:vAlign w:val="center"/>
          </w:tcPr>
          <w:p>
            <w:pPr>
              <w:widowControl/>
              <w:jc w:val="center"/>
              <w:textAlignment w:val="bottom"/>
              <w:rPr>
                <w:color w:val="000000"/>
                <w:kern w:val="0"/>
                <w:szCs w:val="21"/>
                <w:lang/>
              </w:rPr>
            </w:pPr>
            <w:r>
              <w:rPr>
                <w:color w:val="000000"/>
                <w:kern w:val="0"/>
                <w:szCs w:val="21"/>
                <w:lang/>
              </w:rPr>
              <w:t>27000-30000</w:t>
            </w:r>
          </w:p>
        </w:tc>
        <w:tc>
          <w:tcPr>
            <w:tcW w:w="1245" w:type="dxa"/>
            <w:vAlign w:val="center"/>
          </w:tcPr>
          <w:p>
            <w:pPr>
              <w:widowControl/>
              <w:jc w:val="center"/>
              <w:textAlignment w:val="bottom"/>
              <w:rPr>
                <w:color w:val="000000"/>
                <w:kern w:val="0"/>
                <w:szCs w:val="21"/>
                <w:lang/>
              </w:rPr>
            </w:pPr>
            <w:r>
              <w:rPr>
                <w:color w:val="000000"/>
                <w:kern w:val="0"/>
                <w:szCs w:val="21"/>
                <w:lang/>
              </w:rPr>
              <w:t>&gt;30000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45" w:type="dxa"/>
            <w:vMerge w:val="restart"/>
            <w:vAlign w:val="center"/>
          </w:tcPr>
          <w:p>
            <w:pPr>
              <w:widowControl/>
              <w:jc w:val="center"/>
              <w:textAlignment w:val="bottom"/>
              <w:rPr>
                <w:color w:val="000000"/>
                <w:kern w:val="0"/>
                <w:szCs w:val="21"/>
                <w:lang/>
              </w:rPr>
            </w:pPr>
            <w:r>
              <w:rPr>
                <w:color w:val="000000"/>
                <w:kern w:val="0"/>
                <w:szCs w:val="21"/>
                <w:lang/>
              </w:rPr>
              <w:t>基本设施状况</w:t>
            </w:r>
          </w:p>
        </w:tc>
        <w:tc>
          <w:tcPr>
            <w:tcW w:w="900" w:type="dxa"/>
            <w:vMerge w:val="restart"/>
            <w:vAlign w:val="center"/>
          </w:tcPr>
          <w:p>
            <w:pPr>
              <w:widowControl/>
              <w:jc w:val="center"/>
              <w:textAlignment w:val="bottom"/>
              <w:rPr>
                <w:color w:val="000000"/>
                <w:kern w:val="0"/>
                <w:szCs w:val="21"/>
                <w:lang/>
              </w:rPr>
            </w:pPr>
            <w:r>
              <w:rPr>
                <w:color w:val="000000"/>
                <w:kern w:val="0"/>
                <w:szCs w:val="21"/>
                <w:lang/>
              </w:rPr>
              <w:t>基础设施完善度</w:t>
            </w:r>
          </w:p>
        </w:tc>
        <w:tc>
          <w:tcPr>
            <w:tcW w:w="1695" w:type="dxa"/>
            <w:vAlign w:val="center"/>
          </w:tcPr>
          <w:p>
            <w:pPr>
              <w:widowControl/>
              <w:jc w:val="center"/>
              <w:textAlignment w:val="bottom"/>
              <w:rPr>
                <w:color w:val="000000"/>
                <w:kern w:val="0"/>
                <w:szCs w:val="21"/>
                <w:lang/>
              </w:rPr>
            </w:pPr>
            <w:r>
              <w:rPr>
                <w:color w:val="000000"/>
                <w:kern w:val="0"/>
                <w:szCs w:val="21"/>
                <w:lang/>
              </w:rPr>
              <w:t>排水状况</w:t>
            </w:r>
          </w:p>
        </w:tc>
        <w:tc>
          <w:tcPr>
            <w:tcW w:w="884" w:type="dxa"/>
            <w:vAlign w:val="center"/>
          </w:tcPr>
          <w:p>
            <w:pPr>
              <w:widowControl/>
              <w:jc w:val="center"/>
              <w:textAlignment w:val="bottom"/>
              <w:rPr>
                <w:color w:val="000000"/>
                <w:kern w:val="0"/>
                <w:szCs w:val="21"/>
                <w:lang/>
              </w:rPr>
            </w:pPr>
            <w:r>
              <w:rPr>
                <w:color w:val="000000"/>
                <w:kern w:val="0"/>
                <w:szCs w:val="21"/>
                <w:lang/>
              </w:rPr>
              <w:t>好</w:t>
            </w:r>
          </w:p>
        </w:tc>
        <w:tc>
          <w:tcPr>
            <w:tcW w:w="1336" w:type="dxa"/>
            <w:vAlign w:val="center"/>
          </w:tcPr>
          <w:p>
            <w:pPr>
              <w:widowControl/>
              <w:jc w:val="center"/>
              <w:textAlignment w:val="bottom"/>
              <w:rPr>
                <w:color w:val="000000"/>
                <w:kern w:val="0"/>
                <w:szCs w:val="21"/>
                <w:lang/>
              </w:rPr>
            </w:pPr>
            <w:r>
              <w:rPr>
                <w:color w:val="000000"/>
                <w:kern w:val="0"/>
                <w:szCs w:val="21"/>
                <w:lang/>
              </w:rPr>
              <w:t>较好</w:t>
            </w:r>
          </w:p>
        </w:tc>
        <w:tc>
          <w:tcPr>
            <w:tcW w:w="1336" w:type="dxa"/>
            <w:vAlign w:val="center"/>
          </w:tcPr>
          <w:p>
            <w:pPr>
              <w:widowControl/>
              <w:jc w:val="center"/>
              <w:textAlignment w:val="bottom"/>
              <w:rPr>
                <w:color w:val="000000"/>
                <w:kern w:val="0"/>
                <w:szCs w:val="21"/>
                <w:lang/>
              </w:rPr>
            </w:pPr>
            <w:r>
              <w:rPr>
                <w:color w:val="000000"/>
                <w:kern w:val="0"/>
                <w:szCs w:val="21"/>
                <w:lang/>
              </w:rPr>
              <w:t>一般</w:t>
            </w:r>
          </w:p>
        </w:tc>
        <w:tc>
          <w:tcPr>
            <w:tcW w:w="1469" w:type="dxa"/>
            <w:vAlign w:val="center"/>
          </w:tcPr>
          <w:p>
            <w:pPr>
              <w:widowControl/>
              <w:jc w:val="center"/>
              <w:textAlignment w:val="bottom"/>
              <w:rPr>
                <w:color w:val="000000"/>
                <w:kern w:val="0"/>
                <w:szCs w:val="21"/>
                <w:lang/>
              </w:rPr>
            </w:pPr>
            <w:r>
              <w:rPr>
                <w:color w:val="000000"/>
                <w:kern w:val="0"/>
                <w:szCs w:val="21"/>
                <w:lang/>
              </w:rPr>
              <w:t>较差</w:t>
            </w:r>
          </w:p>
        </w:tc>
        <w:tc>
          <w:tcPr>
            <w:tcW w:w="1245" w:type="dxa"/>
            <w:vAlign w:val="center"/>
          </w:tcPr>
          <w:p>
            <w:pPr>
              <w:widowControl/>
              <w:jc w:val="center"/>
              <w:textAlignment w:val="bottom"/>
              <w:rPr>
                <w:color w:val="000000"/>
                <w:kern w:val="0"/>
                <w:szCs w:val="21"/>
                <w:lang/>
              </w:rPr>
            </w:pPr>
            <w:r>
              <w:rPr>
                <w:color w:val="000000"/>
                <w:kern w:val="0"/>
                <w:szCs w:val="21"/>
                <w:lang/>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45" w:type="dxa"/>
            <w:vMerge w:val="continue"/>
            <w:vAlign w:val="center"/>
          </w:tcPr>
          <w:p>
            <w:pPr>
              <w:widowControl/>
              <w:jc w:val="center"/>
              <w:textAlignment w:val="bottom"/>
              <w:rPr>
                <w:color w:val="000000"/>
                <w:kern w:val="0"/>
                <w:szCs w:val="21"/>
                <w:lang/>
              </w:rPr>
            </w:pPr>
          </w:p>
        </w:tc>
        <w:tc>
          <w:tcPr>
            <w:tcW w:w="900" w:type="dxa"/>
            <w:vMerge w:val="continue"/>
            <w:vAlign w:val="center"/>
          </w:tcPr>
          <w:p>
            <w:pPr>
              <w:widowControl/>
              <w:jc w:val="center"/>
              <w:textAlignment w:val="bottom"/>
              <w:rPr>
                <w:color w:val="000000"/>
                <w:kern w:val="0"/>
                <w:szCs w:val="21"/>
                <w:lang/>
              </w:rPr>
            </w:pPr>
          </w:p>
        </w:tc>
        <w:tc>
          <w:tcPr>
            <w:tcW w:w="1695" w:type="dxa"/>
            <w:vAlign w:val="center"/>
          </w:tcPr>
          <w:p>
            <w:pPr>
              <w:widowControl/>
              <w:jc w:val="center"/>
              <w:textAlignment w:val="bottom"/>
              <w:rPr>
                <w:color w:val="000000"/>
                <w:kern w:val="0"/>
                <w:szCs w:val="21"/>
                <w:lang/>
              </w:rPr>
            </w:pPr>
            <w:r>
              <w:rPr>
                <w:color w:val="000000"/>
                <w:kern w:val="0"/>
                <w:szCs w:val="21"/>
                <w:lang/>
              </w:rPr>
              <w:t>供水状况</w:t>
            </w:r>
          </w:p>
        </w:tc>
        <w:tc>
          <w:tcPr>
            <w:tcW w:w="884" w:type="dxa"/>
            <w:vAlign w:val="center"/>
          </w:tcPr>
          <w:p>
            <w:pPr>
              <w:widowControl/>
              <w:jc w:val="center"/>
              <w:textAlignment w:val="bottom"/>
              <w:rPr>
                <w:color w:val="000000"/>
                <w:kern w:val="0"/>
                <w:szCs w:val="21"/>
                <w:lang/>
              </w:rPr>
            </w:pPr>
            <w:r>
              <w:rPr>
                <w:color w:val="000000"/>
                <w:kern w:val="0"/>
                <w:szCs w:val="21"/>
                <w:lang/>
              </w:rPr>
              <w:t>100%</w:t>
            </w:r>
          </w:p>
        </w:tc>
        <w:tc>
          <w:tcPr>
            <w:tcW w:w="1336" w:type="dxa"/>
            <w:vAlign w:val="center"/>
          </w:tcPr>
          <w:p>
            <w:pPr>
              <w:widowControl/>
              <w:jc w:val="center"/>
              <w:textAlignment w:val="bottom"/>
              <w:rPr>
                <w:color w:val="000000"/>
                <w:kern w:val="0"/>
                <w:szCs w:val="21"/>
                <w:lang/>
              </w:rPr>
            </w:pPr>
            <w:r>
              <w:rPr>
                <w:color w:val="000000"/>
                <w:kern w:val="0"/>
                <w:szCs w:val="21"/>
                <w:lang/>
              </w:rPr>
              <w:t>90-99%</w:t>
            </w:r>
          </w:p>
        </w:tc>
        <w:tc>
          <w:tcPr>
            <w:tcW w:w="1336" w:type="dxa"/>
            <w:vAlign w:val="center"/>
          </w:tcPr>
          <w:p>
            <w:pPr>
              <w:widowControl/>
              <w:jc w:val="center"/>
              <w:textAlignment w:val="bottom"/>
              <w:rPr>
                <w:color w:val="000000"/>
                <w:kern w:val="0"/>
                <w:szCs w:val="21"/>
                <w:lang/>
              </w:rPr>
            </w:pPr>
            <w:r>
              <w:rPr>
                <w:color w:val="000000"/>
                <w:kern w:val="0"/>
                <w:szCs w:val="21"/>
                <w:lang/>
              </w:rPr>
              <w:t>80-89%</w:t>
            </w:r>
          </w:p>
        </w:tc>
        <w:tc>
          <w:tcPr>
            <w:tcW w:w="1469" w:type="dxa"/>
            <w:vAlign w:val="center"/>
          </w:tcPr>
          <w:p>
            <w:pPr>
              <w:widowControl/>
              <w:jc w:val="center"/>
              <w:textAlignment w:val="bottom"/>
              <w:rPr>
                <w:color w:val="000000"/>
                <w:kern w:val="0"/>
                <w:szCs w:val="21"/>
                <w:lang/>
              </w:rPr>
            </w:pPr>
            <w:r>
              <w:rPr>
                <w:color w:val="000000"/>
                <w:kern w:val="0"/>
                <w:szCs w:val="21"/>
                <w:lang/>
              </w:rPr>
              <w:t>60-79%</w:t>
            </w:r>
          </w:p>
        </w:tc>
        <w:tc>
          <w:tcPr>
            <w:tcW w:w="1245" w:type="dxa"/>
            <w:vAlign w:val="center"/>
          </w:tcPr>
          <w:p>
            <w:pPr>
              <w:widowControl/>
              <w:jc w:val="center"/>
              <w:textAlignment w:val="bottom"/>
              <w:rPr>
                <w:color w:val="000000"/>
                <w:kern w:val="0"/>
                <w:szCs w:val="21"/>
                <w:lang/>
              </w:rPr>
            </w:pPr>
            <w:r>
              <w:rPr>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45" w:type="dxa"/>
            <w:vMerge w:val="continue"/>
            <w:vAlign w:val="center"/>
          </w:tcPr>
          <w:p>
            <w:pPr>
              <w:widowControl/>
              <w:jc w:val="center"/>
              <w:textAlignment w:val="bottom"/>
              <w:rPr>
                <w:color w:val="000000"/>
                <w:kern w:val="0"/>
                <w:szCs w:val="21"/>
                <w:lang/>
              </w:rPr>
            </w:pPr>
          </w:p>
        </w:tc>
        <w:tc>
          <w:tcPr>
            <w:tcW w:w="900" w:type="dxa"/>
            <w:vMerge w:val="continue"/>
            <w:vAlign w:val="center"/>
          </w:tcPr>
          <w:p>
            <w:pPr>
              <w:widowControl/>
              <w:jc w:val="center"/>
              <w:textAlignment w:val="bottom"/>
              <w:rPr>
                <w:color w:val="000000"/>
                <w:kern w:val="0"/>
                <w:szCs w:val="21"/>
                <w:lang/>
              </w:rPr>
            </w:pPr>
          </w:p>
        </w:tc>
        <w:tc>
          <w:tcPr>
            <w:tcW w:w="1695" w:type="dxa"/>
            <w:vAlign w:val="center"/>
          </w:tcPr>
          <w:p>
            <w:pPr>
              <w:widowControl/>
              <w:jc w:val="center"/>
              <w:textAlignment w:val="bottom"/>
              <w:rPr>
                <w:color w:val="000000"/>
                <w:kern w:val="0"/>
                <w:szCs w:val="21"/>
                <w:lang/>
              </w:rPr>
            </w:pPr>
            <w:r>
              <w:rPr>
                <w:color w:val="000000"/>
                <w:kern w:val="0"/>
                <w:szCs w:val="21"/>
                <w:lang/>
              </w:rPr>
              <w:t>供电状况</w:t>
            </w:r>
          </w:p>
        </w:tc>
        <w:tc>
          <w:tcPr>
            <w:tcW w:w="884" w:type="dxa"/>
            <w:vAlign w:val="center"/>
          </w:tcPr>
          <w:p>
            <w:pPr>
              <w:widowControl/>
              <w:jc w:val="center"/>
              <w:textAlignment w:val="bottom"/>
              <w:rPr>
                <w:color w:val="000000"/>
                <w:kern w:val="0"/>
                <w:szCs w:val="21"/>
                <w:lang/>
              </w:rPr>
            </w:pPr>
            <w:r>
              <w:rPr>
                <w:color w:val="000000"/>
                <w:kern w:val="0"/>
                <w:szCs w:val="21"/>
                <w:lang/>
              </w:rPr>
              <w:t>100%</w:t>
            </w:r>
          </w:p>
        </w:tc>
        <w:tc>
          <w:tcPr>
            <w:tcW w:w="1336" w:type="dxa"/>
            <w:vAlign w:val="center"/>
          </w:tcPr>
          <w:p>
            <w:pPr>
              <w:widowControl/>
              <w:jc w:val="center"/>
              <w:textAlignment w:val="bottom"/>
              <w:rPr>
                <w:color w:val="000000"/>
                <w:kern w:val="0"/>
                <w:szCs w:val="21"/>
                <w:lang/>
              </w:rPr>
            </w:pPr>
            <w:r>
              <w:rPr>
                <w:color w:val="000000"/>
                <w:kern w:val="0"/>
                <w:szCs w:val="21"/>
                <w:lang/>
              </w:rPr>
              <w:t>90-99%</w:t>
            </w:r>
          </w:p>
        </w:tc>
        <w:tc>
          <w:tcPr>
            <w:tcW w:w="1336" w:type="dxa"/>
            <w:vAlign w:val="center"/>
          </w:tcPr>
          <w:p>
            <w:pPr>
              <w:widowControl/>
              <w:jc w:val="center"/>
              <w:textAlignment w:val="bottom"/>
              <w:rPr>
                <w:color w:val="000000"/>
                <w:kern w:val="0"/>
                <w:szCs w:val="21"/>
                <w:lang/>
              </w:rPr>
            </w:pPr>
            <w:r>
              <w:rPr>
                <w:color w:val="000000"/>
                <w:kern w:val="0"/>
                <w:szCs w:val="21"/>
                <w:lang/>
              </w:rPr>
              <w:t>80-89%</w:t>
            </w:r>
          </w:p>
        </w:tc>
        <w:tc>
          <w:tcPr>
            <w:tcW w:w="1469" w:type="dxa"/>
            <w:vAlign w:val="center"/>
          </w:tcPr>
          <w:p>
            <w:pPr>
              <w:widowControl/>
              <w:jc w:val="center"/>
              <w:textAlignment w:val="bottom"/>
              <w:rPr>
                <w:color w:val="000000"/>
                <w:kern w:val="0"/>
                <w:szCs w:val="21"/>
                <w:lang/>
              </w:rPr>
            </w:pPr>
            <w:r>
              <w:rPr>
                <w:color w:val="000000"/>
                <w:kern w:val="0"/>
                <w:szCs w:val="21"/>
                <w:lang/>
              </w:rPr>
              <w:t>60-79%</w:t>
            </w:r>
          </w:p>
        </w:tc>
        <w:tc>
          <w:tcPr>
            <w:tcW w:w="1245" w:type="dxa"/>
            <w:vAlign w:val="center"/>
          </w:tcPr>
          <w:p>
            <w:pPr>
              <w:widowControl/>
              <w:jc w:val="center"/>
              <w:textAlignment w:val="bottom"/>
              <w:rPr>
                <w:color w:val="000000"/>
                <w:kern w:val="0"/>
                <w:szCs w:val="21"/>
                <w:lang/>
              </w:rPr>
            </w:pPr>
            <w:r>
              <w:rPr>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45" w:type="dxa"/>
            <w:vMerge w:val="continue"/>
            <w:vAlign w:val="center"/>
          </w:tcPr>
          <w:p>
            <w:pPr>
              <w:widowControl/>
              <w:jc w:val="center"/>
              <w:textAlignment w:val="bottom"/>
              <w:rPr>
                <w:color w:val="000000"/>
                <w:kern w:val="0"/>
                <w:szCs w:val="21"/>
                <w:lang/>
              </w:rPr>
            </w:pPr>
          </w:p>
        </w:tc>
        <w:tc>
          <w:tcPr>
            <w:tcW w:w="900" w:type="dxa"/>
            <w:vMerge w:val="continue"/>
            <w:vAlign w:val="center"/>
          </w:tcPr>
          <w:p>
            <w:pPr>
              <w:widowControl/>
              <w:jc w:val="center"/>
              <w:textAlignment w:val="bottom"/>
              <w:rPr>
                <w:color w:val="000000"/>
                <w:kern w:val="0"/>
                <w:szCs w:val="21"/>
                <w:lang/>
              </w:rPr>
            </w:pPr>
          </w:p>
        </w:tc>
        <w:tc>
          <w:tcPr>
            <w:tcW w:w="1695" w:type="dxa"/>
            <w:vAlign w:val="center"/>
          </w:tcPr>
          <w:p>
            <w:pPr>
              <w:widowControl/>
              <w:jc w:val="center"/>
              <w:textAlignment w:val="bottom"/>
              <w:rPr>
                <w:color w:val="000000"/>
                <w:kern w:val="0"/>
                <w:szCs w:val="21"/>
                <w:lang/>
              </w:rPr>
            </w:pPr>
            <w:r>
              <w:rPr>
                <w:color w:val="000000"/>
                <w:kern w:val="0"/>
                <w:szCs w:val="21"/>
                <w:lang/>
              </w:rPr>
              <w:t>供气状况</w:t>
            </w:r>
          </w:p>
        </w:tc>
        <w:tc>
          <w:tcPr>
            <w:tcW w:w="884" w:type="dxa"/>
            <w:vAlign w:val="center"/>
          </w:tcPr>
          <w:p>
            <w:pPr>
              <w:widowControl/>
              <w:jc w:val="center"/>
              <w:textAlignment w:val="bottom"/>
              <w:rPr>
                <w:color w:val="000000"/>
                <w:kern w:val="0"/>
                <w:szCs w:val="21"/>
                <w:lang/>
              </w:rPr>
            </w:pPr>
            <w:r>
              <w:rPr>
                <w:color w:val="000000"/>
                <w:kern w:val="0"/>
                <w:szCs w:val="21"/>
                <w:lang/>
              </w:rPr>
              <w:t>100%</w:t>
            </w:r>
          </w:p>
        </w:tc>
        <w:tc>
          <w:tcPr>
            <w:tcW w:w="1336" w:type="dxa"/>
            <w:vAlign w:val="center"/>
          </w:tcPr>
          <w:p>
            <w:pPr>
              <w:widowControl/>
              <w:jc w:val="center"/>
              <w:textAlignment w:val="bottom"/>
              <w:rPr>
                <w:color w:val="000000"/>
                <w:kern w:val="0"/>
                <w:szCs w:val="21"/>
                <w:lang/>
              </w:rPr>
            </w:pPr>
            <w:r>
              <w:rPr>
                <w:color w:val="000000"/>
                <w:kern w:val="0"/>
                <w:szCs w:val="21"/>
                <w:lang/>
              </w:rPr>
              <w:t>90-99%</w:t>
            </w:r>
          </w:p>
        </w:tc>
        <w:tc>
          <w:tcPr>
            <w:tcW w:w="1336" w:type="dxa"/>
            <w:vAlign w:val="center"/>
          </w:tcPr>
          <w:p>
            <w:pPr>
              <w:widowControl/>
              <w:jc w:val="center"/>
              <w:textAlignment w:val="bottom"/>
              <w:rPr>
                <w:color w:val="000000"/>
                <w:kern w:val="0"/>
                <w:szCs w:val="21"/>
                <w:lang/>
              </w:rPr>
            </w:pPr>
            <w:r>
              <w:rPr>
                <w:color w:val="000000"/>
                <w:kern w:val="0"/>
                <w:szCs w:val="21"/>
                <w:lang/>
              </w:rPr>
              <w:t>80-89%</w:t>
            </w:r>
          </w:p>
        </w:tc>
        <w:tc>
          <w:tcPr>
            <w:tcW w:w="1469" w:type="dxa"/>
            <w:vAlign w:val="center"/>
          </w:tcPr>
          <w:p>
            <w:pPr>
              <w:widowControl/>
              <w:jc w:val="center"/>
              <w:textAlignment w:val="bottom"/>
              <w:rPr>
                <w:color w:val="000000"/>
                <w:kern w:val="0"/>
                <w:szCs w:val="21"/>
                <w:lang/>
              </w:rPr>
            </w:pPr>
            <w:r>
              <w:rPr>
                <w:color w:val="000000"/>
                <w:kern w:val="0"/>
                <w:szCs w:val="21"/>
                <w:lang/>
              </w:rPr>
              <w:t>60-79%</w:t>
            </w:r>
          </w:p>
        </w:tc>
        <w:tc>
          <w:tcPr>
            <w:tcW w:w="1245" w:type="dxa"/>
            <w:vAlign w:val="center"/>
          </w:tcPr>
          <w:p>
            <w:pPr>
              <w:widowControl/>
              <w:jc w:val="center"/>
              <w:textAlignment w:val="bottom"/>
              <w:rPr>
                <w:color w:val="000000"/>
                <w:kern w:val="0"/>
                <w:szCs w:val="21"/>
                <w:lang/>
              </w:rPr>
            </w:pPr>
            <w:r>
              <w:rPr>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45" w:type="dxa"/>
            <w:vAlign w:val="center"/>
          </w:tcPr>
          <w:p>
            <w:pPr>
              <w:widowControl/>
              <w:jc w:val="center"/>
              <w:textAlignment w:val="bottom"/>
              <w:rPr>
                <w:color w:val="000000"/>
                <w:kern w:val="0"/>
                <w:szCs w:val="21"/>
                <w:lang/>
              </w:rPr>
            </w:pPr>
            <w:r>
              <w:rPr>
                <w:color w:val="000000"/>
                <w:kern w:val="0"/>
                <w:szCs w:val="21"/>
                <w:lang/>
              </w:rPr>
              <w:t>人口状况</w:t>
            </w:r>
          </w:p>
        </w:tc>
        <w:tc>
          <w:tcPr>
            <w:tcW w:w="900" w:type="dxa"/>
            <w:vAlign w:val="center"/>
          </w:tcPr>
          <w:p>
            <w:pPr>
              <w:widowControl/>
              <w:jc w:val="center"/>
              <w:textAlignment w:val="bottom"/>
              <w:rPr>
                <w:color w:val="000000"/>
                <w:kern w:val="0"/>
                <w:szCs w:val="21"/>
                <w:lang/>
              </w:rPr>
            </w:pPr>
            <w:r>
              <w:rPr>
                <w:color w:val="000000"/>
                <w:kern w:val="0"/>
                <w:szCs w:val="21"/>
                <w:lang/>
              </w:rPr>
              <w:t>人口密度</w:t>
            </w:r>
          </w:p>
        </w:tc>
        <w:tc>
          <w:tcPr>
            <w:tcW w:w="1695" w:type="dxa"/>
            <w:vAlign w:val="center"/>
          </w:tcPr>
          <w:p>
            <w:pPr>
              <w:widowControl/>
              <w:jc w:val="center"/>
              <w:textAlignment w:val="bottom"/>
              <w:rPr>
                <w:color w:val="000000"/>
                <w:kern w:val="0"/>
                <w:szCs w:val="21"/>
                <w:lang/>
              </w:rPr>
            </w:pPr>
            <w:r>
              <w:rPr>
                <w:color w:val="000000"/>
                <w:kern w:val="0"/>
                <w:szCs w:val="21"/>
                <w:lang/>
              </w:rPr>
              <w:t>人口程度</w:t>
            </w:r>
          </w:p>
        </w:tc>
        <w:tc>
          <w:tcPr>
            <w:tcW w:w="884" w:type="dxa"/>
            <w:vAlign w:val="center"/>
          </w:tcPr>
          <w:p>
            <w:pPr>
              <w:widowControl/>
              <w:jc w:val="center"/>
              <w:textAlignment w:val="bottom"/>
              <w:rPr>
                <w:color w:val="000000"/>
                <w:kern w:val="0"/>
                <w:szCs w:val="21"/>
                <w:lang/>
              </w:rPr>
            </w:pPr>
            <w:r>
              <w:rPr>
                <w:color w:val="000000"/>
                <w:kern w:val="0"/>
                <w:szCs w:val="21"/>
                <w:lang/>
              </w:rPr>
              <w:t>人口稠密</w:t>
            </w:r>
          </w:p>
        </w:tc>
        <w:tc>
          <w:tcPr>
            <w:tcW w:w="1336" w:type="dxa"/>
            <w:vAlign w:val="center"/>
          </w:tcPr>
          <w:p>
            <w:pPr>
              <w:widowControl/>
              <w:jc w:val="center"/>
              <w:textAlignment w:val="bottom"/>
              <w:rPr>
                <w:color w:val="000000"/>
                <w:kern w:val="0"/>
                <w:szCs w:val="21"/>
                <w:lang/>
              </w:rPr>
            </w:pPr>
            <w:r>
              <w:rPr>
                <w:color w:val="000000"/>
                <w:kern w:val="0"/>
                <w:szCs w:val="21"/>
                <w:lang/>
              </w:rPr>
              <w:t>人口较稠密</w:t>
            </w:r>
          </w:p>
        </w:tc>
        <w:tc>
          <w:tcPr>
            <w:tcW w:w="1336" w:type="dxa"/>
            <w:vAlign w:val="center"/>
          </w:tcPr>
          <w:p>
            <w:pPr>
              <w:widowControl/>
              <w:jc w:val="center"/>
              <w:textAlignment w:val="bottom"/>
              <w:rPr>
                <w:color w:val="000000"/>
                <w:kern w:val="0"/>
                <w:szCs w:val="21"/>
                <w:lang/>
              </w:rPr>
            </w:pPr>
            <w:r>
              <w:rPr>
                <w:color w:val="000000"/>
                <w:kern w:val="0"/>
                <w:szCs w:val="21"/>
                <w:lang/>
              </w:rPr>
              <w:t>一般</w:t>
            </w:r>
          </w:p>
        </w:tc>
        <w:tc>
          <w:tcPr>
            <w:tcW w:w="1469" w:type="dxa"/>
            <w:vAlign w:val="center"/>
          </w:tcPr>
          <w:p>
            <w:pPr>
              <w:widowControl/>
              <w:jc w:val="center"/>
              <w:textAlignment w:val="bottom"/>
              <w:rPr>
                <w:color w:val="000000"/>
                <w:kern w:val="0"/>
                <w:szCs w:val="21"/>
                <w:lang/>
              </w:rPr>
            </w:pPr>
            <w:r>
              <w:rPr>
                <w:color w:val="000000"/>
                <w:kern w:val="0"/>
                <w:szCs w:val="21"/>
                <w:lang/>
              </w:rPr>
              <w:t>人口较稀疏</w:t>
            </w:r>
          </w:p>
        </w:tc>
        <w:tc>
          <w:tcPr>
            <w:tcW w:w="1245" w:type="dxa"/>
            <w:vAlign w:val="center"/>
          </w:tcPr>
          <w:p>
            <w:pPr>
              <w:widowControl/>
              <w:jc w:val="center"/>
              <w:textAlignment w:val="bottom"/>
              <w:rPr>
                <w:color w:val="000000"/>
                <w:kern w:val="0"/>
                <w:szCs w:val="21"/>
                <w:lang/>
              </w:rPr>
            </w:pPr>
            <w:r>
              <w:rPr>
                <w:color w:val="000000"/>
                <w:kern w:val="0"/>
                <w:szCs w:val="21"/>
                <w:lang/>
              </w:rPr>
              <w:t>人口稀疏区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45" w:type="dxa"/>
            <w:vMerge w:val="restart"/>
            <w:vAlign w:val="center"/>
          </w:tcPr>
          <w:p>
            <w:pPr>
              <w:widowControl/>
              <w:jc w:val="center"/>
              <w:textAlignment w:val="bottom"/>
              <w:rPr>
                <w:color w:val="000000"/>
                <w:kern w:val="0"/>
                <w:szCs w:val="21"/>
                <w:lang/>
              </w:rPr>
            </w:pPr>
            <w:r>
              <w:rPr>
                <w:color w:val="000000"/>
                <w:kern w:val="0"/>
                <w:szCs w:val="21"/>
                <w:lang/>
              </w:rPr>
              <w:t>城市规划</w:t>
            </w:r>
          </w:p>
        </w:tc>
        <w:tc>
          <w:tcPr>
            <w:tcW w:w="900" w:type="dxa"/>
            <w:vMerge w:val="restart"/>
            <w:vAlign w:val="center"/>
          </w:tcPr>
          <w:p>
            <w:pPr>
              <w:widowControl/>
              <w:jc w:val="center"/>
              <w:textAlignment w:val="bottom"/>
              <w:rPr>
                <w:color w:val="000000"/>
                <w:kern w:val="0"/>
                <w:szCs w:val="21"/>
                <w:lang/>
              </w:rPr>
            </w:pPr>
            <w:r>
              <w:rPr>
                <w:color w:val="000000"/>
                <w:kern w:val="0"/>
                <w:szCs w:val="21"/>
                <w:lang/>
              </w:rPr>
              <w:t>城市规划</w:t>
            </w:r>
          </w:p>
        </w:tc>
        <w:tc>
          <w:tcPr>
            <w:tcW w:w="1695" w:type="dxa"/>
            <w:vAlign w:val="center"/>
          </w:tcPr>
          <w:p>
            <w:pPr>
              <w:widowControl/>
              <w:jc w:val="center"/>
              <w:textAlignment w:val="bottom"/>
              <w:rPr>
                <w:color w:val="000000"/>
                <w:kern w:val="0"/>
                <w:szCs w:val="21"/>
                <w:lang/>
              </w:rPr>
            </w:pPr>
            <w:r>
              <w:rPr>
                <w:color w:val="000000"/>
                <w:kern w:val="0"/>
                <w:szCs w:val="21"/>
                <w:lang/>
              </w:rPr>
              <w:t>用地规划</w:t>
            </w:r>
          </w:p>
        </w:tc>
        <w:tc>
          <w:tcPr>
            <w:tcW w:w="884" w:type="dxa"/>
            <w:vAlign w:val="center"/>
          </w:tcPr>
          <w:p>
            <w:pPr>
              <w:widowControl/>
              <w:jc w:val="center"/>
              <w:textAlignment w:val="bottom"/>
              <w:rPr>
                <w:color w:val="000000"/>
                <w:kern w:val="0"/>
                <w:szCs w:val="21"/>
                <w:lang/>
              </w:rPr>
            </w:pPr>
            <w:r>
              <w:rPr>
                <w:color w:val="000000"/>
                <w:kern w:val="0"/>
                <w:szCs w:val="21"/>
                <w:lang/>
              </w:rPr>
              <w:t>最佳用途</w:t>
            </w:r>
          </w:p>
        </w:tc>
        <w:tc>
          <w:tcPr>
            <w:tcW w:w="1336" w:type="dxa"/>
            <w:vAlign w:val="center"/>
          </w:tcPr>
          <w:p>
            <w:pPr>
              <w:widowControl/>
              <w:jc w:val="center"/>
              <w:textAlignment w:val="bottom"/>
              <w:rPr>
                <w:color w:val="000000"/>
                <w:kern w:val="0"/>
                <w:szCs w:val="21"/>
                <w:lang/>
              </w:rPr>
            </w:pPr>
            <w:r>
              <w:rPr>
                <w:color w:val="000000"/>
                <w:kern w:val="0"/>
                <w:szCs w:val="21"/>
                <w:lang/>
              </w:rPr>
              <w:t>较适用途</w:t>
            </w:r>
          </w:p>
        </w:tc>
        <w:tc>
          <w:tcPr>
            <w:tcW w:w="1336" w:type="dxa"/>
            <w:vAlign w:val="center"/>
          </w:tcPr>
          <w:p>
            <w:pPr>
              <w:widowControl/>
              <w:jc w:val="center"/>
              <w:textAlignment w:val="bottom"/>
              <w:rPr>
                <w:color w:val="000000"/>
                <w:kern w:val="0"/>
                <w:szCs w:val="21"/>
                <w:lang/>
              </w:rPr>
            </w:pPr>
            <w:r>
              <w:rPr>
                <w:color w:val="000000"/>
                <w:kern w:val="0"/>
                <w:szCs w:val="21"/>
                <w:lang/>
              </w:rPr>
              <w:t>一般用途</w:t>
            </w:r>
          </w:p>
        </w:tc>
        <w:tc>
          <w:tcPr>
            <w:tcW w:w="1469" w:type="dxa"/>
            <w:vAlign w:val="center"/>
          </w:tcPr>
          <w:p>
            <w:pPr>
              <w:widowControl/>
              <w:jc w:val="center"/>
              <w:textAlignment w:val="bottom"/>
              <w:rPr>
                <w:color w:val="000000"/>
                <w:kern w:val="0"/>
                <w:szCs w:val="21"/>
                <w:lang/>
              </w:rPr>
            </w:pPr>
            <w:r>
              <w:rPr>
                <w:color w:val="000000"/>
                <w:kern w:val="0"/>
                <w:szCs w:val="21"/>
                <w:lang/>
              </w:rPr>
              <w:t>不太适合用途</w:t>
            </w:r>
          </w:p>
        </w:tc>
        <w:tc>
          <w:tcPr>
            <w:tcW w:w="1245" w:type="dxa"/>
            <w:vAlign w:val="center"/>
          </w:tcPr>
          <w:p>
            <w:pPr>
              <w:widowControl/>
              <w:jc w:val="center"/>
              <w:textAlignment w:val="bottom"/>
              <w:rPr>
                <w:color w:val="000000"/>
                <w:kern w:val="0"/>
                <w:szCs w:val="21"/>
                <w:lang/>
              </w:rPr>
            </w:pPr>
            <w:r>
              <w:rPr>
                <w:color w:val="000000"/>
                <w:kern w:val="0"/>
                <w:szCs w:val="21"/>
                <w:lang/>
              </w:rPr>
              <w:t>不适合用途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45" w:type="dxa"/>
            <w:vMerge w:val="continue"/>
            <w:vAlign w:val="center"/>
          </w:tcPr>
          <w:p>
            <w:pPr>
              <w:widowControl/>
              <w:jc w:val="center"/>
              <w:textAlignment w:val="bottom"/>
              <w:rPr>
                <w:color w:val="000000"/>
                <w:kern w:val="0"/>
                <w:szCs w:val="21"/>
                <w:lang/>
              </w:rPr>
            </w:pPr>
          </w:p>
        </w:tc>
        <w:tc>
          <w:tcPr>
            <w:tcW w:w="900" w:type="dxa"/>
            <w:vMerge w:val="continue"/>
            <w:vAlign w:val="center"/>
          </w:tcPr>
          <w:p>
            <w:pPr>
              <w:widowControl/>
              <w:jc w:val="center"/>
              <w:textAlignment w:val="bottom"/>
              <w:rPr>
                <w:color w:val="000000"/>
                <w:kern w:val="0"/>
                <w:szCs w:val="21"/>
                <w:lang/>
              </w:rPr>
            </w:pPr>
          </w:p>
        </w:tc>
        <w:tc>
          <w:tcPr>
            <w:tcW w:w="1695" w:type="dxa"/>
            <w:vAlign w:val="center"/>
          </w:tcPr>
          <w:p>
            <w:pPr>
              <w:widowControl/>
              <w:jc w:val="center"/>
              <w:textAlignment w:val="bottom"/>
              <w:rPr>
                <w:color w:val="000000"/>
                <w:kern w:val="0"/>
                <w:szCs w:val="21"/>
                <w:lang/>
              </w:rPr>
            </w:pPr>
            <w:r>
              <w:rPr>
                <w:color w:val="000000"/>
                <w:kern w:val="0"/>
                <w:szCs w:val="21"/>
                <w:lang/>
              </w:rPr>
              <w:t>道路规划</w:t>
            </w:r>
          </w:p>
        </w:tc>
        <w:tc>
          <w:tcPr>
            <w:tcW w:w="884" w:type="dxa"/>
            <w:vAlign w:val="center"/>
          </w:tcPr>
          <w:p>
            <w:pPr>
              <w:widowControl/>
              <w:jc w:val="center"/>
              <w:rPr>
                <w:color w:val="000000"/>
                <w:kern w:val="0"/>
                <w:szCs w:val="21"/>
                <w:lang/>
              </w:rPr>
            </w:pPr>
            <w:r>
              <w:rPr>
                <w:color w:val="000000"/>
                <w:kern w:val="0"/>
                <w:sz w:val="20"/>
              </w:rPr>
              <w:t>主干道</w:t>
            </w:r>
          </w:p>
        </w:tc>
        <w:tc>
          <w:tcPr>
            <w:tcW w:w="1336" w:type="dxa"/>
            <w:vAlign w:val="center"/>
          </w:tcPr>
          <w:p>
            <w:pPr>
              <w:widowControl/>
              <w:jc w:val="center"/>
              <w:rPr>
                <w:color w:val="000000"/>
                <w:kern w:val="0"/>
                <w:szCs w:val="21"/>
                <w:lang/>
              </w:rPr>
            </w:pPr>
            <w:r>
              <w:rPr>
                <w:color w:val="000000"/>
                <w:kern w:val="0"/>
                <w:sz w:val="20"/>
              </w:rPr>
              <w:t>次干道</w:t>
            </w:r>
          </w:p>
        </w:tc>
        <w:tc>
          <w:tcPr>
            <w:tcW w:w="1336" w:type="dxa"/>
            <w:vAlign w:val="center"/>
          </w:tcPr>
          <w:p>
            <w:pPr>
              <w:widowControl/>
              <w:jc w:val="center"/>
              <w:rPr>
                <w:color w:val="000000"/>
                <w:kern w:val="0"/>
                <w:szCs w:val="21"/>
                <w:lang/>
              </w:rPr>
            </w:pPr>
            <w:r>
              <w:rPr>
                <w:color w:val="000000"/>
                <w:kern w:val="0"/>
                <w:sz w:val="20"/>
              </w:rPr>
              <w:t>快速路</w:t>
            </w:r>
          </w:p>
        </w:tc>
        <w:tc>
          <w:tcPr>
            <w:tcW w:w="1469" w:type="dxa"/>
            <w:vAlign w:val="center"/>
          </w:tcPr>
          <w:p>
            <w:pPr>
              <w:widowControl/>
              <w:jc w:val="center"/>
              <w:rPr>
                <w:color w:val="000000"/>
                <w:kern w:val="0"/>
                <w:szCs w:val="21"/>
                <w:lang/>
              </w:rPr>
            </w:pPr>
            <w:r>
              <w:rPr>
                <w:color w:val="000000"/>
                <w:kern w:val="0"/>
                <w:sz w:val="20"/>
              </w:rPr>
              <w:t>支路</w:t>
            </w:r>
          </w:p>
        </w:tc>
        <w:tc>
          <w:tcPr>
            <w:tcW w:w="1245" w:type="dxa"/>
            <w:vAlign w:val="center"/>
          </w:tcPr>
          <w:p>
            <w:pPr>
              <w:widowControl/>
              <w:jc w:val="center"/>
              <w:rPr>
                <w:color w:val="000000"/>
                <w:kern w:val="0"/>
                <w:szCs w:val="21"/>
                <w:lang/>
              </w:rPr>
            </w:pPr>
            <w:r>
              <w:rPr>
                <w:color w:val="000000"/>
                <w:kern w:val="0"/>
                <w:sz w:val="20"/>
              </w:rPr>
              <w:t>街坊间支路</w:t>
            </w:r>
          </w:p>
        </w:tc>
      </w:tr>
    </w:tbl>
    <w:p>
      <w:pPr>
        <w:pStyle w:val="131"/>
        <w:spacing w:line="360" w:lineRule="auto"/>
        <w:ind w:firstLine="482"/>
        <w:rPr>
          <w:rFonts w:ascii="Times New Roman" w:hAnsi="Times New Roman"/>
          <w:bCs w:val="0"/>
          <w:sz w:val="24"/>
          <w:szCs w:val="24"/>
        </w:rPr>
        <w:sectPr>
          <w:pgSz w:w="11907" w:h="16840"/>
          <w:pgMar w:top="1361" w:right="1531" w:bottom="1361" w:left="1531" w:header="851" w:footer="992" w:gutter="0"/>
          <w:cols w:space="720" w:num="1"/>
          <w:docGrid w:linePitch="312" w:charSpace="0"/>
        </w:sectPr>
      </w:pPr>
    </w:p>
    <w:p>
      <w:pPr>
        <w:pStyle w:val="131"/>
        <w:spacing w:line="360" w:lineRule="auto"/>
        <w:ind w:firstLine="0" w:firstLineChars="0"/>
        <w:rPr>
          <w:rFonts w:ascii="Times New Roman" w:hAnsi="Times New Roman"/>
          <w:bCs w:val="0"/>
          <w:sz w:val="24"/>
          <w:szCs w:val="24"/>
        </w:rPr>
      </w:pPr>
      <w:r>
        <w:rPr>
          <w:rFonts w:ascii="Times New Roman" w:hAnsi="Times New Roman"/>
          <w:bCs w:val="0"/>
          <w:sz w:val="24"/>
          <w:szCs w:val="24"/>
        </w:rPr>
        <w:t>表4-3-3  长沙县Ⅱ级商服用地宗地地价区域因素修正系数表（%）</w:t>
      </w:r>
    </w:p>
    <w:tbl>
      <w:tblPr>
        <w:tblW w:w="94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87"/>
        <w:gridCol w:w="2540"/>
        <w:gridCol w:w="895"/>
        <w:gridCol w:w="895"/>
        <w:gridCol w:w="895"/>
        <w:gridCol w:w="895"/>
        <w:gridCol w:w="896"/>
        <w:gridCol w:w="8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atLeast"/>
          <w:jc w:val="center"/>
        </w:trPr>
        <w:tc>
          <w:tcPr>
            <w:tcW w:w="1487"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2540"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指标层</w:t>
            </w:r>
          </w:p>
        </w:tc>
        <w:tc>
          <w:tcPr>
            <w:tcW w:w="895"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权重</w:t>
            </w:r>
          </w:p>
        </w:tc>
        <w:tc>
          <w:tcPr>
            <w:tcW w:w="895"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优</w:t>
            </w:r>
          </w:p>
        </w:tc>
        <w:tc>
          <w:tcPr>
            <w:tcW w:w="895"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较优</w:t>
            </w:r>
          </w:p>
        </w:tc>
        <w:tc>
          <w:tcPr>
            <w:tcW w:w="895"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一般</w:t>
            </w:r>
          </w:p>
        </w:tc>
        <w:tc>
          <w:tcPr>
            <w:tcW w:w="896"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较劣</w:t>
            </w:r>
          </w:p>
        </w:tc>
        <w:tc>
          <w:tcPr>
            <w:tcW w:w="897"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8" w:hRule="atLeast"/>
          <w:jc w:val="center"/>
        </w:trPr>
        <w:tc>
          <w:tcPr>
            <w:tcW w:w="1487"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商服繁华影响度</w:t>
            </w:r>
          </w:p>
        </w:tc>
        <w:tc>
          <w:tcPr>
            <w:tcW w:w="254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距商服中心距离</w:t>
            </w:r>
          </w:p>
        </w:tc>
        <w:tc>
          <w:tcPr>
            <w:tcW w:w="895"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0.3885 </w:t>
            </w:r>
          </w:p>
        </w:tc>
        <w:tc>
          <w:tcPr>
            <w:tcW w:w="895"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4.872 </w:t>
            </w:r>
          </w:p>
        </w:tc>
        <w:tc>
          <w:tcPr>
            <w:tcW w:w="895"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2.436 </w:t>
            </w:r>
          </w:p>
        </w:tc>
        <w:tc>
          <w:tcPr>
            <w:tcW w:w="895"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96"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-2.727 </w:t>
            </w:r>
          </w:p>
        </w:tc>
        <w:tc>
          <w:tcPr>
            <w:tcW w:w="897"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-5.455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8" w:hRule="atLeast"/>
          <w:jc w:val="center"/>
        </w:trPr>
        <w:tc>
          <w:tcPr>
            <w:tcW w:w="1487"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道路通达度</w:t>
            </w:r>
          </w:p>
        </w:tc>
        <w:tc>
          <w:tcPr>
            <w:tcW w:w="254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临近道路状况</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0.0753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0.944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0.472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9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-0.529 </w:t>
            </w:r>
          </w:p>
        </w:tc>
        <w:tc>
          <w:tcPr>
            <w:tcW w:w="89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-1.057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3" w:hRule="atLeast"/>
          <w:jc w:val="center"/>
        </w:trPr>
        <w:tc>
          <w:tcPr>
            <w:tcW w:w="1487"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公交便捷度</w:t>
            </w:r>
          </w:p>
        </w:tc>
        <w:tc>
          <w:tcPr>
            <w:tcW w:w="254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距最近公交站（</w:t>
            </w:r>
            <w:r>
              <w:rPr>
                <w:rFonts w:hint="eastAsia"/>
                <w:color w:val="000000"/>
                <w:kern w:val="0"/>
                <w:szCs w:val="21"/>
                <w:lang/>
              </w:rPr>
              <w:t>轨道交通</w:t>
            </w:r>
            <w:r>
              <w:rPr>
                <w:color w:val="000000"/>
                <w:kern w:val="0"/>
                <w:szCs w:val="21"/>
                <w:lang/>
              </w:rPr>
              <w:t>站）距离</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0.0964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1.209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0.604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9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-0.677 </w:t>
            </w:r>
          </w:p>
        </w:tc>
        <w:tc>
          <w:tcPr>
            <w:tcW w:w="89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-1.353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3" w:hRule="atLeast"/>
          <w:jc w:val="center"/>
        </w:trPr>
        <w:tc>
          <w:tcPr>
            <w:tcW w:w="1487" w:type="dxa"/>
            <w:vMerge w:val="restart"/>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对外交通便利度</w:t>
            </w:r>
          </w:p>
        </w:tc>
        <w:tc>
          <w:tcPr>
            <w:tcW w:w="254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距最近长途汽车站距离</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0.0462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0.579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0.290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9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-0.324 </w:t>
            </w:r>
          </w:p>
        </w:tc>
        <w:tc>
          <w:tcPr>
            <w:tcW w:w="89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8" w:hRule="atLeast"/>
          <w:jc w:val="center"/>
        </w:trPr>
        <w:tc>
          <w:tcPr>
            <w:tcW w:w="1487"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54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距长沙火车站距离</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0.0163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0.204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0.102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9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-0.114 </w:t>
            </w:r>
          </w:p>
        </w:tc>
        <w:tc>
          <w:tcPr>
            <w:tcW w:w="89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8" w:hRule="atLeast"/>
          <w:jc w:val="center"/>
        </w:trPr>
        <w:tc>
          <w:tcPr>
            <w:tcW w:w="1487"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54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距长沙南高铁站距离</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0.0188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0.236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0.118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9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-0.132 </w:t>
            </w:r>
          </w:p>
        </w:tc>
        <w:tc>
          <w:tcPr>
            <w:tcW w:w="89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atLeast"/>
          <w:jc w:val="center"/>
        </w:trPr>
        <w:tc>
          <w:tcPr>
            <w:tcW w:w="1487" w:type="dxa"/>
            <w:vMerge w:val="restart"/>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基础设施完善度</w:t>
            </w:r>
          </w:p>
        </w:tc>
        <w:tc>
          <w:tcPr>
            <w:tcW w:w="254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排水状况</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0.584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0.292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9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-0.327 </w:t>
            </w:r>
          </w:p>
        </w:tc>
        <w:tc>
          <w:tcPr>
            <w:tcW w:w="89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atLeast"/>
          <w:jc w:val="center"/>
        </w:trPr>
        <w:tc>
          <w:tcPr>
            <w:tcW w:w="1487"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54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供水状况</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0.584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0.292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9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-0.327 </w:t>
            </w:r>
          </w:p>
        </w:tc>
        <w:tc>
          <w:tcPr>
            <w:tcW w:w="89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atLeast"/>
          <w:jc w:val="center"/>
        </w:trPr>
        <w:tc>
          <w:tcPr>
            <w:tcW w:w="1487"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54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供电状况</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0.584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0.292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9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-0.327 </w:t>
            </w:r>
          </w:p>
        </w:tc>
        <w:tc>
          <w:tcPr>
            <w:tcW w:w="89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atLeast"/>
          <w:jc w:val="center"/>
        </w:trPr>
        <w:tc>
          <w:tcPr>
            <w:tcW w:w="1487"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54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供气状况</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0.584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0.292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9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-0.327 </w:t>
            </w:r>
          </w:p>
        </w:tc>
        <w:tc>
          <w:tcPr>
            <w:tcW w:w="89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3" w:hRule="atLeast"/>
          <w:jc w:val="center"/>
        </w:trPr>
        <w:tc>
          <w:tcPr>
            <w:tcW w:w="1487"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人口密度</w:t>
            </w:r>
          </w:p>
        </w:tc>
        <w:tc>
          <w:tcPr>
            <w:tcW w:w="254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人口程度</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0.0795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0.997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0.498 </w:t>
            </w:r>
          </w:p>
        </w:tc>
        <w:tc>
          <w:tcPr>
            <w:tcW w:w="89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9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-0.558 </w:t>
            </w:r>
          </w:p>
        </w:tc>
        <w:tc>
          <w:tcPr>
            <w:tcW w:w="89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-1.116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3" w:hRule="atLeast"/>
          <w:jc w:val="center"/>
        </w:trPr>
        <w:tc>
          <w:tcPr>
            <w:tcW w:w="148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城市规划</w:t>
            </w:r>
          </w:p>
        </w:tc>
        <w:tc>
          <w:tcPr>
            <w:tcW w:w="2540"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color w:val="000000"/>
                <w:kern w:val="0"/>
                <w:szCs w:val="21"/>
                <w:lang/>
              </w:rPr>
            </w:pPr>
            <w:r>
              <w:rPr>
                <w:color w:val="000000"/>
                <w:kern w:val="0"/>
                <w:szCs w:val="21"/>
                <w:lang/>
              </w:rPr>
              <w:t>用地规划</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0.0463 </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0.581 </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0.290 </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-0.325 </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3" w:hRule="atLeast"/>
          <w:jc w:val="center"/>
        </w:trPr>
        <w:tc>
          <w:tcPr>
            <w:tcW w:w="148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540"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color w:val="000000"/>
                <w:kern w:val="0"/>
                <w:szCs w:val="21"/>
                <w:lang/>
              </w:rPr>
            </w:pPr>
            <w:r>
              <w:rPr>
                <w:color w:val="000000"/>
                <w:kern w:val="0"/>
                <w:szCs w:val="21"/>
                <w:lang/>
              </w:rPr>
              <w:t>道路规划</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0.0463 </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0.581 </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0.290 </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-0.325 </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-0.650 </w:t>
            </w:r>
          </w:p>
        </w:tc>
      </w:tr>
    </w:tbl>
    <w:p>
      <w:pPr>
        <w:pStyle w:val="131"/>
        <w:spacing w:line="360" w:lineRule="auto"/>
        <w:ind w:firstLine="0" w:firstLineChars="0"/>
        <w:rPr>
          <w:rFonts w:ascii="Times New Roman" w:hAnsi="Times New Roman"/>
          <w:bCs w:val="0"/>
          <w:sz w:val="24"/>
          <w:szCs w:val="24"/>
        </w:rPr>
      </w:pPr>
      <w:r>
        <w:rPr>
          <w:rFonts w:ascii="Times New Roman" w:hAnsi="Times New Roman"/>
          <w:bCs w:val="0"/>
          <w:sz w:val="24"/>
          <w:szCs w:val="24"/>
        </w:rPr>
        <w:t>表4-3-4  长沙县Ⅱ级商服用地宗地地价区域因素修正系数指标说明表</w:t>
      </w:r>
    </w:p>
    <w:tbl>
      <w:tblPr>
        <w:tblW w:w="9825" w:type="dxa"/>
        <w:tblInd w:w="-3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900"/>
        <w:gridCol w:w="1710"/>
        <w:gridCol w:w="885"/>
        <w:gridCol w:w="1369"/>
        <w:gridCol w:w="1350"/>
        <w:gridCol w:w="1406"/>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0" w:type="dxa"/>
            <w:vAlign w:val="center"/>
          </w:tcPr>
          <w:p>
            <w:pPr>
              <w:widowControl/>
              <w:jc w:val="center"/>
              <w:rPr>
                <w:b/>
                <w:bCs/>
                <w:color w:val="000000"/>
                <w:kern w:val="0"/>
                <w:szCs w:val="21"/>
              </w:rPr>
            </w:pPr>
            <w:r>
              <w:rPr>
                <w:b/>
                <w:bCs/>
                <w:color w:val="000000"/>
                <w:kern w:val="0"/>
                <w:szCs w:val="21"/>
              </w:rPr>
              <w:t>因素层</w:t>
            </w:r>
          </w:p>
        </w:tc>
        <w:tc>
          <w:tcPr>
            <w:tcW w:w="900" w:type="dxa"/>
            <w:vAlign w:val="center"/>
          </w:tcPr>
          <w:p>
            <w:pPr>
              <w:widowControl/>
              <w:jc w:val="center"/>
              <w:rPr>
                <w:b/>
                <w:bCs/>
                <w:color w:val="000000"/>
                <w:kern w:val="0"/>
                <w:szCs w:val="21"/>
              </w:rPr>
            </w:pPr>
            <w:r>
              <w:rPr>
                <w:b/>
                <w:bCs/>
                <w:color w:val="000000"/>
                <w:kern w:val="0"/>
                <w:szCs w:val="21"/>
              </w:rPr>
              <w:t>因子层</w:t>
            </w:r>
          </w:p>
        </w:tc>
        <w:tc>
          <w:tcPr>
            <w:tcW w:w="1710" w:type="dxa"/>
            <w:vAlign w:val="center"/>
          </w:tcPr>
          <w:p>
            <w:pPr>
              <w:widowControl/>
              <w:jc w:val="center"/>
              <w:rPr>
                <w:b/>
                <w:bCs/>
                <w:color w:val="000000"/>
                <w:kern w:val="0"/>
                <w:szCs w:val="21"/>
              </w:rPr>
            </w:pPr>
            <w:r>
              <w:rPr>
                <w:b/>
                <w:bCs/>
                <w:color w:val="000000"/>
                <w:kern w:val="0"/>
                <w:szCs w:val="21"/>
              </w:rPr>
              <w:t>指标层</w:t>
            </w:r>
          </w:p>
        </w:tc>
        <w:tc>
          <w:tcPr>
            <w:tcW w:w="885" w:type="dxa"/>
            <w:vAlign w:val="center"/>
          </w:tcPr>
          <w:p>
            <w:pPr>
              <w:widowControl/>
              <w:jc w:val="center"/>
              <w:rPr>
                <w:b/>
                <w:bCs/>
                <w:kern w:val="0"/>
                <w:szCs w:val="21"/>
              </w:rPr>
            </w:pPr>
            <w:r>
              <w:rPr>
                <w:b/>
                <w:bCs/>
                <w:kern w:val="0"/>
                <w:szCs w:val="21"/>
              </w:rPr>
              <w:t>优</w:t>
            </w:r>
          </w:p>
        </w:tc>
        <w:tc>
          <w:tcPr>
            <w:tcW w:w="1369" w:type="dxa"/>
            <w:vAlign w:val="center"/>
          </w:tcPr>
          <w:p>
            <w:pPr>
              <w:widowControl/>
              <w:jc w:val="center"/>
              <w:rPr>
                <w:b/>
                <w:bCs/>
                <w:kern w:val="0"/>
                <w:szCs w:val="21"/>
              </w:rPr>
            </w:pPr>
            <w:r>
              <w:rPr>
                <w:b/>
                <w:bCs/>
                <w:kern w:val="0"/>
                <w:szCs w:val="21"/>
              </w:rPr>
              <w:t>较优</w:t>
            </w:r>
          </w:p>
        </w:tc>
        <w:tc>
          <w:tcPr>
            <w:tcW w:w="1350" w:type="dxa"/>
            <w:vAlign w:val="center"/>
          </w:tcPr>
          <w:p>
            <w:pPr>
              <w:widowControl/>
              <w:jc w:val="center"/>
              <w:rPr>
                <w:b/>
                <w:bCs/>
                <w:kern w:val="0"/>
                <w:szCs w:val="21"/>
              </w:rPr>
            </w:pPr>
            <w:r>
              <w:rPr>
                <w:b/>
                <w:bCs/>
                <w:kern w:val="0"/>
                <w:szCs w:val="21"/>
              </w:rPr>
              <w:t>一般</w:t>
            </w:r>
          </w:p>
        </w:tc>
        <w:tc>
          <w:tcPr>
            <w:tcW w:w="1406" w:type="dxa"/>
            <w:vAlign w:val="center"/>
          </w:tcPr>
          <w:p>
            <w:pPr>
              <w:widowControl/>
              <w:jc w:val="center"/>
              <w:rPr>
                <w:b/>
                <w:bCs/>
                <w:kern w:val="0"/>
                <w:szCs w:val="21"/>
              </w:rPr>
            </w:pPr>
            <w:r>
              <w:rPr>
                <w:b/>
                <w:bCs/>
                <w:kern w:val="0"/>
                <w:szCs w:val="21"/>
              </w:rPr>
              <w:t>较劣</w:t>
            </w:r>
          </w:p>
        </w:tc>
        <w:tc>
          <w:tcPr>
            <w:tcW w:w="1245" w:type="dxa"/>
            <w:vAlign w:val="center"/>
          </w:tcPr>
          <w:p>
            <w:pPr>
              <w:widowControl/>
              <w:jc w:val="center"/>
              <w:rPr>
                <w:b/>
                <w:bCs/>
                <w:kern w:val="0"/>
                <w:szCs w:val="21"/>
              </w:rPr>
            </w:pPr>
            <w:r>
              <w:rPr>
                <w:b/>
                <w:bCs/>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960" w:type="dxa"/>
            <w:vAlign w:val="center"/>
          </w:tcPr>
          <w:p>
            <w:pPr>
              <w:widowControl/>
              <w:jc w:val="center"/>
              <w:textAlignment w:val="bottom"/>
              <w:rPr>
                <w:color w:val="000000"/>
                <w:kern w:val="0"/>
                <w:szCs w:val="21"/>
                <w:lang/>
              </w:rPr>
            </w:pPr>
            <w:r>
              <w:rPr>
                <w:color w:val="000000"/>
                <w:kern w:val="0"/>
                <w:szCs w:val="21"/>
                <w:lang/>
              </w:rPr>
              <w:t>繁华程度</w:t>
            </w:r>
          </w:p>
        </w:tc>
        <w:tc>
          <w:tcPr>
            <w:tcW w:w="900" w:type="dxa"/>
            <w:vAlign w:val="center"/>
          </w:tcPr>
          <w:p>
            <w:pPr>
              <w:widowControl/>
              <w:jc w:val="center"/>
              <w:textAlignment w:val="bottom"/>
              <w:rPr>
                <w:color w:val="000000"/>
                <w:kern w:val="0"/>
                <w:szCs w:val="21"/>
                <w:lang/>
              </w:rPr>
            </w:pPr>
            <w:r>
              <w:rPr>
                <w:color w:val="000000"/>
                <w:kern w:val="0"/>
                <w:szCs w:val="21"/>
                <w:lang/>
              </w:rPr>
              <w:t>商服繁华影响度</w:t>
            </w:r>
          </w:p>
        </w:tc>
        <w:tc>
          <w:tcPr>
            <w:tcW w:w="1710" w:type="dxa"/>
            <w:vAlign w:val="center"/>
          </w:tcPr>
          <w:p>
            <w:pPr>
              <w:widowControl/>
              <w:jc w:val="center"/>
              <w:textAlignment w:val="bottom"/>
              <w:rPr>
                <w:color w:val="000000"/>
                <w:kern w:val="0"/>
                <w:szCs w:val="21"/>
                <w:lang/>
              </w:rPr>
            </w:pPr>
            <w:r>
              <w:rPr>
                <w:color w:val="000000"/>
                <w:kern w:val="0"/>
                <w:szCs w:val="21"/>
                <w:lang/>
              </w:rPr>
              <w:t>距商服中心距离</w:t>
            </w:r>
          </w:p>
        </w:tc>
        <w:tc>
          <w:tcPr>
            <w:tcW w:w="885" w:type="dxa"/>
            <w:vAlign w:val="center"/>
          </w:tcPr>
          <w:p>
            <w:pPr>
              <w:widowControl/>
              <w:jc w:val="center"/>
              <w:textAlignment w:val="bottom"/>
              <w:rPr>
                <w:color w:val="000000"/>
                <w:kern w:val="0"/>
                <w:szCs w:val="21"/>
                <w:lang/>
              </w:rPr>
            </w:pPr>
            <w:r>
              <w:rPr>
                <w:color w:val="000000"/>
                <w:kern w:val="0"/>
                <w:szCs w:val="21"/>
                <w:lang/>
              </w:rPr>
              <w:t>≤200</w:t>
            </w:r>
          </w:p>
        </w:tc>
        <w:tc>
          <w:tcPr>
            <w:tcW w:w="1369" w:type="dxa"/>
            <w:vAlign w:val="center"/>
          </w:tcPr>
          <w:p>
            <w:pPr>
              <w:widowControl/>
              <w:jc w:val="center"/>
              <w:textAlignment w:val="bottom"/>
              <w:rPr>
                <w:color w:val="000000"/>
                <w:kern w:val="0"/>
                <w:szCs w:val="21"/>
                <w:lang/>
              </w:rPr>
            </w:pPr>
            <w:r>
              <w:rPr>
                <w:color w:val="000000"/>
                <w:kern w:val="0"/>
                <w:szCs w:val="21"/>
                <w:lang/>
              </w:rPr>
              <w:t>200-500</w:t>
            </w:r>
          </w:p>
        </w:tc>
        <w:tc>
          <w:tcPr>
            <w:tcW w:w="1350" w:type="dxa"/>
            <w:vAlign w:val="center"/>
          </w:tcPr>
          <w:p>
            <w:pPr>
              <w:widowControl/>
              <w:jc w:val="center"/>
              <w:textAlignment w:val="bottom"/>
              <w:rPr>
                <w:color w:val="000000"/>
                <w:kern w:val="0"/>
                <w:szCs w:val="21"/>
                <w:lang/>
              </w:rPr>
            </w:pPr>
            <w:r>
              <w:rPr>
                <w:color w:val="000000"/>
                <w:kern w:val="0"/>
                <w:szCs w:val="21"/>
                <w:lang/>
              </w:rPr>
              <w:t>500-800</w:t>
            </w:r>
          </w:p>
        </w:tc>
        <w:tc>
          <w:tcPr>
            <w:tcW w:w="1406" w:type="dxa"/>
            <w:vAlign w:val="center"/>
          </w:tcPr>
          <w:p>
            <w:pPr>
              <w:widowControl/>
              <w:jc w:val="center"/>
              <w:textAlignment w:val="bottom"/>
              <w:rPr>
                <w:color w:val="000000"/>
                <w:kern w:val="0"/>
                <w:szCs w:val="21"/>
                <w:lang/>
              </w:rPr>
            </w:pPr>
            <w:r>
              <w:rPr>
                <w:color w:val="000000"/>
                <w:kern w:val="0"/>
                <w:szCs w:val="21"/>
                <w:lang/>
              </w:rPr>
              <w:t>800-1300</w:t>
            </w:r>
          </w:p>
        </w:tc>
        <w:tc>
          <w:tcPr>
            <w:tcW w:w="1245" w:type="dxa"/>
            <w:vAlign w:val="center"/>
          </w:tcPr>
          <w:p>
            <w:pPr>
              <w:widowControl/>
              <w:jc w:val="center"/>
              <w:textAlignment w:val="bottom"/>
              <w:rPr>
                <w:color w:val="000000"/>
                <w:kern w:val="0"/>
                <w:szCs w:val="21"/>
                <w:lang/>
              </w:rPr>
            </w:pPr>
            <w:r>
              <w:rPr>
                <w:color w:val="000000"/>
                <w:kern w:val="0"/>
                <w:szCs w:val="21"/>
                <w:lang/>
              </w:rPr>
              <w:t>&gt;1300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960" w:type="dxa"/>
            <w:vMerge w:val="restart"/>
            <w:vAlign w:val="center"/>
          </w:tcPr>
          <w:p>
            <w:pPr>
              <w:widowControl/>
              <w:jc w:val="center"/>
              <w:textAlignment w:val="bottom"/>
              <w:rPr>
                <w:color w:val="000000"/>
                <w:kern w:val="0"/>
                <w:szCs w:val="21"/>
                <w:lang/>
              </w:rPr>
            </w:pPr>
            <w:r>
              <w:rPr>
                <w:color w:val="000000"/>
                <w:kern w:val="0"/>
                <w:szCs w:val="21"/>
                <w:lang/>
              </w:rPr>
              <w:t>交通条件</w:t>
            </w:r>
          </w:p>
        </w:tc>
        <w:tc>
          <w:tcPr>
            <w:tcW w:w="900" w:type="dxa"/>
            <w:vAlign w:val="center"/>
          </w:tcPr>
          <w:p>
            <w:pPr>
              <w:widowControl/>
              <w:jc w:val="center"/>
              <w:textAlignment w:val="bottom"/>
              <w:rPr>
                <w:color w:val="000000"/>
                <w:kern w:val="0"/>
                <w:szCs w:val="21"/>
                <w:lang/>
              </w:rPr>
            </w:pPr>
            <w:r>
              <w:rPr>
                <w:color w:val="000000"/>
                <w:kern w:val="0"/>
                <w:szCs w:val="21"/>
                <w:lang/>
              </w:rPr>
              <w:t>道路通达度</w:t>
            </w:r>
          </w:p>
        </w:tc>
        <w:tc>
          <w:tcPr>
            <w:tcW w:w="1710" w:type="dxa"/>
            <w:vAlign w:val="center"/>
          </w:tcPr>
          <w:p>
            <w:pPr>
              <w:widowControl/>
              <w:jc w:val="center"/>
              <w:textAlignment w:val="bottom"/>
              <w:rPr>
                <w:color w:val="000000"/>
                <w:kern w:val="0"/>
                <w:szCs w:val="21"/>
                <w:lang/>
              </w:rPr>
            </w:pPr>
            <w:r>
              <w:rPr>
                <w:color w:val="000000"/>
                <w:kern w:val="0"/>
                <w:szCs w:val="21"/>
                <w:lang/>
              </w:rPr>
              <w:t>临近道路状况</w:t>
            </w:r>
          </w:p>
        </w:tc>
        <w:tc>
          <w:tcPr>
            <w:tcW w:w="885" w:type="dxa"/>
            <w:vAlign w:val="center"/>
          </w:tcPr>
          <w:p>
            <w:pPr>
              <w:widowControl/>
              <w:jc w:val="center"/>
              <w:textAlignment w:val="bottom"/>
              <w:rPr>
                <w:color w:val="000000"/>
                <w:kern w:val="0"/>
                <w:szCs w:val="21"/>
                <w:lang/>
              </w:rPr>
            </w:pPr>
            <w:r>
              <w:rPr>
                <w:color w:val="000000"/>
                <w:kern w:val="0"/>
                <w:szCs w:val="21"/>
                <w:lang/>
              </w:rPr>
              <w:t>临繁华主干道</w:t>
            </w:r>
          </w:p>
        </w:tc>
        <w:tc>
          <w:tcPr>
            <w:tcW w:w="1369" w:type="dxa"/>
            <w:vAlign w:val="center"/>
          </w:tcPr>
          <w:p>
            <w:pPr>
              <w:widowControl/>
              <w:jc w:val="center"/>
              <w:textAlignment w:val="bottom"/>
              <w:rPr>
                <w:color w:val="000000"/>
                <w:kern w:val="0"/>
                <w:szCs w:val="21"/>
                <w:lang/>
              </w:rPr>
            </w:pPr>
            <w:r>
              <w:rPr>
                <w:color w:val="000000"/>
                <w:kern w:val="0"/>
                <w:szCs w:val="21"/>
                <w:lang/>
              </w:rPr>
              <w:t>临主干道</w:t>
            </w:r>
          </w:p>
        </w:tc>
        <w:tc>
          <w:tcPr>
            <w:tcW w:w="1350" w:type="dxa"/>
            <w:vAlign w:val="center"/>
          </w:tcPr>
          <w:p>
            <w:pPr>
              <w:widowControl/>
              <w:jc w:val="center"/>
              <w:textAlignment w:val="bottom"/>
              <w:rPr>
                <w:color w:val="000000"/>
                <w:kern w:val="0"/>
                <w:szCs w:val="21"/>
                <w:lang/>
              </w:rPr>
            </w:pPr>
            <w:r>
              <w:rPr>
                <w:color w:val="000000"/>
                <w:kern w:val="0"/>
                <w:szCs w:val="21"/>
                <w:lang/>
              </w:rPr>
              <w:t>临繁华次干道</w:t>
            </w:r>
          </w:p>
        </w:tc>
        <w:tc>
          <w:tcPr>
            <w:tcW w:w="1406" w:type="dxa"/>
            <w:vAlign w:val="center"/>
          </w:tcPr>
          <w:p>
            <w:pPr>
              <w:widowControl/>
              <w:jc w:val="center"/>
              <w:textAlignment w:val="bottom"/>
              <w:rPr>
                <w:color w:val="000000"/>
                <w:kern w:val="0"/>
                <w:szCs w:val="21"/>
                <w:lang/>
              </w:rPr>
            </w:pPr>
            <w:r>
              <w:rPr>
                <w:color w:val="000000"/>
                <w:kern w:val="0"/>
                <w:szCs w:val="21"/>
                <w:lang/>
              </w:rPr>
              <w:t>临次干道</w:t>
            </w:r>
          </w:p>
        </w:tc>
        <w:tc>
          <w:tcPr>
            <w:tcW w:w="1245" w:type="dxa"/>
            <w:vAlign w:val="center"/>
          </w:tcPr>
          <w:p>
            <w:pPr>
              <w:widowControl/>
              <w:jc w:val="center"/>
              <w:textAlignment w:val="bottom"/>
              <w:rPr>
                <w:color w:val="000000"/>
                <w:kern w:val="0"/>
                <w:szCs w:val="21"/>
                <w:lang/>
              </w:rPr>
            </w:pPr>
            <w:r>
              <w:rPr>
                <w:color w:val="000000"/>
                <w:kern w:val="0"/>
                <w:szCs w:val="21"/>
                <w:lang/>
              </w:rPr>
              <w:t>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8" w:hRule="atLeast"/>
        </w:trPr>
        <w:tc>
          <w:tcPr>
            <w:tcW w:w="960" w:type="dxa"/>
            <w:vMerge w:val="continue"/>
            <w:vAlign w:val="center"/>
          </w:tcPr>
          <w:p>
            <w:pPr>
              <w:widowControl/>
              <w:jc w:val="center"/>
              <w:textAlignment w:val="bottom"/>
              <w:rPr>
                <w:color w:val="000000"/>
                <w:kern w:val="0"/>
                <w:szCs w:val="21"/>
                <w:lang/>
              </w:rPr>
            </w:pPr>
          </w:p>
        </w:tc>
        <w:tc>
          <w:tcPr>
            <w:tcW w:w="900" w:type="dxa"/>
            <w:vAlign w:val="center"/>
          </w:tcPr>
          <w:p>
            <w:pPr>
              <w:widowControl/>
              <w:jc w:val="center"/>
              <w:textAlignment w:val="bottom"/>
              <w:rPr>
                <w:color w:val="000000"/>
                <w:kern w:val="0"/>
                <w:szCs w:val="21"/>
                <w:lang/>
              </w:rPr>
            </w:pPr>
            <w:r>
              <w:rPr>
                <w:color w:val="000000"/>
                <w:kern w:val="0"/>
                <w:szCs w:val="21"/>
                <w:lang/>
              </w:rPr>
              <w:t>公交便捷度</w:t>
            </w:r>
          </w:p>
        </w:tc>
        <w:tc>
          <w:tcPr>
            <w:tcW w:w="1710" w:type="dxa"/>
            <w:vAlign w:val="center"/>
          </w:tcPr>
          <w:p>
            <w:pPr>
              <w:widowControl/>
              <w:jc w:val="center"/>
              <w:textAlignment w:val="bottom"/>
              <w:rPr>
                <w:color w:val="000000"/>
                <w:kern w:val="0"/>
                <w:szCs w:val="21"/>
                <w:lang/>
              </w:rPr>
            </w:pPr>
            <w:r>
              <w:rPr>
                <w:color w:val="000000"/>
                <w:kern w:val="0"/>
                <w:szCs w:val="21"/>
                <w:lang/>
              </w:rPr>
              <w:t>距最近公交站（</w:t>
            </w:r>
            <w:r>
              <w:rPr>
                <w:rFonts w:hint="eastAsia"/>
                <w:color w:val="000000"/>
                <w:kern w:val="0"/>
                <w:szCs w:val="21"/>
                <w:lang/>
              </w:rPr>
              <w:t>轨道交通</w:t>
            </w:r>
            <w:r>
              <w:rPr>
                <w:color w:val="000000"/>
                <w:kern w:val="0"/>
                <w:szCs w:val="21"/>
                <w:lang/>
              </w:rPr>
              <w:t>站）距离</w:t>
            </w:r>
          </w:p>
        </w:tc>
        <w:tc>
          <w:tcPr>
            <w:tcW w:w="885" w:type="dxa"/>
            <w:vAlign w:val="center"/>
          </w:tcPr>
          <w:p>
            <w:pPr>
              <w:widowControl/>
              <w:jc w:val="center"/>
              <w:textAlignment w:val="bottom"/>
              <w:rPr>
                <w:color w:val="000000"/>
                <w:kern w:val="0"/>
                <w:szCs w:val="21"/>
                <w:lang/>
              </w:rPr>
            </w:pPr>
            <w:r>
              <w:rPr>
                <w:color w:val="000000"/>
                <w:kern w:val="0"/>
                <w:szCs w:val="21"/>
                <w:lang/>
              </w:rPr>
              <w:t>≤80</w:t>
            </w:r>
          </w:p>
        </w:tc>
        <w:tc>
          <w:tcPr>
            <w:tcW w:w="1369" w:type="dxa"/>
            <w:vAlign w:val="center"/>
          </w:tcPr>
          <w:p>
            <w:pPr>
              <w:widowControl/>
              <w:jc w:val="center"/>
              <w:textAlignment w:val="bottom"/>
              <w:rPr>
                <w:color w:val="000000"/>
                <w:kern w:val="0"/>
                <w:szCs w:val="21"/>
                <w:lang/>
              </w:rPr>
            </w:pPr>
            <w:r>
              <w:rPr>
                <w:color w:val="000000"/>
                <w:kern w:val="0"/>
                <w:szCs w:val="21"/>
                <w:lang/>
              </w:rPr>
              <w:t>80-170</w:t>
            </w:r>
          </w:p>
        </w:tc>
        <w:tc>
          <w:tcPr>
            <w:tcW w:w="1350" w:type="dxa"/>
            <w:vAlign w:val="center"/>
          </w:tcPr>
          <w:p>
            <w:pPr>
              <w:widowControl/>
              <w:jc w:val="center"/>
              <w:textAlignment w:val="bottom"/>
              <w:rPr>
                <w:color w:val="000000"/>
                <w:kern w:val="0"/>
                <w:szCs w:val="21"/>
                <w:lang/>
              </w:rPr>
            </w:pPr>
            <w:r>
              <w:rPr>
                <w:color w:val="000000"/>
                <w:kern w:val="0"/>
                <w:szCs w:val="21"/>
                <w:lang/>
              </w:rPr>
              <w:t>170-260</w:t>
            </w:r>
          </w:p>
        </w:tc>
        <w:tc>
          <w:tcPr>
            <w:tcW w:w="1406" w:type="dxa"/>
            <w:vAlign w:val="center"/>
          </w:tcPr>
          <w:p>
            <w:pPr>
              <w:widowControl/>
              <w:jc w:val="center"/>
              <w:textAlignment w:val="bottom"/>
              <w:rPr>
                <w:color w:val="000000"/>
                <w:kern w:val="0"/>
                <w:szCs w:val="21"/>
                <w:lang/>
              </w:rPr>
            </w:pPr>
            <w:r>
              <w:rPr>
                <w:color w:val="000000"/>
                <w:kern w:val="0"/>
                <w:szCs w:val="21"/>
                <w:lang/>
              </w:rPr>
              <w:t>260-350</w:t>
            </w:r>
          </w:p>
        </w:tc>
        <w:tc>
          <w:tcPr>
            <w:tcW w:w="1245" w:type="dxa"/>
            <w:vAlign w:val="center"/>
          </w:tcPr>
          <w:p>
            <w:pPr>
              <w:widowControl/>
              <w:jc w:val="center"/>
              <w:textAlignment w:val="bottom"/>
              <w:rPr>
                <w:color w:val="000000"/>
                <w:kern w:val="0"/>
                <w:szCs w:val="21"/>
                <w:lang/>
              </w:rPr>
            </w:pPr>
            <w:r>
              <w:rPr>
                <w:color w:val="000000"/>
                <w:kern w:val="0"/>
                <w:szCs w:val="21"/>
                <w:lang/>
              </w:rPr>
              <w:t>&gt;350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960" w:type="dxa"/>
            <w:vMerge w:val="continue"/>
            <w:vAlign w:val="center"/>
          </w:tcPr>
          <w:p>
            <w:pPr>
              <w:widowControl/>
              <w:jc w:val="center"/>
              <w:textAlignment w:val="bottom"/>
              <w:rPr>
                <w:color w:val="000000"/>
                <w:kern w:val="0"/>
                <w:szCs w:val="21"/>
                <w:lang/>
              </w:rPr>
            </w:pPr>
          </w:p>
        </w:tc>
        <w:tc>
          <w:tcPr>
            <w:tcW w:w="900" w:type="dxa"/>
            <w:vMerge w:val="restart"/>
            <w:vAlign w:val="center"/>
          </w:tcPr>
          <w:p>
            <w:pPr>
              <w:widowControl/>
              <w:jc w:val="center"/>
              <w:textAlignment w:val="bottom"/>
              <w:rPr>
                <w:color w:val="000000"/>
                <w:kern w:val="0"/>
                <w:szCs w:val="21"/>
                <w:lang/>
              </w:rPr>
            </w:pPr>
            <w:r>
              <w:rPr>
                <w:color w:val="000000"/>
                <w:kern w:val="0"/>
                <w:szCs w:val="21"/>
                <w:lang/>
              </w:rPr>
              <w:t>对外交通便利度</w:t>
            </w:r>
          </w:p>
        </w:tc>
        <w:tc>
          <w:tcPr>
            <w:tcW w:w="1710" w:type="dxa"/>
            <w:vAlign w:val="center"/>
          </w:tcPr>
          <w:p>
            <w:pPr>
              <w:widowControl/>
              <w:jc w:val="center"/>
              <w:textAlignment w:val="bottom"/>
              <w:rPr>
                <w:color w:val="000000"/>
                <w:kern w:val="0"/>
                <w:szCs w:val="21"/>
                <w:lang/>
              </w:rPr>
            </w:pPr>
            <w:r>
              <w:rPr>
                <w:color w:val="000000"/>
                <w:kern w:val="0"/>
                <w:szCs w:val="21"/>
                <w:lang/>
              </w:rPr>
              <w:t>距最近长途汽车站距离</w:t>
            </w:r>
          </w:p>
        </w:tc>
        <w:tc>
          <w:tcPr>
            <w:tcW w:w="885" w:type="dxa"/>
            <w:vAlign w:val="center"/>
          </w:tcPr>
          <w:p>
            <w:pPr>
              <w:widowControl/>
              <w:jc w:val="center"/>
              <w:textAlignment w:val="bottom"/>
              <w:rPr>
                <w:color w:val="000000"/>
                <w:kern w:val="0"/>
                <w:szCs w:val="21"/>
                <w:lang/>
              </w:rPr>
            </w:pPr>
            <w:r>
              <w:rPr>
                <w:color w:val="000000"/>
                <w:kern w:val="0"/>
                <w:szCs w:val="21"/>
                <w:lang/>
              </w:rPr>
              <w:t>≤3000</w:t>
            </w:r>
          </w:p>
        </w:tc>
        <w:tc>
          <w:tcPr>
            <w:tcW w:w="1369" w:type="dxa"/>
            <w:vAlign w:val="center"/>
          </w:tcPr>
          <w:p>
            <w:pPr>
              <w:widowControl/>
              <w:jc w:val="center"/>
              <w:textAlignment w:val="bottom"/>
              <w:rPr>
                <w:color w:val="000000"/>
                <w:kern w:val="0"/>
                <w:szCs w:val="21"/>
                <w:lang/>
              </w:rPr>
            </w:pPr>
            <w:r>
              <w:rPr>
                <w:color w:val="000000"/>
                <w:kern w:val="0"/>
                <w:szCs w:val="21"/>
                <w:lang/>
              </w:rPr>
              <w:t>3000-3500</w:t>
            </w:r>
          </w:p>
        </w:tc>
        <w:tc>
          <w:tcPr>
            <w:tcW w:w="1350" w:type="dxa"/>
            <w:vAlign w:val="center"/>
          </w:tcPr>
          <w:p>
            <w:pPr>
              <w:widowControl/>
              <w:jc w:val="center"/>
              <w:textAlignment w:val="bottom"/>
              <w:rPr>
                <w:color w:val="000000"/>
                <w:kern w:val="0"/>
                <w:szCs w:val="21"/>
                <w:lang/>
              </w:rPr>
            </w:pPr>
            <w:r>
              <w:rPr>
                <w:color w:val="000000"/>
                <w:kern w:val="0"/>
                <w:szCs w:val="21"/>
                <w:lang/>
              </w:rPr>
              <w:t>3500-4000</w:t>
            </w:r>
          </w:p>
        </w:tc>
        <w:tc>
          <w:tcPr>
            <w:tcW w:w="1406" w:type="dxa"/>
            <w:vAlign w:val="center"/>
          </w:tcPr>
          <w:p>
            <w:pPr>
              <w:widowControl/>
              <w:jc w:val="center"/>
              <w:textAlignment w:val="bottom"/>
              <w:rPr>
                <w:color w:val="000000"/>
                <w:kern w:val="0"/>
                <w:szCs w:val="21"/>
                <w:lang/>
              </w:rPr>
            </w:pPr>
            <w:r>
              <w:rPr>
                <w:color w:val="000000"/>
                <w:kern w:val="0"/>
                <w:szCs w:val="21"/>
                <w:lang/>
              </w:rPr>
              <w:t>4000-5000</w:t>
            </w:r>
          </w:p>
        </w:tc>
        <w:tc>
          <w:tcPr>
            <w:tcW w:w="1245" w:type="dxa"/>
            <w:vAlign w:val="center"/>
          </w:tcPr>
          <w:p>
            <w:pPr>
              <w:widowControl/>
              <w:jc w:val="center"/>
              <w:textAlignment w:val="bottom"/>
              <w:rPr>
                <w:color w:val="000000"/>
                <w:kern w:val="0"/>
                <w:szCs w:val="21"/>
                <w:lang/>
              </w:rPr>
            </w:pPr>
            <w:r>
              <w:rPr>
                <w:color w:val="000000"/>
                <w:kern w:val="0"/>
                <w:szCs w:val="21"/>
                <w:lang/>
              </w:rPr>
              <w:t>&gt;5000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960" w:type="dxa"/>
            <w:vMerge w:val="continue"/>
            <w:vAlign w:val="center"/>
          </w:tcPr>
          <w:p>
            <w:pPr>
              <w:widowControl/>
              <w:jc w:val="center"/>
              <w:textAlignment w:val="bottom"/>
              <w:rPr>
                <w:color w:val="000000"/>
                <w:kern w:val="0"/>
                <w:szCs w:val="21"/>
                <w:lang/>
              </w:rPr>
            </w:pPr>
          </w:p>
        </w:tc>
        <w:tc>
          <w:tcPr>
            <w:tcW w:w="900" w:type="dxa"/>
            <w:vMerge w:val="continue"/>
            <w:vAlign w:val="center"/>
          </w:tcPr>
          <w:p>
            <w:pPr>
              <w:widowControl/>
              <w:jc w:val="center"/>
              <w:textAlignment w:val="bottom"/>
              <w:rPr>
                <w:color w:val="000000"/>
                <w:kern w:val="0"/>
                <w:szCs w:val="21"/>
                <w:lang/>
              </w:rPr>
            </w:pPr>
          </w:p>
        </w:tc>
        <w:tc>
          <w:tcPr>
            <w:tcW w:w="1710" w:type="dxa"/>
            <w:vAlign w:val="center"/>
          </w:tcPr>
          <w:p>
            <w:pPr>
              <w:widowControl/>
              <w:jc w:val="center"/>
              <w:textAlignment w:val="bottom"/>
              <w:rPr>
                <w:color w:val="000000"/>
                <w:kern w:val="0"/>
                <w:szCs w:val="21"/>
                <w:lang/>
              </w:rPr>
            </w:pPr>
            <w:r>
              <w:rPr>
                <w:color w:val="000000"/>
                <w:kern w:val="0"/>
                <w:szCs w:val="21"/>
                <w:lang/>
              </w:rPr>
              <w:t>距长沙火车站距离</w:t>
            </w:r>
          </w:p>
        </w:tc>
        <w:tc>
          <w:tcPr>
            <w:tcW w:w="885" w:type="dxa"/>
            <w:vAlign w:val="center"/>
          </w:tcPr>
          <w:p>
            <w:pPr>
              <w:widowControl/>
              <w:jc w:val="center"/>
              <w:textAlignment w:val="bottom"/>
              <w:rPr>
                <w:color w:val="000000"/>
                <w:kern w:val="0"/>
                <w:szCs w:val="21"/>
                <w:lang/>
              </w:rPr>
            </w:pPr>
            <w:r>
              <w:rPr>
                <w:color w:val="000000"/>
                <w:kern w:val="0"/>
                <w:szCs w:val="21"/>
                <w:lang/>
              </w:rPr>
              <w:t>&lt;1600</w:t>
            </w:r>
          </w:p>
        </w:tc>
        <w:tc>
          <w:tcPr>
            <w:tcW w:w="1369" w:type="dxa"/>
            <w:vAlign w:val="center"/>
          </w:tcPr>
          <w:p>
            <w:pPr>
              <w:widowControl/>
              <w:jc w:val="center"/>
              <w:textAlignment w:val="bottom"/>
              <w:rPr>
                <w:color w:val="000000"/>
                <w:kern w:val="0"/>
                <w:szCs w:val="21"/>
                <w:lang/>
              </w:rPr>
            </w:pPr>
            <w:r>
              <w:rPr>
                <w:color w:val="000000"/>
                <w:kern w:val="0"/>
                <w:szCs w:val="21"/>
                <w:lang/>
              </w:rPr>
              <w:t>1600-2400</w:t>
            </w:r>
          </w:p>
        </w:tc>
        <w:tc>
          <w:tcPr>
            <w:tcW w:w="1350" w:type="dxa"/>
            <w:vAlign w:val="center"/>
          </w:tcPr>
          <w:p>
            <w:pPr>
              <w:widowControl/>
              <w:jc w:val="center"/>
              <w:textAlignment w:val="bottom"/>
              <w:rPr>
                <w:color w:val="000000"/>
                <w:kern w:val="0"/>
                <w:szCs w:val="21"/>
                <w:lang/>
              </w:rPr>
            </w:pPr>
            <w:r>
              <w:rPr>
                <w:color w:val="000000"/>
                <w:kern w:val="0"/>
                <w:szCs w:val="21"/>
                <w:lang/>
              </w:rPr>
              <w:t>2400-3300</w:t>
            </w:r>
          </w:p>
        </w:tc>
        <w:tc>
          <w:tcPr>
            <w:tcW w:w="1406" w:type="dxa"/>
            <w:vAlign w:val="center"/>
          </w:tcPr>
          <w:p>
            <w:pPr>
              <w:widowControl/>
              <w:jc w:val="center"/>
              <w:textAlignment w:val="bottom"/>
              <w:rPr>
                <w:color w:val="000000"/>
                <w:kern w:val="0"/>
                <w:szCs w:val="21"/>
                <w:lang/>
              </w:rPr>
            </w:pPr>
            <w:r>
              <w:rPr>
                <w:color w:val="000000"/>
                <w:kern w:val="0"/>
                <w:szCs w:val="21"/>
                <w:lang/>
              </w:rPr>
              <w:t>3300-4500</w:t>
            </w:r>
          </w:p>
        </w:tc>
        <w:tc>
          <w:tcPr>
            <w:tcW w:w="1245" w:type="dxa"/>
            <w:vAlign w:val="center"/>
          </w:tcPr>
          <w:p>
            <w:pPr>
              <w:widowControl/>
              <w:jc w:val="center"/>
              <w:textAlignment w:val="bottom"/>
              <w:rPr>
                <w:color w:val="000000"/>
                <w:kern w:val="0"/>
                <w:szCs w:val="21"/>
                <w:lang/>
              </w:rPr>
            </w:pPr>
            <w:r>
              <w:rPr>
                <w:color w:val="000000"/>
                <w:kern w:val="0"/>
                <w:szCs w:val="21"/>
                <w:lang/>
              </w:rPr>
              <w:t>&gt;4500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960" w:type="dxa"/>
            <w:vMerge w:val="continue"/>
            <w:vAlign w:val="center"/>
          </w:tcPr>
          <w:p>
            <w:pPr>
              <w:widowControl/>
              <w:jc w:val="center"/>
              <w:textAlignment w:val="bottom"/>
              <w:rPr>
                <w:color w:val="000000"/>
                <w:kern w:val="0"/>
                <w:szCs w:val="21"/>
                <w:lang/>
              </w:rPr>
            </w:pPr>
          </w:p>
        </w:tc>
        <w:tc>
          <w:tcPr>
            <w:tcW w:w="900" w:type="dxa"/>
            <w:vMerge w:val="continue"/>
            <w:vAlign w:val="center"/>
          </w:tcPr>
          <w:p>
            <w:pPr>
              <w:widowControl/>
              <w:jc w:val="center"/>
              <w:textAlignment w:val="bottom"/>
              <w:rPr>
                <w:color w:val="000000"/>
                <w:kern w:val="0"/>
                <w:szCs w:val="21"/>
                <w:lang/>
              </w:rPr>
            </w:pPr>
          </w:p>
        </w:tc>
        <w:tc>
          <w:tcPr>
            <w:tcW w:w="1710" w:type="dxa"/>
            <w:vAlign w:val="center"/>
          </w:tcPr>
          <w:p>
            <w:pPr>
              <w:widowControl/>
              <w:jc w:val="center"/>
              <w:textAlignment w:val="bottom"/>
              <w:rPr>
                <w:color w:val="000000"/>
                <w:kern w:val="0"/>
                <w:szCs w:val="21"/>
                <w:lang/>
              </w:rPr>
            </w:pPr>
            <w:r>
              <w:rPr>
                <w:color w:val="000000"/>
                <w:kern w:val="0"/>
                <w:szCs w:val="21"/>
                <w:lang/>
              </w:rPr>
              <w:t>距长沙南高铁站距离</w:t>
            </w:r>
          </w:p>
        </w:tc>
        <w:tc>
          <w:tcPr>
            <w:tcW w:w="885" w:type="dxa"/>
            <w:vAlign w:val="center"/>
          </w:tcPr>
          <w:p>
            <w:pPr>
              <w:widowControl/>
              <w:jc w:val="center"/>
              <w:textAlignment w:val="bottom"/>
              <w:rPr>
                <w:color w:val="000000"/>
                <w:kern w:val="0"/>
                <w:szCs w:val="21"/>
                <w:lang/>
              </w:rPr>
            </w:pPr>
            <w:r>
              <w:rPr>
                <w:color w:val="000000"/>
                <w:kern w:val="0"/>
                <w:szCs w:val="21"/>
                <w:lang/>
              </w:rPr>
              <w:t>&lt;20000</w:t>
            </w:r>
          </w:p>
        </w:tc>
        <w:tc>
          <w:tcPr>
            <w:tcW w:w="1369" w:type="dxa"/>
            <w:vAlign w:val="center"/>
          </w:tcPr>
          <w:p>
            <w:pPr>
              <w:widowControl/>
              <w:jc w:val="center"/>
              <w:textAlignment w:val="bottom"/>
              <w:rPr>
                <w:color w:val="000000"/>
                <w:kern w:val="0"/>
                <w:szCs w:val="21"/>
                <w:lang/>
              </w:rPr>
            </w:pPr>
            <w:r>
              <w:rPr>
                <w:color w:val="000000"/>
                <w:kern w:val="0"/>
                <w:szCs w:val="21"/>
                <w:lang/>
              </w:rPr>
              <w:t>20000-23000</w:t>
            </w:r>
          </w:p>
        </w:tc>
        <w:tc>
          <w:tcPr>
            <w:tcW w:w="1350" w:type="dxa"/>
            <w:vAlign w:val="center"/>
          </w:tcPr>
          <w:p>
            <w:pPr>
              <w:widowControl/>
              <w:jc w:val="center"/>
              <w:textAlignment w:val="bottom"/>
              <w:rPr>
                <w:color w:val="000000"/>
                <w:kern w:val="0"/>
                <w:szCs w:val="21"/>
                <w:lang/>
              </w:rPr>
            </w:pPr>
            <w:r>
              <w:rPr>
                <w:color w:val="000000"/>
                <w:kern w:val="0"/>
                <w:szCs w:val="21"/>
                <w:lang/>
              </w:rPr>
              <w:t>23000-27000</w:t>
            </w:r>
          </w:p>
        </w:tc>
        <w:tc>
          <w:tcPr>
            <w:tcW w:w="1406" w:type="dxa"/>
            <w:vAlign w:val="center"/>
          </w:tcPr>
          <w:p>
            <w:pPr>
              <w:widowControl/>
              <w:jc w:val="center"/>
              <w:textAlignment w:val="bottom"/>
              <w:rPr>
                <w:color w:val="000000"/>
                <w:kern w:val="0"/>
                <w:szCs w:val="21"/>
                <w:lang/>
              </w:rPr>
            </w:pPr>
            <w:r>
              <w:rPr>
                <w:color w:val="000000"/>
                <w:kern w:val="0"/>
                <w:szCs w:val="21"/>
                <w:lang/>
              </w:rPr>
              <w:t>27000-30000</w:t>
            </w:r>
          </w:p>
        </w:tc>
        <w:tc>
          <w:tcPr>
            <w:tcW w:w="1245" w:type="dxa"/>
            <w:vAlign w:val="center"/>
          </w:tcPr>
          <w:p>
            <w:pPr>
              <w:widowControl/>
              <w:jc w:val="center"/>
              <w:textAlignment w:val="bottom"/>
              <w:rPr>
                <w:color w:val="000000"/>
                <w:kern w:val="0"/>
                <w:szCs w:val="21"/>
                <w:lang/>
              </w:rPr>
            </w:pPr>
            <w:r>
              <w:rPr>
                <w:color w:val="000000"/>
                <w:kern w:val="0"/>
                <w:szCs w:val="21"/>
                <w:lang/>
              </w:rPr>
              <w:t>&gt;30000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960" w:type="dxa"/>
            <w:vMerge w:val="restart"/>
            <w:vAlign w:val="center"/>
          </w:tcPr>
          <w:p>
            <w:pPr>
              <w:widowControl/>
              <w:jc w:val="center"/>
              <w:textAlignment w:val="bottom"/>
              <w:rPr>
                <w:color w:val="000000"/>
                <w:kern w:val="0"/>
                <w:szCs w:val="21"/>
                <w:lang/>
              </w:rPr>
            </w:pPr>
            <w:r>
              <w:rPr>
                <w:color w:val="000000"/>
                <w:kern w:val="0"/>
                <w:szCs w:val="21"/>
                <w:lang/>
              </w:rPr>
              <w:t>基本设施状况</w:t>
            </w:r>
          </w:p>
        </w:tc>
        <w:tc>
          <w:tcPr>
            <w:tcW w:w="900" w:type="dxa"/>
            <w:vMerge w:val="restart"/>
            <w:vAlign w:val="center"/>
          </w:tcPr>
          <w:p>
            <w:pPr>
              <w:widowControl/>
              <w:jc w:val="center"/>
              <w:textAlignment w:val="bottom"/>
              <w:rPr>
                <w:color w:val="000000"/>
                <w:kern w:val="0"/>
                <w:szCs w:val="21"/>
                <w:lang/>
              </w:rPr>
            </w:pPr>
            <w:r>
              <w:rPr>
                <w:color w:val="000000"/>
                <w:kern w:val="0"/>
                <w:szCs w:val="21"/>
                <w:lang/>
              </w:rPr>
              <w:t>基础设施完善度</w:t>
            </w:r>
          </w:p>
        </w:tc>
        <w:tc>
          <w:tcPr>
            <w:tcW w:w="1710" w:type="dxa"/>
            <w:vAlign w:val="center"/>
          </w:tcPr>
          <w:p>
            <w:pPr>
              <w:widowControl/>
              <w:jc w:val="center"/>
              <w:textAlignment w:val="bottom"/>
              <w:rPr>
                <w:color w:val="000000"/>
                <w:kern w:val="0"/>
                <w:szCs w:val="21"/>
                <w:lang/>
              </w:rPr>
            </w:pPr>
            <w:r>
              <w:rPr>
                <w:color w:val="000000"/>
                <w:kern w:val="0"/>
                <w:szCs w:val="21"/>
                <w:lang/>
              </w:rPr>
              <w:t>排水状况</w:t>
            </w:r>
          </w:p>
        </w:tc>
        <w:tc>
          <w:tcPr>
            <w:tcW w:w="885" w:type="dxa"/>
            <w:vAlign w:val="center"/>
          </w:tcPr>
          <w:p>
            <w:pPr>
              <w:widowControl/>
              <w:jc w:val="center"/>
              <w:textAlignment w:val="bottom"/>
              <w:rPr>
                <w:color w:val="000000"/>
                <w:kern w:val="0"/>
                <w:szCs w:val="21"/>
                <w:lang/>
              </w:rPr>
            </w:pPr>
            <w:r>
              <w:rPr>
                <w:color w:val="000000"/>
                <w:kern w:val="0"/>
                <w:szCs w:val="21"/>
                <w:lang/>
              </w:rPr>
              <w:t>好</w:t>
            </w:r>
          </w:p>
        </w:tc>
        <w:tc>
          <w:tcPr>
            <w:tcW w:w="1369" w:type="dxa"/>
            <w:vAlign w:val="center"/>
          </w:tcPr>
          <w:p>
            <w:pPr>
              <w:widowControl/>
              <w:jc w:val="center"/>
              <w:textAlignment w:val="bottom"/>
              <w:rPr>
                <w:color w:val="000000"/>
                <w:kern w:val="0"/>
                <w:szCs w:val="21"/>
                <w:lang/>
              </w:rPr>
            </w:pPr>
            <w:r>
              <w:rPr>
                <w:color w:val="000000"/>
                <w:kern w:val="0"/>
                <w:szCs w:val="21"/>
                <w:lang/>
              </w:rPr>
              <w:t>较好</w:t>
            </w:r>
          </w:p>
        </w:tc>
        <w:tc>
          <w:tcPr>
            <w:tcW w:w="1350" w:type="dxa"/>
            <w:vAlign w:val="center"/>
          </w:tcPr>
          <w:p>
            <w:pPr>
              <w:widowControl/>
              <w:jc w:val="center"/>
              <w:textAlignment w:val="bottom"/>
              <w:rPr>
                <w:color w:val="000000"/>
                <w:kern w:val="0"/>
                <w:szCs w:val="21"/>
                <w:lang/>
              </w:rPr>
            </w:pPr>
            <w:r>
              <w:rPr>
                <w:color w:val="000000"/>
                <w:kern w:val="0"/>
                <w:szCs w:val="21"/>
                <w:lang/>
              </w:rPr>
              <w:t>一般</w:t>
            </w:r>
          </w:p>
        </w:tc>
        <w:tc>
          <w:tcPr>
            <w:tcW w:w="1406" w:type="dxa"/>
            <w:vAlign w:val="center"/>
          </w:tcPr>
          <w:p>
            <w:pPr>
              <w:widowControl/>
              <w:jc w:val="center"/>
              <w:textAlignment w:val="bottom"/>
              <w:rPr>
                <w:color w:val="000000"/>
                <w:kern w:val="0"/>
                <w:szCs w:val="21"/>
                <w:lang/>
              </w:rPr>
            </w:pPr>
            <w:r>
              <w:rPr>
                <w:color w:val="000000"/>
                <w:kern w:val="0"/>
                <w:szCs w:val="21"/>
                <w:lang/>
              </w:rPr>
              <w:t>较差</w:t>
            </w:r>
          </w:p>
        </w:tc>
        <w:tc>
          <w:tcPr>
            <w:tcW w:w="1245" w:type="dxa"/>
            <w:vAlign w:val="center"/>
          </w:tcPr>
          <w:p>
            <w:pPr>
              <w:widowControl/>
              <w:jc w:val="center"/>
              <w:textAlignment w:val="bottom"/>
              <w:rPr>
                <w:color w:val="000000"/>
                <w:kern w:val="0"/>
                <w:szCs w:val="21"/>
                <w:lang/>
              </w:rPr>
            </w:pPr>
            <w:r>
              <w:rPr>
                <w:color w:val="000000"/>
                <w:kern w:val="0"/>
                <w:szCs w:val="21"/>
                <w:lang/>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960" w:type="dxa"/>
            <w:vMerge w:val="continue"/>
            <w:vAlign w:val="center"/>
          </w:tcPr>
          <w:p>
            <w:pPr>
              <w:widowControl/>
              <w:jc w:val="center"/>
              <w:textAlignment w:val="bottom"/>
              <w:rPr>
                <w:color w:val="000000"/>
                <w:kern w:val="0"/>
                <w:szCs w:val="21"/>
                <w:lang/>
              </w:rPr>
            </w:pPr>
          </w:p>
        </w:tc>
        <w:tc>
          <w:tcPr>
            <w:tcW w:w="900" w:type="dxa"/>
            <w:vMerge w:val="continue"/>
            <w:vAlign w:val="center"/>
          </w:tcPr>
          <w:p>
            <w:pPr>
              <w:widowControl/>
              <w:jc w:val="center"/>
              <w:textAlignment w:val="bottom"/>
              <w:rPr>
                <w:color w:val="000000"/>
                <w:kern w:val="0"/>
                <w:szCs w:val="21"/>
                <w:lang/>
              </w:rPr>
            </w:pPr>
          </w:p>
        </w:tc>
        <w:tc>
          <w:tcPr>
            <w:tcW w:w="1710" w:type="dxa"/>
            <w:vAlign w:val="center"/>
          </w:tcPr>
          <w:p>
            <w:pPr>
              <w:widowControl/>
              <w:jc w:val="center"/>
              <w:textAlignment w:val="bottom"/>
              <w:rPr>
                <w:color w:val="000000"/>
                <w:kern w:val="0"/>
                <w:szCs w:val="21"/>
                <w:lang/>
              </w:rPr>
            </w:pPr>
            <w:r>
              <w:rPr>
                <w:color w:val="000000"/>
                <w:kern w:val="0"/>
                <w:szCs w:val="21"/>
                <w:lang/>
              </w:rPr>
              <w:t>供水状况</w:t>
            </w:r>
          </w:p>
        </w:tc>
        <w:tc>
          <w:tcPr>
            <w:tcW w:w="885" w:type="dxa"/>
            <w:vAlign w:val="center"/>
          </w:tcPr>
          <w:p>
            <w:pPr>
              <w:widowControl/>
              <w:jc w:val="center"/>
              <w:textAlignment w:val="bottom"/>
              <w:rPr>
                <w:color w:val="000000"/>
                <w:kern w:val="0"/>
                <w:szCs w:val="21"/>
                <w:lang/>
              </w:rPr>
            </w:pPr>
            <w:r>
              <w:rPr>
                <w:color w:val="000000"/>
                <w:kern w:val="0"/>
                <w:szCs w:val="21"/>
                <w:lang/>
              </w:rPr>
              <w:t>100%</w:t>
            </w:r>
          </w:p>
        </w:tc>
        <w:tc>
          <w:tcPr>
            <w:tcW w:w="1369" w:type="dxa"/>
            <w:vAlign w:val="center"/>
          </w:tcPr>
          <w:p>
            <w:pPr>
              <w:widowControl/>
              <w:jc w:val="center"/>
              <w:textAlignment w:val="bottom"/>
              <w:rPr>
                <w:color w:val="000000"/>
                <w:kern w:val="0"/>
                <w:szCs w:val="21"/>
                <w:lang/>
              </w:rPr>
            </w:pPr>
            <w:r>
              <w:rPr>
                <w:color w:val="000000"/>
                <w:kern w:val="0"/>
                <w:szCs w:val="21"/>
                <w:lang/>
              </w:rPr>
              <w:t>90-99%</w:t>
            </w:r>
          </w:p>
        </w:tc>
        <w:tc>
          <w:tcPr>
            <w:tcW w:w="1350" w:type="dxa"/>
            <w:vAlign w:val="center"/>
          </w:tcPr>
          <w:p>
            <w:pPr>
              <w:widowControl/>
              <w:jc w:val="center"/>
              <w:textAlignment w:val="bottom"/>
              <w:rPr>
                <w:color w:val="000000"/>
                <w:kern w:val="0"/>
                <w:szCs w:val="21"/>
                <w:lang/>
              </w:rPr>
            </w:pPr>
            <w:r>
              <w:rPr>
                <w:color w:val="000000"/>
                <w:kern w:val="0"/>
                <w:szCs w:val="21"/>
                <w:lang/>
              </w:rPr>
              <w:t>80-89%</w:t>
            </w:r>
          </w:p>
        </w:tc>
        <w:tc>
          <w:tcPr>
            <w:tcW w:w="1406" w:type="dxa"/>
            <w:vAlign w:val="center"/>
          </w:tcPr>
          <w:p>
            <w:pPr>
              <w:widowControl/>
              <w:jc w:val="center"/>
              <w:textAlignment w:val="bottom"/>
              <w:rPr>
                <w:color w:val="000000"/>
                <w:kern w:val="0"/>
                <w:szCs w:val="21"/>
                <w:lang/>
              </w:rPr>
            </w:pPr>
            <w:r>
              <w:rPr>
                <w:color w:val="000000"/>
                <w:kern w:val="0"/>
                <w:szCs w:val="21"/>
                <w:lang/>
              </w:rPr>
              <w:t>60-79%</w:t>
            </w:r>
          </w:p>
        </w:tc>
        <w:tc>
          <w:tcPr>
            <w:tcW w:w="1245" w:type="dxa"/>
            <w:vAlign w:val="center"/>
          </w:tcPr>
          <w:p>
            <w:pPr>
              <w:widowControl/>
              <w:jc w:val="center"/>
              <w:textAlignment w:val="bottom"/>
              <w:rPr>
                <w:color w:val="000000"/>
                <w:kern w:val="0"/>
                <w:szCs w:val="21"/>
                <w:lang/>
              </w:rPr>
            </w:pPr>
            <w:r>
              <w:rPr>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960" w:type="dxa"/>
            <w:vMerge w:val="continue"/>
            <w:vAlign w:val="center"/>
          </w:tcPr>
          <w:p>
            <w:pPr>
              <w:widowControl/>
              <w:jc w:val="center"/>
              <w:textAlignment w:val="bottom"/>
              <w:rPr>
                <w:color w:val="000000"/>
                <w:kern w:val="0"/>
                <w:szCs w:val="21"/>
                <w:lang/>
              </w:rPr>
            </w:pPr>
          </w:p>
        </w:tc>
        <w:tc>
          <w:tcPr>
            <w:tcW w:w="900" w:type="dxa"/>
            <w:vMerge w:val="continue"/>
            <w:vAlign w:val="center"/>
          </w:tcPr>
          <w:p>
            <w:pPr>
              <w:widowControl/>
              <w:jc w:val="center"/>
              <w:textAlignment w:val="bottom"/>
              <w:rPr>
                <w:color w:val="000000"/>
                <w:kern w:val="0"/>
                <w:szCs w:val="21"/>
                <w:lang/>
              </w:rPr>
            </w:pPr>
          </w:p>
        </w:tc>
        <w:tc>
          <w:tcPr>
            <w:tcW w:w="1710" w:type="dxa"/>
            <w:vAlign w:val="center"/>
          </w:tcPr>
          <w:p>
            <w:pPr>
              <w:widowControl/>
              <w:jc w:val="center"/>
              <w:textAlignment w:val="bottom"/>
              <w:rPr>
                <w:color w:val="000000"/>
                <w:kern w:val="0"/>
                <w:szCs w:val="21"/>
                <w:lang/>
              </w:rPr>
            </w:pPr>
            <w:r>
              <w:rPr>
                <w:color w:val="000000"/>
                <w:kern w:val="0"/>
                <w:szCs w:val="21"/>
                <w:lang/>
              </w:rPr>
              <w:t>供电状况</w:t>
            </w:r>
          </w:p>
        </w:tc>
        <w:tc>
          <w:tcPr>
            <w:tcW w:w="885" w:type="dxa"/>
            <w:vAlign w:val="center"/>
          </w:tcPr>
          <w:p>
            <w:pPr>
              <w:widowControl/>
              <w:jc w:val="center"/>
              <w:textAlignment w:val="bottom"/>
              <w:rPr>
                <w:color w:val="000000"/>
                <w:kern w:val="0"/>
                <w:szCs w:val="21"/>
                <w:lang/>
              </w:rPr>
            </w:pPr>
            <w:r>
              <w:rPr>
                <w:color w:val="000000"/>
                <w:kern w:val="0"/>
                <w:szCs w:val="21"/>
                <w:lang/>
              </w:rPr>
              <w:t>100%</w:t>
            </w:r>
          </w:p>
        </w:tc>
        <w:tc>
          <w:tcPr>
            <w:tcW w:w="1369" w:type="dxa"/>
            <w:vAlign w:val="center"/>
          </w:tcPr>
          <w:p>
            <w:pPr>
              <w:widowControl/>
              <w:jc w:val="center"/>
              <w:textAlignment w:val="bottom"/>
              <w:rPr>
                <w:color w:val="000000"/>
                <w:kern w:val="0"/>
                <w:szCs w:val="21"/>
                <w:lang/>
              </w:rPr>
            </w:pPr>
            <w:r>
              <w:rPr>
                <w:color w:val="000000"/>
                <w:kern w:val="0"/>
                <w:szCs w:val="21"/>
                <w:lang/>
              </w:rPr>
              <w:t>90-99%</w:t>
            </w:r>
          </w:p>
        </w:tc>
        <w:tc>
          <w:tcPr>
            <w:tcW w:w="1350" w:type="dxa"/>
            <w:vAlign w:val="center"/>
          </w:tcPr>
          <w:p>
            <w:pPr>
              <w:widowControl/>
              <w:jc w:val="center"/>
              <w:textAlignment w:val="bottom"/>
              <w:rPr>
                <w:color w:val="000000"/>
                <w:kern w:val="0"/>
                <w:szCs w:val="21"/>
                <w:lang/>
              </w:rPr>
            </w:pPr>
            <w:r>
              <w:rPr>
                <w:color w:val="000000"/>
                <w:kern w:val="0"/>
                <w:szCs w:val="21"/>
                <w:lang/>
              </w:rPr>
              <w:t>80-89%</w:t>
            </w:r>
          </w:p>
        </w:tc>
        <w:tc>
          <w:tcPr>
            <w:tcW w:w="1406" w:type="dxa"/>
            <w:vAlign w:val="center"/>
          </w:tcPr>
          <w:p>
            <w:pPr>
              <w:widowControl/>
              <w:jc w:val="center"/>
              <w:textAlignment w:val="bottom"/>
              <w:rPr>
                <w:color w:val="000000"/>
                <w:kern w:val="0"/>
                <w:szCs w:val="21"/>
                <w:lang/>
              </w:rPr>
            </w:pPr>
            <w:r>
              <w:rPr>
                <w:color w:val="000000"/>
                <w:kern w:val="0"/>
                <w:szCs w:val="21"/>
                <w:lang/>
              </w:rPr>
              <w:t>60-79%</w:t>
            </w:r>
          </w:p>
        </w:tc>
        <w:tc>
          <w:tcPr>
            <w:tcW w:w="1245" w:type="dxa"/>
            <w:vAlign w:val="center"/>
          </w:tcPr>
          <w:p>
            <w:pPr>
              <w:widowControl/>
              <w:jc w:val="center"/>
              <w:textAlignment w:val="bottom"/>
              <w:rPr>
                <w:color w:val="000000"/>
                <w:kern w:val="0"/>
                <w:szCs w:val="21"/>
                <w:lang/>
              </w:rPr>
            </w:pPr>
            <w:r>
              <w:rPr>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960" w:type="dxa"/>
            <w:vMerge w:val="continue"/>
            <w:vAlign w:val="center"/>
          </w:tcPr>
          <w:p>
            <w:pPr>
              <w:widowControl/>
              <w:jc w:val="center"/>
              <w:textAlignment w:val="bottom"/>
              <w:rPr>
                <w:color w:val="000000"/>
                <w:kern w:val="0"/>
                <w:szCs w:val="21"/>
                <w:lang/>
              </w:rPr>
            </w:pPr>
          </w:p>
        </w:tc>
        <w:tc>
          <w:tcPr>
            <w:tcW w:w="900" w:type="dxa"/>
            <w:vMerge w:val="continue"/>
            <w:vAlign w:val="center"/>
          </w:tcPr>
          <w:p>
            <w:pPr>
              <w:widowControl/>
              <w:jc w:val="center"/>
              <w:textAlignment w:val="bottom"/>
              <w:rPr>
                <w:color w:val="000000"/>
                <w:kern w:val="0"/>
                <w:szCs w:val="21"/>
                <w:lang/>
              </w:rPr>
            </w:pPr>
          </w:p>
        </w:tc>
        <w:tc>
          <w:tcPr>
            <w:tcW w:w="1710" w:type="dxa"/>
            <w:vAlign w:val="center"/>
          </w:tcPr>
          <w:p>
            <w:pPr>
              <w:widowControl/>
              <w:jc w:val="center"/>
              <w:textAlignment w:val="bottom"/>
              <w:rPr>
                <w:color w:val="000000"/>
                <w:kern w:val="0"/>
                <w:szCs w:val="21"/>
                <w:lang/>
              </w:rPr>
            </w:pPr>
            <w:r>
              <w:rPr>
                <w:color w:val="000000"/>
                <w:kern w:val="0"/>
                <w:szCs w:val="21"/>
                <w:lang/>
              </w:rPr>
              <w:t>供气状况</w:t>
            </w:r>
          </w:p>
        </w:tc>
        <w:tc>
          <w:tcPr>
            <w:tcW w:w="885" w:type="dxa"/>
            <w:vAlign w:val="center"/>
          </w:tcPr>
          <w:p>
            <w:pPr>
              <w:widowControl/>
              <w:jc w:val="center"/>
              <w:textAlignment w:val="bottom"/>
              <w:rPr>
                <w:color w:val="000000"/>
                <w:kern w:val="0"/>
                <w:szCs w:val="21"/>
                <w:lang/>
              </w:rPr>
            </w:pPr>
            <w:r>
              <w:rPr>
                <w:color w:val="000000"/>
                <w:kern w:val="0"/>
                <w:szCs w:val="21"/>
                <w:lang/>
              </w:rPr>
              <w:t>100%</w:t>
            </w:r>
          </w:p>
        </w:tc>
        <w:tc>
          <w:tcPr>
            <w:tcW w:w="1369" w:type="dxa"/>
            <w:vAlign w:val="center"/>
          </w:tcPr>
          <w:p>
            <w:pPr>
              <w:widowControl/>
              <w:jc w:val="center"/>
              <w:textAlignment w:val="bottom"/>
              <w:rPr>
                <w:color w:val="000000"/>
                <w:kern w:val="0"/>
                <w:szCs w:val="21"/>
                <w:lang/>
              </w:rPr>
            </w:pPr>
            <w:r>
              <w:rPr>
                <w:color w:val="000000"/>
                <w:kern w:val="0"/>
                <w:szCs w:val="21"/>
                <w:lang/>
              </w:rPr>
              <w:t>90-99%</w:t>
            </w:r>
          </w:p>
        </w:tc>
        <w:tc>
          <w:tcPr>
            <w:tcW w:w="1350" w:type="dxa"/>
            <w:vAlign w:val="center"/>
          </w:tcPr>
          <w:p>
            <w:pPr>
              <w:widowControl/>
              <w:jc w:val="center"/>
              <w:textAlignment w:val="bottom"/>
              <w:rPr>
                <w:color w:val="000000"/>
                <w:kern w:val="0"/>
                <w:szCs w:val="21"/>
                <w:lang/>
              </w:rPr>
            </w:pPr>
            <w:r>
              <w:rPr>
                <w:color w:val="000000"/>
                <w:kern w:val="0"/>
                <w:szCs w:val="21"/>
                <w:lang/>
              </w:rPr>
              <w:t>80-89%</w:t>
            </w:r>
          </w:p>
        </w:tc>
        <w:tc>
          <w:tcPr>
            <w:tcW w:w="1406" w:type="dxa"/>
            <w:vAlign w:val="center"/>
          </w:tcPr>
          <w:p>
            <w:pPr>
              <w:widowControl/>
              <w:jc w:val="center"/>
              <w:textAlignment w:val="bottom"/>
              <w:rPr>
                <w:color w:val="000000"/>
                <w:kern w:val="0"/>
                <w:szCs w:val="21"/>
                <w:lang/>
              </w:rPr>
            </w:pPr>
            <w:r>
              <w:rPr>
                <w:color w:val="000000"/>
                <w:kern w:val="0"/>
                <w:szCs w:val="21"/>
                <w:lang/>
              </w:rPr>
              <w:t>60-79%</w:t>
            </w:r>
          </w:p>
        </w:tc>
        <w:tc>
          <w:tcPr>
            <w:tcW w:w="1245" w:type="dxa"/>
            <w:vAlign w:val="center"/>
          </w:tcPr>
          <w:p>
            <w:pPr>
              <w:widowControl/>
              <w:jc w:val="center"/>
              <w:textAlignment w:val="bottom"/>
              <w:rPr>
                <w:color w:val="000000"/>
                <w:kern w:val="0"/>
                <w:szCs w:val="21"/>
                <w:lang/>
              </w:rPr>
            </w:pPr>
            <w:r>
              <w:rPr>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960" w:type="dxa"/>
            <w:vAlign w:val="center"/>
          </w:tcPr>
          <w:p>
            <w:pPr>
              <w:widowControl/>
              <w:jc w:val="center"/>
              <w:textAlignment w:val="bottom"/>
              <w:rPr>
                <w:color w:val="000000"/>
                <w:kern w:val="0"/>
                <w:szCs w:val="21"/>
                <w:lang/>
              </w:rPr>
            </w:pPr>
            <w:r>
              <w:rPr>
                <w:color w:val="000000"/>
                <w:kern w:val="0"/>
                <w:szCs w:val="21"/>
                <w:lang/>
              </w:rPr>
              <w:t>人口状况</w:t>
            </w:r>
          </w:p>
        </w:tc>
        <w:tc>
          <w:tcPr>
            <w:tcW w:w="900" w:type="dxa"/>
            <w:vAlign w:val="center"/>
          </w:tcPr>
          <w:p>
            <w:pPr>
              <w:widowControl/>
              <w:jc w:val="center"/>
              <w:textAlignment w:val="bottom"/>
              <w:rPr>
                <w:color w:val="000000"/>
                <w:kern w:val="0"/>
                <w:szCs w:val="21"/>
                <w:lang/>
              </w:rPr>
            </w:pPr>
            <w:r>
              <w:rPr>
                <w:color w:val="000000"/>
                <w:kern w:val="0"/>
                <w:szCs w:val="21"/>
                <w:lang/>
              </w:rPr>
              <w:t>人口密度</w:t>
            </w:r>
          </w:p>
        </w:tc>
        <w:tc>
          <w:tcPr>
            <w:tcW w:w="1710" w:type="dxa"/>
            <w:vAlign w:val="center"/>
          </w:tcPr>
          <w:p>
            <w:pPr>
              <w:widowControl/>
              <w:jc w:val="center"/>
              <w:textAlignment w:val="bottom"/>
              <w:rPr>
                <w:color w:val="000000"/>
                <w:kern w:val="0"/>
                <w:szCs w:val="21"/>
                <w:lang/>
              </w:rPr>
            </w:pPr>
            <w:r>
              <w:rPr>
                <w:color w:val="000000"/>
                <w:kern w:val="0"/>
                <w:szCs w:val="21"/>
                <w:lang/>
              </w:rPr>
              <w:t>人口程度</w:t>
            </w:r>
          </w:p>
        </w:tc>
        <w:tc>
          <w:tcPr>
            <w:tcW w:w="885" w:type="dxa"/>
            <w:vAlign w:val="center"/>
          </w:tcPr>
          <w:p>
            <w:pPr>
              <w:widowControl/>
              <w:jc w:val="center"/>
              <w:textAlignment w:val="bottom"/>
              <w:rPr>
                <w:color w:val="000000"/>
                <w:kern w:val="0"/>
                <w:szCs w:val="21"/>
                <w:lang/>
              </w:rPr>
            </w:pPr>
            <w:r>
              <w:rPr>
                <w:color w:val="000000"/>
                <w:kern w:val="0"/>
                <w:szCs w:val="21"/>
                <w:lang/>
              </w:rPr>
              <w:t>人口稠密</w:t>
            </w:r>
          </w:p>
        </w:tc>
        <w:tc>
          <w:tcPr>
            <w:tcW w:w="1369" w:type="dxa"/>
            <w:vAlign w:val="center"/>
          </w:tcPr>
          <w:p>
            <w:pPr>
              <w:widowControl/>
              <w:jc w:val="center"/>
              <w:textAlignment w:val="bottom"/>
              <w:rPr>
                <w:color w:val="000000"/>
                <w:kern w:val="0"/>
                <w:szCs w:val="21"/>
                <w:lang/>
              </w:rPr>
            </w:pPr>
            <w:r>
              <w:rPr>
                <w:color w:val="000000"/>
                <w:kern w:val="0"/>
                <w:szCs w:val="21"/>
                <w:lang/>
              </w:rPr>
              <w:t>人口较稠密</w:t>
            </w:r>
          </w:p>
        </w:tc>
        <w:tc>
          <w:tcPr>
            <w:tcW w:w="1350" w:type="dxa"/>
            <w:vAlign w:val="center"/>
          </w:tcPr>
          <w:p>
            <w:pPr>
              <w:widowControl/>
              <w:jc w:val="center"/>
              <w:textAlignment w:val="bottom"/>
              <w:rPr>
                <w:color w:val="000000"/>
                <w:kern w:val="0"/>
                <w:szCs w:val="21"/>
                <w:lang/>
              </w:rPr>
            </w:pPr>
            <w:r>
              <w:rPr>
                <w:color w:val="000000"/>
                <w:kern w:val="0"/>
                <w:szCs w:val="21"/>
                <w:lang/>
              </w:rPr>
              <w:t>一般</w:t>
            </w:r>
          </w:p>
        </w:tc>
        <w:tc>
          <w:tcPr>
            <w:tcW w:w="1406" w:type="dxa"/>
            <w:vAlign w:val="center"/>
          </w:tcPr>
          <w:p>
            <w:pPr>
              <w:widowControl/>
              <w:jc w:val="center"/>
              <w:textAlignment w:val="bottom"/>
              <w:rPr>
                <w:color w:val="000000"/>
                <w:kern w:val="0"/>
                <w:szCs w:val="21"/>
                <w:lang/>
              </w:rPr>
            </w:pPr>
            <w:r>
              <w:rPr>
                <w:color w:val="000000"/>
                <w:kern w:val="0"/>
                <w:szCs w:val="21"/>
                <w:lang/>
              </w:rPr>
              <w:t>人口较稀疏</w:t>
            </w:r>
          </w:p>
        </w:tc>
        <w:tc>
          <w:tcPr>
            <w:tcW w:w="1245" w:type="dxa"/>
            <w:vAlign w:val="center"/>
          </w:tcPr>
          <w:p>
            <w:pPr>
              <w:widowControl/>
              <w:jc w:val="center"/>
              <w:textAlignment w:val="bottom"/>
              <w:rPr>
                <w:color w:val="000000"/>
                <w:kern w:val="0"/>
                <w:szCs w:val="21"/>
                <w:lang/>
              </w:rPr>
            </w:pPr>
            <w:r>
              <w:rPr>
                <w:color w:val="000000"/>
                <w:kern w:val="0"/>
                <w:szCs w:val="21"/>
                <w:lang/>
              </w:rPr>
              <w:t>人口稀疏区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60" w:type="dxa"/>
            <w:vMerge w:val="restart"/>
            <w:vAlign w:val="center"/>
          </w:tcPr>
          <w:p>
            <w:pPr>
              <w:widowControl/>
              <w:jc w:val="center"/>
              <w:textAlignment w:val="bottom"/>
              <w:rPr>
                <w:color w:val="000000"/>
                <w:kern w:val="0"/>
                <w:szCs w:val="21"/>
                <w:lang/>
              </w:rPr>
            </w:pPr>
            <w:r>
              <w:rPr>
                <w:color w:val="000000"/>
                <w:kern w:val="0"/>
                <w:szCs w:val="21"/>
                <w:lang/>
              </w:rPr>
              <w:t>城市规划</w:t>
            </w:r>
          </w:p>
        </w:tc>
        <w:tc>
          <w:tcPr>
            <w:tcW w:w="900" w:type="dxa"/>
            <w:vMerge w:val="restart"/>
            <w:vAlign w:val="center"/>
          </w:tcPr>
          <w:p>
            <w:pPr>
              <w:widowControl/>
              <w:jc w:val="center"/>
              <w:textAlignment w:val="bottom"/>
              <w:rPr>
                <w:color w:val="000000"/>
                <w:kern w:val="0"/>
                <w:szCs w:val="21"/>
                <w:lang/>
              </w:rPr>
            </w:pPr>
            <w:r>
              <w:rPr>
                <w:color w:val="000000"/>
                <w:kern w:val="0"/>
                <w:szCs w:val="21"/>
                <w:lang/>
              </w:rPr>
              <w:t>城市规划</w:t>
            </w:r>
          </w:p>
        </w:tc>
        <w:tc>
          <w:tcPr>
            <w:tcW w:w="1710" w:type="dxa"/>
            <w:vAlign w:val="center"/>
          </w:tcPr>
          <w:p>
            <w:pPr>
              <w:widowControl/>
              <w:jc w:val="center"/>
              <w:textAlignment w:val="bottom"/>
              <w:rPr>
                <w:color w:val="000000"/>
                <w:kern w:val="0"/>
                <w:szCs w:val="21"/>
                <w:lang/>
              </w:rPr>
            </w:pPr>
            <w:r>
              <w:rPr>
                <w:color w:val="000000"/>
                <w:kern w:val="0"/>
                <w:szCs w:val="21"/>
                <w:lang/>
              </w:rPr>
              <w:t>用地规划</w:t>
            </w:r>
          </w:p>
        </w:tc>
        <w:tc>
          <w:tcPr>
            <w:tcW w:w="885" w:type="dxa"/>
            <w:vAlign w:val="center"/>
          </w:tcPr>
          <w:p>
            <w:pPr>
              <w:widowControl/>
              <w:jc w:val="center"/>
              <w:textAlignment w:val="bottom"/>
              <w:rPr>
                <w:color w:val="000000"/>
                <w:kern w:val="0"/>
                <w:szCs w:val="21"/>
                <w:lang/>
              </w:rPr>
            </w:pPr>
            <w:r>
              <w:rPr>
                <w:color w:val="000000"/>
                <w:kern w:val="0"/>
                <w:szCs w:val="21"/>
                <w:lang/>
              </w:rPr>
              <w:t>最佳用途</w:t>
            </w:r>
          </w:p>
        </w:tc>
        <w:tc>
          <w:tcPr>
            <w:tcW w:w="1369" w:type="dxa"/>
            <w:vAlign w:val="center"/>
          </w:tcPr>
          <w:p>
            <w:pPr>
              <w:widowControl/>
              <w:jc w:val="center"/>
              <w:textAlignment w:val="bottom"/>
              <w:rPr>
                <w:color w:val="000000"/>
                <w:kern w:val="0"/>
                <w:szCs w:val="21"/>
                <w:lang/>
              </w:rPr>
            </w:pPr>
            <w:r>
              <w:rPr>
                <w:color w:val="000000"/>
                <w:kern w:val="0"/>
                <w:szCs w:val="21"/>
                <w:lang/>
              </w:rPr>
              <w:t>较适用途</w:t>
            </w:r>
          </w:p>
        </w:tc>
        <w:tc>
          <w:tcPr>
            <w:tcW w:w="1350" w:type="dxa"/>
            <w:vAlign w:val="center"/>
          </w:tcPr>
          <w:p>
            <w:pPr>
              <w:widowControl/>
              <w:jc w:val="center"/>
              <w:textAlignment w:val="bottom"/>
              <w:rPr>
                <w:color w:val="000000"/>
                <w:kern w:val="0"/>
                <w:szCs w:val="21"/>
                <w:lang/>
              </w:rPr>
            </w:pPr>
            <w:r>
              <w:rPr>
                <w:color w:val="000000"/>
                <w:kern w:val="0"/>
                <w:szCs w:val="21"/>
                <w:lang/>
              </w:rPr>
              <w:t>一般用途</w:t>
            </w:r>
          </w:p>
        </w:tc>
        <w:tc>
          <w:tcPr>
            <w:tcW w:w="1406" w:type="dxa"/>
            <w:vAlign w:val="center"/>
          </w:tcPr>
          <w:p>
            <w:pPr>
              <w:widowControl/>
              <w:jc w:val="center"/>
              <w:textAlignment w:val="bottom"/>
              <w:rPr>
                <w:color w:val="000000"/>
                <w:kern w:val="0"/>
                <w:szCs w:val="21"/>
                <w:lang/>
              </w:rPr>
            </w:pPr>
            <w:r>
              <w:rPr>
                <w:color w:val="000000"/>
                <w:kern w:val="0"/>
                <w:szCs w:val="21"/>
                <w:lang/>
              </w:rPr>
              <w:t>不太适合用途</w:t>
            </w:r>
          </w:p>
        </w:tc>
        <w:tc>
          <w:tcPr>
            <w:tcW w:w="1245" w:type="dxa"/>
            <w:vAlign w:val="center"/>
          </w:tcPr>
          <w:p>
            <w:pPr>
              <w:widowControl/>
              <w:jc w:val="center"/>
              <w:textAlignment w:val="bottom"/>
              <w:rPr>
                <w:color w:val="000000"/>
                <w:kern w:val="0"/>
                <w:szCs w:val="21"/>
                <w:lang/>
              </w:rPr>
            </w:pPr>
            <w:r>
              <w:rPr>
                <w:color w:val="000000"/>
                <w:kern w:val="0"/>
                <w:szCs w:val="21"/>
                <w:lang/>
              </w:rPr>
              <w:t>不适合用途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60" w:type="dxa"/>
            <w:vMerge w:val="continue"/>
            <w:vAlign w:val="center"/>
          </w:tcPr>
          <w:p>
            <w:pPr>
              <w:widowControl/>
              <w:jc w:val="center"/>
              <w:textAlignment w:val="bottom"/>
              <w:rPr>
                <w:color w:val="000000"/>
                <w:kern w:val="0"/>
                <w:szCs w:val="21"/>
                <w:lang/>
              </w:rPr>
            </w:pPr>
          </w:p>
        </w:tc>
        <w:tc>
          <w:tcPr>
            <w:tcW w:w="900" w:type="dxa"/>
            <w:vMerge w:val="continue"/>
            <w:vAlign w:val="center"/>
          </w:tcPr>
          <w:p>
            <w:pPr>
              <w:widowControl/>
              <w:jc w:val="center"/>
              <w:textAlignment w:val="bottom"/>
              <w:rPr>
                <w:color w:val="000000"/>
                <w:kern w:val="0"/>
                <w:szCs w:val="21"/>
                <w:lang/>
              </w:rPr>
            </w:pPr>
          </w:p>
        </w:tc>
        <w:tc>
          <w:tcPr>
            <w:tcW w:w="1710" w:type="dxa"/>
            <w:vAlign w:val="center"/>
          </w:tcPr>
          <w:p>
            <w:pPr>
              <w:widowControl/>
              <w:jc w:val="center"/>
              <w:textAlignment w:val="bottom"/>
              <w:rPr>
                <w:color w:val="000000"/>
                <w:kern w:val="0"/>
                <w:szCs w:val="21"/>
                <w:lang/>
              </w:rPr>
            </w:pPr>
            <w:r>
              <w:rPr>
                <w:color w:val="000000"/>
                <w:kern w:val="0"/>
                <w:szCs w:val="21"/>
                <w:lang/>
              </w:rPr>
              <w:t>道路规划</w:t>
            </w:r>
          </w:p>
        </w:tc>
        <w:tc>
          <w:tcPr>
            <w:tcW w:w="885" w:type="dxa"/>
            <w:vAlign w:val="center"/>
          </w:tcPr>
          <w:p>
            <w:pPr>
              <w:widowControl/>
              <w:jc w:val="center"/>
              <w:rPr>
                <w:color w:val="000000"/>
                <w:kern w:val="0"/>
                <w:szCs w:val="21"/>
                <w:lang/>
              </w:rPr>
            </w:pPr>
            <w:r>
              <w:rPr>
                <w:color w:val="000000"/>
                <w:kern w:val="0"/>
                <w:sz w:val="20"/>
              </w:rPr>
              <w:t>主干道</w:t>
            </w:r>
          </w:p>
        </w:tc>
        <w:tc>
          <w:tcPr>
            <w:tcW w:w="1369" w:type="dxa"/>
            <w:vAlign w:val="center"/>
          </w:tcPr>
          <w:p>
            <w:pPr>
              <w:widowControl/>
              <w:jc w:val="center"/>
              <w:rPr>
                <w:color w:val="000000"/>
                <w:kern w:val="0"/>
                <w:szCs w:val="21"/>
                <w:lang/>
              </w:rPr>
            </w:pPr>
            <w:r>
              <w:rPr>
                <w:color w:val="000000"/>
                <w:kern w:val="0"/>
                <w:sz w:val="20"/>
              </w:rPr>
              <w:t>次干道</w:t>
            </w:r>
          </w:p>
        </w:tc>
        <w:tc>
          <w:tcPr>
            <w:tcW w:w="1350" w:type="dxa"/>
            <w:vAlign w:val="center"/>
          </w:tcPr>
          <w:p>
            <w:pPr>
              <w:widowControl/>
              <w:jc w:val="center"/>
              <w:rPr>
                <w:color w:val="000000"/>
                <w:kern w:val="0"/>
                <w:szCs w:val="21"/>
                <w:lang/>
              </w:rPr>
            </w:pPr>
            <w:r>
              <w:rPr>
                <w:color w:val="000000"/>
                <w:kern w:val="0"/>
                <w:sz w:val="20"/>
              </w:rPr>
              <w:t>快速路</w:t>
            </w:r>
          </w:p>
        </w:tc>
        <w:tc>
          <w:tcPr>
            <w:tcW w:w="1406" w:type="dxa"/>
            <w:vAlign w:val="center"/>
          </w:tcPr>
          <w:p>
            <w:pPr>
              <w:widowControl/>
              <w:jc w:val="center"/>
              <w:rPr>
                <w:color w:val="000000"/>
                <w:kern w:val="0"/>
                <w:szCs w:val="21"/>
                <w:lang/>
              </w:rPr>
            </w:pPr>
            <w:r>
              <w:rPr>
                <w:color w:val="000000"/>
                <w:kern w:val="0"/>
                <w:sz w:val="20"/>
              </w:rPr>
              <w:t>支路</w:t>
            </w:r>
          </w:p>
        </w:tc>
        <w:tc>
          <w:tcPr>
            <w:tcW w:w="1245" w:type="dxa"/>
            <w:vAlign w:val="center"/>
          </w:tcPr>
          <w:p>
            <w:pPr>
              <w:widowControl/>
              <w:jc w:val="center"/>
              <w:rPr>
                <w:color w:val="000000"/>
                <w:kern w:val="0"/>
                <w:szCs w:val="21"/>
                <w:lang/>
              </w:rPr>
            </w:pPr>
            <w:r>
              <w:rPr>
                <w:color w:val="000000"/>
                <w:kern w:val="0"/>
                <w:sz w:val="20"/>
              </w:rPr>
              <w:t>街坊间支路</w:t>
            </w:r>
          </w:p>
        </w:tc>
      </w:tr>
    </w:tbl>
    <w:p>
      <w:pPr>
        <w:pStyle w:val="131"/>
        <w:spacing w:line="360" w:lineRule="auto"/>
        <w:ind w:firstLine="0" w:firstLineChars="0"/>
        <w:rPr>
          <w:rFonts w:ascii="Times New Roman" w:hAnsi="Times New Roman"/>
          <w:bCs w:val="0"/>
          <w:sz w:val="24"/>
          <w:szCs w:val="24"/>
        </w:rPr>
      </w:pPr>
      <w:r>
        <w:rPr>
          <w:rFonts w:ascii="Times New Roman" w:hAnsi="Times New Roman"/>
          <w:bCs w:val="0"/>
          <w:sz w:val="24"/>
          <w:szCs w:val="24"/>
        </w:rPr>
        <w:t>表4-3-5  长沙县Ⅲ级商服用地宗地地价区域因素修正系数表（%）</w:t>
      </w:r>
    </w:p>
    <w:tbl>
      <w:tblPr>
        <w:tblW w:w="96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48"/>
        <w:gridCol w:w="2643"/>
        <w:gridCol w:w="880"/>
        <w:gridCol w:w="927"/>
        <w:gridCol w:w="926"/>
        <w:gridCol w:w="949"/>
        <w:gridCol w:w="881"/>
        <w:gridCol w:w="9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548"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2643"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指标层</w:t>
            </w:r>
          </w:p>
        </w:tc>
        <w:tc>
          <w:tcPr>
            <w:tcW w:w="880"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权重</w:t>
            </w:r>
          </w:p>
        </w:tc>
        <w:tc>
          <w:tcPr>
            <w:tcW w:w="927"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优</w:t>
            </w:r>
          </w:p>
        </w:tc>
        <w:tc>
          <w:tcPr>
            <w:tcW w:w="926"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较优</w:t>
            </w:r>
          </w:p>
        </w:tc>
        <w:tc>
          <w:tcPr>
            <w:tcW w:w="949"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一般</w:t>
            </w:r>
          </w:p>
        </w:tc>
        <w:tc>
          <w:tcPr>
            <w:tcW w:w="881"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较劣</w:t>
            </w:r>
          </w:p>
        </w:tc>
        <w:tc>
          <w:tcPr>
            <w:tcW w:w="926"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4" w:hRule="atLeast"/>
          <w:jc w:val="center"/>
        </w:trPr>
        <w:tc>
          <w:tcPr>
            <w:tcW w:w="1548"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商服繁华影响度</w:t>
            </w:r>
          </w:p>
        </w:tc>
        <w:tc>
          <w:tcPr>
            <w:tcW w:w="2643"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距商服中心距离</w:t>
            </w:r>
          </w:p>
        </w:tc>
        <w:tc>
          <w:tcPr>
            <w:tcW w:w="880"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0.3885 </w:t>
            </w:r>
          </w:p>
        </w:tc>
        <w:tc>
          <w:tcPr>
            <w:tcW w:w="927"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5.280 </w:t>
            </w:r>
          </w:p>
        </w:tc>
        <w:tc>
          <w:tcPr>
            <w:tcW w:w="926"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2.640 </w:t>
            </w:r>
          </w:p>
        </w:tc>
        <w:tc>
          <w:tcPr>
            <w:tcW w:w="949"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81"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-2.605 </w:t>
            </w:r>
          </w:p>
        </w:tc>
        <w:tc>
          <w:tcPr>
            <w:tcW w:w="926"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-5.210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548"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道路通达度</w:t>
            </w:r>
          </w:p>
        </w:tc>
        <w:tc>
          <w:tcPr>
            <w:tcW w:w="2643"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临近道路状况</w:t>
            </w:r>
          </w:p>
        </w:tc>
        <w:tc>
          <w:tcPr>
            <w:tcW w:w="88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0.0753 </w:t>
            </w:r>
          </w:p>
        </w:tc>
        <w:tc>
          <w:tcPr>
            <w:tcW w:w="92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1.023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0.512 </w:t>
            </w:r>
          </w:p>
        </w:tc>
        <w:tc>
          <w:tcPr>
            <w:tcW w:w="94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8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-0.505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-1.010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4" w:hRule="atLeast"/>
          <w:jc w:val="center"/>
        </w:trPr>
        <w:tc>
          <w:tcPr>
            <w:tcW w:w="1548"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公交便捷度</w:t>
            </w:r>
          </w:p>
        </w:tc>
        <w:tc>
          <w:tcPr>
            <w:tcW w:w="2643"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距最近公交站点（</w:t>
            </w:r>
            <w:r>
              <w:rPr>
                <w:rFonts w:hint="eastAsia"/>
                <w:color w:val="000000"/>
                <w:kern w:val="0"/>
                <w:szCs w:val="21"/>
                <w:lang/>
              </w:rPr>
              <w:t>轨道交通</w:t>
            </w:r>
            <w:r>
              <w:rPr>
                <w:color w:val="000000"/>
                <w:kern w:val="0"/>
                <w:szCs w:val="21"/>
                <w:lang/>
              </w:rPr>
              <w:t>站）距离</w:t>
            </w:r>
          </w:p>
        </w:tc>
        <w:tc>
          <w:tcPr>
            <w:tcW w:w="88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0.0964 </w:t>
            </w:r>
          </w:p>
        </w:tc>
        <w:tc>
          <w:tcPr>
            <w:tcW w:w="92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1.310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0.655 </w:t>
            </w:r>
          </w:p>
        </w:tc>
        <w:tc>
          <w:tcPr>
            <w:tcW w:w="94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8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-0.646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-1.293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8" w:hRule="atLeast"/>
          <w:jc w:val="center"/>
        </w:trPr>
        <w:tc>
          <w:tcPr>
            <w:tcW w:w="1548" w:type="dxa"/>
            <w:vMerge w:val="restart"/>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对外交通便利度</w:t>
            </w:r>
          </w:p>
        </w:tc>
        <w:tc>
          <w:tcPr>
            <w:tcW w:w="2643"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距最近长途汽车站距离</w:t>
            </w:r>
          </w:p>
        </w:tc>
        <w:tc>
          <w:tcPr>
            <w:tcW w:w="88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0.0462 </w:t>
            </w:r>
          </w:p>
        </w:tc>
        <w:tc>
          <w:tcPr>
            <w:tcW w:w="92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0.628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0.314 </w:t>
            </w:r>
          </w:p>
        </w:tc>
        <w:tc>
          <w:tcPr>
            <w:tcW w:w="94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8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-0.310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548"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643"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距长沙火车站距离</w:t>
            </w:r>
          </w:p>
        </w:tc>
        <w:tc>
          <w:tcPr>
            <w:tcW w:w="88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0.0163 </w:t>
            </w:r>
          </w:p>
        </w:tc>
        <w:tc>
          <w:tcPr>
            <w:tcW w:w="92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0.222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0.111 </w:t>
            </w:r>
          </w:p>
        </w:tc>
        <w:tc>
          <w:tcPr>
            <w:tcW w:w="94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8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-0.109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2" w:hRule="atLeast"/>
          <w:jc w:val="center"/>
        </w:trPr>
        <w:tc>
          <w:tcPr>
            <w:tcW w:w="1548"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643"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距长沙南高铁站距离</w:t>
            </w:r>
          </w:p>
        </w:tc>
        <w:tc>
          <w:tcPr>
            <w:tcW w:w="88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0.0188 </w:t>
            </w:r>
          </w:p>
        </w:tc>
        <w:tc>
          <w:tcPr>
            <w:tcW w:w="92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0.255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0.128 </w:t>
            </w:r>
          </w:p>
        </w:tc>
        <w:tc>
          <w:tcPr>
            <w:tcW w:w="94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8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-0.126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548" w:type="dxa"/>
            <w:vMerge w:val="restart"/>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基础设施完善度</w:t>
            </w:r>
          </w:p>
        </w:tc>
        <w:tc>
          <w:tcPr>
            <w:tcW w:w="2643"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排水状况</w:t>
            </w:r>
          </w:p>
        </w:tc>
        <w:tc>
          <w:tcPr>
            <w:tcW w:w="88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92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0.633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0.317 </w:t>
            </w:r>
          </w:p>
        </w:tc>
        <w:tc>
          <w:tcPr>
            <w:tcW w:w="94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8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-0.312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548"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643"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供水状况</w:t>
            </w:r>
          </w:p>
        </w:tc>
        <w:tc>
          <w:tcPr>
            <w:tcW w:w="88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92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0.633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0.317 </w:t>
            </w:r>
          </w:p>
        </w:tc>
        <w:tc>
          <w:tcPr>
            <w:tcW w:w="94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8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-0.312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548"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643"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供电状况</w:t>
            </w:r>
          </w:p>
        </w:tc>
        <w:tc>
          <w:tcPr>
            <w:tcW w:w="88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92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0.633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0.317 </w:t>
            </w:r>
          </w:p>
        </w:tc>
        <w:tc>
          <w:tcPr>
            <w:tcW w:w="94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8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-0.312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548"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643"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供气状况</w:t>
            </w:r>
          </w:p>
        </w:tc>
        <w:tc>
          <w:tcPr>
            <w:tcW w:w="88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92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0.633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0.317 </w:t>
            </w:r>
          </w:p>
        </w:tc>
        <w:tc>
          <w:tcPr>
            <w:tcW w:w="94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8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-0.312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548"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人口密度</w:t>
            </w:r>
          </w:p>
        </w:tc>
        <w:tc>
          <w:tcPr>
            <w:tcW w:w="2643"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人口程度</w:t>
            </w:r>
          </w:p>
        </w:tc>
        <w:tc>
          <w:tcPr>
            <w:tcW w:w="88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0.0795 </w:t>
            </w:r>
          </w:p>
        </w:tc>
        <w:tc>
          <w:tcPr>
            <w:tcW w:w="92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1.080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0.540 </w:t>
            </w:r>
          </w:p>
        </w:tc>
        <w:tc>
          <w:tcPr>
            <w:tcW w:w="94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8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-0.533 </w:t>
            </w:r>
          </w:p>
        </w:tc>
        <w:tc>
          <w:tcPr>
            <w:tcW w:w="926"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-1.066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9" w:hRule="atLeast"/>
          <w:jc w:val="center"/>
        </w:trPr>
        <w:tc>
          <w:tcPr>
            <w:tcW w:w="154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城市规划</w:t>
            </w:r>
          </w:p>
        </w:tc>
        <w:tc>
          <w:tcPr>
            <w:tcW w:w="2643"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color w:val="000000"/>
                <w:kern w:val="0"/>
                <w:szCs w:val="21"/>
                <w:lang/>
              </w:rPr>
            </w:pPr>
            <w:r>
              <w:rPr>
                <w:color w:val="000000"/>
                <w:kern w:val="0"/>
                <w:szCs w:val="21"/>
                <w:lang/>
              </w:rPr>
              <w:t>用地规划</w:t>
            </w:r>
          </w:p>
        </w:tc>
        <w:tc>
          <w:tcPr>
            <w:tcW w:w="8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0.0463 </w:t>
            </w:r>
          </w:p>
        </w:tc>
        <w:tc>
          <w:tcPr>
            <w:tcW w:w="9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0.629 </w:t>
            </w:r>
          </w:p>
        </w:tc>
        <w:tc>
          <w:tcPr>
            <w:tcW w:w="9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0.315 </w:t>
            </w:r>
          </w:p>
        </w:tc>
        <w:tc>
          <w:tcPr>
            <w:tcW w:w="94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-0.310 </w:t>
            </w:r>
          </w:p>
        </w:tc>
        <w:tc>
          <w:tcPr>
            <w:tcW w:w="9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54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643"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color w:val="000000"/>
                <w:kern w:val="0"/>
                <w:szCs w:val="21"/>
                <w:lang/>
              </w:rPr>
            </w:pPr>
            <w:r>
              <w:rPr>
                <w:color w:val="000000"/>
                <w:kern w:val="0"/>
                <w:szCs w:val="21"/>
                <w:lang/>
              </w:rPr>
              <w:t>道路规划</w:t>
            </w:r>
          </w:p>
        </w:tc>
        <w:tc>
          <w:tcPr>
            <w:tcW w:w="8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0.0463 </w:t>
            </w:r>
          </w:p>
        </w:tc>
        <w:tc>
          <w:tcPr>
            <w:tcW w:w="9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0.629 </w:t>
            </w:r>
          </w:p>
        </w:tc>
        <w:tc>
          <w:tcPr>
            <w:tcW w:w="9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0.315 </w:t>
            </w:r>
          </w:p>
        </w:tc>
        <w:tc>
          <w:tcPr>
            <w:tcW w:w="94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-0.310 </w:t>
            </w:r>
          </w:p>
        </w:tc>
        <w:tc>
          <w:tcPr>
            <w:tcW w:w="9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-0.621 </w:t>
            </w:r>
          </w:p>
        </w:tc>
      </w:tr>
    </w:tbl>
    <w:p>
      <w:pPr>
        <w:pStyle w:val="131"/>
        <w:spacing w:line="360" w:lineRule="auto"/>
        <w:ind w:firstLine="0" w:firstLineChars="0"/>
        <w:rPr>
          <w:rFonts w:ascii="Times New Roman" w:hAnsi="Times New Roman"/>
          <w:bCs w:val="0"/>
          <w:sz w:val="24"/>
          <w:szCs w:val="24"/>
        </w:rPr>
      </w:pPr>
      <w:r>
        <w:rPr>
          <w:rFonts w:ascii="Times New Roman" w:hAnsi="Times New Roman"/>
          <w:bCs w:val="0"/>
          <w:sz w:val="24"/>
          <w:szCs w:val="24"/>
        </w:rPr>
        <w:t>表4-3-6  长沙县Ⅲ级商服用地宗地地价区域因素修正系数指标说明表</w:t>
      </w:r>
    </w:p>
    <w:tbl>
      <w:tblPr>
        <w:tblW w:w="10280" w:type="dxa"/>
        <w:jc w:val="center"/>
        <w:tblInd w:w="-3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981"/>
        <w:gridCol w:w="1768"/>
        <w:gridCol w:w="941"/>
        <w:gridCol w:w="1440"/>
        <w:gridCol w:w="1424"/>
        <w:gridCol w:w="1432"/>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0" w:type="dxa"/>
            <w:vAlign w:val="center"/>
          </w:tcPr>
          <w:p>
            <w:pPr>
              <w:widowControl/>
              <w:jc w:val="center"/>
              <w:rPr>
                <w:b/>
                <w:bCs/>
                <w:color w:val="000000"/>
                <w:kern w:val="0"/>
                <w:szCs w:val="21"/>
              </w:rPr>
            </w:pPr>
            <w:r>
              <w:rPr>
                <w:b/>
                <w:bCs/>
                <w:color w:val="000000"/>
                <w:kern w:val="0"/>
                <w:szCs w:val="21"/>
              </w:rPr>
              <w:t>因素层</w:t>
            </w:r>
          </w:p>
        </w:tc>
        <w:tc>
          <w:tcPr>
            <w:tcW w:w="981" w:type="dxa"/>
            <w:vAlign w:val="center"/>
          </w:tcPr>
          <w:p>
            <w:pPr>
              <w:widowControl/>
              <w:jc w:val="center"/>
              <w:rPr>
                <w:b/>
                <w:bCs/>
                <w:color w:val="000000"/>
                <w:kern w:val="0"/>
                <w:szCs w:val="21"/>
              </w:rPr>
            </w:pPr>
            <w:r>
              <w:rPr>
                <w:b/>
                <w:bCs/>
                <w:color w:val="000000"/>
                <w:kern w:val="0"/>
                <w:szCs w:val="21"/>
              </w:rPr>
              <w:t>因子层</w:t>
            </w:r>
          </w:p>
        </w:tc>
        <w:tc>
          <w:tcPr>
            <w:tcW w:w="1768" w:type="dxa"/>
            <w:vAlign w:val="center"/>
          </w:tcPr>
          <w:p>
            <w:pPr>
              <w:widowControl/>
              <w:jc w:val="center"/>
              <w:rPr>
                <w:b/>
                <w:bCs/>
                <w:color w:val="000000"/>
                <w:kern w:val="0"/>
                <w:szCs w:val="21"/>
              </w:rPr>
            </w:pPr>
            <w:r>
              <w:rPr>
                <w:b/>
                <w:bCs/>
                <w:color w:val="000000"/>
                <w:kern w:val="0"/>
                <w:szCs w:val="21"/>
              </w:rPr>
              <w:t>指标层</w:t>
            </w:r>
          </w:p>
        </w:tc>
        <w:tc>
          <w:tcPr>
            <w:tcW w:w="941" w:type="dxa"/>
            <w:vAlign w:val="center"/>
          </w:tcPr>
          <w:p>
            <w:pPr>
              <w:widowControl/>
              <w:jc w:val="center"/>
              <w:rPr>
                <w:b/>
                <w:bCs/>
                <w:kern w:val="0"/>
                <w:szCs w:val="21"/>
              </w:rPr>
            </w:pPr>
            <w:r>
              <w:rPr>
                <w:b/>
                <w:bCs/>
                <w:kern w:val="0"/>
                <w:szCs w:val="21"/>
              </w:rPr>
              <w:t>优</w:t>
            </w:r>
          </w:p>
        </w:tc>
        <w:tc>
          <w:tcPr>
            <w:tcW w:w="1440" w:type="dxa"/>
            <w:vAlign w:val="center"/>
          </w:tcPr>
          <w:p>
            <w:pPr>
              <w:widowControl/>
              <w:jc w:val="center"/>
              <w:rPr>
                <w:b/>
                <w:bCs/>
                <w:kern w:val="0"/>
                <w:szCs w:val="21"/>
              </w:rPr>
            </w:pPr>
            <w:r>
              <w:rPr>
                <w:b/>
                <w:bCs/>
                <w:kern w:val="0"/>
                <w:szCs w:val="21"/>
              </w:rPr>
              <w:t>较优</w:t>
            </w:r>
          </w:p>
        </w:tc>
        <w:tc>
          <w:tcPr>
            <w:tcW w:w="1424" w:type="dxa"/>
            <w:vAlign w:val="center"/>
          </w:tcPr>
          <w:p>
            <w:pPr>
              <w:widowControl/>
              <w:jc w:val="center"/>
              <w:rPr>
                <w:b/>
                <w:bCs/>
                <w:kern w:val="0"/>
                <w:szCs w:val="21"/>
              </w:rPr>
            </w:pPr>
            <w:r>
              <w:rPr>
                <w:b/>
                <w:bCs/>
                <w:kern w:val="0"/>
                <w:szCs w:val="21"/>
              </w:rPr>
              <w:t>一般</w:t>
            </w:r>
          </w:p>
        </w:tc>
        <w:tc>
          <w:tcPr>
            <w:tcW w:w="1432" w:type="dxa"/>
            <w:vAlign w:val="center"/>
          </w:tcPr>
          <w:p>
            <w:pPr>
              <w:widowControl/>
              <w:jc w:val="center"/>
              <w:rPr>
                <w:b/>
                <w:bCs/>
                <w:kern w:val="0"/>
                <w:szCs w:val="21"/>
              </w:rPr>
            </w:pPr>
            <w:r>
              <w:rPr>
                <w:b/>
                <w:bCs/>
                <w:kern w:val="0"/>
                <w:szCs w:val="21"/>
              </w:rPr>
              <w:t>较劣</w:t>
            </w:r>
          </w:p>
        </w:tc>
        <w:tc>
          <w:tcPr>
            <w:tcW w:w="1314" w:type="dxa"/>
            <w:vAlign w:val="center"/>
          </w:tcPr>
          <w:p>
            <w:pPr>
              <w:widowControl/>
              <w:jc w:val="center"/>
              <w:rPr>
                <w:b/>
                <w:bCs/>
                <w:kern w:val="0"/>
                <w:szCs w:val="21"/>
              </w:rPr>
            </w:pPr>
            <w:r>
              <w:rPr>
                <w:b/>
                <w:bCs/>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980" w:type="dxa"/>
            <w:vAlign w:val="center"/>
          </w:tcPr>
          <w:p>
            <w:pPr>
              <w:widowControl/>
              <w:jc w:val="center"/>
              <w:textAlignment w:val="bottom"/>
              <w:rPr>
                <w:color w:val="000000"/>
                <w:kern w:val="0"/>
                <w:szCs w:val="21"/>
                <w:lang/>
              </w:rPr>
            </w:pPr>
            <w:r>
              <w:rPr>
                <w:color w:val="000000"/>
                <w:kern w:val="0"/>
                <w:szCs w:val="21"/>
                <w:lang/>
              </w:rPr>
              <w:t>繁华程度</w:t>
            </w:r>
          </w:p>
        </w:tc>
        <w:tc>
          <w:tcPr>
            <w:tcW w:w="981" w:type="dxa"/>
            <w:vAlign w:val="center"/>
          </w:tcPr>
          <w:p>
            <w:pPr>
              <w:widowControl/>
              <w:jc w:val="center"/>
              <w:textAlignment w:val="bottom"/>
              <w:rPr>
                <w:color w:val="000000"/>
                <w:kern w:val="0"/>
                <w:szCs w:val="21"/>
                <w:lang/>
              </w:rPr>
            </w:pPr>
            <w:r>
              <w:rPr>
                <w:color w:val="000000"/>
                <w:kern w:val="0"/>
                <w:szCs w:val="21"/>
                <w:lang/>
              </w:rPr>
              <w:t>商服繁华影响度</w:t>
            </w:r>
          </w:p>
        </w:tc>
        <w:tc>
          <w:tcPr>
            <w:tcW w:w="1768" w:type="dxa"/>
            <w:vAlign w:val="center"/>
          </w:tcPr>
          <w:p>
            <w:pPr>
              <w:widowControl/>
              <w:jc w:val="center"/>
              <w:textAlignment w:val="bottom"/>
              <w:rPr>
                <w:color w:val="000000"/>
                <w:kern w:val="0"/>
                <w:szCs w:val="21"/>
                <w:lang/>
              </w:rPr>
            </w:pPr>
            <w:r>
              <w:rPr>
                <w:color w:val="000000"/>
                <w:kern w:val="0"/>
                <w:szCs w:val="21"/>
                <w:lang/>
              </w:rPr>
              <w:t>距商服中心距离</w:t>
            </w:r>
          </w:p>
        </w:tc>
        <w:tc>
          <w:tcPr>
            <w:tcW w:w="941" w:type="dxa"/>
            <w:vAlign w:val="center"/>
          </w:tcPr>
          <w:p>
            <w:pPr>
              <w:widowControl/>
              <w:jc w:val="center"/>
              <w:textAlignment w:val="bottom"/>
              <w:rPr>
                <w:color w:val="000000"/>
                <w:kern w:val="0"/>
                <w:szCs w:val="21"/>
                <w:lang/>
              </w:rPr>
            </w:pPr>
            <w:r>
              <w:rPr>
                <w:color w:val="000000"/>
                <w:kern w:val="0"/>
                <w:szCs w:val="21"/>
                <w:lang/>
              </w:rPr>
              <w:t>≤250</w:t>
            </w:r>
          </w:p>
        </w:tc>
        <w:tc>
          <w:tcPr>
            <w:tcW w:w="1440" w:type="dxa"/>
            <w:vAlign w:val="center"/>
          </w:tcPr>
          <w:p>
            <w:pPr>
              <w:widowControl/>
              <w:jc w:val="center"/>
              <w:textAlignment w:val="bottom"/>
              <w:rPr>
                <w:color w:val="000000"/>
                <w:kern w:val="0"/>
                <w:szCs w:val="21"/>
                <w:lang/>
              </w:rPr>
            </w:pPr>
            <w:r>
              <w:rPr>
                <w:color w:val="000000"/>
                <w:kern w:val="0"/>
                <w:szCs w:val="21"/>
                <w:lang/>
              </w:rPr>
              <w:t>250-700</w:t>
            </w:r>
          </w:p>
        </w:tc>
        <w:tc>
          <w:tcPr>
            <w:tcW w:w="1424" w:type="dxa"/>
            <w:vAlign w:val="center"/>
          </w:tcPr>
          <w:p>
            <w:pPr>
              <w:widowControl/>
              <w:jc w:val="center"/>
              <w:textAlignment w:val="bottom"/>
              <w:rPr>
                <w:color w:val="000000"/>
                <w:kern w:val="0"/>
                <w:szCs w:val="21"/>
                <w:lang/>
              </w:rPr>
            </w:pPr>
            <w:r>
              <w:rPr>
                <w:color w:val="000000"/>
                <w:kern w:val="0"/>
                <w:szCs w:val="21"/>
                <w:lang/>
              </w:rPr>
              <w:t>700-1500</w:t>
            </w:r>
          </w:p>
        </w:tc>
        <w:tc>
          <w:tcPr>
            <w:tcW w:w="1432" w:type="dxa"/>
            <w:vAlign w:val="center"/>
          </w:tcPr>
          <w:p>
            <w:pPr>
              <w:widowControl/>
              <w:jc w:val="center"/>
              <w:textAlignment w:val="bottom"/>
              <w:rPr>
                <w:color w:val="000000"/>
                <w:kern w:val="0"/>
                <w:szCs w:val="21"/>
                <w:lang/>
              </w:rPr>
            </w:pPr>
            <w:r>
              <w:rPr>
                <w:color w:val="000000"/>
                <w:kern w:val="0"/>
                <w:szCs w:val="21"/>
                <w:lang/>
              </w:rPr>
              <w:t>1500-2400</w:t>
            </w:r>
          </w:p>
        </w:tc>
        <w:tc>
          <w:tcPr>
            <w:tcW w:w="1314" w:type="dxa"/>
            <w:vAlign w:val="center"/>
          </w:tcPr>
          <w:p>
            <w:pPr>
              <w:widowControl/>
              <w:jc w:val="center"/>
              <w:textAlignment w:val="bottom"/>
              <w:rPr>
                <w:color w:val="000000"/>
                <w:kern w:val="0"/>
                <w:szCs w:val="21"/>
                <w:lang/>
              </w:rPr>
            </w:pPr>
            <w:r>
              <w:rPr>
                <w:color w:val="000000"/>
                <w:kern w:val="0"/>
                <w:szCs w:val="21"/>
                <w:lang/>
              </w:rPr>
              <w:t>&gt;2400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980" w:type="dxa"/>
            <w:vMerge w:val="restart"/>
            <w:vAlign w:val="center"/>
          </w:tcPr>
          <w:p>
            <w:pPr>
              <w:widowControl/>
              <w:jc w:val="center"/>
              <w:textAlignment w:val="bottom"/>
              <w:rPr>
                <w:color w:val="000000"/>
                <w:kern w:val="0"/>
                <w:szCs w:val="21"/>
                <w:lang/>
              </w:rPr>
            </w:pPr>
            <w:r>
              <w:rPr>
                <w:color w:val="000000"/>
                <w:kern w:val="0"/>
                <w:szCs w:val="21"/>
                <w:lang/>
              </w:rPr>
              <w:t>交通条件</w:t>
            </w:r>
          </w:p>
        </w:tc>
        <w:tc>
          <w:tcPr>
            <w:tcW w:w="981" w:type="dxa"/>
            <w:vAlign w:val="center"/>
          </w:tcPr>
          <w:p>
            <w:pPr>
              <w:widowControl/>
              <w:jc w:val="center"/>
              <w:textAlignment w:val="bottom"/>
              <w:rPr>
                <w:color w:val="000000"/>
                <w:kern w:val="0"/>
                <w:szCs w:val="21"/>
                <w:lang/>
              </w:rPr>
            </w:pPr>
            <w:r>
              <w:rPr>
                <w:color w:val="000000"/>
                <w:kern w:val="0"/>
                <w:szCs w:val="21"/>
                <w:lang/>
              </w:rPr>
              <w:t>道路通达度</w:t>
            </w:r>
          </w:p>
        </w:tc>
        <w:tc>
          <w:tcPr>
            <w:tcW w:w="1768" w:type="dxa"/>
            <w:vAlign w:val="center"/>
          </w:tcPr>
          <w:p>
            <w:pPr>
              <w:widowControl/>
              <w:jc w:val="center"/>
              <w:textAlignment w:val="bottom"/>
              <w:rPr>
                <w:color w:val="000000"/>
                <w:kern w:val="0"/>
                <w:szCs w:val="21"/>
                <w:lang/>
              </w:rPr>
            </w:pPr>
            <w:r>
              <w:rPr>
                <w:color w:val="000000"/>
                <w:kern w:val="0"/>
                <w:szCs w:val="21"/>
                <w:lang/>
              </w:rPr>
              <w:t>临近道路状况</w:t>
            </w:r>
          </w:p>
        </w:tc>
        <w:tc>
          <w:tcPr>
            <w:tcW w:w="941" w:type="dxa"/>
            <w:vAlign w:val="center"/>
          </w:tcPr>
          <w:p>
            <w:pPr>
              <w:widowControl/>
              <w:jc w:val="center"/>
              <w:textAlignment w:val="bottom"/>
              <w:rPr>
                <w:color w:val="000000"/>
                <w:kern w:val="0"/>
                <w:szCs w:val="21"/>
                <w:lang/>
              </w:rPr>
            </w:pPr>
            <w:r>
              <w:rPr>
                <w:color w:val="000000"/>
                <w:kern w:val="0"/>
                <w:szCs w:val="21"/>
                <w:lang/>
              </w:rPr>
              <w:t>临繁华主干道</w:t>
            </w:r>
          </w:p>
        </w:tc>
        <w:tc>
          <w:tcPr>
            <w:tcW w:w="1440" w:type="dxa"/>
            <w:vAlign w:val="center"/>
          </w:tcPr>
          <w:p>
            <w:pPr>
              <w:widowControl/>
              <w:jc w:val="center"/>
              <w:textAlignment w:val="bottom"/>
              <w:rPr>
                <w:color w:val="000000"/>
                <w:kern w:val="0"/>
                <w:szCs w:val="21"/>
                <w:lang/>
              </w:rPr>
            </w:pPr>
            <w:r>
              <w:rPr>
                <w:color w:val="000000"/>
                <w:kern w:val="0"/>
                <w:szCs w:val="21"/>
                <w:lang/>
              </w:rPr>
              <w:t>临主干道</w:t>
            </w:r>
          </w:p>
        </w:tc>
        <w:tc>
          <w:tcPr>
            <w:tcW w:w="1424" w:type="dxa"/>
            <w:vAlign w:val="center"/>
          </w:tcPr>
          <w:p>
            <w:pPr>
              <w:widowControl/>
              <w:jc w:val="center"/>
              <w:textAlignment w:val="bottom"/>
              <w:rPr>
                <w:color w:val="000000"/>
                <w:kern w:val="0"/>
                <w:szCs w:val="21"/>
                <w:lang/>
              </w:rPr>
            </w:pPr>
            <w:r>
              <w:rPr>
                <w:color w:val="000000"/>
                <w:kern w:val="0"/>
                <w:szCs w:val="21"/>
                <w:lang/>
              </w:rPr>
              <w:t>临繁华次干道</w:t>
            </w:r>
          </w:p>
        </w:tc>
        <w:tc>
          <w:tcPr>
            <w:tcW w:w="1432" w:type="dxa"/>
            <w:vAlign w:val="center"/>
          </w:tcPr>
          <w:p>
            <w:pPr>
              <w:widowControl/>
              <w:jc w:val="center"/>
              <w:textAlignment w:val="bottom"/>
              <w:rPr>
                <w:color w:val="000000"/>
                <w:kern w:val="0"/>
                <w:szCs w:val="21"/>
                <w:lang/>
              </w:rPr>
            </w:pPr>
            <w:r>
              <w:rPr>
                <w:color w:val="000000"/>
                <w:kern w:val="0"/>
                <w:szCs w:val="21"/>
                <w:lang/>
              </w:rPr>
              <w:t>临次干道</w:t>
            </w:r>
          </w:p>
        </w:tc>
        <w:tc>
          <w:tcPr>
            <w:tcW w:w="1314" w:type="dxa"/>
            <w:vAlign w:val="center"/>
          </w:tcPr>
          <w:p>
            <w:pPr>
              <w:widowControl/>
              <w:jc w:val="center"/>
              <w:textAlignment w:val="bottom"/>
              <w:rPr>
                <w:color w:val="000000"/>
                <w:kern w:val="0"/>
                <w:szCs w:val="21"/>
                <w:lang/>
              </w:rPr>
            </w:pPr>
            <w:r>
              <w:rPr>
                <w:color w:val="000000"/>
                <w:kern w:val="0"/>
                <w:szCs w:val="21"/>
                <w:lang/>
              </w:rPr>
              <w:t>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980" w:type="dxa"/>
            <w:vMerge w:val="continue"/>
            <w:vAlign w:val="center"/>
          </w:tcPr>
          <w:p>
            <w:pPr>
              <w:widowControl/>
              <w:jc w:val="center"/>
              <w:textAlignment w:val="bottom"/>
              <w:rPr>
                <w:color w:val="000000"/>
                <w:kern w:val="0"/>
                <w:szCs w:val="21"/>
                <w:lang/>
              </w:rPr>
            </w:pPr>
          </w:p>
        </w:tc>
        <w:tc>
          <w:tcPr>
            <w:tcW w:w="981" w:type="dxa"/>
            <w:vAlign w:val="center"/>
          </w:tcPr>
          <w:p>
            <w:pPr>
              <w:widowControl/>
              <w:jc w:val="center"/>
              <w:textAlignment w:val="bottom"/>
              <w:rPr>
                <w:color w:val="000000"/>
                <w:kern w:val="0"/>
                <w:szCs w:val="21"/>
                <w:lang/>
              </w:rPr>
            </w:pPr>
            <w:r>
              <w:rPr>
                <w:color w:val="000000"/>
                <w:kern w:val="0"/>
                <w:szCs w:val="21"/>
                <w:lang/>
              </w:rPr>
              <w:t>公交便捷度</w:t>
            </w:r>
          </w:p>
        </w:tc>
        <w:tc>
          <w:tcPr>
            <w:tcW w:w="1768" w:type="dxa"/>
            <w:vAlign w:val="center"/>
          </w:tcPr>
          <w:p>
            <w:pPr>
              <w:widowControl/>
              <w:jc w:val="center"/>
              <w:textAlignment w:val="bottom"/>
              <w:rPr>
                <w:color w:val="000000"/>
                <w:kern w:val="0"/>
                <w:szCs w:val="21"/>
                <w:lang/>
              </w:rPr>
            </w:pPr>
            <w:r>
              <w:rPr>
                <w:color w:val="000000"/>
                <w:kern w:val="0"/>
                <w:szCs w:val="21"/>
                <w:lang/>
              </w:rPr>
              <w:t>距最近公交站点（</w:t>
            </w:r>
            <w:r>
              <w:rPr>
                <w:rFonts w:hint="eastAsia"/>
                <w:color w:val="000000"/>
                <w:kern w:val="0"/>
                <w:szCs w:val="21"/>
                <w:lang/>
              </w:rPr>
              <w:t>轨道交通</w:t>
            </w:r>
            <w:r>
              <w:rPr>
                <w:color w:val="000000"/>
                <w:kern w:val="0"/>
                <w:szCs w:val="21"/>
                <w:lang/>
              </w:rPr>
              <w:t>站）距离</w:t>
            </w:r>
          </w:p>
        </w:tc>
        <w:tc>
          <w:tcPr>
            <w:tcW w:w="941" w:type="dxa"/>
            <w:vAlign w:val="center"/>
          </w:tcPr>
          <w:p>
            <w:pPr>
              <w:widowControl/>
              <w:jc w:val="center"/>
              <w:textAlignment w:val="bottom"/>
              <w:rPr>
                <w:color w:val="000000"/>
                <w:kern w:val="0"/>
                <w:szCs w:val="21"/>
                <w:lang/>
              </w:rPr>
            </w:pPr>
            <w:r>
              <w:rPr>
                <w:color w:val="000000"/>
                <w:kern w:val="0"/>
                <w:szCs w:val="21"/>
                <w:lang/>
              </w:rPr>
              <w:t>≤110</w:t>
            </w:r>
          </w:p>
        </w:tc>
        <w:tc>
          <w:tcPr>
            <w:tcW w:w="1440" w:type="dxa"/>
            <w:vAlign w:val="center"/>
          </w:tcPr>
          <w:p>
            <w:pPr>
              <w:widowControl/>
              <w:jc w:val="center"/>
              <w:textAlignment w:val="bottom"/>
              <w:rPr>
                <w:color w:val="000000"/>
                <w:kern w:val="0"/>
                <w:szCs w:val="21"/>
                <w:lang/>
              </w:rPr>
            </w:pPr>
            <w:r>
              <w:rPr>
                <w:color w:val="000000"/>
                <w:kern w:val="0"/>
                <w:szCs w:val="21"/>
                <w:lang/>
              </w:rPr>
              <w:t>110-220</w:t>
            </w:r>
          </w:p>
        </w:tc>
        <w:tc>
          <w:tcPr>
            <w:tcW w:w="1424" w:type="dxa"/>
            <w:vAlign w:val="center"/>
          </w:tcPr>
          <w:p>
            <w:pPr>
              <w:widowControl/>
              <w:jc w:val="center"/>
              <w:textAlignment w:val="bottom"/>
              <w:rPr>
                <w:color w:val="000000"/>
                <w:kern w:val="0"/>
                <w:szCs w:val="21"/>
                <w:lang/>
              </w:rPr>
            </w:pPr>
            <w:r>
              <w:rPr>
                <w:color w:val="000000"/>
                <w:kern w:val="0"/>
                <w:szCs w:val="21"/>
                <w:lang/>
              </w:rPr>
              <w:t>220-330</w:t>
            </w:r>
          </w:p>
        </w:tc>
        <w:tc>
          <w:tcPr>
            <w:tcW w:w="1432" w:type="dxa"/>
            <w:vAlign w:val="center"/>
          </w:tcPr>
          <w:p>
            <w:pPr>
              <w:widowControl/>
              <w:jc w:val="center"/>
              <w:textAlignment w:val="bottom"/>
              <w:rPr>
                <w:color w:val="000000"/>
                <w:kern w:val="0"/>
                <w:szCs w:val="21"/>
                <w:lang/>
              </w:rPr>
            </w:pPr>
            <w:r>
              <w:rPr>
                <w:color w:val="000000"/>
                <w:kern w:val="0"/>
                <w:szCs w:val="21"/>
                <w:lang/>
              </w:rPr>
              <w:t>330-450</w:t>
            </w:r>
          </w:p>
        </w:tc>
        <w:tc>
          <w:tcPr>
            <w:tcW w:w="1314" w:type="dxa"/>
            <w:vAlign w:val="center"/>
          </w:tcPr>
          <w:p>
            <w:pPr>
              <w:widowControl/>
              <w:jc w:val="center"/>
              <w:textAlignment w:val="bottom"/>
              <w:rPr>
                <w:color w:val="000000"/>
                <w:kern w:val="0"/>
                <w:szCs w:val="21"/>
                <w:lang/>
              </w:rPr>
            </w:pPr>
            <w:r>
              <w:rPr>
                <w:color w:val="000000"/>
                <w:kern w:val="0"/>
                <w:szCs w:val="21"/>
                <w:lang/>
              </w:rPr>
              <w:t>&gt;450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980" w:type="dxa"/>
            <w:vMerge w:val="continue"/>
            <w:vAlign w:val="center"/>
          </w:tcPr>
          <w:p>
            <w:pPr>
              <w:widowControl/>
              <w:jc w:val="center"/>
              <w:textAlignment w:val="bottom"/>
              <w:rPr>
                <w:color w:val="000000"/>
                <w:kern w:val="0"/>
                <w:szCs w:val="21"/>
                <w:lang/>
              </w:rPr>
            </w:pPr>
          </w:p>
        </w:tc>
        <w:tc>
          <w:tcPr>
            <w:tcW w:w="981" w:type="dxa"/>
            <w:vMerge w:val="restart"/>
            <w:vAlign w:val="center"/>
          </w:tcPr>
          <w:p>
            <w:pPr>
              <w:widowControl/>
              <w:jc w:val="center"/>
              <w:textAlignment w:val="bottom"/>
              <w:rPr>
                <w:color w:val="000000"/>
                <w:kern w:val="0"/>
                <w:szCs w:val="21"/>
                <w:lang/>
              </w:rPr>
            </w:pPr>
            <w:r>
              <w:rPr>
                <w:color w:val="000000"/>
                <w:kern w:val="0"/>
                <w:szCs w:val="21"/>
                <w:lang/>
              </w:rPr>
              <w:t>对外交通便利度</w:t>
            </w:r>
          </w:p>
        </w:tc>
        <w:tc>
          <w:tcPr>
            <w:tcW w:w="1768" w:type="dxa"/>
            <w:vAlign w:val="center"/>
          </w:tcPr>
          <w:p>
            <w:pPr>
              <w:widowControl/>
              <w:jc w:val="center"/>
              <w:textAlignment w:val="bottom"/>
              <w:rPr>
                <w:color w:val="000000"/>
                <w:kern w:val="0"/>
                <w:szCs w:val="21"/>
                <w:lang/>
              </w:rPr>
            </w:pPr>
            <w:r>
              <w:rPr>
                <w:color w:val="000000"/>
                <w:kern w:val="0"/>
                <w:szCs w:val="21"/>
                <w:lang/>
              </w:rPr>
              <w:t>距最近长途汽车站距离</w:t>
            </w:r>
          </w:p>
        </w:tc>
        <w:tc>
          <w:tcPr>
            <w:tcW w:w="941" w:type="dxa"/>
            <w:vAlign w:val="center"/>
          </w:tcPr>
          <w:p>
            <w:pPr>
              <w:widowControl/>
              <w:jc w:val="center"/>
              <w:textAlignment w:val="bottom"/>
              <w:rPr>
                <w:color w:val="000000"/>
                <w:kern w:val="0"/>
                <w:szCs w:val="21"/>
                <w:lang/>
              </w:rPr>
            </w:pPr>
            <w:r>
              <w:rPr>
                <w:color w:val="000000"/>
                <w:kern w:val="0"/>
                <w:szCs w:val="21"/>
                <w:lang/>
              </w:rPr>
              <w:t>≤4000</w:t>
            </w:r>
          </w:p>
        </w:tc>
        <w:tc>
          <w:tcPr>
            <w:tcW w:w="1440" w:type="dxa"/>
            <w:vAlign w:val="center"/>
          </w:tcPr>
          <w:p>
            <w:pPr>
              <w:widowControl/>
              <w:jc w:val="center"/>
              <w:textAlignment w:val="bottom"/>
              <w:rPr>
                <w:color w:val="000000"/>
                <w:kern w:val="0"/>
                <w:szCs w:val="21"/>
                <w:lang/>
              </w:rPr>
            </w:pPr>
            <w:r>
              <w:rPr>
                <w:color w:val="000000"/>
                <w:kern w:val="0"/>
                <w:szCs w:val="21"/>
                <w:lang/>
              </w:rPr>
              <w:t>4000-5000</w:t>
            </w:r>
          </w:p>
        </w:tc>
        <w:tc>
          <w:tcPr>
            <w:tcW w:w="1424" w:type="dxa"/>
            <w:vAlign w:val="center"/>
          </w:tcPr>
          <w:p>
            <w:pPr>
              <w:widowControl/>
              <w:jc w:val="center"/>
              <w:textAlignment w:val="bottom"/>
              <w:rPr>
                <w:color w:val="000000"/>
                <w:kern w:val="0"/>
                <w:szCs w:val="21"/>
                <w:lang/>
              </w:rPr>
            </w:pPr>
            <w:r>
              <w:rPr>
                <w:color w:val="000000"/>
                <w:kern w:val="0"/>
                <w:szCs w:val="21"/>
                <w:lang/>
              </w:rPr>
              <w:t>5000-6000</w:t>
            </w:r>
          </w:p>
        </w:tc>
        <w:tc>
          <w:tcPr>
            <w:tcW w:w="1432" w:type="dxa"/>
            <w:vAlign w:val="center"/>
          </w:tcPr>
          <w:p>
            <w:pPr>
              <w:widowControl/>
              <w:jc w:val="center"/>
              <w:textAlignment w:val="bottom"/>
              <w:rPr>
                <w:color w:val="000000"/>
                <w:kern w:val="0"/>
                <w:szCs w:val="21"/>
                <w:lang/>
              </w:rPr>
            </w:pPr>
            <w:r>
              <w:rPr>
                <w:color w:val="000000"/>
                <w:kern w:val="0"/>
                <w:szCs w:val="21"/>
                <w:lang/>
              </w:rPr>
              <w:t>6000-8000</w:t>
            </w:r>
          </w:p>
        </w:tc>
        <w:tc>
          <w:tcPr>
            <w:tcW w:w="1314" w:type="dxa"/>
            <w:vAlign w:val="center"/>
          </w:tcPr>
          <w:p>
            <w:pPr>
              <w:widowControl/>
              <w:jc w:val="center"/>
              <w:textAlignment w:val="bottom"/>
              <w:rPr>
                <w:color w:val="000000"/>
                <w:kern w:val="0"/>
                <w:szCs w:val="21"/>
                <w:lang/>
              </w:rPr>
            </w:pPr>
            <w:r>
              <w:rPr>
                <w:color w:val="000000"/>
                <w:kern w:val="0"/>
                <w:szCs w:val="21"/>
                <w:lang/>
              </w:rPr>
              <w:t>&gt;8000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980" w:type="dxa"/>
            <w:vMerge w:val="continue"/>
            <w:vAlign w:val="center"/>
          </w:tcPr>
          <w:p>
            <w:pPr>
              <w:widowControl/>
              <w:jc w:val="center"/>
              <w:textAlignment w:val="bottom"/>
              <w:rPr>
                <w:color w:val="000000"/>
                <w:kern w:val="0"/>
                <w:szCs w:val="21"/>
                <w:lang/>
              </w:rPr>
            </w:pPr>
          </w:p>
        </w:tc>
        <w:tc>
          <w:tcPr>
            <w:tcW w:w="981" w:type="dxa"/>
            <w:vMerge w:val="continue"/>
            <w:vAlign w:val="center"/>
          </w:tcPr>
          <w:p>
            <w:pPr>
              <w:widowControl/>
              <w:jc w:val="center"/>
              <w:textAlignment w:val="bottom"/>
              <w:rPr>
                <w:color w:val="000000"/>
                <w:kern w:val="0"/>
                <w:szCs w:val="21"/>
                <w:lang/>
              </w:rPr>
            </w:pPr>
          </w:p>
        </w:tc>
        <w:tc>
          <w:tcPr>
            <w:tcW w:w="1768" w:type="dxa"/>
            <w:vAlign w:val="center"/>
          </w:tcPr>
          <w:p>
            <w:pPr>
              <w:widowControl/>
              <w:jc w:val="center"/>
              <w:textAlignment w:val="bottom"/>
              <w:rPr>
                <w:color w:val="000000"/>
                <w:kern w:val="0"/>
                <w:szCs w:val="21"/>
                <w:lang/>
              </w:rPr>
            </w:pPr>
            <w:r>
              <w:rPr>
                <w:color w:val="000000"/>
                <w:kern w:val="0"/>
                <w:szCs w:val="21"/>
                <w:lang/>
              </w:rPr>
              <w:t>距长沙火车站距离</w:t>
            </w:r>
          </w:p>
        </w:tc>
        <w:tc>
          <w:tcPr>
            <w:tcW w:w="941" w:type="dxa"/>
            <w:vAlign w:val="center"/>
          </w:tcPr>
          <w:p>
            <w:pPr>
              <w:widowControl/>
              <w:jc w:val="center"/>
              <w:textAlignment w:val="bottom"/>
              <w:rPr>
                <w:color w:val="000000"/>
                <w:kern w:val="0"/>
                <w:szCs w:val="21"/>
                <w:lang/>
              </w:rPr>
            </w:pPr>
            <w:r>
              <w:rPr>
                <w:color w:val="000000"/>
                <w:kern w:val="0"/>
                <w:szCs w:val="21"/>
                <w:lang/>
              </w:rPr>
              <w:t>&lt;2000</w:t>
            </w:r>
          </w:p>
        </w:tc>
        <w:tc>
          <w:tcPr>
            <w:tcW w:w="1440" w:type="dxa"/>
            <w:vAlign w:val="center"/>
          </w:tcPr>
          <w:p>
            <w:pPr>
              <w:widowControl/>
              <w:jc w:val="center"/>
              <w:textAlignment w:val="bottom"/>
              <w:rPr>
                <w:color w:val="000000"/>
                <w:kern w:val="0"/>
                <w:szCs w:val="21"/>
                <w:lang/>
              </w:rPr>
            </w:pPr>
            <w:r>
              <w:rPr>
                <w:color w:val="000000"/>
                <w:kern w:val="0"/>
                <w:szCs w:val="21"/>
                <w:lang/>
              </w:rPr>
              <w:t>2000-3000</w:t>
            </w:r>
          </w:p>
        </w:tc>
        <w:tc>
          <w:tcPr>
            <w:tcW w:w="1424" w:type="dxa"/>
            <w:vAlign w:val="center"/>
          </w:tcPr>
          <w:p>
            <w:pPr>
              <w:widowControl/>
              <w:jc w:val="center"/>
              <w:textAlignment w:val="bottom"/>
              <w:rPr>
                <w:color w:val="000000"/>
                <w:kern w:val="0"/>
                <w:szCs w:val="21"/>
                <w:lang/>
              </w:rPr>
            </w:pPr>
            <w:r>
              <w:rPr>
                <w:color w:val="000000"/>
                <w:kern w:val="0"/>
                <w:szCs w:val="21"/>
                <w:lang/>
              </w:rPr>
              <w:t>3000-5400</w:t>
            </w:r>
          </w:p>
        </w:tc>
        <w:tc>
          <w:tcPr>
            <w:tcW w:w="1432" w:type="dxa"/>
            <w:vAlign w:val="center"/>
          </w:tcPr>
          <w:p>
            <w:pPr>
              <w:widowControl/>
              <w:jc w:val="center"/>
              <w:textAlignment w:val="bottom"/>
              <w:rPr>
                <w:color w:val="000000"/>
                <w:kern w:val="0"/>
                <w:szCs w:val="21"/>
                <w:lang/>
              </w:rPr>
            </w:pPr>
            <w:r>
              <w:rPr>
                <w:color w:val="000000"/>
                <w:kern w:val="0"/>
                <w:szCs w:val="21"/>
                <w:lang/>
              </w:rPr>
              <w:t>5400-7000</w:t>
            </w:r>
          </w:p>
        </w:tc>
        <w:tc>
          <w:tcPr>
            <w:tcW w:w="1314" w:type="dxa"/>
            <w:vAlign w:val="center"/>
          </w:tcPr>
          <w:p>
            <w:pPr>
              <w:widowControl/>
              <w:jc w:val="center"/>
              <w:textAlignment w:val="bottom"/>
              <w:rPr>
                <w:color w:val="000000"/>
                <w:kern w:val="0"/>
                <w:szCs w:val="21"/>
                <w:lang/>
              </w:rPr>
            </w:pPr>
            <w:r>
              <w:rPr>
                <w:color w:val="000000"/>
                <w:kern w:val="0"/>
                <w:szCs w:val="21"/>
                <w:lang/>
              </w:rPr>
              <w:t>&gt;7000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980" w:type="dxa"/>
            <w:vMerge w:val="continue"/>
            <w:vAlign w:val="center"/>
          </w:tcPr>
          <w:p>
            <w:pPr>
              <w:widowControl/>
              <w:jc w:val="center"/>
              <w:textAlignment w:val="bottom"/>
              <w:rPr>
                <w:color w:val="000000"/>
                <w:kern w:val="0"/>
                <w:szCs w:val="21"/>
                <w:lang/>
              </w:rPr>
            </w:pPr>
          </w:p>
        </w:tc>
        <w:tc>
          <w:tcPr>
            <w:tcW w:w="981" w:type="dxa"/>
            <w:vMerge w:val="continue"/>
            <w:vAlign w:val="center"/>
          </w:tcPr>
          <w:p>
            <w:pPr>
              <w:widowControl/>
              <w:jc w:val="center"/>
              <w:textAlignment w:val="bottom"/>
              <w:rPr>
                <w:color w:val="000000"/>
                <w:kern w:val="0"/>
                <w:szCs w:val="21"/>
                <w:lang/>
              </w:rPr>
            </w:pPr>
          </w:p>
        </w:tc>
        <w:tc>
          <w:tcPr>
            <w:tcW w:w="1768" w:type="dxa"/>
            <w:vAlign w:val="center"/>
          </w:tcPr>
          <w:p>
            <w:pPr>
              <w:widowControl/>
              <w:jc w:val="center"/>
              <w:textAlignment w:val="bottom"/>
              <w:rPr>
                <w:color w:val="000000"/>
                <w:kern w:val="0"/>
                <w:szCs w:val="21"/>
                <w:lang/>
              </w:rPr>
            </w:pPr>
            <w:r>
              <w:rPr>
                <w:color w:val="000000"/>
                <w:kern w:val="0"/>
                <w:szCs w:val="21"/>
                <w:lang/>
              </w:rPr>
              <w:t>距长沙南高铁站距离</w:t>
            </w:r>
          </w:p>
        </w:tc>
        <w:tc>
          <w:tcPr>
            <w:tcW w:w="941" w:type="dxa"/>
            <w:vAlign w:val="center"/>
          </w:tcPr>
          <w:p>
            <w:pPr>
              <w:widowControl/>
              <w:jc w:val="center"/>
              <w:textAlignment w:val="bottom"/>
              <w:rPr>
                <w:color w:val="000000"/>
                <w:kern w:val="0"/>
                <w:szCs w:val="21"/>
                <w:lang/>
              </w:rPr>
            </w:pPr>
            <w:r>
              <w:rPr>
                <w:color w:val="000000"/>
                <w:kern w:val="0"/>
                <w:szCs w:val="21"/>
                <w:lang/>
              </w:rPr>
              <w:t>&lt;20000</w:t>
            </w:r>
          </w:p>
        </w:tc>
        <w:tc>
          <w:tcPr>
            <w:tcW w:w="1440" w:type="dxa"/>
            <w:vAlign w:val="center"/>
          </w:tcPr>
          <w:p>
            <w:pPr>
              <w:widowControl/>
              <w:jc w:val="center"/>
              <w:textAlignment w:val="bottom"/>
              <w:rPr>
                <w:color w:val="000000"/>
                <w:kern w:val="0"/>
                <w:szCs w:val="21"/>
                <w:lang/>
              </w:rPr>
            </w:pPr>
            <w:r>
              <w:rPr>
                <w:color w:val="000000"/>
                <w:kern w:val="0"/>
                <w:szCs w:val="21"/>
                <w:lang/>
              </w:rPr>
              <w:t>20000-23000</w:t>
            </w:r>
          </w:p>
        </w:tc>
        <w:tc>
          <w:tcPr>
            <w:tcW w:w="1424" w:type="dxa"/>
            <w:vAlign w:val="center"/>
          </w:tcPr>
          <w:p>
            <w:pPr>
              <w:widowControl/>
              <w:jc w:val="center"/>
              <w:textAlignment w:val="bottom"/>
              <w:rPr>
                <w:color w:val="000000"/>
                <w:kern w:val="0"/>
                <w:szCs w:val="21"/>
                <w:lang/>
              </w:rPr>
            </w:pPr>
            <w:r>
              <w:rPr>
                <w:color w:val="000000"/>
                <w:kern w:val="0"/>
                <w:szCs w:val="21"/>
                <w:lang/>
              </w:rPr>
              <w:t>23000-27000</w:t>
            </w:r>
          </w:p>
        </w:tc>
        <w:tc>
          <w:tcPr>
            <w:tcW w:w="1432" w:type="dxa"/>
            <w:vAlign w:val="center"/>
          </w:tcPr>
          <w:p>
            <w:pPr>
              <w:widowControl/>
              <w:jc w:val="center"/>
              <w:textAlignment w:val="bottom"/>
              <w:rPr>
                <w:color w:val="000000"/>
                <w:kern w:val="0"/>
                <w:szCs w:val="21"/>
                <w:lang/>
              </w:rPr>
            </w:pPr>
            <w:r>
              <w:rPr>
                <w:color w:val="000000"/>
                <w:kern w:val="0"/>
                <w:szCs w:val="21"/>
                <w:lang/>
              </w:rPr>
              <w:t>27000-30000</w:t>
            </w:r>
          </w:p>
        </w:tc>
        <w:tc>
          <w:tcPr>
            <w:tcW w:w="1314" w:type="dxa"/>
            <w:vAlign w:val="center"/>
          </w:tcPr>
          <w:p>
            <w:pPr>
              <w:widowControl/>
              <w:jc w:val="center"/>
              <w:textAlignment w:val="bottom"/>
              <w:rPr>
                <w:color w:val="000000"/>
                <w:kern w:val="0"/>
                <w:szCs w:val="21"/>
                <w:lang/>
              </w:rPr>
            </w:pPr>
            <w:r>
              <w:rPr>
                <w:color w:val="000000"/>
                <w:kern w:val="0"/>
                <w:szCs w:val="21"/>
                <w:lang/>
              </w:rPr>
              <w:t>&gt;30000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0" w:type="dxa"/>
            <w:vMerge w:val="restart"/>
            <w:vAlign w:val="center"/>
          </w:tcPr>
          <w:p>
            <w:pPr>
              <w:widowControl/>
              <w:jc w:val="center"/>
              <w:textAlignment w:val="bottom"/>
              <w:rPr>
                <w:color w:val="000000"/>
                <w:kern w:val="0"/>
                <w:szCs w:val="21"/>
                <w:lang/>
              </w:rPr>
            </w:pPr>
            <w:r>
              <w:rPr>
                <w:color w:val="000000"/>
                <w:kern w:val="0"/>
                <w:szCs w:val="21"/>
                <w:lang/>
              </w:rPr>
              <w:t>基本设施状况</w:t>
            </w:r>
          </w:p>
        </w:tc>
        <w:tc>
          <w:tcPr>
            <w:tcW w:w="981" w:type="dxa"/>
            <w:vMerge w:val="restart"/>
            <w:vAlign w:val="center"/>
          </w:tcPr>
          <w:p>
            <w:pPr>
              <w:widowControl/>
              <w:jc w:val="center"/>
              <w:textAlignment w:val="bottom"/>
              <w:rPr>
                <w:color w:val="000000"/>
                <w:kern w:val="0"/>
                <w:szCs w:val="21"/>
                <w:lang/>
              </w:rPr>
            </w:pPr>
            <w:r>
              <w:rPr>
                <w:color w:val="000000"/>
                <w:kern w:val="0"/>
                <w:szCs w:val="21"/>
                <w:lang/>
              </w:rPr>
              <w:t>基础设施完善度</w:t>
            </w:r>
          </w:p>
        </w:tc>
        <w:tc>
          <w:tcPr>
            <w:tcW w:w="1768" w:type="dxa"/>
            <w:vAlign w:val="center"/>
          </w:tcPr>
          <w:p>
            <w:pPr>
              <w:widowControl/>
              <w:jc w:val="center"/>
              <w:textAlignment w:val="bottom"/>
              <w:rPr>
                <w:color w:val="000000"/>
                <w:kern w:val="0"/>
                <w:szCs w:val="21"/>
                <w:lang/>
              </w:rPr>
            </w:pPr>
            <w:r>
              <w:rPr>
                <w:color w:val="000000"/>
                <w:kern w:val="0"/>
                <w:szCs w:val="21"/>
                <w:lang/>
              </w:rPr>
              <w:t>排水状况</w:t>
            </w:r>
          </w:p>
        </w:tc>
        <w:tc>
          <w:tcPr>
            <w:tcW w:w="941" w:type="dxa"/>
            <w:vAlign w:val="center"/>
          </w:tcPr>
          <w:p>
            <w:pPr>
              <w:widowControl/>
              <w:jc w:val="center"/>
              <w:textAlignment w:val="bottom"/>
              <w:rPr>
                <w:color w:val="000000"/>
                <w:kern w:val="0"/>
                <w:szCs w:val="21"/>
                <w:lang/>
              </w:rPr>
            </w:pPr>
            <w:r>
              <w:rPr>
                <w:color w:val="000000"/>
                <w:kern w:val="0"/>
                <w:szCs w:val="21"/>
                <w:lang/>
              </w:rPr>
              <w:t>好</w:t>
            </w:r>
          </w:p>
        </w:tc>
        <w:tc>
          <w:tcPr>
            <w:tcW w:w="1440" w:type="dxa"/>
            <w:vAlign w:val="center"/>
          </w:tcPr>
          <w:p>
            <w:pPr>
              <w:widowControl/>
              <w:jc w:val="center"/>
              <w:textAlignment w:val="bottom"/>
              <w:rPr>
                <w:color w:val="000000"/>
                <w:kern w:val="0"/>
                <w:szCs w:val="21"/>
                <w:lang/>
              </w:rPr>
            </w:pPr>
            <w:r>
              <w:rPr>
                <w:color w:val="000000"/>
                <w:kern w:val="0"/>
                <w:szCs w:val="21"/>
                <w:lang/>
              </w:rPr>
              <w:t>较好</w:t>
            </w:r>
          </w:p>
        </w:tc>
        <w:tc>
          <w:tcPr>
            <w:tcW w:w="1424" w:type="dxa"/>
            <w:vAlign w:val="center"/>
          </w:tcPr>
          <w:p>
            <w:pPr>
              <w:widowControl/>
              <w:jc w:val="center"/>
              <w:textAlignment w:val="bottom"/>
              <w:rPr>
                <w:color w:val="000000"/>
                <w:kern w:val="0"/>
                <w:szCs w:val="21"/>
                <w:lang/>
              </w:rPr>
            </w:pPr>
            <w:r>
              <w:rPr>
                <w:color w:val="000000"/>
                <w:kern w:val="0"/>
                <w:szCs w:val="21"/>
                <w:lang/>
              </w:rPr>
              <w:t>一般</w:t>
            </w:r>
          </w:p>
        </w:tc>
        <w:tc>
          <w:tcPr>
            <w:tcW w:w="1432" w:type="dxa"/>
            <w:vAlign w:val="center"/>
          </w:tcPr>
          <w:p>
            <w:pPr>
              <w:widowControl/>
              <w:jc w:val="center"/>
              <w:textAlignment w:val="bottom"/>
              <w:rPr>
                <w:color w:val="000000"/>
                <w:kern w:val="0"/>
                <w:szCs w:val="21"/>
                <w:lang/>
              </w:rPr>
            </w:pPr>
            <w:r>
              <w:rPr>
                <w:color w:val="000000"/>
                <w:kern w:val="0"/>
                <w:szCs w:val="21"/>
                <w:lang/>
              </w:rPr>
              <w:t>较差</w:t>
            </w:r>
          </w:p>
        </w:tc>
        <w:tc>
          <w:tcPr>
            <w:tcW w:w="1314" w:type="dxa"/>
            <w:vAlign w:val="center"/>
          </w:tcPr>
          <w:p>
            <w:pPr>
              <w:widowControl/>
              <w:jc w:val="center"/>
              <w:textAlignment w:val="bottom"/>
              <w:rPr>
                <w:color w:val="000000"/>
                <w:kern w:val="0"/>
                <w:szCs w:val="21"/>
                <w:lang/>
              </w:rPr>
            </w:pPr>
            <w:r>
              <w:rPr>
                <w:color w:val="000000"/>
                <w:kern w:val="0"/>
                <w:szCs w:val="21"/>
                <w:lang/>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0" w:type="dxa"/>
            <w:vMerge w:val="continue"/>
            <w:vAlign w:val="center"/>
          </w:tcPr>
          <w:p>
            <w:pPr>
              <w:widowControl/>
              <w:jc w:val="center"/>
              <w:textAlignment w:val="bottom"/>
              <w:rPr>
                <w:color w:val="000000"/>
                <w:kern w:val="0"/>
                <w:szCs w:val="21"/>
                <w:lang/>
              </w:rPr>
            </w:pPr>
          </w:p>
        </w:tc>
        <w:tc>
          <w:tcPr>
            <w:tcW w:w="981" w:type="dxa"/>
            <w:vMerge w:val="continue"/>
            <w:vAlign w:val="center"/>
          </w:tcPr>
          <w:p>
            <w:pPr>
              <w:widowControl/>
              <w:jc w:val="center"/>
              <w:textAlignment w:val="bottom"/>
              <w:rPr>
                <w:color w:val="000000"/>
                <w:kern w:val="0"/>
                <w:szCs w:val="21"/>
                <w:lang/>
              </w:rPr>
            </w:pPr>
          </w:p>
        </w:tc>
        <w:tc>
          <w:tcPr>
            <w:tcW w:w="1768" w:type="dxa"/>
            <w:vAlign w:val="center"/>
          </w:tcPr>
          <w:p>
            <w:pPr>
              <w:widowControl/>
              <w:jc w:val="center"/>
              <w:textAlignment w:val="bottom"/>
              <w:rPr>
                <w:color w:val="000000"/>
                <w:kern w:val="0"/>
                <w:szCs w:val="21"/>
                <w:lang/>
              </w:rPr>
            </w:pPr>
            <w:r>
              <w:rPr>
                <w:color w:val="000000"/>
                <w:kern w:val="0"/>
                <w:szCs w:val="21"/>
                <w:lang/>
              </w:rPr>
              <w:t>供水状况</w:t>
            </w:r>
          </w:p>
        </w:tc>
        <w:tc>
          <w:tcPr>
            <w:tcW w:w="941" w:type="dxa"/>
            <w:vAlign w:val="center"/>
          </w:tcPr>
          <w:p>
            <w:pPr>
              <w:widowControl/>
              <w:jc w:val="center"/>
              <w:textAlignment w:val="bottom"/>
              <w:rPr>
                <w:color w:val="000000"/>
                <w:kern w:val="0"/>
                <w:szCs w:val="21"/>
                <w:lang/>
              </w:rPr>
            </w:pPr>
            <w:r>
              <w:rPr>
                <w:color w:val="000000"/>
                <w:kern w:val="0"/>
                <w:szCs w:val="21"/>
                <w:lang/>
              </w:rPr>
              <w:t>100%</w:t>
            </w:r>
          </w:p>
        </w:tc>
        <w:tc>
          <w:tcPr>
            <w:tcW w:w="1440" w:type="dxa"/>
            <w:vAlign w:val="center"/>
          </w:tcPr>
          <w:p>
            <w:pPr>
              <w:widowControl/>
              <w:jc w:val="center"/>
              <w:textAlignment w:val="bottom"/>
              <w:rPr>
                <w:color w:val="000000"/>
                <w:kern w:val="0"/>
                <w:szCs w:val="21"/>
                <w:lang/>
              </w:rPr>
            </w:pPr>
            <w:r>
              <w:rPr>
                <w:color w:val="000000"/>
                <w:kern w:val="0"/>
                <w:szCs w:val="21"/>
                <w:lang/>
              </w:rPr>
              <w:t>90-99%</w:t>
            </w:r>
          </w:p>
        </w:tc>
        <w:tc>
          <w:tcPr>
            <w:tcW w:w="1424" w:type="dxa"/>
            <w:vAlign w:val="center"/>
          </w:tcPr>
          <w:p>
            <w:pPr>
              <w:widowControl/>
              <w:jc w:val="center"/>
              <w:textAlignment w:val="bottom"/>
              <w:rPr>
                <w:color w:val="000000"/>
                <w:kern w:val="0"/>
                <w:szCs w:val="21"/>
                <w:lang/>
              </w:rPr>
            </w:pPr>
            <w:r>
              <w:rPr>
                <w:color w:val="000000"/>
                <w:kern w:val="0"/>
                <w:szCs w:val="21"/>
                <w:lang/>
              </w:rPr>
              <w:t>80-89%</w:t>
            </w:r>
          </w:p>
        </w:tc>
        <w:tc>
          <w:tcPr>
            <w:tcW w:w="1432" w:type="dxa"/>
            <w:vAlign w:val="center"/>
          </w:tcPr>
          <w:p>
            <w:pPr>
              <w:widowControl/>
              <w:jc w:val="center"/>
              <w:textAlignment w:val="bottom"/>
              <w:rPr>
                <w:color w:val="000000"/>
                <w:kern w:val="0"/>
                <w:szCs w:val="21"/>
                <w:lang/>
              </w:rPr>
            </w:pPr>
            <w:r>
              <w:rPr>
                <w:color w:val="000000"/>
                <w:kern w:val="0"/>
                <w:szCs w:val="21"/>
                <w:lang/>
              </w:rPr>
              <w:t>60-79%</w:t>
            </w:r>
          </w:p>
        </w:tc>
        <w:tc>
          <w:tcPr>
            <w:tcW w:w="1314" w:type="dxa"/>
            <w:vAlign w:val="center"/>
          </w:tcPr>
          <w:p>
            <w:pPr>
              <w:widowControl/>
              <w:jc w:val="center"/>
              <w:textAlignment w:val="bottom"/>
              <w:rPr>
                <w:color w:val="000000"/>
                <w:kern w:val="0"/>
                <w:szCs w:val="21"/>
                <w:lang/>
              </w:rPr>
            </w:pPr>
            <w:r>
              <w:rPr>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0" w:type="dxa"/>
            <w:vMerge w:val="continue"/>
            <w:vAlign w:val="center"/>
          </w:tcPr>
          <w:p>
            <w:pPr>
              <w:widowControl/>
              <w:jc w:val="center"/>
              <w:textAlignment w:val="bottom"/>
              <w:rPr>
                <w:color w:val="000000"/>
                <w:kern w:val="0"/>
                <w:szCs w:val="21"/>
                <w:lang/>
              </w:rPr>
            </w:pPr>
          </w:p>
        </w:tc>
        <w:tc>
          <w:tcPr>
            <w:tcW w:w="981" w:type="dxa"/>
            <w:vMerge w:val="continue"/>
            <w:vAlign w:val="center"/>
          </w:tcPr>
          <w:p>
            <w:pPr>
              <w:widowControl/>
              <w:jc w:val="center"/>
              <w:textAlignment w:val="bottom"/>
              <w:rPr>
                <w:color w:val="000000"/>
                <w:kern w:val="0"/>
                <w:szCs w:val="21"/>
                <w:lang/>
              </w:rPr>
            </w:pPr>
          </w:p>
        </w:tc>
        <w:tc>
          <w:tcPr>
            <w:tcW w:w="1768" w:type="dxa"/>
            <w:vAlign w:val="center"/>
          </w:tcPr>
          <w:p>
            <w:pPr>
              <w:widowControl/>
              <w:jc w:val="center"/>
              <w:textAlignment w:val="bottom"/>
              <w:rPr>
                <w:color w:val="000000"/>
                <w:kern w:val="0"/>
                <w:szCs w:val="21"/>
                <w:lang/>
              </w:rPr>
            </w:pPr>
            <w:r>
              <w:rPr>
                <w:color w:val="000000"/>
                <w:kern w:val="0"/>
                <w:szCs w:val="21"/>
                <w:lang/>
              </w:rPr>
              <w:t>供电状况</w:t>
            </w:r>
          </w:p>
        </w:tc>
        <w:tc>
          <w:tcPr>
            <w:tcW w:w="941" w:type="dxa"/>
            <w:vAlign w:val="center"/>
          </w:tcPr>
          <w:p>
            <w:pPr>
              <w:widowControl/>
              <w:jc w:val="center"/>
              <w:textAlignment w:val="bottom"/>
              <w:rPr>
                <w:color w:val="000000"/>
                <w:kern w:val="0"/>
                <w:szCs w:val="21"/>
                <w:lang/>
              </w:rPr>
            </w:pPr>
            <w:r>
              <w:rPr>
                <w:color w:val="000000"/>
                <w:kern w:val="0"/>
                <w:szCs w:val="21"/>
                <w:lang/>
              </w:rPr>
              <w:t>100%</w:t>
            </w:r>
          </w:p>
        </w:tc>
        <w:tc>
          <w:tcPr>
            <w:tcW w:w="1440" w:type="dxa"/>
            <w:vAlign w:val="center"/>
          </w:tcPr>
          <w:p>
            <w:pPr>
              <w:widowControl/>
              <w:jc w:val="center"/>
              <w:textAlignment w:val="bottom"/>
              <w:rPr>
                <w:color w:val="000000"/>
                <w:kern w:val="0"/>
                <w:szCs w:val="21"/>
                <w:lang/>
              </w:rPr>
            </w:pPr>
            <w:r>
              <w:rPr>
                <w:color w:val="000000"/>
                <w:kern w:val="0"/>
                <w:szCs w:val="21"/>
                <w:lang/>
              </w:rPr>
              <w:t>90-99%</w:t>
            </w:r>
          </w:p>
        </w:tc>
        <w:tc>
          <w:tcPr>
            <w:tcW w:w="1424" w:type="dxa"/>
            <w:vAlign w:val="center"/>
          </w:tcPr>
          <w:p>
            <w:pPr>
              <w:widowControl/>
              <w:jc w:val="center"/>
              <w:textAlignment w:val="bottom"/>
              <w:rPr>
                <w:color w:val="000000"/>
                <w:kern w:val="0"/>
                <w:szCs w:val="21"/>
                <w:lang/>
              </w:rPr>
            </w:pPr>
            <w:r>
              <w:rPr>
                <w:color w:val="000000"/>
                <w:kern w:val="0"/>
                <w:szCs w:val="21"/>
                <w:lang/>
              </w:rPr>
              <w:t>80-89%</w:t>
            </w:r>
          </w:p>
        </w:tc>
        <w:tc>
          <w:tcPr>
            <w:tcW w:w="1432" w:type="dxa"/>
            <w:vAlign w:val="center"/>
          </w:tcPr>
          <w:p>
            <w:pPr>
              <w:widowControl/>
              <w:jc w:val="center"/>
              <w:textAlignment w:val="bottom"/>
              <w:rPr>
                <w:color w:val="000000"/>
                <w:kern w:val="0"/>
                <w:szCs w:val="21"/>
                <w:lang/>
              </w:rPr>
            </w:pPr>
            <w:r>
              <w:rPr>
                <w:color w:val="000000"/>
                <w:kern w:val="0"/>
                <w:szCs w:val="21"/>
                <w:lang/>
              </w:rPr>
              <w:t>60-79%</w:t>
            </w:r>
          </w:p>
        </w:tc>
        <w:tc>
          <w:tcPr>
            <w:tcW w:w="1314" w:type="dxa"/>
            <w:vAlign w:val="center"/>
          </w:tcPr>
          <w:p>
            <w:pPr>
              <w:widowControl/>
              <w:jc w:val="center"/>
              <w:textAlignment w:val="bottom"/>
              <w:rPr>
                <w:color w:val="000000"/>
                <w:kern w:val="0"/>
                <w:szCs w:val="21"/>
                <w:lang/>
              </w:rPr>
            </w:pPr>
            <w:r>
              <w:rPr>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0" w:type="dxa"/>
            <w:vMerge w:val="continue"/>
            <w:vAlign w:val="center"/>
          </w:tcPr>
          <w:p>
            <w:pPr>
              <w:widowControl/>
              <w:jc w:val="center"/>
              <w:textAlignment w:val="bottom"/>
              <w:rPr>
                <w:color w:val="000000"/>
                <w:kern w:val="0"/>
                <w:szCs w:val="21"/>
                <w:lang/>
              </w:rPr>
            </w:pPr>
          </w:p>
        </w:tc>
        <w:tc>
          <w:tcPr>
            <w:tcW w:w="981" w:type="dxa"/>
            <w:vMerge w:val="continue"/>
            <w:vAlign w:val="center"/>
          </w:tcPr>
          <w:p>
            <w:pPr>
              <w:widowControl/>
              <w:jc w:val="center"/>
              <w:textAlignment w:val="bottom"/>
              <w:rPr>
                <w:color w:val="000000"/>
                <w:kern w:val="0"/>
                <w:szCs w:val="21"/>
                <w:lang/>
              </w:rPr>
            </w:pPr>
          </w:p>
        </w:tc>
        <w:tc>
          <w:tcPr>
            <w:tcW w:w="1768" w:type="dxa"/>
            <w:vAlign w:val="center"/>
          </w:tcPr>
          <w:p>
            <w:pPr>
              <w:widowControl/>
              <w:jc w:val="center"/>
              <w:textAlignment w:val="bottom"/>
              <w:rPr>
                <w:color w:val="000000"/>
                <w:kern w:val="0"/>
                <w:szCs w:val="21"/>
                <w:lang/>
              </w:rPr>
            </w:pPr>
            <w:r>
              <w:rPr>
                <w:color w:val="000000"/>
                <w:kern w:val="0"/>
                <w:szCs w:val="21"/>
                <w:lang/>
              </w:rPr>
              <w:t>供气状况</w:t>
            </w:r>
          </w:p>
        </w:tc>
        <w:tc>
          <w:tcPr>
            <w:tcW w:w="941" w:type="dxa"/>
            <w:vAlign w:val="center"/>
          </w:tcPr>
          <w:p>
            <w:pPr>
              <w:widowControl/>
              <w:jc w:val="center"/>
              <w:textAlignment w:val="bottom"/>
              <w:rPr>
                <w:color w:val="000000"/>
                <w:kern w:val="0"/>
                <w:szCs w:val="21"/>
                <w:lang/>
              </w:rPr>
            </w:pPr>
            <w:r>
              <w:rPr>
                <w:color w:val="000000"/>
                <w:kern w:val="0"/>
                <w:szCs w:val="21"/>
                <w:lang/>
              </w:rPr>
              <w:t>100%</w:t>
            </w:r>
          </w:p>
        </w:tc>
        <w:tc>
          <w:tcPr>
            <w:tcW w:w="1440" w:type="dxa"/>
            <w:vAlign w:val="center"/>
          </w:tcPr>
          <w:p>
            <w:pPr>
              <w:widowControl/>
              <w:jc w:val="center"/>
              <w:textAlignment w:val="bottom"/>
              <w:rPr>
                <w:color w:val="000000"/>
                <w:kern w:val="0"/>
                <w:szCs w:val="21"/>
                <w:lang/>
              </w:rPr>
            </w:pPr>
            <w:r>
              <w:rPr>
                <w:color w:val="000000"/>
                <w:kern w:val="0"/>
                <w:szCs w:val="21"/>
                <w:lang/>
              </w:rPr>
              <w:t>90-99%</w:t>
            </w:r>
          </w:p>
        </w:tc>
        <w:tc>
          <w:tcPr>
            <w:tcW w:w="1424" w:type="dxa"/>
            <w:vAlign w:val="center"/>
          </w:tcPr>
          <w:p>
            <w:pPr>
              <w:widowControl/>
              <w:jc w:val="center"/>
              <w:textAlignment w:val="bottom"/>
              <w:rPr>
                <w:color w:val="000000"/>
                <w:kern w:val="0"/>
                <w:szCs w:val="21"/>
                <w:lang/>
              </w:rPr>
            </w:pPr>
            <w:r>
              <w:rPr>
                <w:color w:val="000000"/>
                <w:kern w:val="0"/>
                <w:szCs w:val="21"/>
                <w:lang/>
              </w:rPr>
              <w:t>80-89%</w:t>
            </w:r>
          </w:p>
        </w:tc>
        <w:tc>
          <w:tcPr>
            <w:tcW w:w="1432" w:type="dxa"/>
            <w:vAlign w:val="center"/>
          </w:tcPr>
          <w:p>
            <w:pPr>
              <w:widowControl/>
              <w:jc w:val="center"/>
              <w:textAlignment w:val="bottom"/>
              <w:rPr>
                <w:color w:val="000000"/>
                <w:kern w:val="0"/>
                <w:szCs w:val="21"/>
                <w:lang/>
              </w:rPr>
            </w:pPr>
            <w:r>
              <w:rPr>
                <w:color w:val="000000"/>
                <w:kern w:val="0"/>
                <w:szCs w:val="21"/>
                <w:lang/>
              </w:rPr>
              <w:t>60-79%</w:t>
            </w:r>
          </w:p>
        </w:tc>
        <w:tc>
          <w:tcPr>
            <w:tcW w:w="1314" w:type="dxa"/>
            <w:vAlign w:val="center"/>
          </w:tcPr>
          <w:p>
            <w:pPr>
              <w:widowControl/>
              <w:jc w:val="center"/>
              <w:textAlignment w:val="bottom"/>
              <w:rPr>
                <w:color w:val="000000"/>
                <w:kern w:val="0"/>
                <w:szCs w:val="21"/>
                <w:lang/>
              </w:rPr>
            </w:pPr>
            <w:r>
              <w:rPr>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980" w:type="dxa"/>
            <w:vAlign w:val="center"/>
          </w:tcPr>
          <w:p>
            <w:pPr>
              <w:widowControl/>
              <w:jc w:val="center"/>
              <w:textAlignment w:val="bottom"/>
              <w:rPr>
                <w:color w:val="000000"/>
                <w:kern w:val="0"/>
                <w:szCs w:val="21"/>
                <w:lang/>
              </w:rPr>
            </w:pPr>
            <w:r>
              <w:rPr>
                <w:color w:val="000000"/>
                <w:kern w:val="0"/>
                <w:szCs w:val="21"/>
                <w:lang/>
              </w:rPr>
              <w:t>人口状况</w:t>
            </w:r>
          </w:p>
        </w:tc>
        <w:tc>
          <w:tcPr>
            <w:tcW w:w="981" w:type="dxa"/>
            <w:vAlign w:val="center"/>
          </w:tcPr>
          <w:p>
            <w:pPr>
              <w:widowControl/>
              <w:jc w:val="center"/>
              <w:textAlignment w:val="bottom"/>
              <w:rPr>
                <w:color w:val="000000"/>
                <w:kern w:val="0"/>
                <w:szCs w:val="21"/>
                <w:lang/>
              </w:rPr>
            </w:pPr>
            <w:r>
              <w:rPr>
                <w:color w:val="000000"/>
                <w:kern w:val="0"/>
                <w:szCs w:val="21"/>
                <w:lang/>
              </w:rPr>
              <w:t>人口密度</w:t>
            </w:r>
          </w:p>
        </w:tc>
        <w:tc>
          <w:tcPr>
            <w:tcW w:w="1768" w:type="dxa"/>
            <w:vAlign w:val="center"/>
          </w:tcPr>
          <w:p>
            <w:pPr>
              <w:widowControl/>
              <w:jc w:val="center"/>
              <w:textAlignment w:val="bottom"/>
              <w:rPr>
                <w:color w:val="000000"/>
                <w:kern w:val="0"/>
                <w:szCs w:val="21"/>
                <w:lang/>
              </w:rPr>
            </w:pPr>
            <w:r>
              <w:rPr>
                <w:color w:val="000000"/>
                <w:kern w:val="0"/>
                <w:szCs w:val="21"/>
                <w:lang/>
              </w:rPr>
              <w:t>人口程度</w:t>
            </w:r>
          </w:p>
        </w:tc>
        <w:tc>
          <w:tcPr>
            <w:tcW w:w="941" w:type="dxa"/>
            <w:vAlign w:val="center"/>
          </w:tcPr>
          <w:p>
            <w:pPr>
              <w:widowControl/>
              <w:jc w:val="center"/>
              <w:textAlignment w:val="bottom"/>
              <w:rPr>
                <w:color w:val="000000"/>
                <w:kern w:val="0"/>
                <w:szCs w:val="21"/>
                <w:lang/>
              </w:rPr>
            </w:pPr>
            <w:r>
              <w:rPr>
                <w:color w:val="000000"/>
                <w:kern w:val="0"/>
                <w:szCs w:val="21"/>
                <w:lang/>
              </w:rPr>
              <w:t>人口稠密</w:t>
            </w:r>
          </w:p>
        </w:tc>
        <w:tc>
          <w:tcPr>
            <w:tcW w:w="1440" w:type="dxa"/>
            <w:vAlign w:val="center"/>
          </w:tcPr>
          <w:p>
            <w:pPr>
              <w:widowControl/>
              <w:jc w:val="center"/>
              <w:textAlignment w:val="bottom"/>
              <w:rPr>
                <w:color w:val="000000"/>
                <w:kern w:val="0"/>
                <w:szCs w:val="21"/>
                <w:lang/>
              </w:rPr>
            </w:pPr>
            <w:r>
              <w:rPr>
                <w:color w:val="000000"/>
                <w:kern w:val="0"/>
                <w:szCs w:val="21"/>
                <w:lang/>
              </w:rPr>
              <w:t>人口较稠密</w:t>
            </w:r>
          </w:p>
        </w:tc>
        <w:tc>
          <w:tcPr>
            <w:tcW w:w="1424" w:type="dxa"/>
            <w:vAlign w:val="center"/>
          </w:tcPr>
          <w:p>
            <w:pPr>
              <w:widowControl/>
              <w:jc w:val="center"/>
              <w:textAlignment w:val="bottom"/>
              <w:rPr>
                <w:color w:val="000000"/>
                <w:kern w:val="0"/>
                <w:szCs w:val="21"/>
                <w:lang/>
              </w:rPr>
            </w:pPr>
            <w:r>
              <w:rPr>
                <w:color w:val="000000"/>
                <w:kern w:val="0"/>
                <w:szCs w:val="21"/>
                <w:lang/>
              </w:rPr>
              <w:t>一般</w:t>
            </w:r>
          </w:p>
        </w:tc>
        <w:tc>
          <w:tcPr>
            <w:tcW w:w="1432" w:type="dxa"/>
            <w:vAlign w:val="center"/>
          </w:tcPr>
          <w:p>
            <w:pPr>
              <w:widowControl/>
              <w:jc w:val="center"/>
              <w:textAlignment w:val="bottom"/>
              <w:rPr>
                <w:color w:val="000000"/>
                <w:kern w:val="0"/>
                <w:szCs w:val="21"/>
                <w:lang/>
              </w:rPr>
            </w:pPr>
            <w:r>
              <w:rPr>
                <w:color w:val="000000"/>
                <w:kern w:val="0"/>
                <w:szCs w:val="21"/>
                <w:lang/>
              </w:rPr>
              <w:t>人口较稀疏</w:t>
            </w:r>
          </w:p>
        </w:tc>
        <w:tc>
          <w:tcPr>
            <w:tcW w:w="1314" w:type="dxa"/>
            <w:vAlign w:val="center"/>
          </w:tcPr>
          <w:p>
            <w:pPr>
              <w:widowControl/>
              <w:jc w:val="center"/>
              <w:textAlignment w:val="bottom"/>
              <w:rPr>
                <w:color w:val="000000"/>
                <w:kern w:val="0"/>
                <w:szCs w:val="21"/>
                <w:lang/>
              </w:rPr>
            </w:pPr>
            <w:r>
              <w:rPr>
                <w:color w:val="000000"/>
                <w:kern w:val="0"/>
                <w:szCs w:val="21"/>
                <w:lang/>
              </w:rPr>
              <w:t>人口稀疏区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980" w:type="dxa"/>
            <w:vMerge w:val="restart"/>
            <w:vAlign w:val="center"/>
          </w:tcPr>
          <w:p>
            <w:pPr>
              <w:widowControl/>
              <w:jc w:val="center"/>
              <w:textAlignment w:val="bottom"/>
              <w:rPr>
                <w:color w:val="000000"/>
                <w:kern w:val="0"/>
                <w:szCs w:val="21"/>
                <w:lang/>
              </w:rPr>
            </w:pPr>
            <w:r>
              <w:rPr>
                <w:color w:val="000000"/>
                <w:kern w:val="0"/>
                <w:szCs w:val="21"/>
                <w:lang/>
              </w:rPr>
              <w:t>城市规划</w:t>
            </w:r>
          </w:p>
        </w:tc>
        <w:tc>
          <w:tcPr>
            <w:tcW w:w="981" w:type="dxa"/>
            <w:vMerge w:val="restart"/>
            <w:vAlign w:val="center"/>
          </w:tcPr>
          <w:p>
            <w:pPr>
              <w:widowControl/>
              <w:jc w:val="center"/>
              <w:textAlignment w:val="bottom"/>
              <w:rPr>
                <w:color w:val="000000"/>
                <w:kern w:val="0"/>
                <w:szCs w:val="21"/>
                <w:lang/>
              </w:rPr>
            </w:pPr>
            <w:r>
              <w:rPr>
                <w:color w:val="000000"/>
                <w:kern w:val="0"/>
                <w:szCs w:val="21"/>
                <w:lang/>
              </w:rPr>
              <w:t>城市规划</w:t>
            </w:r>
          </w:p>
        </w:tc>
        <w:tc>
          <w:tcPr>
            <w:tcW w:w="1768" w:type="dxa"/>
            <w:vAlign w:val="center"/>
          </w:tcPr>
          <w:p>
            <w:pPr>
              <w:widowControl/>
              <w:jc w:val="center"/>
              <w:textAlignment w:val="bottom"/>
              <w:rPr>
                <w:color w:val="000000"/>
                <w:kern w:val="0"/>
                <w:szCs w:val="21"/>
                <w:lang/>
              </w:rPr>
            </w:pPr>
            <w:r>
              <w:rPr>
                <w:color w:val="000000"/>
                <w:kern w:val="0"/>
                <w:szCs w:val="21"/>
                <w:lang/>
              </w:rPr>
              <w:t>用地规划</w:t>
            </w:r>
          </w:p>
        </w:tc>
        <w:tc>
          <w:tcPr>
            <w:tcW w:w="941" w:type="dxa"/>
            <w:vAlign w:val="center"/>
          </w:tcPr>
          <w:p>
            <w:pPr>
              <w:widowControl/>
              <w:jc w:val="center"/>
              <w:textAlignment w:val="bottom"/>
              <w:rPr>
                <w:color w:val="000000"/>
                <w:kern w:val="0"/>
                <w:szCs w:val="21"/>
                <w:lang/>
              </w:rPr>
            </w:pPr>
            <w:r>
              <w:rPr>
                <w:color w:val="000000"/>
                <w:kern w:val="0"/>
                <w:szCs w:val="21"/>
                <w:lang/>
              </w:rPr>
              <w:t>最佳用途</w:t>
            </w:r>
          </w:p>
        </w:tc>
        <w:tc>
          <w:tcPr>
            <w:tcW w:w="1440" w:type="dxa"/>
            <w:vAlign w:val="center"/>
          </w:tcPr>
          <w:p>
            <w:pPr>
              <w:widowControl/>
              <w:jc w:val="center"/>
              <w:textAlignment w:val="bottom"/>
              <w:rPr>
                <w:color w:val="000000"/>
                <w:kern w:val="0"/>
                <w:szCs w:val="21"/>
                <w:lang/>
              </w:rPr>
            </w:pPr>
            <w:r>
              <w:rPr>
                <w:color w:val="000000"/>
                <w:kern w:val="0"/>
                <w:szCs w:val="21"/>
                <w:lang/>
              </w:rPr>
              <w:t>较适用途</w:t>
            </w:r>
          </w:p>
        </w:tc>
        <w:tc>
          <w:tcPr>
            <w:tcW w:w="1424" w:type="dxa"/>
            <w:vAlign w:val="center"/>
          </w:tcPr>
          <w:p>
            <w:pPr>
              <w:widowControl/>
              <w:jc w:val="center"/>
              <w:textAlignment w:val="bottom"/>
              <w:rPr>
                <w:color w:val="000000"/>
                <w:kern w:val="0"/>
                <w:szCs w:val="21"/>
                <w:lang/>
              </w:rPr>
            </w:pPr>
            <w:r>
              <w:rPr>
                <w:color w:val="000000"/>
                <w:kern w:val="0"/>
                <w:szCs w:val="21"/>
                <w:lang/>
              </w:rPr>
              <w:t>一般用途</w:t>
            </w:r>
          </w:p>
        </w:tc>
        <w:tc>
          <w:tcPr>
            <w:tcW w:w="1432" w:type="dxa"/>
            <w:vAlign w:val="center"/>
          </w:tcPr>
          <w:p>
            <w:pPr>
              <w:widowControl/>
              <w:jc w:val="center"/>
              <w:textAlignment w:val="bottom"/>
              <w:rPr>
                <w:color w:val="000000"/>
                <w:kern w:val="0"/>
                <w:szCs w:val="21"/>
                <w:lang/>
              </w:rPr>
            </w:pPr>
            <w:r>
              <w:rPr>
                <w:color w:val="000000"/>
                <w:kern w:val="0"/>
                <w:szCs w:val="21"/>
                <w:lang/>
              </w:rPr>
              <w:t>不太适合用途</w:t>
            </w:r>
          </w:p>
        </w:tc>
        <w:tc>
          <w:tcPr>
            <w:tcW w:w="1314" w:type="dxa"/>
            <w:vAlign w:val="center"/>
          </w:tcPr>
          <w:p>
            <w:pPr>
              <w:widowControl/>
              <w:jc w:val="center"/>
              <w:textAlignment w:val="bottom"/>
              <w:rPr>
                <w:color w:val="000000"/>
                <w:kern w:val="0"/>
                <w:szCs w:val="21"/>
                <w:lang/>
              </w:rPr>
            </w:pPr>
            <w:r>
              <w:rPr>
                <w:color w:val="000000"/>
                <w:kern w:val="0"/>
                <w:szCs w:val="21"/>
                <w:lang/>
              </w:rPr>
              <w:t>不适合用途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980" w:type="dxa"/>
            <w:vMerge w:val="continue"/>
            <w:vAlign w:val="center"/>
          </w:tcPr>
          <w:p>
            <w:pPr>
              <w:widowControl/>
              <w:jc w:val="center"/>
              <w:rPr>
                <w:color w:val="000000"/>
                <w:kern w:val="0"/>
                <w:szCs w:val="21"/>
              </w:rPr>
            </w:pPr>
          </w:p>
        </w:tc>
        <w:tc>
          <w:tcPr>
            <w:tcW w:w="981" w:type="dxa"/>
            <w:vMerge w:val="continue"/>
            <w:vAlign w:val="center"/>
          </w:tcPr>
          <w:p>
            <w:pPr>
              <w:widowControl/>
              <w:jc w:val="center"/>
              <w:rPr>
                <w:color w:val="000000"/>
                <w:kern w:val="0"/>
                <w:szCs w:val="21"/>
              </w:rPr>
            </w:pPr>
          </w:p>
        </w:tc>
        <w:tc>
          <w:tcPr>
            <w:tcW w:w="1768" w:type="dxa"/>
            <w:vAlign w:val="center"/>
          </w:tcPr>
          <w:p>
            <w:pPr>
              <w:widowControl/>
              <w:ind w:left="-105" w:leftChars="-50" w:right="-105" w:rightChars="-50"/>
              <w:jc w:val="center"/>
              <w:rPr>
                <w:color w:val="000000"/>
                <w:kern w:val="0"/>
                <w:szCs w:val="21"/>
              </w:rPr>
            </w:pPr>
            <w:r>
              <w:rPr>
                <w:color w:val="000000"/>
                <w:kern w:val="0"/>
                <w:szCs w:val="21"/>
              </w:rPr>
              <w:t>道路规划</w:t>
            </w:r>
          </w:p>
        </w:tc>
        <w:tc>
          <w:tcPr>
            <w:tcW w:w="941" w:type="dxa"/>
            <w:vAlign w:val="center"/>
          </w:tcPr>
          <w:p>
            <w:pPr>
              <w:widowControl/>
              <w:jc w:val="center"/>
              <w:rPr>
                <w:color w:val="000000"/>
                <w:kern w:val="0"/>
                <w:szCs w:val="21"/>
              </w:rPr>
            </w:pPr>
            <w:r>
              <w:rPr>
                <w:color w:val="000000"/>
                <w:kern w:val="0"/>
                <w:sz w:val="20"/>
              </w:rPr>
              <w:t>主干道</w:t>
            </w:r>
          </w:p>
        </w:tc>
        <w:tc>
          <w:tcPr>
            <w:tcW w:w="1440" w:type="dxa"/>
            <w:vAlign w:val="center"/>
          </w:tcPr>
          <w:p>
            <w:pPr>
              <w:widowControl/>
              <w:jc w:val="center"/>
              <w:rPr>
                <w:color w:val="000000"/>
                <w:kern w:val="0"/>
                <w:szCs w:val="21"/>
              </w:rPr>
            </w:pPr>
            <w:r>
              <w:rPr>
                <w:color w:val="000000"/>
                <w:kern w:val="0"/>
                <w:sz w:val="20"/>
              </w:rPr>
              <w:t>次干道</w:t>
            </w:r>
          </w:p>
        </w:tc>
        <w:tc>
          <w:tcPr>
            <w:tcW w:w="1424" w:type="dxa"/>
            <w:vAlign w:val="center"/>
          </w:tcPr>
          <w:p>
            <w:pPr>
              <w:widowControl/>
              <w:jc w:val="center"/>
              <w:rPr>
                <w:color w:val="000000"/>
                <w:kern w:val="0"/>
                <w:szCs w:val="21"/>
              </w:rPr>
            </w:pPr>
            <w:r>
              <w:rPr>
                <w:color w:val="000000"/>
                <w:kern w:val="0"/>
                <w:sz w:val="20"/>
              </w:rPr>
              <w:t>快速路</w:t>
            </w:r>
          </w:p>
        </w:tc>
        <w:tc>
          <w:tcPr>
            <w:tcW w:w="1432" w:type="dxa"/>
            <w:vAlign w:val="center"/>
          </w:tcPr>
          <w:p>
            <w:pPr>
              <w:widowControl/>
              <w:jc w:val="center"/>
              <w:rPr>
                <w:color w:val="000000"/>
                <w:kern w:val="0"/>
                <w:szCs w:val="21"/>
              </w:rPr>
            </w:pPr>
            <w:r>
              <w:rPr>
                <w:color w:val="000000"/>
                <w:kern w:val="0"/>
                <w:sz w:val="20"/>
              </w:rPr>
              <w:t>支路</w:t>
            </w:r>
          </w:p>
        </w:tc>
        <w:tc>
          <w:tcPr>
            <w:tcW w:w="1314" w:type="dxa"/>
            <w:vAlign w:val="center"/>
          </w:tcPr>
          <w:p>
            <w:pPr>
              <w:widowControl/>
              <w:jc w:val="center"/>
              <w:rPr>
                <w:color w:val="000000"/>
                <w:kern w:val="0"/>
                <w:szCs w:val="21"/>
              </w:rPr>
            </w:pPr>
            <w:r>
              <w:rPr>
                <w:color w:val="000000"/>
                <w:kern w:val="0"/>
                <w:sz w:val="20"/>
              </w:rPr>
              <w:t>街坊间支路</w:t>
            </w:r>
          </w:p>
        </w:tc>
      </w:tr>
    </w:tbl>
    <w:p>
      <w:pPr>
        <w:pStyle w:val="131"/>
        <w:spacing w:line="360" w:lineRule="auto"/>
        <w:ind w:firstLine="0" w:firstLineChars="0"/>
        <w:rPr>
          <w:rFonts w:ascii="Times New Roman" w:hAnsi="Times New Roman"/>
          <w:bCs w:val="0"/>
          <w:sz w:val="24"/>
          <w:szCs w:val="24"/>
        </w:rPr>
      </w:pPr>
      <w:r>
        <w:rPr>
          <w:rFonts w:ascii="Times New Roman" w:hAnsi="Times New Roman"/>
          <w:bCs w:val="0"/>
          <w:sz w:val="24"/>
          <w:szCs w:val="24"/>
        </w:rPr>
        <w:t>表4-3-7  长沙县Ⅳ级商服用地宗地地价区域因素修正系数表（%）</w:t>
      </w:r>
    </w:p>
    <w:tbl>
      <w:tblPr>
        <w:tblW w:w="9675" w:type="dxa"/>
        <w:jc w:val="center"/>
        <w:tblInd w:w="-3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88"/>
        <w:gridCol w:w="2475"/>
        <w:gridCol w:w="900"/>
        <w:gridCol w:w="937"/>
        <w:gridCol w:w="919"/>
        <w:gridCol w:w="975"/>
        <w:gridCol w:w="862"/>
        <w:gridCol w:w="9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688"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2475"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指标层</w:t>
            </w:r>
          </w:p>
        </w:tc>
        <w:tc>
          <w:tcPr>
            <w:tcW w:w="900"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权重</w:t>
            </w:r>
          </w:p>
        </w:tc>
        <w:tc>
          <w:tcPr>
            <w:tcW w:w="937"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优</w:t>
            </w:r>
          </w:p>
        </w:tc>
        <w:tc>
          <w:tcPr>
            <w:tcW w:w="919"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较优</w:t>
            </w:r>
          </w:p>
        </w:tc>
        <w:tc>
          <w:tcPr>
            <w:tcW w:w="975"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一般</w:t>
            </w:r>
          </w:p>
        </w:tc>
        <w:tc>
          <w:tcPr>
            <w:tcW w:w="862"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较劣</w:t>
            </w:r>
          </w:p>
        </w:tc>
        <w:tc>
          <w:tcPr>
            <w:tcW w:w="919"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jc w:val="center"/>
        </w:trPr>
        <w:tc>
          <w:tcPr>
            <w:tcW w:w="1688"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商服繁华影响度</w:t>
            </w:r>
          </w:p>
        </w:tc>
        <w:tc>
          <w:tcPr>
            <w:tcW w:w="24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距商服中心距离</w:t>
            </w:r>
          </w:p>
        </w:tc>
        <w:tc>
          <w:tcPr>
            <w:tcW w:w="900"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0.3885 </w:t>
            </w:r>
          </w:p>
        </w:tc>
        <w:tc>
          <w:tcPr>
            <w:tcW w:w="937"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5.144 </w:t>
            </w:r>
          </w:p>
        </w:tc>
        <w:tc>
          <w:tcPr>
            <w:tcW w:w="919"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2.572 </w:t>
            </w:r>
          </w:p>
        </w:tc>
        <w:tc>
          <w:tcPr>
            <w:tcW w:w="975"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62"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-2.049 </w:t>
            </w:r>
          </w:p>
        </w:tc>
        <w:tc>
          <w:tcPr>
            <w:tcW w:w="919"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-4.099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atLeast"/>
          <w:jc w:val="center"/>
        </w:trPr>
        <w:tc>
          <w:tcPr>
            <w:tcW w:w="1688"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道路通达度</w:t>
            </w:r>
          </w:p>
        </w:tc>
        <w:tc>
          <w:tcPr>
            <w:tcW w:w="24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临近道路状况</w:t>
            </w:r>
          </w:p>
        </w:tc>
        <w:tc>
          <w:tcPr>
            <w:tcW w:w="90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0.0753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0.997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0.498 </w:t>
            </w:r>
          </w:p>
        </w:tc>
        <w:tc>
          <w:tcPr>
            <w:tcW w:w="9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62"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-0.397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-0.794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jc w:val="center"/>
        </w:trPr>
        <w:tc>
          <w:tcPr>
            <w:tcW w:w="1688"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公交便捷度</w:t>
            </w:r>
          </w:p>
        </w:tc>
        <w:tc>
          <w:tcPr>
            <w:tcW w:w="24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距最近公交站点（</w:t>
            </w:r>
            <w:r>
              <w:rPr>
                <w:rFonts w:hint="eastAsia"/>
                <w:color w:val="000000"/>
                <w:kern w:val="0"/>
                <w:szCs w:val="21"/>
                <w:lang/>
              </w:rPr>
              <w:t>轨道交通</w:t>
            </w:r>
            <w:r>
              <w:rPr>
                <w:color w:val="000000"/>
                <w:kern w:val="0"/>
                <w:szCs w:val="21"/>
                <w:lang/>
              </w:rPr>
              <w:t>站）距离</w:t>
            </w:r>
          </w:p>
        </w:tc>
        <w:tc>
          <w:tcPr>
            <w:tcW w:w="90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0.0964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1.276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0.638 </w:t>
            </w:r>
          </w:p>
        </w:tc>
        <w:tc>
          <w:tcPr>
            <w:tcW w:w="9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62"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-0.509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-1.017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5" w:hRule="atLeast"/>
          <w:jc w:val="center"/>
        </w:trPr>
        <w:tc>
          <w:tcPr>
            <w:tcW w:w="1688" w:type="dxa"/>
            <w:vMerge w:val="restart"/>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对外交通便利度</w:t>
            </w:r>
          </w:p>
        </w:tc>
        <w:tc>
          <w:tcPr>
            <w:tcW w:w="24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距最近长途汽车站距离</w:t>
            </w:r>
          </w:p>
        </w:tc>
        <w:tc>
          <w:tcPr>
            <w:tcW w:w="90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0.0462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0.612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0.306 </w:t>
            </w:r>
          </w:p>
        </w:tc>
        <w:tc>
          <w:tcPr>
            <w:tcW w:w="9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62"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-0.244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-0.487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688"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4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距长沙火车站距离</w:t>
            </w:r>
          </w:p>
        </w:tc>
        <w:tc>
          <w:tcPr>
            <w:tcW w:w="90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0.0163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0.216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0.108 </w:t>
            </w:r>
          </w:p>
        </w:tc>
        <w:tc>
          <w:tcPr>
            <w:tcW w:w="9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62"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-0.086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688"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4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距长沙南高铁站距离</w:t>
            </w:r>
          </w:p>
        </w:tc>
        <w:tc>
          <w:tcPr>
            <w:tcW w:w="90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0.0188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0.249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0.124 </w:t>
            </w:r>
          </w:p>
        </w:tc>
        <w:tc>
          <w:tcPr>
            <w:tcW w:w="9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62"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-0.099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688" w:type="dxa"/>
            <w:vMerge w:val="restart"/>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基础设施完善度</w:t>
            </w:r>
          </w:p>
        </w:tc>
        <w:tc>
          <w:tcPr>
            <w:tcW w:w="24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排水状况</w:t>
            </w:r>
          </w:p>
        </w:tc>
        <w:tc>
          <w:tcPr>
            <w:tcW w:w="90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0.617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0.308 </w:t>
            </w:r>
          </w:p>
        </w:tc>
        <w:tc>
          <w:tcPr>
            <w:tcW w:w="9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62"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-0.246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-0.492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688"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4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供水状况</w:t>
            </w:r>
          </w:p>
        </w:tc>
        <w:tc>
          <w:tcPr>
            <w:tcW w:w="90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0.617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0.308 </w:t>
            </w:r>
          </w:p>
        </w:tc>
        <w:tc>
          <w:tcPr>
            <w:tcW w:w="9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62"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-0.246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-0.492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688"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4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供电状况</w:t>
            </w:r>
          </w:p>
        </w:tc>
        <w:tc>
          <w:tcPr>
            <w:tcW w:w="90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0.617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0.308 </w:t>
            </w:r>
          </w:p>
        </w:tc>
        <w:tc>
          <w:tcPr>
            <w:tcW w:w="9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62"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-0.246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-0.492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688"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4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供气状况</w:t>
            </w:r>
          </w:p>
        </w:tc>
        <w:tc>
          <w:tcPr>
            <w:tcW w:w="900"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0.617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0.308 </w:t>
            </w:r>
          </w:p>
        </w:tc>
        <w:tc>
          <w:tcPr>
            <w:tcW w:w="975"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62"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-0.246 </w:t>
            </w:r>
          </w:p>
        </w:tc>
        <w:tc>
          <w:tcPr>
            <w:tcW w:w="919"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-0.492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68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人口密度</w:t>
            </w:r>
          </w:p>
        </w:tc>
        <w:tc>
          <w:tcPr>
            <w:tcW w:w="24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人口程度</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0.0795 </w:t>
            </w:r>
          </w:p>
        </w:tc>
        <w:tc>
          <w:tcPr>
            <w:tcW w:w="9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1.053 </w:t>
            </w:r>
          </w:p>
        </w:tc>
        <w:tc>
          <w:tcPr>
            <w:tcW w:w="9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0.526 </w:t>
            </w:r>
          </w:p>
        </w:tc>
        <w:tc>
          <w:tcPr>
            <w:tcW w:w="9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-0.419 </w:t>
            </w:r>
          </w:p>
        </w:tc>
        <w:tc>
          <w:tcPr>
            <w:tcW w:w="9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-0.839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68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城市规划</w:t>
            </w:r>
          </w:p>
        </w:tc>
        <w:tc>
          <w:tcPr>
            <w:tcW w:w="2475"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color w:val="000000"/>
                <w:kern w:val="0"/>
                <w:szCs w:val="21"/>
                <w:lang/>
              </w:rPr>
            </w:pPr>
            <w:r>
              <w:rPr>
                <w:color w:val="000000"/>
                <w:kern w:val="0"/>
                <w:szCs w:val="21"/>
                <w:lang/>
              </w:rPr>
              <w:t>用地规划</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0.0463 </w:t>
            </w:r>
          </w:p>
        </w:tc>
        <w:tc>
          <w:tcPr>
            <w:tcW w:w="9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0.613 </w:t>
            </w:r>
          </w:p>
        </w:tc>
        <w:tc>
          <w:tcPr>
            <w:tcW w:w="9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0.307 </w:t>
            </w:r>
          </w:p>
        </w:tc>
        <w:tc>
          <w:tcPr>
            <w:tcW w:w="9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-0.244 </w:t>
            </w:r>
          </w:p>
        </w:tc>
        <w:tc>
          <w:tcPr>
            <w:tcW w:w="9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-0.488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68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475"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color w:val="000000"/>
                <w:kern w:val="0"/>
                <w:szCs w:val="21"/>
                <w:lang/>
              </w:rPr>
            </w:pPr>
            <w:r>
              <w:rPr>
                <w:color w:val="000000"/>
                <w:kern w:val="0"/>
                <w:szCs w:val="21"/>
                <w:lang/>
              </w:rPr>
              <w:t>道路规划</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0.0463 </w:t>
            </w:r>
          </w:p>
        </w:tc>
        <w:tc>
          <w:tcPr>
            <w:tcW w:w="9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0.613 </w:t>
            </w:r>
          </w:p>
        </w:tc>
        <w:tc>
          <w:tcPr>
            <w:tcW w:w="9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0.307 </w:t>
            </w:r>
          </w:p>
        </w:tc>
        <w:tc>
          <w:tcPr>
            <w:tcW w:w="9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-0.244 </w:t>
            </w:r>
          </w:p>
        </w:tc>
        <w:tc>
          <w:tcPr>
            <w:tcW w:w="9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-0.488 </w:t>
            </w:r>
          </w:p>
        </w:tc>
      </w:tr>
    </w:tbl>
    <w:p>
      <w:pPr>
        <w:pStyle w:val="131"/>
        <w:spacing w:line="360" w:lineRule="auto"/>
        <w:ind w:firstLine="0" w:firstLineChars="0"/>
        <w:rPr>
          <w:rFonts w:ascii="Times New Roman" w:hAnsi="Times New Roman"/>
          <w:bCs w:val="0"/>
          <w:sz w:val="24"/>
          <w:szCs w:val="24"/>
        </w:rPr>
      </w:pPr>
      <w:r>
        <w:rPr>
          <w:rFonts w:ascii="Times New Roman" w:hAnsi="Times New Roman"/>
          <w:bCs w:val="0"/>
          <w:sz w:val="24"/>
          <w:szCs w:val="24"/>
        </w:rPr>
        <w:t>表4-3-8  长沙县Ⅳ级商服用地宗地地价区域因素修正系数指标说明表</w:t>
      </w:r>
    </w:p>
    <w:tbl>
      <w:tblPr>
        <w:tblW w:w="10220" w:type="dxa"/>
        <w:jc w:val="center"/>
        <w:tblInd w:w="-4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998"/>
        <w:gridCol w:w="1826"/>
        <w:gridCol w:w="902"/>
        <w:gridCol w:w="1439"/>
        <w:gridCol w:w="1345"/>
        <w:gridCol w:w="1461"/>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922" w:type="dxa"/>
            <w:vAlign w:val="center"/>
          </w:tcPr>
          <w:p>
            <w:pPr>
              <w:widowControl/>
              <w:jc w:val="center"/>
              <w:rPr>
                <w:b/>
                <w:bCs/>
                <w:color w:val="000000"/>
                <w:kern w:val="0"/>
                <w:szCs w:val="21"/>
              </w:rPr>
            </w:pPr>
            <w:r>
              <w:rPr>
                <w:b/>
                <w:bCs/>
                <w:color w:val="000000"/>
                <w:kern w:val="0"/>
                <w:szCs w:val="21"/>
              </w:rPr>
              <w:t>因素层</w:t>
            </w:r>
          </w:p>
        </w:tc>
        <w:tc>
          <w:tcPr>
            <w:tcW w:w="998" w:type="dxa"/>
            <w:vAlign w:val="center"/>
          </w:tcPr>
          <w:p>
            <w:pPr>
              <w:widowControl/>
              <w:jc w:val="center"/>
              <w:rPr>
                <w:b/>
                <w:bCs/>
                <w:color w:val="000000"/>
                <w:kern w:val="0"/>
                <w:szCs w:val="21"/>
              </w:rPr>
            </w:pPr>
            <w:r>
              <w:rPr>
                <w:b/>
                <w:bCs/>
                <w:color w:val="000000"/>
                <w:kern w:val="0"/>
                <w:szCs w:val="21"/>
              </w:rPr>
              <w:t>因子层</w:t>
            </w:r>
          </w:p>
        </w:tc>
        <w:tc>
          <w:tcPr>
            <w:tcW w:w="1826" w:type="dxa"/>
            <w:vAlign w:val="center"/>
          </w:tcPr>
          <w:p>
            <w:pPr>
              <w:widowControl/>
              <w:jc w:val="center"/>
              <w:rPr>
                <w:b/>
                <w:bCs/>
                <w:color w:val="000000"/>
                <w:kern w:val="0"/>
                <w:szCs w:val="21"/>
              </w:rPr>
            </w:pPr>
            <w:r>
              <w:rPr>
                <w:b/>
                <w:bCs/>
                <w:color w:val="000000"/>
                <w:kern w:val="0"/>
                <w:szCs w:val="21"/>
              </w:rPr>
              <w:t>指标层</w:t>
            </w:r>
          </w:p>
        </w:tc>
        <w:tc>
          <w:tcPr>
            <w:tcW w:w="902" w:type="dxa"/>
            <w:vAlign w:val="center"/>
          </w:tcPr>
          <w:p>
            <w:pPr>
              <w:widowControl/>
              <w:jc w:val="center"/>
              <w:rPr>
                <w:b/>
                <w:bCs/>
                <w:kern w:val="0"/>
                <w:szCs w:val="21"/>
              </w:rPr>
            </w:pPr>
            <w:r>
              <w:rPr>
                <w:b/>
                <w:bCs/>
                <w:kern w:val="0"/>
                <w:szCs w:val="21"/>
              </w:rPr>
              <w:t>优</w:t>
            </w:r>
          </w:p>
        </w:tc>
        <w:tc>
          <w:tcPr>
            <w:tcW w:w="1439" w:type="dxa"/>
            <w:vAlign w:val="center"/>
          </w:tcPr>
          <w:p>
            <w:pPr>
              <w:widowControl/>
              <w:jc w:val="center"/>
              <w:rPr>
                <w:b/>
                <w:bCs/>
                <w:kern w:val="0"/>
                <w:szCs w:val="21"/>
              </w:rPr>
            </w:pPr>
            <w:r>
              <w:rPr>
                <w:b/>
                <w:bCs/>
                <w:kern w:val="0"/>
                <w:szCs w:val="21"/>
              </w:rPr>
              <w:t>较优</w:t>
            </w:r>
          </w:p>
        </w:tc>
        <w:tc>
          <w:tcPr>
            <w:tcW w:w="1345" w:type="dxa"/>
            <w:vAlign w:val="center"/>
          </w:tcPr>
          <w:p>
            <w:pPr>
              <w:widowControl/>
              <w:jc w:val="center"/>
              <w:rPr>
                <w:b/>
                <w:bCs/>
                <w:kern w:val="0"/>
                <w:szCs w:val="21"/>
              </w:rPr>
            </w:pPr>
            <w:r>
              <w:rPr>
                <w:b/>
                <w:bCs/>
                <w:kern w:val="0"/>
                <w:szCs w:val="21"/>
              </w:rPr>
              <w:t>一般</w:t>
            </w:r>
          </w:p>
        </w:tc>
        <w:tc>
          <w:tcPr>
            <w:tcW w:w="1461" w:type="dxa"/>
            <w:vAlign w:val="center"/>
          </w:tcPr>
          <w:p>
            <w:pPr>
              <w:widowControl/>
              <w:jc w:val="center"/>
              <w:rPr>
                <w:b/>
                <w:bCs/>
                <w:kern w:val="0"/>
                <w:szCs w:val="21"/>
              </w:rPr>
            </w:pPr>
            <w:r>
              <w:rPr>
                <w:b/>
                <w:bCs/>
                <w:kern w:val="0"/>
                <w:szCs w:val="21"/>
              </w:rPr>
              <w:t>较劣</w:t>
            </w:r>
          </w:p>
        </w:tc>
        <w:tc>
          <w:tcPr>
            <w:tcW w:w="1327" w:type="dxa"/>
            <w:vAlign w:val="center"/>
          </w:tcPr>
          <w:p>
            <w:pPr>
              <w:widowControl/>
              <w:jc w:val="center"/>
              <w:rPr>
                <w:b/>
                <w:bCs/>
                <w:kern w:val="0"/>
                <w:szCs w:val="21"/>
              </w:rPr>
            </w:pPr>
            <w:r>
              <w:rPr>
                <w:b/>
                <w:bCs/>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jc w:val="center"/>
        </w:trPr>
        <w:tc>
          <w:tcPr>
            <w:tcW w:w="922" w:type="dxa"/>
            <w:vAlign w:val="center"/>
          </w:tcPr>
          <w:p>
            <w:pPr>
              <w:widowControl/>
              <w:jc w:val="center"/>
              <w:textAlignment w:val="bottom"/>
              <w:rPr>
                <w:color w:val="000000"/>
                <w:kern w:val="0"/>
                <w:szCs w:val="21"/>
                <w:lang/>
              </w:rPr>
            </w:pPr>
            <w:r>
              <w:rPr>
                <w:color w:val="000000"/>
                <w:kern w:val="0"/>
                <w:szCs w:val="21"/>
                <w:lang/>
              </w:rPr>
              <w:t>繁华程度</w:t>
            </w:r>
          </w:p>
        </w:tc>
        <w:tc>
          <w:tcPr>
            <w:tcW w:w="998" w:type="dxa"/>
            <w:vAlign w:val="center"/>
          </w:tcPr>
          <w:p>
            <w:pPr>
              <w:widowControl/>
              <w:jc w:val="center"/>
              <w:textAlignment w:val="bottom"/>
              <w:rPr>
                <w:color w:val="000000"/>
                <w:kern w:val="0"/>
                <w:szCs w:val="21"/>
                <w:lang/>
              </w:rPr>
            </w:pPr>
            <w:r>
              <w:rPr>
                <w:color w:val="000000"/>
                <w:kern w:val="0"/>
                <w:szCs w:val="21"/>
                <w:lang/>
              </w:rPr>
              <w:t>商服繁华影响度</w:t>
            </w:r>
          </w:p>
        </w:tc>
        <w:tc>
          <w:tcPr>
            <w:tcW w:w="1826" w:type="dxa"/>
            <w:vAlign w:val="center"/>
          </w:tcPr>
          <w:p>
            <w:pPr>
              <w:widowControl/>
              <w:jc w:val="center"/>
              <w:textAlignment w:val="bottom"/>
              <w:rPr>
                <w:color w:val="000000"/>
                <w:kern w:val="0"/>
                <w:szCs w:val="21"/>
                <w:lang/>
              </w:rPr>
            </w:pPr>
            <w:r>
              <w:rPr>
                <w:color w:val="000000"/>
                <w:kern w:val="0"/>
                <w:szCs w:val="21"/>
                <w:lang/>
              </w:rPr>
              <w:t>距商服中心距离</w:t>
            </w:r>
          </w:p>
        </w:tc>
        <w:tc>
          <w:tcPr>
            <w:tcW w:w="902" w:type="dxa"/>
            <w:vAlign w:val="center"/>
          </w:tcPr>
          <w:p>
            <w:pPr>
              <w:widowControl/>
              <w:jc w:val="center"/>
              <w:textAlignment w:val="bottom"/>
              <w:rPr>
                <w:color w:val="000000"/>
                <w:kern w:val="0"/>
                <w:szCs w:val="21"/>
                <w:lang/>
              </w:rPr>
            </w:pPr>
            <w:r>
              <w:rPr>
                <w:color w:val="000000"/>
                <w:kern w:val="0"/>
                <w:szCs w:val="21"/>
                <w:lang/>
              </w:rPr>
              <w:t>≤300</w:t>
            </w:r>
          </w:p>
        </w:tc>
        <w:tc>
          <w:tcPr>
            <w:tcW w:w="1439" w:type="dxa"/>
            <w:vAlign w:val="center"/>
          </w:tcPr>
          <w:p>
            <w:pPr>
              <w:widowControl/>
              <w:jc w:val="center"/>
              <w:textAlignment w:val="bottom"/>
              <w:rPr>
                <w:color w:val="000000"/>
                <w:kern w:val="0"/>
                <w:szCs w:val="21"/>
                <w:lang/>
              </w:rPr>
            </w:pPr>
            <w:r>
              <w:rPr>
                <w:color w:val="000000"/>
                <w:kern w:val="0"/>
                <w:szCs w:val="21"/>
                <w:lang/>
              </w:rPr>
              <w:t>300-1000</w:t>
            </w:r>
          </w:p>
        </w:tc>
        <w:tc>
          <w:tcPr>
            <w:tcW w:w="1345" w:type="dxa"/>
            <w:vAlign w:val="center"/>
          </w:tcPr>
          <w:p>
            <w:pPr>
              <w:widowControl/>
              <w:jc w:val="center"/>
              <w:textAlignment w:val="bottom"/>
              <w:rPr>
                <w:color w:val="000000"/>
                <w:kern w:val="0"/>
                <w:szCs w:val="21"/>
                <w:lang/>
              </w:rPr>
            </w:pPr>
            <w:r>
              <w:rPr>
                <w:color w:val="000000"/>
                <w:kern w:val="0"/>
                <w:szCs w:val="21"/>
                <w:lang/>
              </w:rPr>
              <w:t>1000-2000</w:t>
            </w:r>
          </w:p>
        </w:tc>
        <w:tc>
          <w:tcPr>
            <w:tcW w:w="1461" w:type="dxa"/>
            <w:vAlign w:val="center"/>
          </w:tcPr>
          <w:p>
            <w:pPr>
              <w:widowControl/>
              <w:jc w:val="center"/>
              <w:textAlignment w:val="bottom"/>
              <w:rPr>
                <w:color w:val="000000"/>
                <w:kern w:val="0"/>
                <w:szCs w:val="21"/>
                <w:lang/>
              </w:rPr>
            </w:pPr>
            <w:r>
              <w:rPr>
                <w:color w:val="000000"/>
                <w:kern w:val="0"/>
                <w:szCs w:val="21"/>
                <w:lang/>
              </w:rPr>
              <w:t>2000-3700</w:t>
            </w:r>
          </w:p>
        </w:tc>
        <w:tc>
          <w:tcPr>
            <w:tcW w:w="1327" w:type="dxa"/>
            <w:vAlign w:val="center"/>
          </w:tcPr>
          <w:p>
            <w:pPr>
              <w:widowControl/>
              <w:jc w:val="center"/>
              <w:textAlignment w:val="bottom"/>
              <w:rPr>
                <w:color w:val="000000"/>
                <w:kern w:val="0"/>
                <w:szCs w:val="21"/>
                <w:lang/>
              </w:rPr>
            </w:pPr>
            <w:r>
              <w:rPr>
                <w:color w:val="000000"/>
                <w:kern w:val="0"/>
                <w:szCs w:val="21"/>
                <w:lang/>
              </w:rPr>
              <w:t>&gt;3700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922" w:type="dxa"/>
            <w:vMerge w:val="restart"/>
            <w:vAlign w:val="center"/>
          </w:tcPr>
          <w:p>
            <w:pPr>
              <w:widowControl/>
              <w:jc w:val="center"/>
              <w:textAlignment w:val="bottom"/>
              <w:rPr>
                <w:color w:val="000000"/>
                <w:kern w:val="0"/>
                <w:szCs w:val="21"/>
                <w:lang/>
              </w:rPr>
            </w:pPr>
            <w:r>
              <w:rPr>
                <w:color w:val="000000"/>
                <w:kern w:val="0"/>
                <w:szCs w:val="21"/>
                <w:lang/>
              </w:rPr>
              <w:t>交通条件</w:t>
            </w:r>
          </w:p>
        </w:tc>
        <w:tc>
          <w:tcPr>
            <w:tcW w:w="998" w:type="dxa"/>
            <w:vAlign w:val="center"/>
          </w:tcPr>
          <w:p>
            <w:pPr>
              <w:widowControl/>
              <w:jc w:val="center"/>
              <w:textAlignment w:val="bottom"/>
              <w:rPr>
                <w:color w:val="000000"/>
                <w:kern w:val="0"/>
                <w:szCs w:val="21"/>
                <w:lang/>
              </w:rPr>
            </w:pPr>
            <w:r>
              <w:rPr>
                <w:color w:val="000000"/>
                <w:kern w:val="0"/>
                <w:szCs w:val="21"/>
                <w:lang/>
              </w:rPr>
              <w:t>道路通达度</w:t>
            </w:r>
          </w:p>
        </w:tc>
        <w:tc>
          <w:tcPr>
            <w:tcW w:w="1826" w:type="dxa"/>
            <w:vAlign w:val="center"/>
          </w:tcPr>
          <w:p>
            <w:pPr>
              <w:widowControl/>
              <w:jc w:val="center"/>
              <w:textAlignment w:val="bottom"/>
              <w:rPr>
                <w:color w:val="000000"/>
                <w:kern w:val="0"/>
                <w:szCs w:val="21"/>
                <w:lang/>
              </w:rPr>
            </w:pPr>
            <w:r>
              <w:rPr>
                <w:color w:val="000000"/>
                <w:kern w:val="0"/>
                <w:szCs w:val="21"/>
                <w:lang/>
              </w:rPr>
              <w:t>临近道路状况</w:t>
            </w:r>
          </w:p>
        </w:tc>
        <w:tc>
          <w:tcPr>
            <w:tcW w:w="902" w:type="dxa"/>
            <w:vAlign w:val="center"/>
          </w:tcPr>
          <w:p>
            <w:pPr>
              <w:widowControl/>
              <w:jc w:val="center"/>
              <w:textAlignment w:val="bottom"/>
              <w:rPr>
                <w:color w:val="000000"/>
                <w:kern w:val="0"/>
                <w:szCs w:val="21"/>
                <w:lang/>
              </w:rPr>
            </w:pPr>
            <w:r>
              <w:rPr>
                <w:color w:val="000000"/>
                <w:kern w:val="0"/>
                <w:szCs w:val="21"/>
                <w:lang/>
              </w:rPr>
              <w:t>临繁华主干道</w:t>
            </w:r>
          </w:p>
        </w:tc>
        <w:tc>
          <w:tcPr>
            <w:tcW w:w="1439" w:type="dxa"/>
            <w:vAlign w:val="center"/>
          </w:tcPr>
          <w:p>
            <w:pPr>
              <w:widowControl/>
              <w:jc w:val="center"/>
              <w:textAlignment w:val="bottom"/>
              <w:rPr>
                <w:color w:val="000000"/>
                <w:kern w:val="0"/>
                <w:szCs w:val="21"/>
                <w:lang/>
              </w:rPr>
            </w:pPr>
            <w:r>
              <w:rPr>
                <w:color w:val="000000"/>
                <w:kern w:val="0"/>
                <w:szCs w:val="21"/>
                <w:lang/>
              </w:rPr>
              <w:t>临主干道</w:t>
            </w:r>
          </w:p>
        </w:tc>
        <w:tc>
          <w:tcPr>
            <w:tcW w:w="1345" w:type="dxa"/>
            <w:vAlign w:val="center"/>
          </w:tcPr>
          <w:p>
            <w:pPr>
              <w:widowControl/>
              <w:jc w:val="center"/>
              <w:textAlignment w:val="bottom"/>
              <w:rPr>
                <w:color w:val="000000"/>
                <w:kern w:val="0"/>
                <w:szCs w:val="21"/>
                <w:lang/>
              </w:rPr>
            </w:pPr>
            <w:r>
              <w:rPr>
                <w:color w:val="000000"/>
                <w:kern w:val="0"/>
                <w:szCs w:val="21"/>
                <w:lang/>
              </w:rPr>
              <w:t>临繁华次干道</w:t>
            </w:r>
          </w:p>
        </w:tc>
        <w:tc>
          <w:tcPr>
            <w:tcW w:w="1461" w:type="dxa"/>
            <w:vAlign w:val="center"/>
          </w:tcPr>
          <w:p>
            <w:pPr>
              <w:widowControl/>
              <w:jc w:val="center"/>
              <w:textAlignment w:val="bottom"/>
              <w:rPr>
                <w:color w:val="000000"/>
                <w:kern w:val="0"/>
                <w:szCs w:val="21"/>
                <w:lang/>
              </w:rPr>
            </w:pPr>
            <w:r>
              <w:rPr>
                <w:color w:val="000000"/>
                <w:kern w:val="0"/>
                <w:szCs w:val="21"/>
                <w:lang/>
              </w:rPr>
              <w:t>临次干道</w:t>
            </w:r>
          </w:p>
        </w:tc>
        <w:tc>
          <w:tcPr>
            <w:tcW w:w="1327" w:type="dxa"/>
            <w:vAlign w:val="center"/>
          </w:tcPr>
          <w:p>
            <w:pPr>
              <w:widowControl/>
              <w:jc w:val="center"/>
              <w:textAlignment w:val="bottom"/>
              <w:rPr>
                <w:color w:val="000000"/>
                <w:kern w:val="0"/>
                <w:szCs w:val="21"/>
                <w:lang/>
              </w:rPr>
            </w:pPr>
            <w:r>
              <w:rPr>
                <w:color w:val="000000"/>
                <w:kern w:val="0"/>
                <w:szCs w:val="21"/>
                <w:lang/>
              </w:rPr>
              <w:t>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51" w:hRule="atLeast"/>
          <w:jc w:val="center"/>
        </w:trPr>
        <w:tc>
          <w:tcPr>
            <w:tcW w:w="922" w:type="dxa"/>
            <w:vMerge w:val="continue"/>
            <w:vAlign w:val="center"/>
          </w:tcPr>
          <w:p>
            <w:pPr>
              <w:widowControl/>
              <w:jc w:val="center"/>
              <w:textAlignment w:val="bottom"/>
              <w:rPr>
                <w:color w:val="000000"/>
                <w:kern w:val="0"/>
                <w:szCs w:val="21"/>
                <w:lang/>
              </w:rPr>
            </w:pPr>
          </w:p>
        </w:tc>
        <w:tc>
          <w:tcPr>
            <w:tcW w:w="998" w:type="dxa"/>
            <w:vAlign w:val="center"/>
          </w:tcPr>
          <w:p>
            <w:pPr>
              <w:widowControl/>
              <w:jc w:val="center"/>
              <w:textAlignment w:val="bottom"/>
              <w:rPr>
                <w:color w:val="000000"/>
                <w:kern w:val="0"/>
                <w:szCs w:val="21"/>
                <w:lang/>
              </w:rPr>
            </w:pPr>
            <w:r>
              <w:rPr>
                <w:color w:val="000000"/>
                <w:kern w:val="0"/>
                <w:szCs w:val="21"/>
                <w:lang/>
              </w:rPr>
              <w:t>公交便捷度</w:t>
            </w:r>
          </w:p>
        </w:tc>
        <w:tc>
          <w:tcPr>
            <w:tcW w:w="1826" w:type="dxa"/>
            <w:vAlign w:val="center"/>
          </w:tcPr>
          <w:p>
            <w:pPr>
              <w:widowControl/>
              <w:jc w:val="center"/>
              <w:textAlignment w:val="bottom"/>
              <w:rPr>
                <w:color w:val="000000"/>
                <w:kern w:val="0"/>
                <w:szCs w:val="21"/>
                <w:lang/>
              </w:rPr>
            </w:pPr>
            <w:r>
              <w:rPr>
                <w:color w:val="000000"/>
                <w:kern w:val="0"/>
                <w:szCs w:val="21"/>
                <w:lang/>
              </w:rPr>
              <w:t>距最近公交站点（</w:t>
            </w:r>
            <w:r>
              <w:rPr>
                <w:rFonts w:hint="eastAsia"/>
                <w:color w:val="000000"/>
                <w:kern w:val="0"/>
                <w:szCs w:val="21"/>
                <w:lang/>
              </w:rPr>
              <w:t>轨道交通</w:t>
            </w:r>
            <w:r>
              <w:rPr>
                <w:color w:val="000000"/>
                <w:kern w:val="0"/>
                <w:szCs w:val="21"/>
                <w:lang/>
              </w:rPr>
              <w:t>站）距离</w:t>
            </w:r>
          </w:p>
        </w:tc>
        <w:tc>
          <w:tcPr>
            <w:tcW w:w="902" w:type="dxa"/>
            <w:vAlign w:val="center"/>
          </w:tcPr>
          <w:p>
            <w:pPr>
              <w:widowControl/>
              <w:jc w:val="center"/>
              <w:textAlignment w:val="bottom"/>
              <w:rPr>
                <w:color w:val="000000"/>
                <w:kern w:val="0"/>
                <w:szCs w:val="21"/>
                <w:lang/>
              </w:rPr>
            </w:pPr>
            <w:r>
              <w:rPr>
                <w:color w:val="000000"/>
                <w:kern w:val="0"/>
                <w:szCs w:val="21"/>
                <w:lang/>
              </w:rPr>
              <w:t>≤140</w:t>
            </w:r>
          </w:p>
        </w:tc>
        <w:tc>
          <w:tcPr>
            <w:tcW w:w="1439" w:type="dxa"/>
            <w:vAlign w:val="center"/>
          </w:tcPr>
          <w:p>
            <w:pPr>
              <w:widowControl/>
              <w:jc w:val="center"/>
              <w:textAlignment w:val="bottom"/>
              <w:rPr>
                <w:color w:val="000000"/>
                <w:kern w:val="0"/>
                <w:szCs w:val="21"/>
                <w:lang/>
              </w:rPr>
            </w:pPr>
            <w:r>
              <w:rPr>
                <w:color w:val="000000"/>
                <w:kern w:val="0"/>
                <w:szCs w:val="21"/>
                <w:lang/>
              </w:rPr>
              <w:t>140-280</w:t>
            </w:r>
          </w:p>
        </w:tc>
        <w:tc>
          <w:tcPr>
            <w:tcW w:w="1345" w:type="dxa"/>
            <w:vAlign w:val="center"/>
          </w:tcPr>
          <w:p>
            <w:pPr>
              <w:widowControl/>
              <w:jc w:val="center"/>
              <w:textAlignment w:val="bottom"/>
              <w:rPr>
                <w:color w:val="000000"/>
                <w:kern w:val="0"/>
                <w:szCs w:val="21"/>
                <w:lang/>
              </w:rPr>
            </w:pPr>
            <w:r>
              <w:rPr>
                <w:color w:val="000000"/>
                <w:kern w:val="0"/>
                <w:szCs w:val="21"/>
                <w:lang/>
              </w:rPr>
              <w:t>280-420</w:t>
            </w:r>
          </w:p>
        </w:tc>
        <w:tc>
          <w:tcPr>
            <w:tcW w:w="1461" w:type="dxa"/>
            <w:vAlign w:val="center"/>
          </w:tcPr>
          <w:p>
            <w:pPr>
              <w:widowControl/>
              <w:jc w:val="center"/>
              <w:textAlignment w:val="bottom"/>
              <w:rPr>
                <w:color w:val="000000"/>
                <w:kern w:val="0"/>
                <w:szCs w:val="21"/>
                <w:lang/>
              </w:rPr>
            </w:pPr>
            <w:r>
              <w:rPr>
                <w:color w:val="000000"/>
                <w:kern w:val="0"/>
                <w:szCs w:val="21"/>
                <w:lang/>
              </w:rPr>
              <w:t>420-580</w:t>
            </w:r>
          </w:p>
        </w:tc>
        <w:tc>
          <w:tcPr>
            <w:tcW w:w="1327" w:type="dxa"/>
            <w:vAlign w:val="center"/>
          </w:tcPr>
          <w:p>
            <w:pPr>
              <w:widowControl/>
              <w:jc w:val="center"/>
              <w:textAlignment w:val="bottom"/>
              <w:rPr>
                <w:color w:val="000000"/>
                <w:kern w:val="0"/>
                <w:szCs w:val="21"/>
                <w:lang/>
              </w:rPr>
            </w:pPr>
            <w:r>
              <w:rPr>
                <w:color w:val="000000"/>
                <w:kern w:val="0"/>
                <w:szCs w:val="21"/>
                <w:lang/>
              </w:rPr>
              <w:t>&gt;580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922" w:type="dxa"/>
            <w:vMerge w:val="continue"/>
            <w:vAlign w:val="center"/>
          </w:tcPr>
          <w:p>
            <w:pPr>
              <w:widowControl/>
              <w:jc w:val="center"/>
              <w:textAlignment w:val="bottom"/>
              <w:rPr>
                <w:color w:val="000000"/>
                <w:kern w:val="0"/>
                <w:szCs w:val="21"/>
                <w:lang/>
              </w:rPr>
            </w:pPr>
          </w:p>
        </w:tc>
        <w:tc>
          <w:tcPr>
            <w:tcW w:w="998" w:type="dxa"/>
            <w:vMerge w:val="restart"/>
            <w:vAlign w:val="center"/>
          </w:tcPr>
          <w:p>
            <w:pPr>
              <w:widowControl/>
              <w:jc w:val="center"/>
              <w:textAlignment w:val="bottom"/>
              <w:rPr>
                <w:color w:val="000000"/>
                <w:kern w:val="0"/>
                <w:szCs w:val="21"/>
                <w:lang/>
              </w:rPr>
            </w:pPr>
            <w:r>
              <w:rPr>
                <w:color w:val="000000"/>
                <w:kern w:val="0"/>
                <w:szCs w:val="21"/>
                <w:lang/>
              </w:rPr>
              <w:t>对外交通便利度</w:t>
            </w:r>
          </w:p>
        </w:tc>
        <w:tc>
          <w:tcPr>
            <w:tcW w:w="1826" w:type="dxa"/>
            <w:vAlign w:val="center"/>
          </w:tcPr>
          <w:p>
            <w:pPr>
              <w:widowControl/>
              <w:jc w:val="center"/>
              <w:textAlignment w:val="bottom"/>
              <w:rPr>
                <w:color w:val="000000"/>
                <w:kern w:val="0"/>
                <w:szCs w:val="21"/>
                <w:lang/>
              </w:rPr>
            </w:pPr>
            <w:r>
              <w:rPr>
                <w:color w:val="000000"/>
                <w:kern w:val="0"/>
                <w:szCs w:val="21"/>
                <w:lang/>
              </w:rPr>
              <w:t>距最近长途汽车站距离</w:t>
            </w:r>
          </w:p>
        </w:tc>
        <w:tc>
          <w:tcPr>
            <w:tcW w:w="902" w:type="dxa"/>
            <w:vAlign w:val="center"/>
          </w:tcPr>
          <w:p>
            <w:pPr>
              <w:widowControl/>
              <w:jc w:val="center"/>
              <w:textAlignment w:val="bottom"/>
              <w:rPr>
                <w:color w:val="000000"/>
                <w:kern w:val="0"/>
                <w:szCs w:val="21"/>
                <w:lang/>
              </w:rPr>
            </w:pPr>
            <w:r>
              <w:rPr>
                <w:color w:val="000000"/>
                <w:kern w:val="0"/>
                <w:szCs w:val="21"/>
                <w:lang/>
              </w:rPr>
              <w:t>≤5000</w:t>
            </w:r>
          </w:p>
        </w:tc>
        <w:tc>
          <w:tcPr>
            <w:tcW w:w="1439" w:type="dxa"/>
            <w:vAlign w:val="center"/>
          </w:tcPr>
          <w:p>
            <w:pPr>
              <w:widowControl/>
              <w:jc w:val="center"/>
              <w:textAlignment w:val="bottom"/>
              <w:rPr>
                <w:color w:val="000000"/>
                <w:kern w:val="0"/>
                <w:szCs w:val="21"/>
                <w:lang/>
              </w:rPr>
            </w:pPr>
            <w:r>
              <w:rPr>
                <w:color w:val="000000"/>
                <w:kern w:val="0"/>
                <w:szCs w:val="21"/>
                <w:lang/>
              </w:rPr>
              <w:t>5000-6000</w:t>
            </w:r>
          </w:p>
        </w:tc>
        <w:tc>
          <w:tcPr>
            <w:tcW w:w="1345" w:type="dxa"/>
            <w:vAlign w:val="center"/>
          </w:tcPr>
          <w:p>
            <w:pPr>
              <w:widowControl/>
              <w:jc w:val="center"/>
              <w:textAlignment w:val="bottom"/>
              <w:rPr>
                <w:color w:val="000000"/>
                <w:kern w:val="0"/>
                <w:szCs w:val="21"/>
                <w:lang/>
              </w:rPr>
            </w:pPr>
            <w:r>
              <w:rPr>
                <w:color w:val="000000"/>
                <w:kern w:val="0"/>
                <w:szCs w:val="21"/>
                <w:lang/>
              </w:rPr>
              <w:t>6000-7500</w:t>
            </w:r>
          </w:p>
        </w:tc>
        <w:tc>
          <w:tcPr>
            <w:tcW w:w="1461" w:type="dxa"/>
            <w:vAlign w:val="center"/>
          </w:tcPr>
          <w:p>
            <w:pPr>
              <w:widowControl/>
              <w:jc w:val="center"/>
              <w:textAlignment w:val="bottom"/>
              <w:rPr>
                <w:color w:val="000000"/>
                <w:kern w:val="0"/>
                <w:szCs w:val="21"/>
                <w:lang/>
              </w:rPr>
            </w:pPr>
            <w:r>
              <w:rPr>
                <w:color w:val="000000"/>
                <w:kern w:val="0"/>
                <w:szCs w:val="21"/>
                <w:lang/>
              </w:rPr>
              <w:t>7500-9000</w:t>
            </w:r>
          </w:p>
        </w:tc>
        <w:tc>
          <w:tcPr>
            <w:tcW w:w="1327" w:type="dxa"/>
            <w:vAlign w:val="center"/>
          </w:tcPr>
          <w:p>
            <w:pPr>
              <w:widowControl/>
              <w:jc w:val="center"/>
              <w:textAlignment w:val="bottom"/>
              <w:rPr>
                <w:color w:val="000000"/>
                <w:kern w:val="0"/>
                <w:szCs w:val="21"/>
                <w:lang/>
              </w:rPr>
            </w:pPr>
            <w:r>
              <w:rPr>
                <w:color w:val="000000"/>
                <w:kern w:val="0"/>
                <w:szCs w:val="21"/>
                <w:lang/>
              </w:rPr>
              <w:t>&gt;9000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95" w:hRule="atLeast"/>
          <w:jc w:val="center"/>
        </w:trPr>
        <w:tc>
          <w:tcPr>
            <w:tcW w:w="922" w:type="dxa"/>
            <w:vMerge w:val="continue"/>
            <w:vAlign w:val="center"/>
          </w:tcPr>
          <w:p>
            <w:pPr>
              <w:widowControl/>
              <w:jc w:val="center"/>
              <w:textAlignment w:val="bottom"/>
              <w:rPr>
                <w:color w:val="000000"/>
                <w:kern w:val="0"/>
                <w:szCs w:val="21"/>
                <w:lang/>
              </w:rPr>
            </w:pPr>
          </w:p>
        </w:tc>
        <w:tc>
          <w:tcPr>
            <w:tcW w:w="998" w:type="dxa"/>
            <w:vMerge w:val="continue"/>
            <w:vAlign w:val="center"/>
          </w:tcPr>
          <w:p>
            <w:pPr>
              <w:widowControl/>
              <w:jc w:val="center"/>
              <w:textAlignment w:val="bottom"/>
              <w:rPr>
                <w:color w:val="000000"/>
                <w:kern w:val="0"/>
                <w:szCs w:val="21"/>
                <w:lang/>
              </w:rPr>
            </w:pPr>
          </w:p>
        </w:tc>
        <w:tc>
          <w:tcPr>
            <w:tcW w:w="1826" w:type="dxa"/>
            <w:vAlign w:val="center"/>
          </w:tcPr>
          <w:p>
            <w:pPr>
              <w:widowControl/>
              <w:jc w:val="center"/>
              <w:textAlignment w:val="bottom"/>
              <w:rPr>
                <w:color w:val="000000"/>
                <w:kern w:val="0"/>
                <w:szCs w:val="21"/>
                <w:lang/>
              </w:rPr>
            </w:pPr>
            <w:r>
              <w:rPr>
                <w:color w:val="000000"/>
                <w:kern w:val="0"/>
                <w:szCs w:val="21"/>
                <w:lang/>
              </w:rPr>
              <w:t>距长沙火车站距离</w:t>
            </w:r>
          </w:p>
        </w:tc>
        <w:tc>
          <w:tcPr>
            <w:tcW w:w="902" w:type="dxa"/>
            <w:vAlign w:val="center"/>
          </w:tcPr>
          <w:p>
            <w:pPr>
              <w:widowControl/>
              <w:jc w:val="center"/>
              <w:textAlignment w:val="bottom"/>
              <w:rPr>
                <w:color w:val="000000"/>
                <w:kern w:val="0"/>
                <w:szCs w:val="21"/>
                <w:lang/>
              </w:rPr>
            </w:pPr>
            <w:r>
              <w:rPr>
                <w:color w:val="000000"/>
                <w:kern w:val="0"/>
                <w:szCs w:val="21"/>
                <w:lang/>
              </w:rPr>
              <w:t>&lt;3000</w:t>
            </w:r>
          </w:p>
        </w:tc>
        <w:tc>
          <w:tcPr>
            <w:tcW w:w="1439" w:type="dxa"/>
            <w:vAlign w:val="center"/>
          </w:tcPr>
          <w:p>
            <w:pPr>
              <w:widowControl/>
              <w:jc w:val="center"/>
              <w:textAlignment w:val="bottom"/>
              <w:rPr>
                <w:color w:val="000000"/>
                <w:kern w:val="0"/>
                <w:szCs w:val="21"/>
                <w:lang/>
              </w:rPr>
            </w:pPr>
            <w:r>
              <w:rPr>
                <w:color w:val="000000"/>
                <w:kern w:val="0"/>
                <w:szCs w:val="21"/>
                <w:lang/>
              </w:rPr>
              <w:t>3000-4500</w:t>
            </w:r>
          </w:p>
        </w:tc>
        <w:tc>
          <w:tcPr>
            <w:tcW w:w="1345" w:type="dxa"/>
            <w:vAlign w:val="center"/>
          </w:tcPr>
          <w:p>
            <w:pPr>
              <w:widowControl/>
              <w:jc w:val="center"/>
              <w:textAlignment w:val="bottom"/>
              <w:rPr>
                <w:color w:val="000000"/>
                <w:kern w:val="0"/>
                <w:szCs w:val="21"/>
                <w:lang/>
              </w:rPr>
            </w:pPr>
            <w:r>
              <w:rPr>
                <w:color w:val="000000"/>
                <w:kern w:val="0"/>
                <w:szCs w:val="21"/>
                <w:lang/>
              </w:rPr>
              <w:t>4500-7000</w:t>
            </w:r>
          </w:p>
        </w:tc>
        <w:tc>
          <w:tcPr>
            <w:tcW w:w="1461" w:type="dxa"/>
            <w:vAlign w:val="center"/>
          </w:tcPr>
          <w:p>
            <w:pPr>
              <w:widowControl/>
              <w:jc w:val="center"/>
              <w:textAlignment w:val="bottom"/>
              <w:rPr>
                <w:color w:val="000000"/>
                <w:kern w:val="0"/>
                <w:szCs w:val="21"/>
                <w:lang/>
              </w:rPr>
            </w:pPr>
            <w:r>
              <w:rPr>
                <w:color w:val="000000"/>
                <w:kern w:val="0"/>
                <w:szCs w:val="21"/>
                <w:lang/>
              </w:rPr>
              <w:t>7000-9000</w:t>
            </w:r>
          </w:p>
        </w:tc>
        <w:tc>
          <w:tcPr>
            <w:tcW w:w="1327" w:type="dxa"/>
            <w:vAlign w:val="center"/>
          </w:tcPr>
          <w:p>
            <w:pPr>
              <w:widowControl/>
              <w:jc w:val="center"/>
              <w:textAlignment w:val="bottom"/>
              <w:rPr>
                <w:color w:val="000000"/>
                <w:kern w:val="0"/>
                <w:szCs w:val="21"/>
                <w:lang/>
              </w:rPr>
            </w:pPr>
            <w:r>
              <w:rPr>
                <w:color w:val="000000"/>
                <w:kern w:val="0"/>
                <w:szCs w:val="21"/>
                <w:lang/>
              </w:rPr>
              <w:t>&gt;9000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95" w:hRule="atLeast"/>
          <w:jc w:val="center"/>
        </w:trPr>
        <w:tc>
          <w:tcPr>
            <w:tcW w:w="922" w:type="dxa"/>
            <w:vMerge w:val="continue"/>
            <w:vAlign w:val="center"/>
          </w:tcPr>
          <w:p>
            <w:pPr>
              <w:widowControl/>
              <w:jc w:val="center"/>
              <w:textAlignment w:val="bottom"/>
              <w:rPr>
                <w:color w:val="000000"/>
                <w:kern w:val="0"/>
                <w:szCs w:val="21"/>
                <w:lang/>
              </w:rPr>
            </w:pPr>
          </w:p>
        </w:tc>
        <w:tc>
          <w:tcPr>
            <w:tcW w:w="998" w:type="dxa"/>
            <w:vMerge w:val="continue"/>
            <w:vAlign w:val="center"/>
          </w:tcPr>
          <w:p>
            <w:pPr>
              <w:widowControl/>
              <w:jc w:val="center"/>
              <w:textAlignment w:val="bottom"/>
              <w:rPr>
                <w:color w:val="000000"/>
                <w:kern w:val="0"/>
                <w:szCs w:val="21"/>
                <w:lang/>
              </w:rPr>
            </w:pPr>
          </w:p>
        </w:tc>
        <w:tc>
          <w:tcPr>
            <w:tcW w:w="1826" w:type="dxa"/>
            <w:vAlign w:val="center"/>
          </w:tcPr>
          <w:p>
            <w:pPr>
              <w:widowControl/>
              <w:jc w:val="center"/>
              <w:textAlignment w:val="bottom"/>
              <w:rPr>
                <w:color w:val="000000"/>
                <w:kern w:val="0"/>
                <w:szCs w:val="21"/>
                <w:lang/>
              </w:rPr>
            </w:pPr>
            <w:r>
              <w:rPr>
                <w:color w:val="000000"/>
                <w:kern w:val="0"/>
                <w:szCs w:val="21"/>
                <w:lang/>
              </w:rPr>
              <w:t>距长沙南高铁站距离</w:t>
            </w:r>
          </w:p>
        </w:tc>
        <w:tc>
          <w:tcPr>
            <w:tcW w:w="902" w:type="dxa"/>
            <w:vAlign w:val="center"/>
          </w:tcPr>
          <w:p>
            <w:pPr>
              <w:widowControl/>
              <w:jc w:val="center"/>
              <w:textAlignment w:val="bottom"/>
              <w:rPr>
                <w:color w:val="000000"/>
                <w:kern w:val="0"/>
                <w:szCs w:val="21"/>
                <w:lang/>
              </w:rPr>
            </w:pPr>
            <w:r>
              <w:rPr>
                <w:color w:val="000000"/>
                <w:kern w:val="0"/>
                <w:szCs w:val="21"/>
                <w:lang/>
              </w:rPr>
              <w:t>&lt;20000</w:t>
            </w:r>
          </w:p>
        </w:tc>
        <w:tc>
          <w:tcPr>
            <w:tcW w:w="1439" w:type="dxa"/>
            <w:vAlign w:val="center"/>
          </w:tcPr>
          <w:p>
            <w:pPr>
              <w:widowControl/>
              <w:jc w:val="center"/>
              <w:textAlignment w:val="bottom"/>
              <w:rPr>
                <w:color w:val="000000"/>
                <w:kern w:val="0"/>
                <w:szCs w:val="21"/>
                <w:lang/>
              </w:rPr>
            </w:pPr>
            <w:r>
              <w:rPr>
                <w:color w:val="000000"/>
                <w:kern w:val="0"/>
                <w:szCs w:val="21"/>
                <w:lang/>
              </w:rPr>
              <w:t>20000-23000</w:t>
            </w:r>
          </w:p>
        </w:tc>
        <w:tc>
          <w:tcPr>
            <w:tcW w:w="1345" w:type="dxa"/>
            <w:vAlign w:val="center"/>
          </w:tcPr>
          <w:p>
            <w:pPr>
              <w:widowControl/>
              <w:jc w:val="center"/>
              <w:textAlignment w:val="bottom"/>
              <w:rPr>
                <w:color w:val="000000"/>
                <w:kern w:val="0"/>
                <w:szCs w:val="21"/>
                <w:lang/>
              </w:rPr>
            </w:pPr>
            <w:r>
              <w:rPr>
                <w:color w:val="000000"/>
                <w:kern w:val="0"/>
                <w:szCs w:val="21"/>
                <w:lang/>
              </w:rPr>
              <w:t>23000-27000</w:t>
            </w:r>
          </w:p>
        </w:tc>
        <w:tc>
          <w:tcPr>
            <w:tcW w:w="1461" w:type="dxa"/>
            <w:vAlign w:val="center"/>
          </w:tcPr>
          <w:p>
            <w:pPr>
              <w:widowControl/>
              <w:jc w:val="center"/>
              <w:textAlignment w:val="bottom"/>
              <w:rPr>
                <w:color w:val="000000"/>
                <w:kern w:val="0"/>
                <w:szCs w:val="21"/>
                <w:lang/>
              </w:rPr>
            </w:pPr>
            <w:r>
              <w:rPr>
                <w:color w:val="000000"/>
                <w:kern w:val="0"/>
                <w:szCs w:val="21"/>
                <w:lang/>
              </w:rPr>
              <w:t>27000-30000</w:t>
            </w:r>
          </w:p>
        </w:tc>
        <w:tc>
          <w:tcPr>
            <w:tcW w:w="1327" w:type="dxa"/>
            <w:vAlign w:val="center"/>
          </w:tcPr>
          <w:p>
            <w:pPr>
              <w:widowControl/>
              <w:jc w:val="center"/>
              <w:textAlignment w:val="bottom"/>
              <w:rPr>
                <w:color w:val="000000"/>
                <w:kern w:val="0"/>
                <w:szCs w:val="21"/>
                <w:lang/>
              </w:rPr>
            </w:pPr>
            <w:r>
              <w:rPr>
                <w:color w:val="000000"/>
                <w:kern w:val="0"/>
                <w:szCs w:val="21"/>
                <w:lang/>
              </w:rPr>
              <w:t>&gt;30000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922" w:type="dxa"/>
            <w:vMerge w:val="restart"/>
            <w:vAlign w:val="center"/>
          </w:tcPr>
          <w:p>
            <w:pPr>
              <w:widowControl/>
              <w:jc w:val="center"/>
              <w:textAlignment w:val="bottom"/>
              <w:rPr>
                <w:color w:val="000000"/>
                <w:kern w:val="0"/>
                <w:szCs w:val="21"/>
                <w:lang/>
              </w:rPr>
            </w:pPr>
            <w:r>
              <w:rPr>
                <w:color w:val="000000"/>
                <w:kern w:val="0"/>
                <w:szCs w:val="21"/>
                <w:lang/>
              </w:rPr>
              <w:t>基本设施状况</w:t>
            </w:r>
          </w:p>
        </w:tc>
        <w:tc>
          <w:tcPr>
            <w:tcW w:w="998" w:type="dxa"/>
            <w:vMerge w:val="restart"/>
            <w:vAlign w:val="center"/>
          </w:tcPr>
          <w:p>
            <w:pPr>
              <w:widowControl/>
              <w:jc w:val="center"/>
              <w:textAlignment w:val="bottom"/>
              <w:rPr>
                <w:color w:val="000000"/>
                <w:kern w:val="0"/>
                <w:szCs w:val="21"/>
                <w:lang/>
              </w:rPr>
            </w:pPr>
            <w:r>
              <w:rPr>
                <w:color w:val="000000"/>
                <w:kern w:val="0"/>
                <w:szCs w:val="21"/>
                <w:lang/>
              </w:rPr>
              <w:t>基础设施完善度</w:t>
            </w:r>
          </w:p>
        </w:tc>
        <w:tc>
          <w:tcPr>
            <w:tcW w:w="1826" w:type="dxa"/>
            <w:vAlign w:val="center"/>
          </w:tcPr>
          <w:p>
            <w:pPr>
              <w:widowControl/>
              <w:jc w:val="center"/>
              <w:textAlignment w:val="bottom"/>
              <w:rPr>
                <w:color w:val="000000"/>
                <w:kern w:val="0"/>
                <w:szCs w:val="21"/>
                <w:lang/>
              </w:rPr>
            </w:pPr>
            <w:r>
              <w:rPr>
                <w:color w:val="000000"/>
                <w:kern w:val="0"/>
                <w:szCs w:val="21"/>
                <w:lang/>
              </w:rPr>
              <w:t>排水状况</w:t>
            </w:r>
          </w:p>
        </w:tc>
        <w:tc>
          <w:tcPr>
            <w:tcW w:w="902" w:type="dxa"/>
            <w:vAlign w:val="center"/>
          </w:tcPr>
          <w:p>
            <w:pPr>
              <w:widowControl/>
              <w:jc w:val="center"/>
              <w:textAlignment w:val="bottom"/>
              <w:rPr>
                <w:color w:val="000000"/>
                <w:kern w:val="0"/>
                <w:szCs w:val="21"/>
                <w:lang/>
              </w:rPr>
            </w:pPr>
            <w:r>
              <w:rPr>
                <w:color w:val="000000"/>
                <w:kern w:val="0"/>
                <w:szCs w:val="21"/>
                <w:lang/>
              </w:rPr>
              <w:t>好</w:t>
            </w:r>
          </w:p>
        </w:tc>
        <w:tc>
          <w:tcPr>
            <w:tcW w:w="1439" w:type="dxa"/>
            <w:vAlign w:val="center"/>
          </w:tcPr>
          <w:p>
            <w:pPr>
              <w:widowControl/>
              <w:jc w:val="center"/>
              <w:textAlignment w:val="bottom"/>
              <w:rPr>
                <w:color w:val="000000"/>
                <w:kern w:val="0"/>
                <w:szCs w:val="21"/>
                <w:lang/>
              </w:rPr>
            </w:pPr>
            <w:r>
              <w:rPr>
                <w:color w:val="000000"/>
                <w:kern w:val="0"/>
                <w:szCs w:val="21"/>
                <w:lang/>
              </w:rPr>
              <w:t>较好</w:t>
            </w:r>
          </w:p>
        </w:tc>
        <w:tc>
          <w:tcPr>
            <w:tcW w:w="1345" w:type="dxa"/>
            <w:vAlign w:val="center"/>
          </w:tcPr>
          <w:p>
            <w:pPr>
              <w:widowControl/>
              <w:jc w:val="center"/>
              <w:textAlignment w:val="bottom"/>
              <w:rPr>
                <w:color w:val="000000"/>
                <w:kern w:val="0"/>
                <w:szCs w:val="21"/>
                <w:lang/>
              </w:rPr>
            </w:pPr>
            <w:r>
              <w:rPr>
                <w:color w:val="000000"/>
                <w:kern w:val="0"/>
                <w:szCs w:val="21"/>
                <w:lang/>
              </w:rPr>
              <w:t>一般</w:t>
            </w:r>
          </w:p>
        </w:tc>
        <w:tc>
          <w:tcPr>
            <w:tcW w:w="1461" w:type="dxa"/>
            <w:vAlign w:val="center"/>
          </w:tcPr>
          <w:p>
            <w:pPr>
              <w:widowControl/>
              <w:jc w:val="center"/>
              <w:textAlignment w:val="bottom"/>
              <w:rPr>
                <w:color w:val="000000"/>
                <w:kern w:val="0"/>
                <w:szCs w:val="21"/>
                <w:lang/>
              </w:rPr>
            </w:pPr>
            <w:r>
              <w:rPr>
                <w:color w:val="000000"/>
                <w:kern w:val="0"/>
                <w:szCs w:val="21"/>
                <w:lang/>
              </w:rPr>
              <w:t>较差</w:t>
            </w:r>
          </w:p>
        </w:tc>
        <w:tc>
          <w:tcPr>
            <w:tcW w:w="1327" w:type="dxa"/>
            <w:vAlign w:val="center"/>
          </w:tcPr>
          <w:p>
            <w:pPr>
              <w:widowControl/>
              <w:jc w:val="center"/>
              <w:textAlignment w:val="bottom"/>
              <w:rPr>
                <w:color w:val="000000"/>
                <w:kern w:val="0"/>
                <w:szCs w:val="21"/>
                <w:lang/>
              </w:rPr>
            </w:pPr>
            <w:r>
              <w:rPr>
                <w:color w:val="000000"/>
                <w:kern w:val="0"/>
                <w:szCs w:val="21"/>
                <w:lang/>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24" w:hRule="atLeast"/>
          <w:jc w:val="center"/>
        </w:trPr>
        <w:tc>
          <w:tcPr>
            <w:tcW w:w="922" w:type="dxa"/>
            <w:vMerge w:val="continue"/>
            <w:vAlign w:val="center"/>
          </w:tcPr>
          <w:p>
            <w:pPr>
              <w:widowControl/>
              <w:jc w:val="center"/>
              <w:textAlignment w:val="bottom"/>
              <w:rPr>
                <w:color w:val="000000"/>
                <w:kern w:val="0"/>
                <w:szCs w:val="21"/>
                <w:lang/>
              </w:rPr>
            </w:pPr>
          </w:p>
        </w:tc>
        <w:tc>
          <w:tcPr>
            <w:tcW w:w="998" w:type="dxa"/>
            <w:vMerge w:val="continue"/>
            <w:vAlign w:val="center"/>
          </w:tcPr>
          <w:p>
            <w:pPr>
              <w:widowControl/>
              <w:jc w:val="center"/>
              <w:textAlignment w:val="bottom"/>
              <w:rPr>
                <w:color w:val="000000"/>
                <w:kern w:val="0"/>
                <w:szCs w:val="21"/>
                <w:lang/>
              </w:rPr>
            </w:pPr>
          </w:p>
        </w:tc>
        <w:tc>
          <w:tcPr>
            <w:tcW w:w="1826" w:type="dxa"/>
            <w:vAlign w:val="center"/>
          </w:tcPr>
          <w:p>
            <w:pPr>
              <w:widowControl/>
              <w:jc w:val="center"/>
              <w:textAlignment w:val="bottom"/>
              <w:rPr>
                <w:color w:val="000000"/>
                <w:kern w:val="0"/>
                <w:szCs w:val="21"/>
                <w:lang/>
              </w:rPr>
            </w:pPr>
            <w:r>
              <w:rPr>
                <w:color w:val="000000"/>
                <w:kern w:val="0"/>
                <w:szCs w:val="21"/>
                <w:lang/>
              </w:rPr>
              <w:t>供水状况</w:t>
            </w:r>
          </w:p>
        </w:tc>
        <w:tc>
          <w:tcPr>
            <w:tcW w:w="902" w:type="dxa"/>
            <w:vAlign w:val="center"/>
          </w:tcPr>
          <w:p>
            <w:pPr>
              <w:widowControl/>
              <w:jc w:val="center"/>
              <w:textAlignment w:val="bottom"/>
              <w:rPr>
                <w:color w:val="000000"/>
                <w:kern w:val="0"/>
                <w:szCs w:val="21"/>
                <w:lang/>
              </w:rPr>
            </w:pPr>
            <w:r>
              <w:rPr>
                <w:color w:val="000000"/>
                <w:kern w:val="0"/>
                <w:szCs w:val="21"/>
                <w:lang/>
              </w:rPr>
              <w:t>100%</w:t>
            </w:r>
          </w:p>
        </w:tc>
        <w:tc>
          <w:tcPr>
            <w:tcW w:w="1439" w:type="dxa"/>
            <w:vAlign w:val="center"/>
          </w:tcPr>
          <w:p>
            <w:pPr>
              <w:widowControl/>
              <w:jc w:val="center"/>
              <w:textAlignment w:val="bottom"/>
              <w:rPr>
                <w:color w:val="000000"/>
                <w:kern w:val="0"/>
                <w:szCs w:val="21"/>
                <w:lang/>
              </w:rPr>
            </w:pPr>
            <w:r>
              <w:rPr>
                <w:color w:val="000000"/>
                <w:kern w:val="0"/>
                <w:szCs w:val="21"/>
                <w:lang/>
              </w:rPr>
              <w:t>90-99%</w:t>
            </w:r>
          </w:p>
        </w:tc>
        <w:tc>
          <w:tcPr>
            <w:tcW w:w="1345" w:type="dxa"/>
            <w:vAlign w:val="center"/>
          </w:tcPr>
          <w:p>
            <w:pPr>
              <w:widowControl/>
              <w:jc w:val="center"/>
              <w:textAlignment w:val="bottom"/>
              <w:rPr>
                <w:color w:val="000000"/>
                <w:kern w:val="0"/>
                <w:szCs w:val="21"/>
                <w:lang/>
              </w:rPr>
            </w:pPr>
            <w:r>
              <w:rPr>
                <w:color w:val="000000"/>
                <w:kern w:val="0"/>
                <w:szCs w:val="21"/>
                <w:lang/>
              </w:rPr>
              <w:t>80-89%</w:t>
            </w:r>
          </w:p>
        </w:tc>
        <w:tc>
          <w:tcPr>
            <w:tcW w:w="1461" w:type="dxa"/>
            <w:vAlign w:val="center"/>
          </w:tcPr>
          <w:p>
            <w:pPr>
              <w:widowControl/>
              <w:jc w:val="center"/>
              <w:textAlignment w:val="bottom"/>
              <w:rPr>
                <w:color w:val="000000"/>
                <w:kern w:val="0"/>
                <w:szCs w:val="21"/>
                <w:lang/>
              </w:rPr>
            </w:pPr>
            <w:r>
              <w:rPr>
                <w:color w:val="000000"/>
                <w:kern w:val="0"/>
                <w:szCs w:val="21"/>
                <w:lang/>
              </w:rPr>
              <w:t>60-79%</w:t>
            </w:r>
          </w:p>
        </w:tc>
        <w:tc>
          <w:tcPr>
            <w:tcW w:w="1327" w:type="dxa"/>
            <w:vAlign w:val="center"/>
          </w:tcPr>
          <w:p>
            <w:pPr>
              <w:widowControl/>
              <w:jc w:val="center"/>
              <w:textAlignment w:val="bottom"/>
              <w:rPr>
                <w:color w:val="000000"/>
                <w:kern w:val="0"/>
                <w:szCs w:val="21"/>
                <w:lang/>
              </w:rPr>
            </w:pPr>
            <w:r>
              <w:rPr>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22" w:type="dxa"/>
            <w:vMerge w:val="continue"/>
            <w:vAlign w:val="center"/>
          </w:tcPr>
          <w:p>
            <w:pPr>
              <w:widowControl/>
              <w:jc w:val="center"/>
              <w:textAlignment w:val="bottom"/>
              <w:rPr>
                <w:color w:val="000000"/>
                <w:kern w:val="0"/>
                <w:szCs w:val="21"/>
                <w:lang/>
              </w:rPr>
            </w:pPr>
          </w:p>
        </w:tc>
        <w:tc>
          <w:tcPr>
            <w:tcW w:w="998" w:type="dxa"/>
            <w:vMerge w:val="continue"/>
            <w:vAlign w:val="center"/>
          </w:tcPr>
          <w:p>
            <w:pPr>
              <w:widowControl/>
              <w:jc w:val="center"/>
              <w:textAlignment w:val="bottom"/>
              <w:rPr>
                <w:color w:val="000000"/>
                <w:kern w:val="0"/>
                <w:szCs w:val="21"/>
                <w:lang/>
              </w:rPr>
            </w:pPr>
          </w:p>
        </w:tc>
        <w:tc>
          <w:tcPr>
            <w:tcW w:w="1826" w:type="dxa"/>
            <w:vAlign w:val="center"/>
          </w:tcPr>
          <w:p>
            <w:pPr>
              <w:widowControl/>
              <w:jc w:val="center"/>
              <w:textAlignment w:val="bottom"/>
              <w:rPr>
                <w:color w:val="000000"/>
                <w:kern w:val="0"/>
                <w:szCs w:val="21"/>
                <w:lang/>
              </w:rPr>
            </w:pPr>
            <w:r>
              <w:rPr>
                <w:color w:val="000000"/>
                <w:kern w:val="0"/>
                <w:szCs w:val="21"/>
                <w:lang/>
              </w:rPr>
              <w:t>供电状况</w:t>
            </w:r>
          </w:p>
        </w:tc>
        <w:tc>
          <w:tcPr>
            <w:tcW w:w="902" w:type="dxa"/>
            <w:vAlign w:val="center"/>
          </w:tcPr>
          <w:p>
            <w:pPr>
              <w:widowControl/>
              <w:jc w:val="center"/>
              <w:textAlignment w:val="bottom"/>
              <w:rPr>
                <w:color w:val="000000"/>
                <w:kern w:val="0"/>
                <w:szCs w:val="21"/>
                <w:lang/>
              </w:rPr>
            </w:pPr>
            <w:r>
              <w:rPr>
                <w:color w:val="000000"/>
                <w:kern w:val="0"/>
                <w:szCs w:val="21"/>
                <w:lang/>
              </w:rPr>
              <w:t>100%</w:t>
            </w:r>
          </w:p>
        </w:tc>
        <w:tc>
          <w:tcPr>
            <w:tcW w:w="1439" w:type="dxa"/>
            <w:vAlign w:val="center"/>
          </w:tcPr>
          <w:p>
            <w:pPr>
              <w:widowControl/>
              <w:jc w:val="center"/>
              <w:textAlignment w:val="bottom"/>
              <w:rPr>
                <w:color w:val="000000"/>
                <w:kern w:val="0"/>
                <w:szCs w:val="21"/>
                <w:lang/>
              </w:rPr>
            </w:pPr>
            <w:r>
              <w:rPr>
                <w:color w:val="000000"/>
                <w:kern w:val="0"/>
                <w:szCs w:val="21"/>
                <w:lang/>
              </w:rPr>
              <w:t>90-99%</w:t>
            </w:r>
          </w:p>
        </w:tc>
        <w:tc>
          <w:tcPr>
            <w:tcW w:w="1345" w:type="dxa"/>
            <w:vAlign w:val="center"/>
          </w:tcPr>
          <w:p>
            <w:pPr>
              <w:widowControl/>
              <w:jc w:val="center"/>
              <w:textAlignment w:val="bottom"/>
              <w:rPr>
                <w:color w:val="000000"/>
                <w:kern w:val="0"/>
                <w:szCs w:val="21"/>
                <w:lang/>
              </w:rPr>
            </w:pPr>
            <w:r>
              <w:rPr>
                <w:color w:val="000000"/>
                <w:kern w:val="0"/>
                <w:szCs w:val="21"/>
                <w:lang/>
              </w:rPr>
              <w:t>80-89%</w:t>
            </w:r>
          </w:p>
        </w:tc>
        <w:tc>
          <w:tcPr>
            <w:tcW w:w="1461" w:type="dxa"/>
            <w:vAlign w:val="center"/>
          </w:tcPr>
          <w:p>
            <w:pPr>
              <w:widowControl/>
              <w:jc w:val="center"/>
              <w:textAlignment w:val="bottom"/>
              <w:rPr>
                <w:color w:val="000000"/>
                <w:kern w:val="0"/>
                <w:szCs w:val="21"/>
                <w:lang/>
              </w:rPr>
            </w:pPr>
            <w:r>
              <w:rPr>
                <w:color w:val="000000"/>
                <w:kern w:val="0"/>
                <w:szCs w:val="21"/>
                <w:lang/>
              </w:rPr>
              <w:t>60-79%</w:t>
            </w:r>
          </w:p>
        </w:tc>
        <w:tc>
          <w:tcPr>
            <w:tcW w:w="1327" w:type="dxa"/>
            <w:vAlign w:val="center"/>
          </w:tcPr>
          <w:p>
            <w:pPr>
              <w:widowControl/>
              <w:jc w:val="center"/>
              <w:textAlignment w:val="bottom"/>
              <w:rPr>
                <w:color w:val="000000"/>
                <w:kern w:val="0"/>
                <w:szCs w:val="21"/>
                <w:lang/>
              </w:rPr>
            </w:pPr>
            <w:r>
              <w:rPr>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22" w:type="dxa"/>
            <w:vMerge w:val="continue"/>
            <w:vAlign w:val="center"/>
          </w:tcPr>
          <w:p>
            <w:pPr>
              <w:widowControl/>
              <w:jc w:val="center"/>
              <w:textAlignment w:val="bottom"/>
              <w:rPr>
                <w:color w:val="000000"/>
                <w:kern w:val="0"/>
                <w:szCs w:val="21"/>
                <w:lang/>
              </w:rPr>
            </w:pPr>
          </w:p>
        </w:tc>
        <w:tc>
          <w:tcPr>
            <w:tcW w:w="998" w:type="dxa"/>
            <w:vMerge w:val="continue"/>
            <w:vAlign w:val="center"/>
          </w:tcPr>
          <w:p>
            <w:pPr>
              <w:widowControl/>
              <w:jc w:val="center"/>
              <w:textAlignment w:val="bottom"/>
              <w:rPr>
                <w:color w:val="000000"/>
                <w:kern w:val="0"/>
                <w:szCs w:val="21"/>
                <w:lang/>
              </w:rPr>
            </w:pPr>
          </w:p>
        </w:tc>
        <w:tc>
          <w:tcPr>
            <w:tcW w:w="1826" w:type="dxa"/>
            <w:vAlign w:val="center"/>
          </w:tcPr>
          <w:p>
            <w:pPr>
              <w:widowControl/>
              <w:jc w:val="center"/>
              <w:textAlignment w:val="bottom"/>
              <w:rPr>
                <w:color w:val="000000"/>
                <w:kern w:val="0"/>
                <w:szCs w:val="21"/>
                <w:lang/>
              </w:rPr>
            </w:pPr>
            <w:r>
              <w:rPr>
                <w:color w:val="000000"/>
                <w:kern w:val="0"/>
                <w:szCs w:val="21"/>
                <w:lang/>
              </w:rPr>
              <w:t>供气状况</w:t>
            </w:r>
          </w:p>
        </w:tc>
        <w:tc>
          <w:tcPr>
            <w:tcW w:w="902" w:type="dxa"/>
            <w:vAlign w:val="center"/>
          </w:tcPr>
          <w:p>
            <w:pPr>
              <w:widowControl/>
              <w:jc w:val="center"/>
              <w:textAlignment w:val="bottom"/>
              <w:rPr>
                <w:color w:val="000000"/>
                <w:kern w:val="0"/>
                <w:szCs w:val="21"/>
                <w:lang/>
              </w:rPr>
            </w:pPr>
            <w:r>
              <w:rPr>
                <w:color w:val="000000"/>
                <w:kern w:val="0"/>
                <w:szCs w:val="21"/>
                <w:lang/>
              </w:rPr>
              <w:t>100%</w:t>
            </w:r>
          </w:p>
        </w:tc>
        <w:tc>
          <w:tcPr>
            <w:tcW w:w="1439" w:type="dxa"/>
            <w:vAlign w:val="center"/>
          </w:tcPr>
          <w:p>
            <w:pPr>
              <w:widowControl/>
              <w:jc w:val="center"/>
              <w:textAlignment w:val="bottom"/>
              <w:rPr>
                <w:color w:val="000000"/>
                <w:kern w:val="0"/>
                <w:szCs w:val="21"/>
                <w:lang/>
              </w:rPr>
            </w:pPr>
            <w:r>
              <w:rPr>
                <w:color w:val="000000"/>
                <w:kern w:val="0"/>
                <w:szCs w:val="21"/>
                <w:lang/>
              </w:rPr>
              <w:t>90-99%</w:t>
            </w:r>
          </w:p>
        </w:tc>
        <w:tc>
          <w:tcPr>
            <w:tcW w:w="1345" w:type="dxa"/>
            <w:vAlign w:val="center"/>
          </w:tcPr>
          <w:p>
            <w:pPr>
              <w:widowControl/>
              <w:jc w:val="center"/>
              <w:textAlignment w:val="bottom"/>
              <w:rPr>
                <w:color w:val="000000"/>
                <w:kern w:val="0"/>
                <w:szCs w:val="21"/>
                <w:lang/>
              </w:rPr>
            </w:pPr>
            <w:r>
              <w:rPr>
                <w:color w:val="000000"/>
                <w:kern w:val="0"/>
                <w:szCs w:val="21"/>
                <w:lang/>
              </w:rPr>
              <w:t>80-89%</w:t>
            </w:r>
          </w:p>
        </w:tc>
        <w:tc>
          <w:tcPr>
            <w:tcW w:w="1461" w:type="dxa"/>
            <w:vAlign w:val="center"/>
          </w:tcPr>
          <w:p>
            <w:pPr>
              <w:widowControl/>
              <w:jc w:val="center"/>
              <w:textAlignment w:val="bottom"/>
              <w:rPr>
                <w:color w:val="000000"/>
                <w:kern w:val="0"/>
                <w:szCs w:val="21"/>
                <w:lang/>
              </w:rPr>
            </w:pPr>
            <w:r>
              <w:rPr>
                <w:color w:val="000000"/>
                <w:kern w:val="0"/>
                <w:szCs w:val="21"/>
                <w:lang/>
              </w:rPr>
              <w:t>60-79%</w:t>
            </w:r>
          </w:p>
        </w:tc>
        <w:tc>
          <w:tcPr>
            <w:tcW w:w="1327" w:type="dxa"/>
            <w:vAlign w:val="center"/>
          </w:tcPr>
          <w:p>
            <w:pPr>
              <w:widowControl/>
              <w:jc w:val="center"/>
              <w:textAlignment w:val="bottom"/>
              <w:rPr>
                <w:color w:val="000000"/>
                <w:kern w:val="0"/>
                <w:szCs w:val="21"/>
                <w:lang/>
              </w:rPr>
            </w:pPr>
            <w:r>
              <w:rPr>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922" w:type="dxa"/>
            <w:vAlign w:val="center"/>
          </w:tcPr>
          <w:p>
            <w:pPr>
              <w:widowControl/>
              <w:jc w:val="center"/>
              <w:textAlignment w:val="bottom"/>
              <w:rPr>
                <w:color w:val="000000"/>
                <w:kern w:val="0"/>
                <w:szCs w:val="21"/>
                <w:lang/>
              </w:rPr>
            </w:pPr>
            <w:r>
              <w:rPr>
                <w:color w:val="000000"/>
                <w:kern w:val="0"/>
                <w:szCs w:val="21"/>
                <w:lang/>
              </w:rPr>
              <w:t>人口状况</w:t>
            </w:r>
          </w:p>
        </w:tc>
        <w:tc>
          <w:tcPr>
            <w:tcW w:w="998" w:type="dxa"/>
            <w:vAlign w:val="center"/>
          </w:tcPr>
          <w:p>
            <w:pPr>
              <w:widowControl/>
              <w:jc w:val="center"/>
              <w:textAlignment w:val="bottom"/>
              <w:rPr>
                <w:color w:val="000000"/>
                <w:kern w:val="0"/>
                <w:szCs w:val="21"/>
                <w:lang/>
              </w:rPr>
            </w:pPr>
            <w:r>
              <w:rPr>
                <w:color w:val="000000"/>
                <w:kern w:val="0"/>
                <w:szCs w:val="21"/>
                <w:lang/>
              </w:rPr>
              <w:t>人口密度</w:t>
            </w:r>
          </w:p>
        </w:tc>
        <w:tc>
          <w:tcPr>
            <w:tcW w:w="1826" w:type="dxa"/>
            <w:vAlign w:val="center"/>
          </w:tcPr>
          <w:p>
            <w:pPr>
              <w:widowControl/>
              <w:jc w:val="center"/>
              <w:textAlignment w:val="bottom"/>
              <w:rPr>
                <w:color w:val="000000"/>
                <w:kern w:val="0"/>
                <w:szCs w:val="21"/>
                <w:lang/>
              </w:rPr>
            </w:pPr>
            <w:r>
              <w:rPr>
                <w:color w:val="000000"/>
                <w:kern w:val="0"/>
                <w:szCs w:val="21"/>
                <w:lang/>
              </w:rPr>
              <w:t>人口程度</w:t>
            </w:r>
          </w:p>
        </w:tc>
        <w:tc>
          <w:tcPr>
            <w:tcW w:w="902" w:type="dxa"/>
            <w:vAlign w:val="center"/>
          </w:tcPr>
          <w:p>
            <w:pPr>
              <w:widowControl/>
              <w:jc w:val="center"/>
              <w:textAlignment w:val="bottom"/>
              <w:rPr>
                <w:color w:val="000000"/>
                <w:kern w:val="0"/>
                <w:szCs w:val="21"/>
                <w:lang/>
              </w:rPr>
            </w:pPr>
            <w:r>
              <w:rPr>
                <w:color w:val="000000"/>
                <w:kern w:val="0"/>
                <w:szCs w:val="21"/>
                <w:lang/>
              </w:rPr>
              <w:t>人口稠密</w:t>
            </w:r>
          </w:p>
        </w:tc>
        <w:tc>
          <w:tcPr>
            <w:tcW w:w="1439" w:type="dxa"/>
            <w:vAlign w:val="center"/>
          </w:tcPr>
          <w:p>
            <w:pPr>
              <w:widowControl/>
              <w:jc w:val="center"/>
              <w:textAlignment w:val="bottom"/>
              <w:rPr>
                <w:color w:val="000000"/>
                <w:kern w:val="0"/>
                <w:szCs w:val="21"/>
                <w:lang/>
              </w:rPr>
            </w:pPr>
            <w:r>
              <w:rPr>
                <w:color w:val="000000"/>
                <w:kern w:val="0"/>
                <w:szCs w:val="21"/>
                <w:lang/>
              </w:rPr>
              <w:t>人口较稠密</w:t>
            </w:r>
          </w:p>
        </w:tc>
        <w:tc>
          <w:tcPr>
            <w:tcW w:w="1345" w:type="dxa"/>
            <w:vAlign w:val="center"/>
          </w:tcPr>
          <w:p>
            <w:pPr>
              <w:widowControl/>
              <w:jc w:val="center"/>
              <w:textAlignment w:val="bottom"/>
              <w:rPr>
                <w:color w:val="000000"/>
                <w:kern w:val="0"/>
                <w:szCs w:val="21"/>
                <w:lang/>
              </w:rPr>
            </w:pPr>
            <w:r>
              <w:rPr>
                <w:color w:val="000000"/>
                <w:kern w:val="0"/>
                <w:szCs w:val="21"/>
                <w:lang/>
              </w:rPr>
              <w:t>一般</w:t>
            </w:r>
          </w:p>
        </w:tc>
        <w:tc>
          <w:tcPr>
            <w:tcW w:w="1461" w:type="dxa"/>
            <w:vAlign w:val="center"/>
          </w:tcPr>
          <w:p>
            <w:pPr>
              <w:widowControl/>
              <w:jc w:val="center"/>
              <w:textAlignment w:val="bottom"/>
              <w:rPr>
                <w:color w:val="000000"/>
                <w:kern w:val="0"/>
                <w:szCs w:val="21"/>
                <w:lang/>
              </w:rPr>
            </w:pPr>
            <w:r>
              <w:rPr>
                <w:color w:val="000000"/>
                <w:kern w:val="0"/>
                <w:szCs w:val="21"/>
                <w:lang/>
              </w:rPr>
              <w:t>人口较稀疏</w:t>
            </w:r>
          </w:p>
        </w:tc>
        <w:tc>
          <w:tcPr>
            <w:tcW w:w="1327" w:type="dxa"/>
            <w:vAlign w:val="center"/>
          </w:tcPr>
          <w:p>
            <w:pPr>
              <w:widowControl/>
              <w:jc w:val="center"/>
              <w:textAlignment w:val="bottom"/>
              <w:rPr>
                <w:color w:val="000000"/>
                <w:kern w:val="0"/>
                <w:szCs w:val="21"/>
                <w:lang/>
              </w:rPr>
            </w:pPr>
            <w:r>
              <w:rPr>
                <w:color w:val="000000"/>
                <w:kern w:val="0"/>
                <w:szCs w:val="21"/>
                <w:lang/>
              </w:rPr>
              <w:t>人口稀疏区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70" w:hRule="atLeast"/>
          <w:jc w:val="center"/>
        </w:trPr>
        <w:tc>
          <w:tcPr>
            <w:tcW w:w="922" w:type="dxa"/>
            <w:vMerge w:val="restart"/>
            <w:vAlign w:val="center"/>
          </w:tcPr>
          <w:p>
            <w:pPr>
              <w:widowControl/>
              <w:jc w:val="center"/>
              <w:textAlignment w:val="bottom"/>
              <w:rPr>
                <w:color w:val="000000"/>
                <w:kern w:val="0"/>
                <w:szCs w:val="21"/>
                <w:lang/>
              </w:rPr>
            </w:pPr>
            <w:r>
              <w:rPr>
                <w:color w:val="000000"/>
                <w:kern w:val="0"/>
                <w:szCs w:val="21"/>
                <w:lang/>
              </w:rPr>
              <w:t>城市规划</w:t>
            </w:r>
          </w:p>
        </w:tc>
        <w:tc>
          <w:tcPr>
            <w:tcW w:w="998" w:type="dxa"/>
            <w:vMerge w:val="restart"/>
            <w:vAlign w:val="center"/>
          </w:tcPr>
          <w:p>
            <w:pPr>
              <w:widowControl/>
              <w:jc w:val="center"/>
              <w:textAlignment w:val="bottom"/>
              <w:rPr>
                <w:color w:val="000000"/>
                <w:kern w:val="0"/>
                <w:szCs w:val="21"/>
                <w:lang/>
              </w:rPr>
            </w:pPr>
            <w:r>
              <w:rPr>
                <w:color w:val="000000"/>
                <w:kern w:val="0"/>
                <w:szCs w:val="21"/>
                <w:lang/>
              </w:rPr>
              <w:t>城市规划</w:t>
            </w:r>
          </w:p>
        </w:tc>
        <w:tc>
          <w:tcPr>
            <w:tcW w:w="1826" w:type="dxa"/>
            <w:vAlign w:val="center"/>
          </w:tcPr>
          <w:p>
            <w:pPr>
              <w:widowControl/>
              <w:jc w:val="center"/>
              <w:textAlignment w:val="bottom"/>
              <w:rPr>
                <w:color w:val="000000"/>
                <w:kern w:val="0"/>
                <w:szCs w:val="21"/>
                <w:lang/>
              </w:rPr>
            </w:pPr>
            <w:r>
              <w:rPr>
                <w:color w:val="000000"/>
                <w:kern w:val="0"/>
                <w:szCs w:val="21"/>
                <w:lang/>
              </w:rPr>
              <w:t>用地规划</w:t>
            </w:r>
          </w:p>
        </w:tc>
        <w:tc>
          <w:tcPr>
            <w:tcW w:w="902" w:type="dxa"/>
            <w:vAlign w:val="center"/>
          </w:tcPr>
          <w:p>
            <w:pPr>
              <w:widowControl/>
              <w:jc w:val="center"/>
              <w:textAlignment w:val="bottom"/>
              <w:rPr>
                <w:color w:val="000000"/>
                <w:kern w:val="0"/>
                <w:szCs w:val="21"/>
                <w:lang/>
              </w:rPr>
            </w:pPr>
            <w:r>
              <w:rPr>
                <w:color w:val="000000"/>
                <w:kern w:val="0"/>
                <w:szCs w:val="21"/>
                <w:lang/>
              </w:rPr>
              <w:t>最佳用途</w:t>
            </w:r>
          </w:p>
        </w:tc>
        <w:tc>
          <w:tcPr>
            <w:tcW w:w="1439" w:type="dxa"/>
            <w:vAlign w:val="center"/>
          </w:tcPr>
          <w:p>
            <w:pPr>
              <w:widowControl/>
              <w:jc w:val="center"/>
              <w:textAlignment w:val="bottom"/>
              <w:rPr>
                <w:color w:val="000000"/>
                <w:kern w:val="0"/>
                <w:szCs w:val="21"/>
                <w:lang/>
              </w:rPr>
            </w:pPr>
            <w:r>
              <w:rPr>
                <w:color w:val="000000"/>
                <w:kern w:val="0"/>
                <w:szCs w:val="21"/>
                <w:lang/>
              </w:rPr>
              <w:t>较适用途</w:t>
            </w:r>
          </w:p>
        </w:tc>
        <w:tc>
          <w:tcPr>
            <w:tcW w:w="1345" w:type="dxa"/>
            <w:vAlign w:val="center"/>
          </w:tcPr>
          <w:p>
            <w:pPr>
              <w:widowControl/>
              <w:jc w:val="center"/>
              <w:textAlignment w:val="bottom"/>
              <w:rPr>
                <w:color w:val="000000"/>
                <w:kern w:val="0"/>
                <w:szCs w:val="21"/>
                <w:lang/>
              </w:rPr>
            </w:pPr>
            <w:r>
              <w:rPr>
                <w:color w:val="000000"/>
                <w:kern w:val="0"/>
                <w:szCs w:val="21"/>
                <w:lang/>
              </w:rPr>
              <w:t>一般用途</w:t>
            </w:r>
          </w:p>
        </w:tc>
        <w:tc>
          <w:tcPr>
            <w:tcW w:w="1461" w:type="dxa"/>
            <w:vAlign w:val="center"/>
          </w:tcPr>
          <w:p>
            <w:pPr>
              <w:widowControl/>
              <w:jc w:val="center"/>
              <w:textAlignment w:val="bottom"/>
              <w:rPr>
                <w:color w:val="000000"/>
                <w:kern w:val="0"/>
                <w:szCs w:val="21"/>
                <w:lang/>
              </w:rPr>
            </w:pPr>
            <w:r>
              <w:rPr>
                <w:color w:val="000000"/>
                <w:kern w:val="0"/>
                <w:szCs w:val="21"/>
                <w:lang/>
              </w:rPr>
              <w:t>不太适合用途</w:t>
            </w:r>
          </w:p>
        </w:tc>
        <w:tc>
          <w:tcPr>
            <w:tcW w:w="1327" w:type="dxa"/>
            <w:vAlign w:val="center"/>
          </w:tcPr>
          <w:p>
            <w:pPr>
              <w:widowControl/>
              <w:jc w:val="center"/>
              <w:textAlignment w:val="bottom"/>
              <w:rPr>
                <w:color w:val="000000"/>
                <w:kern w:val="0"/>
                <w:szCs w:val="21"/>
                <w:lang/>
              </w:rPr>
            </w:pPr>
            <w:r>
              <w:rPr>
                <w:color w:val="000000"/>
                <w:kern w:val="0"/>
                <w:szCs w:val="21"/>
                <w:lang/>
              </w:rPr>
              <w:t>不适合用途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00" w:hRule="atLeast"/>
          <w:jc w:val="center"/>
        </w:trPr>
        <w:tc>
          <w:tcPr>
            <w:tcW w:w="922" w:type="dxa"/>
            <w:vMerge w:val="continue"/>
            <w:vAlign w:val="center"/>
          </w:tcPr>
          <w:p>
            <w:pPr>
              <w:widowControl/>
              <w:jc w:val="center"/>
              <w:textAlignment w:val="bottom"/>
              <w:rPr>
                <w:color w:val="000000"/>
                <w:kern w:val="0"/>
                <w:szCs w:val="21"/>
                <w:lang/>
              </w:rPr>
            </w:pPr>
          </w:p>
        </w:tc>
        <w:tc>
          <w:tcPr>
            <w:tcW w:w="998" w:type="dxa"/>
            <w:vMerge w:val="continue"/>
            <w:vAlign w:val="center"/>
          </w:tcPr>
          <w:p>
            <w:pPr>
              <w:widowControl/>
              <w:jc w:val="center"/>
              <w:textAlignment w:val="bottom"/>
              <w:rPr>
                <w:color w:val="000000"/>
                <w:kern w:val="0"/>
                <w:szCs w:val="21"/>
                <w:lang/>
              </w:rPr>
            </w:pPr>
          </w:p>
        </w:tc>
        <w:tc>
          <w:tcPr>
            <w:tcW w:w="1826" w:type="dxa"/>
            <w:vAlign w:val="center"/>
          </w:tcPr>
          <w:p>
            <w:pPr>
              <w:widowControl/>
              <w:jc w:val="center"/>
              <w:textAlignment w:val="bottom"/>
              <w:rPr>
                <w:color w:val="000000"/>
                <w:kern w:val="0"/>
                <w:szCs w:val="21"/>
                <w:lang/>
              </w:rPr>
            </w:pPr>
            <w:r>
              <w:rPr>
                <w:color w:val="000000"/>
                <w:kern w:val="0"/>
                <w:szCs w:val="21"/>
                <w:lang/>
              </w:rPr>
              <w:t>道路规划</w:t>
            </w:r>
          </w:p>
        </w:tc>
        <w:tc>
          <w:tcPr>
            <w:tcW w:w="902" w:type="dxa"/>
            <w:vAlign w:val="center"/>
          </w:tcPr>
          <w:p>
            <w:pPr>
              <w:widowControl/>
              <w:jc w:val="center"/>
              <w:rPr>
                <w:color w:val="000000"/>
                <w:kern w:val="0"/>
                <w:szCs w:val="21"/>
                <w:lang/>
              </w:rPr>
            </w:pPr>
            <w:r>
              <w:rPr>
                <w:color w:val="000000"/>
                <w:kern w:val="0"/>
                <w:sz w:val="20"/>
              </w:rPr>
              <w:t>主干道</w:t>
            </w:r>
          </w:p>
        </w:tc>
        <w:tc>
          <w:tcPr>
            <w:tcW w:w="1439" w:type="dxa"/>
            <w:vAlign w:val="center"/>
          </w:tcPr>
          <w:p>
            <w:pPr>
              <w:widowControl/>
              <w:jc w:val="center"/>
              <w:rPr>
                <w:color w:val="000000"/>
                <w:kern w:val="0"/>
                <w:szCs w:val="21"/>
                <w:lang/>
              </w:rPr>
            </w:pPr>
            <w:r>
              <w:rPr>
                <w:color w:val="000000"/>
                <w:kern w:val="0"/>
                <w:sz w:val="20"/>
              </w:rPr>
              <w:t>次干道</w:t>
            </w:r>
          </w:p>
        </w:tc>
        <w:tc>
          <w:tcPr>
            <w:tcW w:w="1345" w:type="dxa"/>
            <w:vAlign w:val="center"/>
          </w:tcPr>
          <w:p>
            <w:pPr>
              <w:widowControl/>
              <w:jc w:val="center"/>
              <w:rPr>
                <w:color w:val="000000"/>
                <w:kern w:val="0"/>
                <w:szCs w:val="21"/>
                <w:lang/>
              </w:rPr>
            </w:pPr>
            <w:r>
              <w:rPr>
                <w:color w:val="000000"/>
                <w:kern w:val="0"/>
                <w:sz w:val="20"/>
              </w:rPr>
              <w:t>快速路</w:t>
            </w:r>
          </w:p>
        </w:tc>
        <w:tc>
          <w:tcPr>
            <w:tcW w:w="1461" w:type="dxa"/>
            <w:vAlign w:val="center"/>
          </w:tcPr>
          <w:p>
            <w:pPr>
              <w:widowControl/>
              <w:jc w:val="center"/>
              <w:rPr>
                <w:color w:val="000000"/>
                <w:kern w:val="0"/>
                <w:szCs w:val="21"/>
                <w:lang/>
              </w:rPr>
            </w:pPr>
            <w:r>
              <w:rPr>
                <w:color w:val="000000"/>
                <w:kern w:val="0"/>
                <w:sz w:val="20"/>
              </w:rPr>
              <w:t>支路</w:t>
            </w:r>
          </w:p>
        </w:tc>
        <w:tc>
          <w:tcPr>
            <w:tcW w:w="1327" w:type="dxa"/>
            <w:vAlign w:val="center"/>
          </w:tcPr>
          <w:p>
            <w:pPr>
              <w:widowControl/>
              <w:jc w:val="center"/>
              <w:rPr>
                <w:color w:val="000000"/>
                <w:kern w:val="0"/>
                <w:szCs w:val="21"/>
                <w:lang/>
              </w:rPr>
            </w:pPr>
            <w:r>
              <w:rPr>
                <w:color w:val="000000"/>
                <w:kern w:val="0"/>
                <w:sz w:val="20"/>
              </w:rPr>
              <w:t>街坊间支路</w:t>
            </w:r>
          </w:p>
        </w:tc>
      </w:tr>
    </w:tbl>
    <w:p>
      <w:pPr>
        <w:pStyle w:val="131"/>
        <w:spacing w:line="360" w:lineRule="auto"/>
        <w:ind w:firstLine="0" w:firstLineChars="0"/>
        <w:rPr>
          <w:rFonts w:ascii="Times New Roman" w:hAnsi="Times New Roman"/>
          <w:bCs w:val="0"/>
          <w:sz w:val="24"/>
          <w:szCs w:val="24"/>
        </w:rPr>
      </w:pPr>
      <w:r>
        <w:rPr>
          <w:rFonts w:ascii="Times New Roman" w:hAnsi="Times New Roman"/>
          <w:bCs w:val="0"/>
          <w:sz w:val="24"/>
          <w:szCs w:val="24"/>
        </w:rPr>
        <w:br w:type="page"/>
      </w:r>
      <w:r>
        <w:rPr>
          <w:rFonts w:ascii="Times New Roman" w:hAnsi="Times New Roman"/>
          <w:bCs w:val="0"/>
          <w:sz w:val="24"/>
          <w:szCs w:val="24"/>
        </w:rPr>
        <w:t>表4-3-9  长沙县Ⅴ级商服用地宗地地价区域因素修正系数表（%）</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18"/>
        <w:gridCol w:w="2121"/>
        <w:gridCol w:w="937"/>
        <w:gridCol w:w="937"/>
        <w:gridCol w:w="937"/>
        <w:gridCol w:w="937"/>
        <w:gridCol w:w="937"/>
        <w:gridCol w:w="9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212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指标层</w:t>
            </w:r>
          </w:p>
        </w:tc>
        <w:tc>
          <w:tcPr>
            <w:tcW w:w="937"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权重</w:t>
            </w:r>
          </w:p>
        </w:tc>
        <w:tc>
          <w:tcPr>
            <w:tcW w:w="937"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优</w:t>
            </w:r>
          </w:p>
        </w:tc>
        <w:tc>
          <w:tcPr>
            <w:tcW w:w="937"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较优</w:t>
            </w:r>
          </w:p>
        </w:tc>
        <w:tc>
          <w:tcPr>
            <w:tcW w:w="937"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一般</w:t>
            </w:r>
          </w:p>
        </w:tc>
        <w:tc>
          <w:tcPr>
            <w:tcW w:w="937"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较劣</w:t>
            </w:r>
          </w:p>
        </w:tc>
        <w:tc>
          <w:tcPr>
            <w:tcW w:w="937"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trPr>
        <w:tc>
          <w:tcPr>
            <w:tcW w:w="1318"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商服繁华影响度</w:t>
            </w:r>
          </w:p>
        </w:tc>
        <w:tc>
          <w:tcPr>
            <w:tcW w:w="212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距商服中心距离</w:t>
            </w:r>
          </w:p>
        </w:tc>
        <w:tc>
          <w:tcPr>
            <w:tcW w:w="937"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0.3885 </w:t>
            </w:r>
          </w:p>
        </w:tc>
        <w:tc>
          <w:tcPr>
            <w:tcW w:w="937"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4.635 </w:t>
            </w:r>
          </w:p>
        </w:tc>
        <w:tc>
          <w:tcPr>
            <w:tcW w:w="937"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2.317 </w:t>
            </w:r>
          </w:p>
        </w:tc>
        <w:tc>
          <w:tcPr>
            <w:tcW w:w="937"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937"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-2.574 </w:t>
            </w:r>
          </w:p>
        </w:tc>
        <w:tc>
          <w:tcPr>
            <w:tcW w:w="937" w:type="dxa"/>
            <w:tcBorders>
              <w:top w:val="single" w:color="auto" w:sz="4" w:space="0"/>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-5.148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atLeast"/>
        </w:trPr>
        <w:tc>
          <w:tcPr>
            <w:tcW w:w="1318"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道路通达度</w:t>
            </w:r>
          </w:p>
        </w:tc>
        <w:tc>
          <w:tcPr>
            <w:tcW w:w="212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临近道路状况</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0.0753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0.898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0.449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-0.499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-0.998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trPr>
        <w:tc>
          <w:tcPr>
            <w:tcW w:w="1318"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公交便捷度</w:t>
            </w:r>
          </w:p>
        </w:tc>
        <w:tc>
          <w:tcPr>
            <w:tcW w:w="212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距最近公交站点（</w:t>
            </w:r>
            <w:r>
              <w:rPr>
                <w:rFonts w:hint="eastAsia"/>
                <w:color w:val="000000"/>
                <w:kern w:val="0"/>
                <w:szCs w:val="21"/>
                <w:lang/>
              </w:rPr>
              <w:t>轨道交通</w:t>
            </w:r>
            <w:r>
              <w:rPr>
                <w:color w:val="000000"/>
                <w:kern w:val="0"/>
                <w:szCs w:val="21"/>
                <w:lang/>
              </w:rPr>
              <w:t>站）距离</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0.0964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1.150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0.575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-0.639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-1.277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5" w:hRule="atLeast"/>
        </w:trPr>
        <w:tc>
          <w:tcPr>
            <w:tcW w:w="1318" w:type="dxa"/>
            <w:vMerge w:val="restart"/>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对外交通便利度</w:t>
            </w:r>
          </w:p>
        </w:tc>
        <w:tc>
          <w:tcPr>
            <w:tcW w:w="212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距最近长途汽车站距离</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0.0462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0.551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0.276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-0.306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12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距长沙火车站距离</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0.0163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0.194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0.097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-0.108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12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距长沙南高铁站距离</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0.0188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0.224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0.112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-0.125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vMerge w:val="restart"/>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基础设施完善度</w:t>
            </w:r>
          </w:p>
        </w:tc>
        <w:tc>
          <w:tcPr>
            <w:tcW w:w="212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排水状况</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0.556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0.278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-0.309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12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供水状况</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0.556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0.278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-0.309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12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供电状况</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0.556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0.278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-0.309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12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供气状况</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0.0466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0.556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0.278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-0.309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人口密度</w:t>
            </w:r>
          </w:p>
        </w:tc>
        <w:tc>
          <w:tcPr>
            <w:tcW w:w="2121"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人口程度</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0.0795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0.948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0.474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-0.527 </w:t>
            </w:r>
          </w:p>
        </w:tc>
        <w:tc>
          <w:tcPr>
            <w:tcW w:w="937" w:type="dxa"/>
            <w:tcBorders>
              <w:top w:val="nil"/>
              <w:left w:val="nil"/>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-1.053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城市规划</w:t>
            </w:r>
          </w:p>
        </w:tc>
        <w:tc>
          <w:tcPr>
            <w:tcW w:w="2121"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color w:val="000000"/>
                <w:kern w:val="0"/>
                <w:szCs w:val="21"/>
                <w:lang/>
              </w:rPr>
            </w:pPr>
            <w:r>
              <w:rPr>
                <w:color w:val="000000"/>
                <w:kern w:val="0"/>
                <w:szCs w:val="21"/>
                <w:lang/>
              </w:rPr>
              <w:t>用地规划</w:t>
            </w:r>
          </w:p>
        </w:tc>
        <w:tc>
          <w:tcPr>
            <w:tcW w:w="9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0.0463 </w:t>
            </w:r>
          </w:p>
        </w:tc>
        <w:tc>
          <w:tcPr>
            <w:tcW w:w="9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0.552 </w:t>
            </w:r>
          </w:p>
        </w:tc>
        <w:tc>
          <w:tcPr>
            <w:tcW w:w="9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0.276 </w:t>
            </w:r>
          </w:p>
        </w:tc>
        <w:tc>
          <w:tcPr>
            <w:tcW w:w="9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9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-0.307 </w:t>
            </w:r>
          </w:p>
        </w:tc>
        <w:tc>
          <w:tcPr>
            <w:tcW w:w="9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p>
        </w:tc>
        <w:tc>
          <w:tcPr>
            <w:tcW w:w="2121" w:type="dxa"/>
            <w:tcBorders>
              <w:top w:val="single" w:color="auto" w:sz="4" w:space="0"/>
              <w:left w:val="single" w:color="auto" w:sz="4" w:space="0"/>
              <w:bottom w:val="single" w:color="auto" w:sz="4" w:space="0"/>
              <w:right w:val="single" w:color="auto" w:sz="4" w:space="0"/>
            </w:tcBorders>
            <w:vAlign w:val="bottom"/>
          </w:tcPr>
          <w:p>
            <w:pPr>
              <w:widowControl/>
              <w:jc w:val="center"/>
              <w:textAlignment w:val="bottom"/>
              <w:rPr>
                <w:color w:val="000000"/>
                <w:kern w:val="0"/>
                <w:szCs w:val="21"/>
                <w:lang/>
              </w:rPr>
            </w:pPr>
            <w:r>
              <w:rPr>
                <w:color w:val="000000"/>
                <w:kern w:val="0"/>
                <w:szCs w:val="21"/>
                <w:lang/>
              </w:rPr>
              <w:t>道路规划</w:t>
            </w:r>
          </w:p>
        </w:tc>
        <w:tc>
          <w:tcPr>
            <w:tcW w:w="9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0.0463 </w:t>
            </w:r>
          </w:p>
        </w:tc>
        <w:tc>
          <w:tcPr>
            <w:tcW w:w="9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0.552 </w:t>
            </w:r>
          </w:p>
        </w:tc>
        <w:tc>
          <w:tcPr>
            <w:tcW w:w="9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0.276 </w:t>
            </w:r>
          </w:p>
        </w:tc>
        <w:tc>
          <w:tcPr>
            <w:tcW w:w="9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0.000 </w:t>
            </w:r>
          </w:p>
        </w:tc>
        <w:tc>
          <w:tcPr>
            <w:tcW w:w="9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-0.307 </w:t>
            </w:r>
          </w:p>
        </w:tc>
        <w:tc>
          <w:tcPr>
            <w:tcW w:w="9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color w:val="000000"/>
                <w:kern w:val="0"/>
                <w:szCs w:val="21"/>
                <w:lang/>
              </w:rPr>
            </w:pPr>
            <w:r>
              <w:rPr>
                <w:color w:val="000000"/>
                <w:kern w:val="0"/>
                <w:szCs w:val="21"/>
                <w:lang/>
              </w:rPr>
              <w:t xml:space="preserve">-0.613 </w:t>
            </w:r>
          </w:p>
        </w:tc>
      </w:tr>
    </w:tbl>
    <w:p>
      <w:pPr>
        <w:pStyle w:val="131"/>
        <w:spacing w:line="360" w:lineRule="auto"/>
        <w:ind w:firstLine="0" w:firstLineChars="0"/>
        <w:rPr>
          <w:rFonts w:ascii="Times New Roman" w:hAnsi="Times New Roman"/>
          <w:bCs w:val="0"/>
          <w:sz w:val="24"/>
          <w:szCs w:val="24"/>
        </w:rPr>
      </w:pPr>
      <w:r>
        <w:rPr>
          <w:rFonts w:ascii="Times New Roman" w:hAnsi="Times New Roman"/>
          <w:bCs w:val="0"/>
          <w:sz w:val="24"/>
          <w:szCs w:val="24"/>
        </w:rPr>
        <w:t>表4-3-10  长沙县Ⅴ级商服用地宗地地价区域因素修正系数指标说明表</w:t>
      </w:r>
    </w:p>
    <w:tbl>
      <w:tblPr>
        <w:tblW w:w="10125" w:type="dxa"/>
        <w:jc w:val="center"/>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919"/>
        <w:gridCol w:w="1591"/>
        <w:gridCol w:w="1083"/>
        <w:gridCol w:w="1675"/>
        <w:gridCol w:w="1310"/>
        <w:gridCol w:w="1381"/>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918" w:type="dxa"/>
            <w:vAlign w:val="center"/>
          </w:tcPr>
          <w:p>
            <w:pPr>
              <w:widowControl/>
              <w:jc w:val="center"/>
              <w:rPr>
                <w:b/>
                <w:bCs/>
                <w:color w:val="000000"/>
                <w:kern w:val="0"/>
                <w:szCs w:val="21"/>
              </w:rPr>
            </w:pPr>
            <w:bookmarkStart w:id="800" w:name="_Toc469296510"/>
            <w:bookmarkStart w:id="801" w:name="_Toc467846892"/>
            <w:r>
              <w:rPr>
                <w:b/>
                <w:bCs/>
                <w:color w:val="000000"/>
                <w:kern w:val="0"/>
                <w:szCs w:val="21"/>
              </w:rPr>
              <w:t>因素层</w:t>
            </w:r>
          </w:p>
        </w:tc>
        <w:tc>
          <w:tcPr>
            <w:tcW w:w="919" w:type="dxa"/>
            <w:vAlign w:val="center"/>
          </w:tcPr>
          <w:p>
            <w:pPr>
              <w:widowControl/>
              <w:jc w:val="center"/>
              <w:rPr>
                <w:b/>
                <w:bCs/>
                <w:color w:val="000000"/>
                <w:kern w:val="0"/>
                <w:szCs w:val="21"/>
              </w:rPr>
            </w:pPr>
            <w:r>
              <w:rPr>
                <w:b/>
                <w:bCs/>
                <w:color w:val="000000"/>
                <w:kern w:val="0"/>
                <w:szCs w:val="21"/>
              </w:rPr>
              <w:t>因子层</w:t>
            </w:r>
          </w:p>
        </w:tc>
        <w:tc>
          <w:tcPr>
            <w:tcW w:w="1591" w:type="dxa"/>
            <w:vAlign w:val="center"/>
          </w:tcPr>
          <w:p>
            <w:pPr>
              <w:widowControl/>
              <w:jc w:val="center"/>
              <w:rPr>
                <w:b/>
                <w:bCs/>
                <w:color w:val="000000"/>
                <w:kern w:val="0"/>
                <w:szCs w:val="21"/>
              </w:rPr>
            </w:pPr>
            <w:r>
              <w:rPr>
                <w:b/>
                <w:bCs/>
                <w:color w:val="000000"/>
                <w:kern w:val="0"/>
                <w:szCs w:val="21"/>
              </w:rPr>
              <w:t>指标层</w:t>
            </w:r>
          </w:p>
        </w:tc>
        <w:tc>
          <w:tcPr>
            <w:tcW w:w="1083" w:type="dxa"/>
            <w:vAlign w:val="center"/>
          </w:tcPr>
          <w:p>
            <w:pPr>
              <w:widowControl/>
              <w:jc w:val="center"/>
              <w:rPr>
                <w:b/>
                <w:bCs/>
                <w:kern w:val="0"/>
                <w:szCs w:val="21"/>
              </w:rPr>
            </w:pPr>
            <w:r>
              <w:rPr>
                <w:b/>
                <w:bCs/>
                <w:kern w:val="0"/>
                <w:szCs w:val="21"/>
              </w:rPr>
              <w:t>优</w:t>
            </w:r>
          </w:p>
        </w:tc>
        <w:tc>
          <w:tcPr>
            <w:tcW w:w="1675" w:type="dxa"/>
            <w:vAlign w:val="center"/>
          </w:tcPr>
          <w:p>
            <w:pPr>
              <w:widowControl/>
              <w:jc w:val="center"/>
              <w:rPr>
                <w:b/>
                <w:bCs/>
                <w:kern w:val="0"/>
                <w:szCs w:val="21"/>
              </w:rPr>
            </w:pPr>
            <w:r>
              <w:rPr>
                <w:b/>
                <w:bCs/>
                <w:kern w:val="0"/>
                <w:szCs w:val="21"/>
              </w:rPr>
              <w:t>较优</w:t>
            </w:r>
          </w:p>
        </w:tc>
        <w:tc>
          <w:tcPr>
            <w:tcW w:w="1310" w:type="dxa"/>
            <w:vAlign w:val="center"/>
          </w:tcPr>
          <w:p>
            <w:pPr>
              <w:widowControl/>
              <w:jc w:val="center"/>
              <w:rPr>
                <w:b/>
                <w:bCs/>
                <w:kern w:val="0"/>
                <w:szCs w:val="21"/>
              </w:rPr>
            </w:pPr>
            <w:r>
              <w:rPr>
                <w:b/>
                <w:bCs/>
                <w:kern w:val="0"/>
                <w:szCs w:val="21"/>
              </w:rPr>
              <w:t>一般</w:t>
            </w:r>
          </w:p>
        </w:tc>
        <w:tc>
          <w:tcPr>
            <w:tcW w:w="1381" w:type="dxa"/>
            <w:vAlign w:val="center"/>
          </w:tcPr>
          <w:p>
            <w:pPr>
              <w:widowControl/>
              <w:jc w:val="center"/>
              <w:rPr>
                <w:b/>
                <w:bCs/>
                <w:kern w:val="0"/>
                <w:szCs w:val="21"/>
              </w:rPr>
            </w:pPr>
            <w:r>
              <w:rPr>
                <w:b/>
                <w:bCs/>
                <w:kern w:val="0"/>
                <w:szCs w:val="21"/>
              </w:rPr>
              <w:t>较劣</w:t>
            </w:r>
          </w:p>
        </w:tc>
        <w:tc>
          <w:tcPr>
            <w:tcW w:w="1248" w:type="dxa"/>
            <w:vAlign w:val="center"/>
          </w:tcPr>
          <w:p>
            <w:pPr>
              <w:widowControl/>
              <w:jc w:val="center"/>
              <w:rPr>
                <w:b/>
                <w:bCs/>
                <w:kern w:val="0"/>
                <w:szCs w:val="21"/>
              </w:rPr>
            </w:pPr>
            <w:r>
              <w:rPr>
                <w:b/>
                <w:bCs/>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jc w:val="center"/>
        </w:trPr>
        <w:tc>
          <w:tcPr>
            <w:tcW w:w="918" w:type="dxa"/>
            <w:vAlign w:val="center"/>
          </w:tcPr>
          <w:p>
            <w:pPr>
              <w:widowControl/>
              <w:jc w:val="center"/>
              <w:textAlignment w:val="bottom"/>
              <w:rPr>
                <w:color w:val="000000"/>
                <w:kern w:val="0"/>
                <w:szCs w:val="21"/>
                <w:lang/>
              </w:rPr>
            </w:pPr>
            <w:r>
              <w:rPr>
                <w:color w:val="000000"/>
                <w:kern w:val="0"/>
                <w:szCs w:val="21"/>
                <w:lang/>
              </w:rPr>
              <w:t>繁华程度</w:t>
            </w:r>
          </w:p>
        </w:tc>
        <w:tc>
          <w:tcPr>
            <w:tcW w:w="919" w:type="dxa"/>
            <w:vAlign w:val="center"/>
          </w:tcPr>
          <w:p>
            <w:pPr>
              <w:widowControl/>
              <w:jc w:val="center"/>
              <w:textAlignment w:val="bottom"/>
              <w:rPr>
                <w:color w:val="000000"/>
                <w:kern w:val="0"/>
                <w:szCs w:val="21"/>
                <w:lang/>
              </w:rPr>
            </w:pPr>
            <w:r>
              <w:rPr>
                <w:color w:val="000000"/>
                <w:kern w:val="0"/>
                <w:szCs w:val="21"/>
                <w:lang/>
              </w:rPr>
              <w:t>商服繁华影响度</w:t>
            </w:r>
          </w:p>
        </w:tc>
        <w:tc>
          <w:tcPr>
            <w:tcW w:w="1591" w:type="dxa"/>
            <w:vAlign w:val="center"/>
          </w:tcPr>
          <w:p>
            <w:pPr>
              <w:widowControl/>
              <w:jc w:val="center"/>
              <w:textAlignment w:val="bottom"/>
              <w:rPr>
                <w:color w:val="000000"/>
                <w:kern w:val="0"/>
                <w:szCs w:val="21"/>
                <w:lang/>
              </w:rPr>
            </w:pPr>
            <w:r>
              <w:rPr>
                <w:color w:val="000000"/>
                <w:kern w:val="0"/>
                <w:szCs w:val="21"/>
                <w:lang/>
              </w:rPr>
              <w:t>距商服中心距离</w:t>
            </w:r>
          </w:p>
        </w:tc>
        <w:tc>
          <w:tcPr>
            <w:tcW w:w="1083" w:type="dxa"/>
            <w:vAlign w:val="center"/>
          </w:tcPr>
          <w:p>
            <w:pPr>
              <w:widowControl/>
              <w:jc w:val="center"/>
              <w:textAlignment w:val="bottom"/>
              <w:rPr>
                <w:color w:val="000000"/>
                <w:kern w:val="0"/>
                <w:szCs w:val="21"/>
                <w:lang/>
              </w:rPr>
            </w:pPr>
            <w:r>
              <w:rPr>
                <w:color w:val="000000"/>
                <w:kern w:val="0"/>
                <w:szCs w:val="21"/>
                <w:lang/>
              </w:rPr>
              <w:t>≤500</w:t>
            </w:r>
          </w:p>
        </w:tc>
        <w:tc>
          <w:tcPr>
            <w:tcW w:w="1675" w:type="dxa"/>
            <w:vAlign w:val="center"/>
          </w:tcPr>
          <w:p>
            <w:pPr>
              <w:widowControl/>
              <w:jc w:val="center"/>
              <w:textAlignment w:val="bottom"/>
              <w:rPr>
                <w:color w:val="000000"/>
                <w:kern w:val="0"/>
                <w:szCs w:val="21"/>
                <w:lang/>
              </w:rPr>
            </w:pPr>
            <w:r>
              <w:rPr>
                <w:color w:val="000000"/>
                <w:kern w:val="0"/>
                <w:szCs w:val="21"/>
                <w:lang/>
              </w:rPr>
              <w:t>500-2800</w:t>
            </w:r>
          </w:p>
        </w:tc>
        <w:tc>
          <w:tcPr>
            <w:tcW w:w="1310" w:type="dxa"/>
            <w:vAlign w:val="center"/>
          </w:tcPr>
          <w:p>
            <w:pPr>
              <w:widowControl/>
              <w:jc w:val="center"/>
              <w:textAlignment w:val="bottom"/>
              <w:rPr>
                <w:color w:val="000000"/>
                <w:kern w:val="0"/>
                <w:szCs w:val="21"/>
                <w:lang/>
              </w:rPr>
            </w:pPr>
            <w:r>
              <w:rPr>
                <w:color w:val="000000"/>
                <w:kern w:val="0"/>
                <w:szCs w:val="21"/>
                <w:lang/>
              </w:rPr>
              <w:t>2800-4000</w:t>
            </w:r>
          </w:p>
        </w:tc>
        <w:tc>
          <w:tcPr>
            <w:tcW w:w="1381" w:type="dxa"/>
            <w:vAlign w:val="center"/>
          </w:tcPr>
          <w:p>
            <w:pPr>
              <w:widowControl/>
              <w:jc w:val="center"/>
              <w:textAlignment w:val="bottom"/>
              <w:rPr>
                <w:color w:val="000000"/>
                <w:kern w:val="0"/>
                <w:szCs w:val="21"/>
                <w:lang/>
              </w:rPr>
            </w:pPr>
            <w:r>
              <w:rPr>
                <w:color w:val="000000"/>
                <w:kern w:val="0"/>
                <w:szCs w:val="21"/>
                <w:lang/>
              </w:rPr>
              <w:t>4000-6000</w:t>
            </w:r>
          </w:p>
        </w:tc>
        <w:tc>
          <w:tcPr>
            <w:tcW w:w="1248" w:type="dxa"/>
            <w:vAlign w:val="center"/>
          </w:tcPr>
          <w:p>
            <w:pPr>
              <w:widowControl/>
              <w:jc w:val="center"/>
              <w:textAlignment w:val="bottom"/>
              <w:rPr>
                <w:color w:val="000000"/>
                <w:kern w:val="0"/>
                <w:szCs w:val="21"/>
                <w:lang/>
              </w:rPr>
            </w:pPr>
            <w:r>
              <w:rPr>
                <w:color w:val="000000"/>
                <w:kern w:val="0"/>
                <w:szCs w:val="21"/>
                <w:lang/>
              </w:rPr>
              <w:t>&gt;6000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jc w:val="center"/>
        </w:trPr>
        <w:tc>
          <w:tcPr>
            <w:tcW w:w="918" w:type="dxa"/>
            <w:vMerge w:val="restart"/>
            <w:vAlign w:val="center"/>
          </w:tcPr>
          <w:p>
            <w:pPr>
              <w:widowControl/>
              <w:jc w:val="center"/>
              <w:textAlignment w:val="bottom"/>
              <w:rPr>
                <w:color w:val="000000"/>
                <w:kern w:val="0"/>
                <w:szCs w:val="21"/>
                <w:lang/>
              </w:rPr>
            </w:pPr>
            <w:r>
              <w:rPr>
                <w:color w:val="000000"/>
                <w:kern w:val="0"/>
                <w:szCs w:val="21"/>
                <w:lang/>
              </w:rPr>
              <w:t>交通条件</w:t>
            </w:r>
          </w:p>
        </w:tc>
        <w:tc>
          <w:tcPr>
            <w:tcW w:w="919" w:type="dxa"/>
            <w:vAlign w:val="center"/>
          </w:tcPr>
          <w:p>
            <w:pPr>
              <w:widowControl/>
              <w:jc w:val="center"/>
              <w:textAlignment w:val="bottom"/>
              <w:rPr>
                <w:color w:val="000000"/>
                <w:kern w:val="0"/>
                <w:szCs w:val="21"/>
                <w:lang/>
              </w:rPr>
            </w:pPr>
            <w:r>
              <w:rPr>
                <w:color w:val="000000"/>
                <w:kern w:val="0"/>
                <w:szCs w:val="21"/>
                <w:lang/>
              </w:rPr>
              <w:t>道路通达度</w:t>
            </w:r>
          </w:p>
        </w:tc>
        <w:tc>
          <w:tcPr>
            <w:tcW w:w="1591" w:type="dxa"/>
            <w:vAlign w:val="center"/>
          </w:tcPr>
          <w:p>
            <w:pPr>
              <w:widowControl/>
              <w:jc w:val="center"/>
              <w:textAlignment w:val="bottom"/>
              <w:rPr>
                <w:color w:val="000000"/>
                <w:kern w:val="0"/>
                <w:szCs w:val="21"/>
                <w:lang/>
              </w:rPr>
            </w:pPr>
            <w:r>
              <w:rPr>
                <w:color w:val="000000"/>
                <w:kern w:val="0"/>
                <w:szCs w:val="21"/>
                <w:lang/>
              </w:rPr>
              <w:t>临近道路状况</w:t>
            </w:r>
          </w:p>
        </w:tc>
        <w:tc>
          <w:tcPr>
            <w:tcW w:w="1083" w:type="dxa"/>
            <w:vAlign w:val="center"/>
          </w:tcPr>
          <w:p>
            <w:pPr>
              <w:widowControl/>
              <w:jc w:val="center"/>
              <w:textAlignment w:val="bottom"/>
              <w:rPr>
                <w:color w:val="000000"/>
                <w:kern w:val="0"/>
                <w:szCs w:val="21"/>
                <w:lang/>
              </w:rPr>
            </w:pPr>
            <w:r>
              <w:rPr>
                <w:color w:val="000000"/>
                <w:kern w:val="0"/>
                <w:szCs w:val="21"/>
                <w:lang/>
              </w:rPr>
              <w:t>临繁华主干道</w:t>
            </w:r>
          </w:p>
        </w:tc>
        <w:tc>
          <w:tcPr>
            <w:tcW w:w="1675" w:type="dxa"/>
            <w:vAlign w:val="center"/>
          </w:tcPr>
          <w:p>
            <w:pPr>
              <w:widowControl/>
              <w:jc w:val="center"/>
              <w:textAlignment w:val="bottom"/>
              <w:rPr>
                <w:color w:val="000000"/>
                <w:kern w:val="0"/>
                <w:szCs w:val="21"/>
                <w:lang/>
              </w:rPr>
            </w:pPr>
            <w:r>
              <w:rPr>
                <w:color w:val="000000"/>
                <w:kern w:val="0"/>
                <w:szCs w:val="21"/>
                <w:lang/>
              </w:rPr>
              <w:t>临主干道</w:t>
            </w:r>
          </w:p>
        </w:tc>
        <w:tc>
          <w:tcPr>
            <w:tcW w:w="1310" w:type="dxa"/>
            <w:vAlign w:val="center"/>
          </w:tcPr>
          <w:p>
            <w:pPr>
              <w:widowControl/>
              <w:jc w:val="center"/>
              <w:textAlignment w:val="bottom"/>
              <w:rPr>
                <w:color w:val="000000"/>
                <w:kern w:val="0"/>
                <w:szCs w:val="21"/>
                <w:lang/>
              </w:rPr>
            </w:pPr>
            <w:r>
              <w:rPr>
                <w:color w:val="000000"/>
                <w:kern w:val="0"/>
                <w:szCs w:val="21"/>
                <w:lang/>
              </w:rPr>
              <w:t>临繁华次干道</w:t>
            </w:r>
          </w:p>
        </w:tc>
        <w:tc>
          <w:tcPr>
            <w:tcW w:w="1381" w:type="dxa"/>
            <w:vAlign w:val="center"/>
          </w:tcPr>
          <w:p>
            <w:pPr>
              <w:widowControl/>
              <w:jc w:val="center"/>
              <w:textAlignment w:val="bottom"/>
              <w:rPr>
                <w:color w:val="000000"/>
                <w:kern w:val="0"/>
                <w:szCs w:val="21"/>
                <w:lang/>
              </w:rPr>
            </w:pPr>
            <w:r>
              <w:rPr>
                <w:color w:val="000000"/>
                <w:kern w:val="0"/>
                <w:szCs w:val="21"/>
                <w:lang/>
              </w:rPr>
              <w:t>临次干道</w:t>
            </w:r>
          </w:p>
        </w:tc>
        <w:tc>
          <w:tcPr>
            <w:tcW w:w="1248" w:type="dxa"/>
            <w:vAlign w:val="center"/>
          </w:tcPr>
          <w:p>
            <w:pPr>
              <w:widowControl/>
              <w:jc w:val="center"/>
              <w:textAlignment w:val="bottom"/>
              <w:rPr>
                <w:color w:val="000000"/>
                <w:kern w:val="0"/>
                <w:szCs w:val="21"/>
                <w:lang/>
              </w:rPr>
            </w:pPr>
            <w:r>
              <w:rPr>
                <w:color w:val="000000"/>
                <w:kern w:val="0"/>
                <w:szCs w:val="21"/>
                <w:lang/>
              </w:rPr>
              <w:t>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jc w:val="center"/>
        </w:trPr>
        <w:tc>
          <w:tcPr>
            <w:tcW w:w="918" w:type="dxa"/>
            <w:vMerge w:val="continue"/>
            <w:vAlign w:val="center"/>
          </w:tcPr>
          <w:p>
            <w:pPr>
              <w:widowControl/>
              <w:jc w:val="center"/>
              <w:textAlignment w:val="bottom"/>
              <w:rPr>
                <w:color w:val="000000"/>
                <w:kern w:val="0"/>
                <w:szCs w:val="21"/>
                <w:lang/>
              </w:rPr>
            </w:pPr>
          </w:p>
        </w:tc>
        <w:tc>
          <w:tcPr>
            <w:tcW w:w="919" w:type="dxa"/>
            <w:vAlign w:val="center"/>
          </w:tcPr>
          <w:p>
            <w:pPr>
              <w:widowControl/>
              <w:jc w:val="center"/>
              <w:textAlignment w:val="bottom"/>
              <w:rPr>
                <w:color w:val="000000"/>
                <w:kern w:val="0"/>
                <w:szCs w:val="21"/>
                <w:lang/>
              </w:rPr>
            </w:pPr>
            <w:r>
              <w:rPr>
                <w:color w:val="000000"/>
                <w:kern w:val="0"/>
                <w:szCs w:val="21"/>
                <w:lang/>
              </w:rPr>
              <w:t>公交便捷度</w:t>
            </w:r>
          </w:p>
        </w:tc>
        <w:tc>
          <w:tcPr>
            <w:tcW w:w="1591" w:type="dxa"/>
            <w:vAlign w:val="center"/>
          </w:tcPr>
          <w:p>
            <w:pPr>
              <w:widowControl/>
              <w:jc w:val="center"/>
              <w:textAlignment w:val="bottom"/>
              <w:rPr>
                <w:color w:val="000000"/>
                <w:kern w:val="0"/>
                <w:szCs w:val="21"/>
                <w:lang/>
              </w:rPr>
            </w:pPr>
            <w:r>
              <w:rPr>
                <w:color w:val="000000"/>
                <w:kern w:val="0"/>
                <w:szCs w:val="21"/>
                <w:lang/>
              </w:rPr>
              <w:t>距最近公交站点（</w:t>
            </w:r>
            <w:r>
              <w:rPr>
                <w:rFonts w:hint="eastAsia"/>
                <w:color w:val="000000"/>
                <w:kern w:val="0"/>
                <w:szCs w:val="21"/>
                <w:lang/>
              </w:rPr>
              <w:t>轨道交通</w:t>
            </w:r>
            <w:r>
              <w:rPr>
                <w:color w:val="000000"/>
                <w:kern w:val="0"/>
                <w:szCs w:val="21"/>
                <w:lang/>
              </w:rPr>
              <w:t>站）距离</w:t>
            </w:r>
          </w:p>
        </w:tc>
        <w:tc>
          <w:tcPr>
            <w:tcW w:w="1083" w:type="dxa"/>
            <w:vAlign w:val="center"/>
          </w:tcPr>
          <w:p>
            <w:pPr>
              <w:widowControl/>
              <w:jc w:val="center"/>
              <w:textAlignment w:val="bottom"/>
              <w:rPr>
                <w:color w:val="000000"/>
                <w:kern w:val="0"/>
                <w:szCs w:val="21"/>
                <w:lang/>
              </w:rPr>
            </w:pPr>
            <w:r>
              <w:rPr>
                <w:color w:val="000000"/>
                <w:kern w:val="0"/>
                <w:szCs w:val="21"/>
                <w:lang/>
              </w:rPr>
              <w:t>≤200</w:t>
            </w:r>
          </w:p>
        </w:tc>
        <w:tc>
          <w:tcPr>
            <w:tcW w:w="1675" w:type="dxa"/>
            <w:vAlign w:val="center"/>
          </w:tcPr>
          <w:p>
            <w:pPr>
              <w:widowControl/>
              <w:jc w:val="center"/>
              <w:textAlignment w:val="bottom"/>
              <w:rPr>
                <w:color w:val="000000"/>
                <w:kern w:val="0"/>
                <w:szCs w:val="21"/>
                <w:lang/>
              </w:rPr>
            </w:pPr>
            <w:r>
              <w:rPr>
                <w:color w:val="000000"/>
                <w:kern w:val="0"/>
                <w:szCs w:val="21"/>
                <w:lang/>
              </w:rPr>
              <w:t>200-350</w:t>
            </w:r>
          </w:p>
        </w:tc>
        <w:tc>
          <w:tcPr>
            <w:tcW w:w="1310" w:type="dxa"/>
            <w:vAlign w:val="center"/>
          </w:tcPr>
          <w:p>
            <w:pPr>
              <w:widowControl/>
              <w:jc w:val="center"/>
              <w:textAlignment w:val="bottom"/>
              <w:rPr>
                <w:color w:val="000000"/>
                <w:kern w:val="0"/>
                <w:szCs w:val="21"/>
                <w:lang/>
              </w:rPr>
            </w:pPr>
            <w:r>
              <w:rPr>
                <w:color w:val="000000"/>
                <w:kern w:val="0"/>
                <w:szCs w:val="21"/>
                <w:lang/>
              </w:rPr>
              <w:t>350-500</w:t>
            </w:r>
          </w:p>
        </w:tc>
        <w:tc>
          <w:tcPr>
            <w:tcW w:w="1381" w:type="dxa"/>
            <w:vAlign w:val="center"/>
          </w:tcPr>
          <w:p>
            <w:pPr>
              <w:widowControl/>
              <w:jc w:val="center"/>
              <w:textAlignment w:val="bottom"/>
              <w:rPr>
                <w:color w:val="000000"/>
                <w:kern w:val="0"/>
                <w:szCs w:val="21"/>
                <w:lang/>
              </w:rPr>
            </w:pPr>
            <w:r>
              <w:rPr>
                <w:color w:val="000000"/>
                <w:kern w:val="0"/>
                <w:szCs w:val="21"/>
                <w:lang/>
              </w:rPr>
              <w:t>500-700</w:t>
            </w:r>
          </w:p>
        </w:tc>
        <w:tc>
          <w:tcPr>
            <w:tcW w:w="1248" w:type="dxa"/>
            <w:vAlign w:val="center"/>
          </w:tcPr>
          <w:p>
            <w:pPr>
              <w:widowControl/>
              <w:jc w:val="center"/>
              <w:textAlignment w:val="bottom"/>
              <w:rPr>
                <w:color w:val="000000"/>
                <w:kern w:val="0"/>
                <w:szCs w:val="21"/>
                <w:lang/>
              </w:rPr>
            </w:pPr>
            <w:r>
              <w:rPr>
                <w:color w:val="000000"/>
                <w:kern w:val="0"/>
                <w:szCs w:val="21"/>
                <w:lang/>
              </w:rPr>
              <w:t>&gt;700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918" w:type="dxa"/>
            <w:vMerge w:val="continue"/>
            <w:vAlign w:val="center"/>
          </w:tcPr>
          <w:p>
            <w:pPr>
              <w:widowControl/>
              <w:jc w:val="center"/>
              <w:textAlignment w:val="bottom"/>
              <w:rPr>
                <w:color w:val="000000"/>
                <w:kern w:val="0"/>
                <w:szCs w:val="21"/>
                <w:lang/>
              </w:rPr>
            </w:pPr>
          </w:p>
        </w:tc>
        <w:tc>
          <w:tcPr>
            <w:tcW w:w="919" w:type="dxa"/>
            <w:vMerge w:val="restart"/>
            <w:vAlign w:val="center"/>
          </w:tcPr>
          <w:p>
            <w:pPr>
              <w:widowControl/>
              <w:jc w:val="center"/>
              <w:textAlignment w:val="bottom"/>
              <w:rPr>
                <w:color w:val="000000"/>
                <w:kern w:val="0"/>
                <w:szCs w:val="21"/>
                <w:lang/>
              </w:rPr>
            </w:pPr>
            <w:r>
              <w:rPr>
                <w:color w:val="000000"/>
                <w:kern w:val="0"/>
                <w:szCs w:val="21"/>
                <w:lang/>
              </w:rPr>
              <w:t>对外交通便利度</w:t>
            </w:r>
          </w:p>
        </w:tc>
        <w:tc>
          <w:tcPr>
            <w:tcW w:w="1591" w:type="dxa"/>
            <w:vAlign w:val="center"/>
          </w:tcPr>
          <w:p>
            <w:pPr>
              <w:widowControl/>
              <w:jc w:val="center"/>
              <w:textAlignment w:val="bottom"/>
              <w:rPr>
                <w:color w:val="000000"/>
                <w:kern w:val="0"/>
                <w:szCs w:val="21"/>
                <w:lang/>
              </w:rPr>
            </w:pPr>
            <w:r>
              <w:rPr>
                <w:color w:val="000000"/>
                <w:kern w:val="0"/>
                <w:szCs w:val="21"/>
                <w:lang/>
              </w:rPr>
              <w:t>距最近长途汽车站距离</w:t>
            </w:r>
          </w:p>
        </w:tc>
        <w:tc>
          <w:tcPr>
            <w:tcW w:w="1083" w:type="dxa"/>
            <w:vAlign w:val="center"/>
          </w:tcPr>
          <w:p>
            <w:pPr>
              <w:widowControl/>
              <w:jc w:val="center"/>
              <w:textAlignment w:val="bottom"/>
              <w:rPr>
                <w:color w:val="000000"/>
                <w:kern w:val="0"/>
                <w:szCs w:val="21"/>
                <w:lang/>
              </w:rPr>
            </w:pPr>
            <w:r>
              <w:rPr>
                <w:color w:val="000000"/>
                <w:kern w:val="0"/>
                <w:szCs w:val="21"/>
                <w:lang/>
              </w:rPr>
              <w:t>≤6000</w:t>
            </w:r>
          </w:p>
        </w:tc>
        <w:tc>
          <w:tcPr>
            <w:tcW w:w="1675" w:type="dxa"/>
            <w:vAlign w:val="center"/>
          </w:tcPr>
          <w:p>
            <w:pPr>
              <w:widowControl/>
              <w:jc w:val="center"/>
              <w:textAlignment w:val="bottom"/>
              <w:rPr>
                <w:color w:val="000000"/>
                <w:kern w:val="0"/>
                <w:szCs w:val="21"/>
                <w:lang/>
              </w:rPr>
            </w:pPr>
            <w:r>
              <w:rPr>
                <w:color w:val="000000"/>
                <w:kern w:val="0"/>
                <w:szCs w:val="21"/>
                <w:lang/>
              </w:rPr>
              <w:t>6000-7000</w:t>
            </w:r>
          </w:p>
        </w:tc>
        <w:tc>
          <w:tcPr>
            <w:tcW w:w="1310" w:type="dxa"/>
            <w:vAlign w:val="center"/>
          </w:tcPr>
          <w:p>
            <w:pPr>
              <w:widowControl/>
              <w:jc w:val="center"/>
              <w:textAlignment w:val="bottom"/>
              <w:rPr>
                <w:color w:val="000000"/>
                <w:kern w:val="0"/>
                <w:szCs w:val="21"/>
                <w:lang/>
              </w:rPr>
            </w:pPr>
            <w:r>
              <w:rPr>
                <w:color w:val="000000"/>
                <w:kern w:val="0"/>
                <w:szCs w:val="21"/>
                <w:lang/>
              </w:rPr>
              <w:t>7000-8000</w:t>
            </w:r>
          </w:p>
        </w:tc>
        <w:tc>
          <w:tcPr>
            <w:tcW w:w="1381" w:type="dxa"/>
            <w:vAlign w:val="center"/>
          </w:tcPr>
          <w:p>
            <w:pPr>
              <w:widowControl/>
              <w:jc w:val="center"/>
              <w:textAlignment w:val="bottom"/>
              <w:rPr>
                <w:color w:val="000000"/>
                <w:kern w:val="0"/>
                <w:szCs w:val="21"/>
                <w:lang/>
              </w:rPr>
            </w:pPr>
            <w:r>
              <w:rPr>
                <w:color w:val="000000"/>
                <w:kern w:val="0"/>
                <w:szCs w:val="21"/>
                <w:lang/>
              </w:rPr>
              <w:t>8000-10000</w:t>
            </w:r>
          </w:p>
        </w:tc>
        <w:tc>
          <w:tcPr>
            <w:tcW w:w="1248" w:type="dxa"/>
            <w:vAlign w:val="center"/>
          </w:tcPr>
          <w:p>
            <w:pPr>
              <w:widowControl/>
              <w:jc w:val="center"/>
              <w:textAlignment w:val="bottom"/>
              <w:rPr>
                <w:color w:val="000000"/>
                <w:kern w:val="0"/>
                <w:szCs w:val="21"/>
                <w:lang/>
              </w:rPr>
            </w:pPr>
            <w:r>
              <w:rPr>
                <w:color w:val="000000"/>
                <w:kern w:val="0"/>
                <w:szCs w:val="21"/>
                <w:lang/>
              </w:rPr>
              <w:t>&gt;10000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918" w:type="dxa"/>
            <w:vMerge w:val="continue"/>
            <w:vAlign w:val="center"/>
          </w:tcPr>
          <w:p>
            <w:pPr>
              <w:widowControl/>
              <w:jc w:val="center"/>
              <w:textAlignment w:val="bottom"/>
              <w:rPr>
                <w:color w:val="000000"/>
                <w:kern w:val="0"/>
                <w:szCs w:val="21"/>
                <w:lang/>
              </w:rPr>
            </w:pPr>
          </w:p>
        </w:tc>
        <w:tc>
          <w:tcPr>
            <w:tcW w:w="919" w:type="dxa"/>
            <w:vMerge w:val="continue"/>
            <w:vAlign w:val="center"/>
          </w:tcPr>
          <w:p>
            <w:pPr>
              <w:widowControl/>
              <w:jc w:val="center"/>
              <w:textAlignment w:val="bottom"/>
              <w:rPr>
                <w:color w:val="000000"/>
                <w:kern w:val="0"/>
                <w:szCs w:val="21"/>
                <w:lang/>
              </w:rPr>
            </w:pPr>
          </w:p>
        </w:tc>
        <w:tc>
          <w:tcPr>
            <w:tcW w:w="1591" w:type="dxa"/>
            <w:vAlign w:val="center"/>
          </w:tcPr>
          <w:p>
            <w:pPr>
              <w:widowControl/>
              <w:jc w:val="center"/>
              <w:textAlignment w:val="bottom"/>
              <w:rPr>
                <w:color w:val="000000"/>
                <w:kern w:val="0"/>
                <w:szCs w:val="21"/>
                <w:lang/>
              </w:rPr>
            </w:pPr>
            <w:r>
              <w:rPr>
                <w:color w:val="000000"/>
                <w:kern w:val="0"/>
                <w:szCs w:val="21"/>
                <w:lang/>
              </w:rPr>
              <w:t>距长沙火车站距离</w:t>
            </w:r>
          </w:p>
        </w:tc>
        <w:tc>
          <w:tcPr>
            <w:tcW w:w="1083" w:type="dxa"/>
            <w:vAlign w:val="center"/>
          </w:tcPr>
          <w:p>
            <w:pPr>
              <w:widowControl/>
              <w:jc w:val="center"/>
              <w:textAlignment w:val="bottom"/>
              <w:rPr>
                <w:color w:val="000000"/>
                <w:kern w:val="0"/>
                <w:szCs w:val="21"/>
                <w:lang/>
              </w:rPr>
            </w:pPr>
            <w:r>
              <w:rPr>
                <w:color w:val="000000"/>
                <w:kern w:val="0"/>
                <w:szCs w:val="21"/>
                <w:lang/>
              </w:rPr>
              <w:t>&lt;5000</w:t>
            </w:r>
          </w:p>
        </w:tc>
        <w:tc>
          <w:tcPr>
            <w:tcW w:w="1675" w:type="dxa"/>
            <w:vAlign w:val="center"/>
          </w:tcPr>
          <w:p>
            <w:pPr>
              <w:widowControl/>
              <w:jc w:val="center"/>
              <w:textAlignment w:val="bottom"/>
              <w:rPr>
                <w:color w:val="000000"/>
                <w:kern w:val="0"/>
                <w:szCs w:val="21"/>
                <w:lang/>
              </w:rPr>
            </w:pPr>
            <w:r>
              <w:rPr>
                <w:color w:val="000000"/>
                <w:kern w:val="0"/>
                <w:szCs w:val="21"/>
                <w:lang/>
              </w:rPr>
              <w:t>5000-7000</w:t>
            </w:r>
          </w:p>
        </w:tc>
        <w:tc>
          <w:tcPr>
            <w:tcW w:w="1310" w:type="dxa"/>
            <w:vAlign w:val="center"/>
          </w:tcPr>
          <w:p>
            <w:pPr>
              <w:widowControl/>
              <w:jc w:val="center"/>
              <w:textAlignment w:val="bottom"/>
              <w:rPr>
                <w:color w:val="000000"/>
                <w:kern w:val="0"/>
                <w:szCs w:val="21"/>
                <w:lang/>
              </w:rPr>
            </w:pPr>
            <w:r>
              <w:rPr>
                <w:color w:val="000000"/>
                <w:kern w:val="0"/>
                <w:szCs w:val="21"/>
                <w:lang/>
              </w:rPr>
              <w:t>7000-8500</w:t>
            </w:r>
          </w:p>
        </w:tc>
        <w:tc>
          <w:tcPr>
            <w:tcW w:w="1381" w:type="dxa"/>
            <w:vAlign w:val="center"/>
          </w:tcPr>
          <w:p>
            <w:pPr>
              <w:widowControl/>
              <w:jc w:val="center"/>
              <w:textAlignment w:val="bottom"/>
              <w:rPr>
                <w:color w:val="000000"/>
                <w:kern w:val="0"/>
                <w:szCs w:val="21"/>
                <w:lang/>
              </w:rPr>
            </w:pPr>
            <w:r>
              <w:rPr>
                <w:color w:val="000000"/>
                <w:kern w:val="0"/>
                <w:szCs w:val="21"/>
                <w:lang/>
              </w:rPr>
              <w:t>8500-12000</w:t>
            </w:r>
          </w:p>
        </w:tc>
        <w:tc>
          <w:tcPr>
            <w:tcW w:w="1248" w:type="dxa"/>
            <w:vAlign w:val="center"/>
          </w:tcPr>
          <w:p>
            <w:pPr>
              <w:widowControl/>
              <w:jc w:val="center"/>
              <w:textAlignment w:val="bottom"/>
              <w:rPr>
                <w:color w:val="000000"/>
                <w:kern w:val="0"/>
                <w:szCs w:val="21"/>
                <w:lang/>
              </w:rPr>
            </w:pPr>
            <w:r>
              <w:rPr>
                <w:color w:val="000000"/>
                <w:kern w:val="0"/>
                <w:szCs w:val="21"/>
                <w:lang/>
              </w:rPr>
              <w:t>&gt;12000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918" w:type="dxa"/>
            <w:vMerge w:val="continue"/>
            <w:vAlign w:val="center"/>
          </w:tcPr>
          <w:p>
            <w:pPr>
              <w:widowControl/>
              <w:jc w:val="center"/>
              <w:textAlignment w:val="bottom"/>
              <w:rPr>
                <w:color w:val="000000"/>
                <w:kern w:val="0"/>
                <w:szCs w:val="21"/>
                <w:lang/>
              </w:rPr>
            </w:pPr>
          </w:p>
        </w:tc>
        <w:tc>
          <w:tcPr>
            <w:tcW w:w="919" w:type="dxa"/>
            <w:vMerge w:val="continue"/>
            <w:vAlign w:val="center"/>
          </w:tcPr>
          <w:p>
            <w:pPr>
              <w:widowControl/>
              <w:jc w:val="center"/>
              <w:textAlignment w:val="bottom"/>
              <w:rPr>
                <w:color w:val="000000"/>
                <w:kern w:val="0"/>
                <w:szCs w:val="21"/>
                <w:lang/>
              </w:rPr>
            </w:pPr>
          </w:p>
        </w:tc>
        <w:tc>
          <w:tcPr>
            <w:tcW w:w="1591" w:type="dxa"/>
            <w:vAlign w:val="center"/>
          </w:tcPr>
          <w:p>
            <w:pPr>
              <w:widowControl/>
              <w:jc w:val="center"/>
              <w:textAlignment w:val="bottom"/>
              <w:rPr>
                <w:color w:val="000000"/>
                <w:kern w:val="0"/>
                <w:szCs w:val="21"/>
                <w:lang/>
              </w:rPr>
            </w:pPr>
            <w:r>
              <w:rPr>
                <w:color w:val="000000"/>
                <w:kern w:val="0"/>
                <w:szCs w:val="21"/>
                <w:lang/>
              </w:rPr>
              <w:t>距长沙南高铁站距离</w:t>
            </w:r>
          </w:p>
        </w:tc>
        <w:tc>
          <w:tcPr>
            <w:tcW w:w="1083" w:type="dxa"/>
            <w:vAlign w:val="center"/>
          </w:tcPr>
          <w:p>
            <w:pPr>
              <w:widowControl/>
              <w:jc w:val="center"/>
              <w:textAlignment w:val="bottom"/>
              <w:rPr>
                <w:color w:val="000000"/>
                <w:kern w:val="0"/>
                <w:szCs w:val="21"/>
                <w:lang/>
              </w:rPr>
            </w:pPr>
            <w:r>
              <w:rPr>
                <w:color w:val="000000"/>
                <w:kern w:val="0"/>
                <w:szCs w:val="21"/>
                <w:lang/>
              </w:rPr>
              <w:t>&lt;20000</w:t>
            </w:r>
          </w:p>
        </w:tc>
        <w:tc>
          <w:tcPr>
            <w:tcW w:w="1675" w:type="dxa"/>
            <w:vAlign w:val="center"/>
          </w:tcPr>
          <w:p>
            <w:pPr>
              <w:widowControl/>
              <w:jc w:val="center"/>
              <w:textAlignment w:val="bottom"/>
              <w:rPr>
                <w:color w:val="000000"/>
                <w:kern w:val="0"/>
                <w:szCs w:val="21"/>
                <w:lang/>
              </w:rPr>
            </w:pPr>
            <w:r>
              <w:rPr>
                <w:color w:val="000000"/>
                <w:kern w:val="0"/>
                <w:szCs w:val="21"/>
                <w:lang/>
              </w:rPr>
              <w:t>20000-23000</w:t>
            </w:r>
          </w:p>
        </w:tc>
        <w:tc>
          <w:tcPr>
            <w:tcW w:w="1310" w:type="dxa"/>
            <w:vAlign w:val="center"/>
          </w:tcPr>
          <w:p>
            <w:pPr>
              <w:widowControl/>
              <w:jc w:val="center"/>
              <w:textAlignment w:val="bottom"/>
              <w:rPr>
                <w:color w:val="000000"/>
                <w:kern w:val="0"/>
                <w:szCs w:val="21"/>
                <w:lang/>
              </w:rPr>
            </w:pPr>
            <w:r>
              <w:rPr>
                <w:color w:val="000000"/>
                <w:kern w:val="0"/>
                <w:szCs w:val="21"/>
                <w:lang/>
              </w:rPr>
              <w:t>23000-27000</w:t>
            </w:r>
          </w:p>
        </w:tc>
        <w:tc>
          <w:tcPr>
            <w:tcW w:w="1381" w:type="dxa"/>
            <w:vAlign w:val="center"/>
          </w:tcPr>
          <w:p>
            <w:pPr>
              <w:widowControl/>
              <w:jc w:val="center"/>
              <w:textAlignment w:val="bottom"/>
              <w:rPr>
                <w:color w:val="000000"/>
                <w:kern w:val="0"/>
                <w:szCs w:val="21"/>
                <w:lang/>
              </w:rPr>
            </w:pPr>
            <w:r>
              <w:rPr>
                <w:color w:val="000000"/>
                <w:kern w:val="0"/>
                <w:szCs w:val="21"/>
                <w:lang/>
              </w:rPr>
              <w:t>27000-30000</w:t>
            </w:r>
          </w:p>
        </w:tc>
        <w:tc>
          <w:tcPr>
            <w:tcW w:w="1248" w:type="dxa"/>
            <w:vAlign w:val="center"/>
          </w:tcPr>
          <w:p>
            <w:pPr>
              <w:widowControl/>
              <w:jc w:val="center"/>
              <w:textAlignment w:val="bottom"/>
              <w:rPr>
                <w:color w:val="000000"/>
                <w:kern w:val="0"/>
                <w:szCs w:val="21"/>
                <w:lang/>
              </w:rPr>
            </w:pPr>
            <w:r>
              <w:rPr>
                <w:color w:val="000000"/>
                <w:kern w:val="0"/>
                <w:szCs w:val="21"/>
                <w:lang/>
              </w:rPr>
              <w:t>&gt;30000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918" w:type="dxa"/>
            <w:vMerge w:val="restart"/>
            <w:vAlign w:val="center"/>
          </w:tcPr>
          <w:p>
            <w:pPr>
              <w:widowControl/>
              <w:jc w:val="center"/>
              <w:textAlignment w:val="bottom"/>
              <w:rPr>
                <w:color w:val="000000"/>
                <w:kern w:val="0"/>
                <w:szCs w:val="21"/>
                <w:lang/>
              </w:rPr>
            </w:pPr>
            <w:r>
              <w:rPr>
                <w:color w:val="000000"/>
                <w:kern w:val="0"/>
                <w:szCs w:val="21"/>
                <w:lang/>
              </w:rPr>
              <w:t>基本设施状况</w:t>
            </w:r>
          </w:p>
        </w:tc>
        <w:tc>
          <w:tcPr>
            <w:tcW w:w="919" w:type="dxa"/>
            <w:vMerge w:val="restart"/>
            <w:vAlign w:val="center"/>
          </w:tcPr>
          <w:p>
            <w:pPr>
              <w:widowControl/>
              <w:jc w:val="center"/>
              <w:textAlignment w:val="bottom"/>
              <w:rPr>
                <w:color w:val="000000"/>
                <w:kern w:val="0"/>
                <w:szCs w:val="21"/>
                <w:lang/>
              </w:rPr>
            </w:pPr>
            <w:r>
              <w:rPr>
                <w:color w:val="000000"/>
                <w:kern w:val="0"/>
                <w:szCs w:val="21"/>
                <w:lang/>
              </w:rPr>
              <w:t>基础设施完善度</w:t>
            </w:r>
          </w:p>
        </w:tc>
        <w:tc>
          <w:tcPr>
            <w:tcW w:w="1591" w:type="dxa"/>
            <w:vAlign w:val="center"/>
          </w:tcPr>
          <w:p>
            <w:pPr>
              <w:widowControl/>
              <w:jc w:val="center"/>
              <w:textAlignment w:val="bottom"/>
              <w:rPr>
                <w:color w:val="000000"/>
                <w:kern w:val="0"/>
                <w:szCs w:val="21"/>
                <w:lang/>
              </w:rPr>
            </w:pPr>
            <w:r>
              <w:rPr>
                <w:color w:val="000000"/>
                <w:kern w:val="0"/>
                <w:szCs w:val="21"/>
                <w:lang/>
              </w:rPr>
              <w:t>排水状况</w:t>
            </w:r>
          </w:p>
        </w:tc>
        <w:tc>
          <w:tcPr>
            <w:tcW w:w="1083" w:type="dxa"/>
            <w:vAlign w:val="center"/>
          </w:tcPr>
          <w:p>
            <w:pPr>
              <w:widowControl/>
              <w:jc w:val="center"/>
              <w:textAlignment w:val="bottom"/>
              <w:rPr>
                <w:color w:val="000000"/>
                <w:kern w:val="0"/>
                <w:szCs w:val="21"/>
                <w:lang/>
              </w:rPr>
            </w:pPr>
            <w:r>
              <w:rPr>
                <w:color w:val="000000"/>
                <w:kern w:val="0"/>
                <w:szCs w:val="21"/>
                <w:lang/>
              </w:rPr>
              <w:t>好</w:t>
            </w:r>
          </w:p>
        </w:tc>
        <w:tc>
          <w:tcPr>
            <w:tcW w:w="1675" w:type="dxa"/>
            <w:vAlign w:val="center"/>
          </w:tcPr>
          <w:p>
            <w:pPr>
              <w:widowControl/>
              <w:jc w:val="center"/>
              <w:textAlignment w:val="bottom"/>
              <w:rPr>
                <w:color w:val="000000"/>
                <w:kern w:val="0"/>
                <w:szCs w:val="21"/>
                <w:lang/>
              </w:rPr>
            </w:pPr>
            <w:r>
              <w:rPr>
                <w:color w:val="000000"/>
                <w:kern w:val="0"/>
                <w:szCs w:val="21"/>
                <w:lang/>
              </w:rPr>
              <w:t>较好</w:t>
            </w:r>
          </w:p>
        </w:tc>
        <w:tc>
          <w:tcPr>
            <w:tcW w:w="1310" w:type="dxa"/>
            <w:vAlign w:val="center"/>
          </w:tcPr>
          <w:p>
            <w:pPr>
              <w:widowControl/>
              <w:jc w:val="center"/>
              <w:textAlignment w:val="bottom"/>
              <w:rPr>
                <w:color w:val="000000"/>
                <w:kern w:val="0"/>
                <w:szCs w:val="21"/>
                <w:lang/>
              </w:rPr>
            </w:pPr>
            <w:r>
              <w:rPr>
                <w:color w:val="000000"/>
                <w:kern w:val="0"/>
                <w:szCs w:val="21"/>
                <w:lang/>
              </w:rPr>
              <w:t>一般</w:t>
            </w:r>
          </w:p>
        </w:tc>
        <w:tc>
          <w:tcPr>
            <w:tcW w:w="1381" w:type="dxa"/>
            <w:vAlign w:val="center"/>
          </w:tcPr>
          <w:p>
            <w:pPr>
              <w:widowControl/>
              <w:jc w:val="center"/>
              <w:textAlignment w:val="bottom"/>
              <w:rPr>
                <w:color w:val="000000"/>
                <w:kern w:val="0"/>
                <w:szCs w:val="21"/>
                <w:lang/>
              </w:rPr>
            </w:pPr>
            <w:r>
              <w:rPr>
                <w:color w:val="000000"/>
                <w:kern w:val="0"/>
                <w:szCs w:val="21"/>
                <w:lang/>
              </w:rPr>
              <w:t>较差</w:t>
            </w:r>
          </w:p>
        </w:tc>
        <w:tc>
          <w:tcPr>
            <w:tcW w:w="1248" w:type="dxa"/>
            <w:vAlign w:val="center"/>
          </w:tcPr>
          <w:p>
            <w:pPr>
              <w:widowControl/>
              <w:jc w:val="center"/>
              <w:textAlignment w:val="bottom"/>
              <w:rPr>
                <w:color w:val="000000"/>
                <w:kern w:val="0"/>
                <w:szCs w:val="21"/>
                <w:lang/>
              </w:rPr>
            </w:pPr>
            <w:r>
              <w:rPr>
                <w:color w:val="000000"/>
                <w:kern w:val="0"/>
                <w:szCs w:val="21"/>
                <w:lang/>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918" w:type="dxa"/>
            <w:vMerge w:val="continue"/>
            <w:vAlign w:val="center"/>
          </w:tcPr>
          <w:p>
            <w:pPr>
              <w:widowControl/>
              <w:jc w:val="center"/>
              <w:textAlignment w:val="bottom"/>
              <w:rPr>
                <w:color w:val="000000"/>
                <w:kern w:val="0"/>
                <w:szCs w:val="21"/>
                <w:lang/>
              </w:rPr>
            </w:pPr>
          </w:p>
        </w:tc>
        <w:tc>
          <w:tcPr>
            <w:tcW w:w="919" w:type="dxa"/>
            <w:vMerge w:val="continue"/>
            <w:vAlign w:val="center"/>
          </w:tcPr>
          <w:p>
            <w:pPr>
              <w:widowControl/>
              <w:jc w:val="center"/>
              <w:textAlignment w:val="bottom"/>
              <w:rPr>
                <w:color w:val="000000"/>
                <w:kern w:val="0"/>
                <w:szCs w:val="21"/>
                <w:lang/>
              </w:rPr>
            </w:pPr>
          </w:p>
        </w:tc>
        <w:tc>
          <w:tcPr>
            <w:tcW w:w="1591" w:type="dxa"/>
            <w:vAlign w:val="center"/>
          </w:tcPr>
          <w:p>
            <w:pPr>
              <w:widowControl/>
              <w:jc w:val="center"/>
              <w:textAlignment w:val="bottom"/>
              <w:rPr>
                <w:color w:val="000000"/>
                <w:kern w:val="0"/>
                <w:szCs w:val="21"/>
                <w:lang/>
              </w:rPr>
            </w:pPr>
            <w:r>
              <w:rPr>
                <w:color w:val="000000"/>
                <w:kern w:val="0"/>
                <w:szCs w:val="21"/>
                <w:lang/>
              </w:rPr>
              <w:t>供水状况</w:t>
            </w:r>
          </w:p>
        </w:tc>
        <w:tc>
          <w:tcPr>
            <w:tcW w:w="1083" w:type="dxa"/>
            <w:vAlign w:val="center"/>
          </w:tcPr>
          <w:p>
            <w:pPr>
              <w:widowControl/>
              <w:jc w:val="center"/>
              <w:textAlignment w:val="bottom"/>
              <w:rPr>
                <w:color w:val="000000"/>
                <w:kern w:val="0"/>
                <w:szCs w:val="21"/>
                <w:lang/>
              </w:rPr>
            </w:pPr>
            <w:r>
              <w:rPr>
                <w:color w:val="000000"/>
                <w:kern w:val="0"/>
                <w:szCs w:val="21"/>
                <w:lang/>
              </w:rPr>
              <w:t>100%</w:t>
            </w:r>
          </w:p>
        </w:tc>
        <w:tc>
          <w:tcPr>
            <w:tcW w:w="1675" w:type="dxa"/>
            <w:vAlign w:val="center"/>
          </w:tcPr>
          <w:p>
            <w:pPr>
              <w:widowControl/>
              <w:jc w:val="center"/>
              <w:textAlignment w:val="bottom"/>
              <w:rPr>
                <w:color w:val="000000"/>
                <w:kern w:val="0"/>
                <w:szCs w:val="21"/>
                <w:lang/>
              </w:rPr>
            </w:pPr>
            <w:r>
              <w:rPr>
                <w:color w:val="000000"/>
                <w:kern w:val="0"/>
                <w:szCs w:val="21"/>
                <w:lang/>
              </w:rPr>
              <w:t>90-99%</w:t>
            </w:r>
          </w:p>
        </w:tc>
        <w:tc>
          <w:tcPr>
            <w:tcW w:w="1310" w:type="dxa"/>
            <w:vAlign w:val="center"/>
          </w:tcPr>
          <w:p>
            <w:pPr>
              <w:widowControl/>
              <w:jc w:val="center"/>
              <w:textAlignment w:val="bottom"/>
              <w:rPr>
                <w:color w:val="000000"/>
                <w:kern w:val="0"/>
                <w:szCs w:val="21"/>
                <w:lang/>
              </w:rPr>
            </w:pPr>
            <w:r>
              <w:rPr>
                <w:color w:val="000000"/>
                <w:kern w:val="0"/>
                <w:szCs w:val="21"/>
                <w:lang/>
              </w:rPr>
              <w:t>80-89%</w:t>
            </w:r>
          </w:p>
        </w:tc>
        <w:tc>
          <w:tcPr>
            <w:tcW w:w="1381" w:type="dxa"/>
            <w:vAlign w:val="center"/>
          </w:tcPr>
          <w:p>
            <w:pPr>
              <w:widowControl/>
              <w:jc w:val="center"/>
              <w:textAlignment w:val="bottom"/>
              <w:rPr>
                <w:color w:val="000000"/>
                <w:kern w:val="0"/>
                <w:szCs w:val="21"/>
                <w:lang/>
              </w:rPr>
            </w:pPr>
            <w:r>
              <w:rPr>
                <w:color w:val="000000"/>
                <w:kern w:val="0"/>
                <w:szCs w:val="21"/>
                <w:lang/>
              </w:rPr>
              <w:t>60-79%</w:t>
            </w:r>
          </w:p>
        </w:tc>
        <w:tc>
          <w:tcPr>
            <w:tcW w:w="1248" w:type="dxa"/>
            <w:vAlign w:val="center"/>
          </w:tcPr>
          <w:p>
            <w:pPr>
              <w:widowControl/>
              <w:jc w:val="center"/>
              <w:textAlignment w:val="bottom"/>
              <w:rPr>
                <w:color w:val="000000"/>
                <w:kern w:val="0"/>
                <w:szCs w:val="21"/>
                <w:lang/>
              </w:rPr>
            </w:pPr>
            <w:r>
              <w:rPr>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918" w:type="dxa"/>
            <w:vMerge w:val="continue"/>
            <w:vAlign w:val="center"/>
          </w:tcPr>
          <w:p>
            <w:pPr>
              <w:widowControl/>
              <w:jc w:val="center"/>
              <w:textAlignment w:val="bottom"/>
              <w:rPr>
                <w:color w:val="000000"/>
                <w:kern w:val="0"/>
                <w:szCs w:val="21"/>
                <w:lang/>
              </w:rPr>
            </w:pPr>
          </w:p>
        </w:tc>
        <w:tc>
          <w:tcPr>
            <w:tcW w:w="919" w:type="dxa"/>
            <w:vMerge w:val="continue"/>
            <w:vAlign w:val="center"/>
          </w:tcPr>
          <w:p>
            <w:pPr>
              <w:widowControl/>
              <w:jc w:val="center"/>
              <w:textAlignment w:val="bottom"/>
              <w:rPr>
                <w:color w:val="000000"/>
                <w:kern w:val="0"/>
                <w:szCs w:val="21"/>
                <w:lang/>
              </w:rPr>
            </w:pPr>
          </w:p>
        </w:tc>
        <w:tc>
          <w:tcPr>
            <w:tcW w:w="1591" w:type="dxa"/>
            <w:vAlign w:val="center"/>
          </w:tcPr>
          <w:p>
            <w:pPr>
              <w:widowControl/>
              <w:jc w:val="center"/>
              <w:textAlignment w:val="bottom"/>
              <w:rPr>
                <w:color w:val="000000"/>
                <w:kern w:val="0"/>
                <w:szCs w:val="21"/>
                <w:lang/>
              </w:rPr>
            </w:pPr>
            <w:r>
              <w:rPr>
                <w:color w:val="000000"/>
                <w:kern w:val="0"/>
                <w:szCs w:val="21"/>
                <w:lang/>
              </w:rPr>
              <w:t>供电状况</w:t>
            </w:r>
          </w:p>
        </w:tc>
        <w:tc>
          <w:tcPr>
            <w:tcW w:w="1083" w:type="dxa"/>
            <w:vAlign w:val="center"/>
          </w:tcPr>
          <w:p>
            <w:pPr>
              <w:widowControl/>
              <w:jc w:val="center"/>
              <w:textAlignment w:val="bottom"/>
              <w:rPr>
                <w:color w:val="000000"/>
                <w:kern w:val="0"/>
                <w:szCs w:val="21"/>
                <w:lang/>
              </w:rPr>
            </w:pPr>
            <w:r>
              <w:rPr>
                <w:color w:val="000000"/>
                <w:kern w:val="0"/>
                <w:szCs w:val="21"/>
                <w:lang/>
              </w:rPr>
              <w:t>100%</w:t>
            </w:r>
          </w:p>
        </w:tc>
        <w:tc>
          <w:tcPr>
            <w:tcW w:w="1675" w:type="dxa"/>
            <w:vAlign w:val="center"/>
          </w:tcPr>
          <w:p>
            <w:pPr>
              <w:widowControl/>
              <w:jc w:val="center"/>
              <w:textAlignment w:val="bottom"/>
              <w:rPr>
                <w:color w:val="000000"/>
                <w:kern w:val="0"/>
                <w:szCs w:val="21"/>
                <w:lang/>
              </w:rPr>
            </w:pPr>
            <w:r>
              <w:rPr>
                <w:color w:val="000000"/>
                <w:kern w:val="0"/>
                <w:szCs w:val="21"/>
                <w:lang/>
              </w:rPr>
              <w:t>90-99%</w:t>
            </w:r>
          </w:p>
        </w:tc>
        <w:tc>
          <w:tcPr>
            <w:tcW w:w="1310" w:type="dxa"/>
            <w:vAlign w:val="center"/>
          </w:tcPr>
          <w:p>
            <w:pPr>
              <w:widowControl/>
              <w:jc w:val="center"/>
              <w:textAlignment w:val="bottom"/>
              <w:rPr>
                <w:color w:val="000000"/>
                <w:kern w:val="0"/>
                <w:szCs w:val="21"/>
                <w:lang/>
              </w:rPr>
            </w:pPr>
            <w:r>
              <w:rPr>
                <w:color w:val="000000"/>
                <w:kern w:val="0"/>
                <w:szCs w:val="21"/>
                <w:lang/>
              </w:rPr>
              <w:t>80-89%</w:t>
            </w:r>
          </w:p>
        </w:tc>
        <w:tc>
          <w:tcPr>
            <w:tcW w:w="1381" w:type="dxa"/>
            <w:vAlign w:val="center"/>
          </w:tcPr>
          <w:p>
            <w:pPr>
              <w:widowControl/>
              <w:jc w:val="center"/>
              <w:textAlignment w:val="bottom"/>
              <w:rPr>
                <w:color w:val="000000"/>
                <w:kern w:val="0"/>
                <w:szCs w:val="21"/>
                <w:lang/>
              </w:rPr>
            </w:pPr>
            <w:r>
              <w:rPr>
                <w:color w:val="000000"/>
                <w:kern w:val="0"/>
                <w:szCs w:val="21"/>
                <w:lang/>
              </w:rPr>
              <w:t>60-79%</w:t>
            </w:r>
          </w:p>
        </w:tc>
        <w:tc>
          <w:tcPr>
            <w:tcW w:w="1248" w:type="dxa"/>
            <w:vAlign w:val="center"/>
          </w:tcPr>
          <w:p>
            <w:pPr>
              <w:widowControl/>
              <w:jc w:val="center"/>
              <w:textAlignment w:val="bottom"/>
              <w:rPr>
                <w:color w:val="000000"/>
                <w:kern w:val="0"/>
                <w:szCs w:val="21"/>
                <w:lang/>
              </w:rPr>
            </w:pPr>
            <w:r>
              <w:rPr>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918" w:type="dxa"/>
            <w:vMerge w:val="continue"/>
            <w:vAlign w:val="center"/>
          </w:tcPr>
          <w:p>
            <w:pPr>
              <w:widowControl/>
              <w:jc w:val="center"/>
              <w:textAlignment w:val="bottom"/>
              <w:rPr>
                <w:color w:val="000000"/>
                <w:kern w:val="0"/>
                <w:szCs w:val="21"/>
                <w:lang/>
              </w:rPr>
            </w:pPr>
          </w:p>
        </w:tc>
        <w:tc>
          <w:tcPr>
            <w:tcW w:w="919" w:type="dxa"/>
            <w:vMerge w:val="continue"/>
            <w:vAlign w:val="center"/>
          </w:tcPr>
          <w:p>
            <w:pPr>
              <w:widowControl/>
              <w:jc w:val="center"/>
              <w:textAlignment w:val="bottom"/>
              <w:rPr>
                <w:color w:val="000000"/>
                <w:kern w:val="0"/>
                <w:szCs w:val="21"/>
                <w:lang/>
              </w:rPr>
            </w:pPr>
          </w:p>
        </w:tc>
        <w:tc>
          <w:tcPr>
            <w:tcW w:w="1591" w:type="dxa"/>
            <w:vAlign w:val="center"/>
          </w:tcPr>
          <w:p>
            <w:pPr>
              <w:widowControl/>
              <w:jc w:val="center"/>
              <w:textAlignment w:val="bottom"/>
              <w:rPr>
                <w:color w:val="000000"/>
                <w:kern w:val="0"/>
                <w:szCs w:val="21"/>
                <w:lang/>
              </w:rPr>
            </w:pPr>
            <w:r>
              <w:rPr>
                <w:color w:val="000000"/>
                <w:kern w:val="0"/>
                <w:szCs w:val="21"/>
                <w:lang/>
              </w:rPr>
              <w:t>供气状况</w:t>
            </w:r>
          </w:p>
        </w:tc>
        <w:tc>
          <w:tcPr>
            <w:tcW w:w="1083" w:type="dxa"/>
            <w:vAlign w:val="center"/>
          </w:tcPr>
          <w:p>
            <w:pPr>
              <w:widowControl/>
              <w:jc w:val="center"/>
              <w:textAlignment w:val="bottom"/>
              <w:rPr>
                <w:color w:val="000000"/>
                <w:kern w:val="0"/>
                <w:szCs w:val="21"/>
                <w:lang/>
              </w:rPr>
            </w:pPr>
            <w:r>
              <w:rPr>
                <w:color w:val="000000"/>
                <w:kern w:val="0"/>
                <w:szCs w:val="21"/>
                <w:lang/>
              </w:rPr>
              <w:t>100%</w:t>
            </w:r>
          </w:p>
        </w:tc>
        <w:tc>
          <w:tcPr>
            <w:tcW w:w="1675" w:type="dxa"/>
            <w:vAlign w:val="center"/>
          </w:tcPr>
          <w:p>
            <w:pPr>
              <w:widowControl/>
              <w:jc w:val="center"/>
              <w:textAlignment w:val="bottom"/>
              <w:rPr>
                <w:color w:val="000000"/>
                <w:kern w:val="0"/>
                <w:szCs w:val="21"/>
                <w:lang/>
              </w:rPr>
            </w:pPr>
            <w:r>
              <w:rPr>
                <w:color w:val="000000"/>
                <w:kern w:val="0"/>
                <w:szCs w:val="21"/>
                <w:lang/>
              </w:rPr>
              <w:t>90-99%</w:t>
            </w:r>
          </w:p>
        </w:tc>
        <w:tc>
          <w:tcPr>
            <w:tcW w:w="1310" w:type="dxa"/>
            <w:vAlign w:val="center"/>
          </w:tcPr>
          <w:p>
            <w:pPr>
              <w:widowControl/>
              <w:jc w:val="center"/>
              <w:textAlignment w:val="bottom"/>
              <w:rPr>
                <w:color w:val="000000"/>
                <w:kern w:val="0"/>
                <w:szCs w:val="21"/>
                <w:lang/>
              </w:rPr>
            </w:pPr>
            <w:r>
              <w:rPr>
                <w:color w:val="000000"/>
                <w:kern w:val="0"/>
                <w:szCs w:val="21"/>
                <w:lang/>
              </w:rPr>
              <w:t>80-89%</w:t>
            </w:r>
          </w:p>
        </w:tc>
        <w:tc>
          <w:tcPr>
            <w:tcW w:w="1381" w:type="dxa"/>
            <w:vAlign w:val="center"/>
          </w:tcPr>
          <w:p>
            <w:pPr>
              <w:widowControl/>
              <w:jc w:val="center"/>
              <w:textAlignment w:val="bottom"/>
              <w:rPr>
                <w:color w:val="000000"/>
                <w:kern w:val="0"/>
                <w:szCs w:val="21"/>
                <w:lang/>
              </w:rPr>
            </w:pPr>
            <w:r>
              <w:rPr>
                <w:color w:val="000000"/>
                <w:kern w:val="0"/>
                <w:szCs w:val="21"/>
                <w:lang/>
              </w:rPr>
              <w:t>60-79%</w:t>
            </w:r>
          </w:p>
        </w:tc>
        <w:tc>
          <w:tcPr>
            <w:tcW w:w="1248" w:type="dxa"/>
            <w:vAlign w:val="center"/>
          </w:tcPr>
          <w:p>
            <w:pPr>
              <w:widowControl/>
              <w:jc w:val="center"/>
              <w:textAlignment w:val="bottom"/>
              <w:rPr>
                <w:color w:val="000000"/>
                <w:kern w:val="0"/>
                <w:szCs w:val="21"/>
                <w:lang/>
              </w:rPr>
            </w:pPr>
            <w:r>
              <w:rPr>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918" w:type="dxa"/>
            <w:vAlign w:val="center"/>
          </w:tcPr>
          <w:p>
            <w:pPr>
              <w:widowControl/>
              <w:jc w:val="center"/>
              <w:textAlignment w:val="bottom"/>
              <w:rPr>
                <w:color w:val="000000"/>
                <w:kern w:val="0"/>
                <w:szCs w:val="21"/>
                <w:lang/>
              </w:rPr>
            </w:pPr>
            <w:r>
              <w:rPr>
                <w:color w:val="000000"/>
                <w:kern w:val="0"/>
                <w:szCs w:val="21"/>
                <w:lang/>
              </w:rPr>
              <w:t>人口状况</w:t>
            </w:r>
          </w:p>
        </w:tc>
        <w:tc>
          <w:tcPr>
            <w:tcW w:w="919" w:type="dxa"/>
            <w:vAlign w:val="center"/>
          </w:tcPr>
          <w:p>
            <w:pPr>
              <w:widowControl/>
              <w:jc w:val="center"/>
              <w:textAlignment w:val="bottom"/>
              <w:rPr>
                <w:color w:val="000000"/>
                <w:kern w:val="0"/>
                <w:szCs w:val="21"/>
                <w:lang/>
              </w:rPr>
            </w:pPr>
            <w:r>
              <w:rPr>
                <w:color w:val="000000"/>
                <w:kern w:val="0"/>
                <w:szCs w:val="21"/>
                <w:lang/>
              </w:rPr>
              <w:t>人口密度</w:t>
            </w:r>
          </w:p>
        </w:tc>
        <w:tc>
          <w:tcPr>
            <w:tcW w:w="1591" w:type="dxa"/>
            <w:vAlign w:val="center"/>
          </w:tcPr>
          <w:p>
            <w:pPr>
              <w:widowControl/>
              <w:jc w:val="center"/>
              <w:textAlignment w:val="bottom"/>
              <w:rPr>
                <w:color w:val="000000"/>
                <w:kern w:val="0"/>
                <w:szCs w:val="21"/>
                <w:lang/>
              </w:rPr>
            </w:pPr>
            <w:r>
              <w:rPr>
                <w:color w:val="000000"/>
                <w:kern w:val="0"/>
                <w:szCs w:val="21"/>
                <w:lang/>
              </w:rPr>
              <w:t>人口程度</w:t>
            </w:r>
          </w:p>
        </w:tc>
        <w:tc>
          <w:tcPr>
            <w:tcW w:w="1083" w:type="dxa"/>
            <w:vAlign w:val="center"/>
          </w:tcPr>
          <w:p>
            <w:pPr>
              <w:widowControl/>
              <w:jc w:val="center"/>
              <w:textAlignment w:val="bottom"/>
              <w:rPr>
                <w:color w:val="000000"/>
                <w:kern w:val="0"/>
                <w:szCs w:val="21"/>
                <w:lang/>
              </w:rPr>
            </w:pPr>
            <w:r>
              <w:rPr>
                <w:color w:val="000000"/>
                <w:kern w:val="0"/>
                <w:szCs w:val="21"/>
                <w:lang/>
              </w:rPr>
              <w:t>人口稠密</w:t>
            </w:r>
          </w:p>
        </w:tc>
        <w:tc>
          <w:tcPr>
            <w:tcW w:w="1675" w:type="dxa"/>
            <w:vAlign w:val="center"/>
          </w:tcPr>
          <w:p>
            <w:pPr>
              <w:widowControl/>
              <w:jc w:val="center"/>
              <w:textAlignment w:val="bottom"/>
              <w:rPr>
                <w:color w:val="000000"/>
                <w:kern w:val="0"/>
                <w:szCs w:val="21"/>
                <w:lang/>
              </w:rPr>
            </w:pPr>
            <w:r>
              <w:rPr>
                <w:color w:val="000000"/>
                <w:kern w:val="0"/>
                <w:szCs w:val="21"/>
                <w:lang/>
              </w:rPr>
              <w:t>人口较稠密</w:t>
            </w:r>
          </w:p>
        </w:tc>
        <w:tc>
          <w:tcPr>
            <w:tcW w:w="1310" w:type="dxa"/>
            <w:vAlign w:val="center"/>
          </w:tcPr>
          <w:p>
            <w:pPr>
              <w:widowControl/>
              <w:jc w:val="center"/>
              <w:textAlignment w:val="bottom"/>
              <w:rPr>
                <w:color w:val="000000"/>
                <w:kern w:val="0"/>
                <w:szCs w:val="21"/>
                <w:lang/>
              </w:rPr>
            </w:pPr>
            <w:r>
              <w:rPr>
                <w:color w:val="000000"/>
                <w:kern w:val="0"/>
                <w:szCs w:val="21"/>
                <w:lang/>
              </w:rPr>
              <w:t>一般</w:t>
            </w:r>
          </w:p>
        </w:tc>
        <w:tc>
          <w:tcPr>
            <w:tcW w:w="1381" w:type="dxa"/>
            <w:vAlign w:val="center"/>
          </w:tcPr>
          <w:p>
            <w:pPr>
              <w:widowControl/>
              <w:jc w:val="center"/>
              <w:textAlignment w:val="bottom"/>
              <w:rPr>
                <w:color w:val="000000"/>
                <w:kern w:val="0"/>
                <w:szCs w:val="21"/>
                <w:lang/>
              </w:rPr>
            </w:pPr>
            <w:r>
              <w:rPr>
                <w:color w:val="000000"/>
                <w:kern w:val="0"/>
                <w:szCs w:val="21"/>
                <w:lang/>
              </w:rPr>
              <w:t>人口较稀疏</w:t>
            </w:r>
          </w:p>
        </w:tc>
        <w:tc>
          <w:tcPr>
            <w:tcW w:w="1248" w:type="dxa"/>
            <w:vAlign w:val="center"/>
          </w:tcPr>
          <w:p>
            <w:pPr>
              <w:widowControl/>
              <w:jc w:val="center"/>
              <w:textAlignment w:val="bottom"/>
              <w:rPr>
                <w:color w:val="000000"/>
                <w:kern w:val="0"/>
                <w:szCs w:val="21"/>
                <w:lang/>
              </w:rPr>
            </w:pPr>
            <w:r>
              <w:rPr>
                <w:color w:val="000000"/>
                <w:kern w:val="0"/>
                <w:szCs w:val="21"/>
                <w:lang/>
              </w:rPr>
              <w:t>人口稀疏区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918" w:type="dxa"/>
            <w:vMerge w:val="restart"/>
            <w:vAlign w:val="center"/>
          </w:tcPr>
          <w:p>
            <w:pPr>
              <w:widowControl/>
              <w:jc w:val="center"/>
              <w:textAlignment w:val="bottom"/>
              <w:rPr>
                <w:color w:val="000000"/>
                <w:kern w:val="0"/>
                <w:szCs w:val="21"/>
                <w:lang/>
              </w:rPr>
            </w:pPr>
            <w:r>
              <w:rPr>
                <w:color w:val="000000"/>
                <w:kern w:val="0"/>
                <w:szCs w:val="21"/>
                <w:lang/>
              </w:rPr>
              <w:t>城市规划</w:t>
            </w:r>
          </w:p>
        </w:tc>
        <w:tc>
          <w:tcPr>
            <w:tcW w:w="919" w:type="dxa"/>
            <w:vMerge w:val="restart"/>
            <w:vAlign w:val="center"/>
          </w:tcPr>
          <w:p>
            <w:pPr>
              <w:widowControl/>
              <w:jc w:val="center"/>
              <w:textAlignment w:val="bottom"/>
              <w:rPr>
                <w:color w:val="000000"/>
                <w:kern w:val="0"/>
                <w:szCs w:val="21"/>
                <w:lang/>
              </w:rPr>
            </w:pPr>
            <w:r>
              <w:rPr>
                <w:color w:val="000000"/>
                <w:kern w:val="0"/>
                <w:szCs w:val="21"/>
                <w:lang/>
              </w:rPr>
              <w:t>城市规划</w:t>
            </w:r>
          </w:p>
        </w:tc>
        <w:tc>
          <w:tcPr>
            <w:tcW w:w="1591" w:type="dxa"/>
            <w:vAlign w:val="center"/>
          </w:tcPr>
          <w:p>
            <w:pPr>
              <w:widowControl/>
              <w:jc w:val="center"/>
              <w:textAlignment w:val="bottom"/>
              <w:rPr>
                <w:color w:val="000000"/>
                <w:kern w:val="0"/>
                <w:szCs w:val="21"/>
                <w:lang/>
              </w:rPr>
            </w:pPr>
            <w:r>
              <w:rPr>
                <w:color w:val="000000"/>
                <w:kern w:val="0"/>
                <w:szCs w:val="21"/>
                <w:lang/>
              </w:rPr>
              <w:t>用地规划</w:t>
            </w:r>
          </w:p>
        </w:tc>
        <w:tc>
          <w:tcPr>
            <w:tcW w:w="1083" w:type="dxa"/>
            <w:vAlign w:val="center"/>
          </w:tcPr>
          <w:p>
            <w:pPr>
              <w:widowControl/>
              <w:jc w:val="center"/>
              <w:textAlignment w:val="bottom"/>
              <w:rPr>
                <w:color w:val="000000"/>
                <w:kern w:val="0"/>
                <w:szCs w:val="21"/>
                <w:lang/>
              </w:rPr>
            </w:pPr>
            <w:r>
              <w:rPr>
                <w:color w:val="000000"/>
                <w:kern w:val="0"/>
                <w:szCs w:val="21"/>
                <w:lang/>
              </w:rPr>
              <w:t>最佳用途</w:t>
            </w:r>
          </w:p>
        </w:tc>
        <w:tc>
          <w:tcPr>
            <w:tcW w:w="1675" w:type="dxa"/>
            <w:vAlign w:val="center"/>
          </w:tcPr>
          <w:p>
            <w:pPr>
              <w:widowControl/>
              <w:jc w:val="center"/>
              <w:textAlignment w:val="bottom"/>
              <w:rPr>
                <w:color w:val="000000"/>
                <w:kern w:val="0"/>
                <w:szCs w:val="21"/>
                <w:lang/>
              </w:rPr>
            </w:pPr>
            <w:r>
              <w:rPr>
                <w:color w:val="000000"/>
                <w:kern w:val="0"/>
                <w:szCs w:val="21"/>
                <w:lang/>
              </w:rPr>
              <w:t>较适用途</w:t>
            </w:r>
          </w:p>
        </w:tc>
        <w:tc>
          <w:tcPr>
            <w:tcW w:w="1310" w:type="dxa"/>
            <w:vAlign w:val="center"/>
          </w:tcPr>
          <w:p>
            <w:pPr>
              <w:widowControl/>
              <w:jc w:val="center"/>
              <w:textAlignment w:val="bottom"/>
              <w:rPr>
                <w:color w:val="000000"/>
                <w:kern w:val="0"/>
                <w:szCs w:val="21"/>
                <w:lang/>
              </w:rPr>
            </w:pPr>
            <w:r>
              <w:rPr>
                <w:color w:val="000000"/>
                <w:kern w:val="0"/>
                <w:szCs w:val="21"/>
                <w:lang/>
              </w:rPr>
              <w:t>一般用途</w:t>
            </w:r>
          </w:p>
        </w:tc>
        <w:tc>
          <w:tcPr>
            <w:tcW w:w="1381" w:type="dxa"/>
            <w:vAlign w:val="center"/>
          </w:tcPr>
          <w:p>
            <w:pPr>
              <w:widowControl/>
              <w:jc w:val="center"/>
              <w:textAlignment w:val="bottom"/>
              <w:rPr>
                <w:color w:val="000000"/>
                <w:kern w:val="0"/>
                <w:szCs w:val="21"/>
                <w:lang/>
              </w:rPr>
            </w:pPr>
            <w:r>
              <w:rPr>
                <w:color w:val="000000"/>
                <w:kern w:val="0"/>
                <w:szCs w:val="21"/>
                <w:lang/>
              </w:rPr>
              <w:t>不太适合用途</w:t>
            </w:r>
          </w:p>
        </w:tc>
        <w:tc>
          <w:tcPr>
            <w:tcW w:w="1248" w:type="dxa"/>
            <w:vAlign w:val="center"/>
          </w:tcPr>
          <w:p>
            <w:pPr>
              <w:widowControl/>
              <w:jc w:val="center"/>
              <w:textAlignment w:val="bottom"/>
              <w:rPr>
                <w:color w:val="000000"/>
                <w:kern w:val="0"/>
                <w:szCs w:val="21"/>
                <w:lang/>
              </w:rPr>
            </w:pPr>
            <w:r>
              <w:rPr>
                <w:color w:val="000000"/>
                <w:kern w:val="0"/>
                <w:szCs w:val="21"/>
                <w:lang/>
              </w:rPr>
              <w:t>不适合用途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918" w:type="dxa"/>
            <w:vMerge w:val="continue"/>
            <w:vAlign w:val="center"/>
          </w:tcPr>
          <w:p>
            <w:pPr>
              <w:widowControl/>
              <w:jc w:val="center"/>
              <w:textAlignment w:val="bottom"/>
              <w:rPr>
                <w:color w:val="000000"/>
                <w:kern w:val="0"/>
                <w:szCs w:val="21"/>
                <w:lang/>
              </w:rPr>
            </w:pPr>
          </w:p>
        </w:tc>
        <w:tc>
          <w:tcPr>
            <w:tcW w:w="919" w:type="dxa"/>
            <w:vMerge w:val="continue"/>
            <w:vAlign w:val="center"/>
          </w:tcPr>
          <w:p>
            <w:pPr>
              <w:widowControl/>
              <w:jc w:val="center"/>
              <w:textAlignment w:val="bottom"/>
              <w:rPr>
                <w:color w:val="000000"/>
                <w:kern w:val="0"/>
                <w:szCs w:val="21"/>
                <w:lang/>
              </w:rPr>
            </w:pPr>
          </w:p>
        </w:tc>
        <w:tc>
          <w:tcPr>
            <w:tcW w:w="1591" w:type="dxa"/>
            <w:vAlign w:val="center"/>
          </w:tcPr>
          <w:p>
            <w:pPr>
              <w:widowControl/>
              <w:jc w:val="center"/>
              <w:textAlignment w:val="bottom"/>
              <w:rPr>
                <w:color w:val="000000"/>
                <w:kern w:val="0"/>
                <w:szCs w:val="21"/>
                <w:lang/>
              </w:rPr>
            </w:pPr>
            <w:r>
              <w:rPr>
                <w:color w:val="000000"/>
                <w:kern w:val="0"/>
                <w:szCs w:val="21"/>
                <w:lang/>
              </w:rPr>
              <w:t>道路规划</w:t>
            </w:r>
          </w:p>
        </w:tc>
        <w:tc>
          <w:tcPr>
            <w:tcW w:w="1083" w:type="dxa"/>
            <w:vAlign w:val="center"/>
          </w:tcPr>
          <w:p>
            <w:pPr>
              <w:widowControl/>
              <w:jc w:val="center"/>
              <w:rPr>
                <w:color w:val="000000"/>
                <w:kern w:val="0"/>
                <w:szCs w:val="21"/>
                <w:lang/>
              </w:rPr>
            </w:pPr>
            <w:r>
              <w:rPr>
                <w:color w:val="000000"/>
                <w:kern w:val="0"/>
                <w:sz w:val="20"/>
              </w:rPr>
              <w:t>主干道</w:t>
            </w:r>
          </w:p>
        </w:tc>
        <w:tc>
          <w:tcPr>
            <w:tcW w:w="1675" w:type="dxa"/>
            <w:vAlign w:val="center"/>
          </w:tcPr>
          <w:p>
            <w:pPr>
              <w:widowControl/>
              <w:jc w:val="center"/>
              <w:rPr>
                <w:color w:val="000000"/>
                <w:kern w:val="0"/>
                <w:szCs w:val="21"/>
                <w:lang/>
              </w:rPr>
            </w:pPr>
            <w:r>
              <w:rPr>
                <w:color w:val="000000"/>
                <w:kern w:val="0"/>
                <w:sz w:val="20"/>
              </w:rPr>
              <w:t>次干道</w:t>
            </w:r>
          </w:p>
        </w:tc>
        <w:tc>
          <w:tcPr>
            <w:tcW w:w="1310" w:type="dxa"/>
            <w:vAlign w:val="center"/>
          </w:tcPr>
          <w:p>
            <w:pPr>
              <w:widowControl/>
              <w:jc w:val="center"/>
              <w:rPr>
                <w:color w:val="000000"/>
                <w:kern w:val="0"/>
                <w:szCs w:val="21"/>
                <w:lang/>
              </w:rPr>
            </w:pPr>
            <w:r>
              <w:rPr>
                <w:color w:val="000000"/>
                <w:kern w:val="0"/>
                <w:sz w:val="20"/>
              </w:rPr>
              <w:t>快速路</w:t>
            </w:r>
          </w:p>
        </w:tc>
        <w:tc>
          <w:tcPr>
            <w:tcW w:w="1381" w:type="dxa"/>
            <w:vAlign w:val="center"/>
          </w:tcPr>
          <w:p>
            <w:pPr>
              <w:widowControl/>
              <w:jc w:val="center"/>
              <w:rPr>
                <w:color w:val="000000"/>
                <w:kern w:val="0"/>
                <w:szCs w:val="21"/>
                <w:lang/>
              </w:rPr>
            </w:pPr>
            <w:r>
              <w:rPr>
                <w:color w:val="000000"/>
                <w:kern w:val="0"/>
                <w:sz w:val="20"/>
              </w:rPr>
              <w:t>支路</w:t>
            </w:r>
          </w:p>
        </w:tc>
        <w:tc>
          <w:tcPr>
            <w:tcW w:w="1248" w:type="dxa"/>
            <w:vAlign w:val="center"/>
          </w:tcPr>
          <w:p>
            <w:pPr>
              <w:widowControl/>
              <w:jc w:val="center"/>
              <w:rPr>
                <w:color w:val="000000"/>
                <w:kern w:val="0"/>
                <w:szCs w:val="21"/>
                <w:lang/>
              </w:rPr>
            </w:pPr>
            <w:r>
              <w:rPr>
                <w:color w:val="000000"/>
                <w:kern w:val="0"/>
                <w:sz w:val="20"/>
              </w:rPr>
              <w:t>街坊间支路</w:t>
            </w:r>
          </w:p>
        </w:tc>
      </w:tr>
    </w:tbl>
    <w:p>
      <w:pPr>
        <w:spacing w:line="360" w:lineRule="auto"/>
        <w:ind w:firstLine="560" w:firstLineChars="200"/>
        <w:outlineLvl w:val="2"/>
        <w:rPr>
          <w:rFonts w:eastAsia="黑体"/>
          <w:sz w:val="28"/>
          <w:szCs w:val="28"/>
        </w:rPr>
      </w:pPr>
      <w:bookmarkStart w:id="802" w:name="_Toc16566"/>
      <w:bookmarkStart w:id="803" w:name="_Toc30026"/>
      <w:bookmarkStart w:id="804" w:name="_Toc470721360"/>
      <w:r>
        <w:rPr>
          <w:rFonts w:eastAsia="黑体"/>
          <w:sz w:val="28"/>
          <w:szCs w:val="28"/>
        </w:rPr>
        <w:t>二、宗地地价个别因素修正</w:t>
      </w:r>
      <w:bookmarkEnd w:id="800"/>
      <w:bookmarkEnd w:id="801"/>
      <w:bookmarkEnd w:id="802"/>
      <w:bookmarkEnd w:id="803"/>
      <w:bookmarkEnd w:id="804"/>
    </w:p>
    <w:p>
      <w:pPr>
        <w:tabs>
          <w:tab w:val="right" w:pos="9298"/>
        </w:tabs>
        <w:spacing w:line="460" w:lineRule="exact"/>
        <w:ind w:firstLine="480" w:firstLineChars="200"/>
        <w:rPr>
          <w:rFonts w:eastAsia="黑体"/>
          <w:sz w:val="24"/>
        </w:rPr>
      </w:pPr>
      <w:r>
        <w:rPr>
          <w:rFonts w:eastAsia="黑体"/>
          <w:sz w:val="24"/>
        </w:rPr>
        <w:t>（一）出让年期修正（Kn）</w:t>
      </w:r>
    </w:p>
    <w:p>
      <w:pPr>
        <w:spacing w:line="460" w:lineRule="exact"/>
        <w:ind w:firstLine="480" w:firstLineChars="200"/>
        <w:rPr>
          <w:sz w:val="24"/>
        </w:rPr>
      </w:pPr>
      <w:r>
        <w:rPr>
          <w:sz w:val="24"/>
        </w:rPr>
        <w:t>商服用地法定最高出让年期为40年，土地还原利率为8.79%。通过使用年期修正系数公式（公式4-2-1）编制系数表。</w:t>
      </w:r>
    </w:p>
    <w:p>
      <w:pPr>
        <w:pStyle w:val="131"/>
        <w:spacing w:line="360" w:lineRule="auto"/>
        <w:ind w:firstLine="0" w:firstLineChars="0"/>
        <w:rPr>
          <w:rFonts w:ascii="Times New Roman" w:hAnsi="Times New Roman"/>
          <w:bCs w:val="0"/>
          <w:sz w:val="24"/>
          <w:szCs w:val="24"/>
        </w:rPr>
      </w:pPr>
      <w:r>
        <w:rPr>
          <w:rFonts w:ascii="Times New Roman" w:hAnsi="Times New Roman"/>
          <w:bCs w:val="0"/>
          <w:sz w:val="24"/>
          <w:szCs w:val="24"/>
        </w:rPr>
        <w:t>表 4-3-11   商服用地使用年期修正系数表</w:t>
      </w:r>
    </w:p>
    <w:tbl>
      <w:tblPr>
        <w:tblW w:w="9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289"/>
        <w:gridCol w:w="1289"/>
        <w:gridCol w:w="1289"/>
        <w:gridCol w:w="1289"/>
        <w:gridCol w:w="1288"/>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29" w:type="dxa"/>
            <w:vAlign w:val="center"/>
          </w:tcPr>
          <w:p>
            <w:pPr>
              <w:spacing w:line="300" w:lineRule="exact"/>
              <w:ind w:left="-105" w:leftChars="-50" w:right="-105" w:rightChars="-50"/>
              <w:jc w:val="center"/>
            </w:pPr>
            <w:r>
              <w:t>使用年期</w:t>
            </w:r>
          </w:p>
        </w:tc>
        <w:tc>
          <w:tcPr>
            <w:tcW w:w="1289" w:type="dxa"/>
            <w:vAlign w:val="center"/>
          </w:tcPr>
          <w:p>
            <w:pPr>
              <w:jc w:val="center"/>
              <w:rPr>
                <w:color w:val="000000"/>
                <w:sz w:val="22"/>
                <w:szCs w:val="22"/>
              </w:rPr>
            </w:pPr>
            <w:r>
              <w:rPr>
                <w:color w:val="000000"/>
                <w:sz w:val="22"/>
                <w:szCs w:val="22"/>
              </w:rPr>
              <w:t>1</w:t>
            </w:r>
          </w:p>
        </w:tc>
        <w:tc>
          <w:tcPr>
            <w:tcW w:w="1289" w:type="dxa"/>
            <w:vAlign w:val="center"/>
          </w:tcPr>
          <w:p>
            <w:pPr>
              <w:jc w:val="center"/>
              <w:rPr>
                <w:color w:val="000000"/>
                <w:sz w:val="22"/>
                <w:szCs w:val="22"/>
              </w:rPr>
            </w:pPr>
            <w:r>
              <w:rPr>
                <w:color w:val="000000"/>
                <w:sz w:val="22"/>
                <w:szCs w:val="22"/>
              </w:rPr>
              <w:t>2</w:t>
            </w:r>
          </w:p>
        </w:tc>
        <w:tc>
          <w:tcPr>
            <w:tcW w:w="1289" w:type="dxa"/>
            <w:vAlign w:val="center"/>
          </w:tcPr>
          <w:p>
            <w:pPr>
              <w:jc w:val="center"/>
              <w:rPr>
                <w:color w:val="000000"/>
                <w:sz w:val="22"/>
                <w:szCs w:val="22"/>
              </w:rPr>
            </w:pPr>
            <w:r>
              <w:rPr>
                <w:color w:val="000000"/>
                <w:sz w:val="22"/>
                <w:szCs w:val="22"/>
              </w:rPr>
              <w:t>3</w:t>
            </w:r>
          </w:p>
        </w:tc>
        <w:tc>
          <w:tcPr>
            <w:tcW w:w="1289" w:type="dxa"/>
            <w:vAlign w:val="center"/>
          </w:tcPr>
          <w:p>
            <w:pPr>
              <w:jc w:val="center"/>
              <w:rPr>
                <w:color w:val="000000"/>
                <w:sz w:val="22"/>
                <w:szCs w:val="22"/>
              </w:rPr>
            </w:pPr>
            <w:r>
              <w:rPr>
                <w:color w:val="000000"/>
                <w:sz w:val="22"/>
                <w:szCs w:val="22"/>
              </w:rPr>
              <w:t>4</w:t>
            </w:r>
          </w:p>
        </w:tc>
        <w:tc>
          <w:tcPr>
            <w:tcW w:w="1288" w:type="dxa"/>
            <w:vAlign w:val="center"/>
          </w:tcPr>
          <w:p>
            <w:pPr>
              <w:jc w:val="center"/>
              <w:rPr>
                <w:color w:val="000000"/>
                <w:sz w:val="22"/>
                <w:szCs w:val="22"/>
              </w:rPr>
            </w:pPr>
            <w:r>
              <w:rPr>
                <w:color w:val="000000"/>
                <w:sz w:val="22"/>
                <w:szCs w:val="22"/>
              </w:rPr>
              <w:t>5</w:t>
            </w:r>
          </w:p>
        </w:tc>
        <w:tc>
          <w:tcPr>
            <w:tcW w:w="1288" w:type="dxa"/>
            <w:vAlign w:val="center"/>
          </w:tcPr>
          <w:p>
            <w:pPr>
              <w:jc w:val="center"/>
              <w:rPr>
                <w:color w:val="000000"/>
                <w:sz w:val="22"/>
                <w:szCs w:val="22"/>
              </w:rPr>
            </w:pPr>
            <w:r>
              <w:rPr>
                <w:color w:val="000000"/>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29" w:type="dxa"/>
            <w:vAlign w:val="center"/>
          </w:tcPr>
          <w:p>
            <w:pPr>
              <w:spacing w:line="300" w:lineRule="exact"/>
              <w:ind w:left="-105" w:leftChars="-50" w:right="-105" w:rightChars="-50"/>
              <w:jc w:val="center"/>
            </w:pPr>
            <w:r>
              <w:t>修正系数</w:t>
            </w:r>
          </w:p>
        </w:tc>
        <w:tc>
          <w:tcPr>
            <w:tcW w:w="1289" w:type="dxa"/>
            <w:vAlign w:val="center"/>
          </w:tcPr>
          <w:p>
            <w:pPr>
              <w:widowControl/>
              <w:jc w:val="center"/>
              <w:textAlignment w:val="center"/>
              <w:rPr>
                <w:color w:val="000000"/>
                <w:sz w:val="22"/>
                <w:szCs w:val="22"/>
              </w:rPr>
            </w:pPr>
            <w:r>
              <w:rPr>
                <w:color w:val="000000"/>
                <w:kern w:val="0"/>
                <w:szCs w:val="21"/>
                <w:lang/>
              </w:rPr>
              <w:t xml:space="preserve">0.0837 </w:t>
            </w:r>
          </w:p>
        </w:tc>
        <w:tc>
          <w:tcPr>
            <w:tcW w:w="1289" w:type="dxa"/>
            <w:vAlign w:val="center"/>
          </w:tcPr>
          <w:p>
            <w:pPr>
              <w:widowControl/>
              <w:jc w:val="center"/>
              <w:textAlignment w:val="center"/>
              <w:rPr>
                <w:color w:val="000000"/>
                <w:sz w:val="22"/>
                <w:szCs w:val="22"/>
              </w:rPr>
            </w:pPr>
            <w:r>
              <w:rPr>
                <w:color w:val="000000"/>
                <w:kern w:val="0"/>
                <w:szCs w:val="21"/>
                <w:lang/>
              </w:rPr>
              <w:t xml:space="preserve">0.1606 </w:t>
            </w:r>
          </w:p>
        </w:tc>
        <w:tc>
          <w:tcPr>
            <w:tcW w:w="1289" w:type="dxa"/>
            <w:vAlign w:val="center"/>
          </w:tcPr>
          <w:p>
            <w:pPr>
              <w:widowControl/>
              <w:jc w:val="center"/>
              <w:textAlignment w:val="center"/>
              <w:rPr>
                <w:color w:val="000000"/>
                <w:sz w:val="22"/>
                <w:szCs w:val="22"/>
              </w:rPr>
            </w:pPr>
            <w:r>
              <w:rPr>
                <w:color w:val="000000"/>
                <w:kern w:val="0"/>
                <w:szCs w:val="21"/>
                <w:lang/>
              </w:rPr>
              <w:t xml:space="preserve">0.2313 </w:t>
            </w:r>
          </w:p>
        </w:tc>
        <w:tc>
          <w:tcPr>
            <w:tcW w:w="1289" w:type="dxa"/>
            <w:vAlign w:val="center"/>
          </w:tcPr>
          <w:p>
            <w:pPr>
              <w:widowControl/>
              <w:jc w:val="center"/>
              <w:textAlignment w:val="center"/>
              <w:rPr>
                <w:color w:val="000000"/>
                <w:sz w:val="22"/>
                <w:szCs w:val="22"/>
              </w:rPr>
            </w:pPr>
            <w:r>
              <w:rPr>
                <w:color w:val="000000"/>
                <w:kern w:val="0"/>
                <w:szCs w:val="21"/>
                <w:lang/>
              </w:rPr>
              <w:t xml:space="preserve">0.2963 </w:t>
            </w:r>
          </w:p>
        </w:tc>
        <w:tc>
          <w:tcPr>
            <w:tcW w:w="1288" w:type="dxa"/>
            <w:vAlign w:val="center"/>
          </w:tcPr>
          <w:p>
            <w:pPr>
              <w:widowControl/>
              <w:jc w:val="center"/>
              <w:textAlignment w:val="center"/>
              <w:rPr>
                <w:color w:val="000000"/>
                <w:sz w:val="22"/>
                <w:szCs w:val="22"/>
              </w:rPr>
            </w:pPr>
            <w:r>
              <w:rPr>
                <w:color w:val="000000"/>
                <w:kern w:val="0"/>
                <w:szCs w:val="21"/>
                <w:lang/>
              </w:rPr>
              <w:t xml:space="preserve">0.3560 </w:t>
            </w:r>
          </w:p>
        </w:tc>
        <w:tc>
          <w:tcPr>
            <w:tcW w:w="1288" w:type="dxa"/>
            <w:vAlign w:val="center"/>
          </w:tcPr>
          <w:p>
            <w:pPr>
              <w:widowControl/>
              <w:jc w:val="center"/>
              <w:textAlignment w:val="center"/>
              <w:rPr>
                <w:color w:val="000000"/>
                <w:sz w:val="22"/>
                <w:szCs w:val="22"/>
              </w:rPr>
            </w:pPr>
            <w:r>
              <w:rPr>
                <w:color w:val="000000"/>
                <w:kern w:val="0"/>
                <w:szCs w:val="21"/>
                <w:lang/>
              </w:rPr>
              <w:t xml:space="preserve">0.4109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29" w:type="dxa"/>
            <w:vAlign w:val="center"/>
          </w:tcPr>
          <w:p>
            <w:pPr>
              <w:spacing w:line="300" w:lineRule="exact"/>
              <w:ind w:left="-105" w:leftChars="-50" w:right="-105" w:rightChars="-50"/>
              <w:jc w:val="center"/>
            </w:pPr>
            <w:r>
              <w:t>使用年期</w:t>
            </w:r>
          </w:p>
        </w:tc>
        <w:tc>
          <w:tcPr>
            <w:tcW w:w="1289" w:type="dxa"/>
            <w:vAlign w:val="center"/>
          </w:tcPr>
          <w:p>
            <w:pPr>
              <w:jc w:val="center"/>
              <w:rPr>
                <w:color w:val="000000"/>
                <w:szCs w:val="21"/>
              </w:rPr>
            </w:pPr>
            <w:r>
              <w:rPr>
                <w:color w:val="000000"/>
                <w:szCs w:val="21"/>
              </w:rPr>
              <w:t>7</w:t>
            </w:r>
          </w:p>
        </w:tc>
        <w:tc>
          <w:tcPr>
            <w:tcW w:w="1289" w:type="dxa"/>
            <w:vAlign w:val="center"/>
          </w:tcPr>
          <w:p>
            <w:pPr>
              <w:jc w:val="center"/>
              <w:rPr>
                <w:color w:val="000000"/>
                <w:szCs w:val="21"/>
              </w:rPr>
            </w:pPr>
            <w:r>
              <w:rPr>
                <w:color w:val="000000"/>
                <w:szCs w:val="21"/>
              </w:rPr>
              <w:t>8</w:t>
            </w:r>
          </w:p>
        </w:tc>
        <w:tc>
          <w:tcPr>
            <w:tcW w:w="1289" w:type="dxa"/>
            <w:vAlign w:val="center"/>
          </w:tcPr>
          <w:p>
            <w:pPr>
              <w:jc w:val="center"/>
              <w:rPr>
                <w:color w:val="000000"/>
                <w:szCs w:val="21"/>
              </w:rPr>
            </w:pPr>
            <w:r>
              <w:rPr>
                <w:color w:val="000000"/>
                <w:szCs w:val="21"/>
              </w:rPr>
              <w:t>9</w:t>
            </w:r>
          </w:p>
        </w:tc>
        <w:tc>
          <w:tcPr>
            <w:tcW w:w="1289" w:type="dxa"/>
            <w:vAlign w:val="center"/>
          </w:tcPr>
          <w:p>
            <w:pPr>
              <w:jc w:val="center"/>
              <w:rPr>
                <w:color w:val="000000"/>
                <w:szCs w:val="21"/>
              </w:rPr>
            </w:pPr>
            <w:r>
              <w:rPr>
                <w:color w:val="000000"/>
                <w:szCs w:val="21"/>
              </w:rPr>
              <w:t>10</w:t>
            </w:r>
          </w:p>
        </w:tc>
        <w:tc>
          <w:tcPr>
            <w:tcW w:w="1288" w:type="dxa"/>
            <w:vAlign w:val="center"/>
          </w:tcPr>
          <w:p>
            <w:pPr>
              <w:jc w:val="center"/>
              <w:rPr>
                <w:color w:val="000000"/>
                <w:szCs w:val="21"/>
              </w:rPr>
            </w:pPr>
            <w:r>
              <w:rPr>
                <w:color w:val="000000"/>
                <w:szCs w:val="21"/>
              </w:rPr>
              <w:t>11</w:t>
            </w:r>
          </w:p>
        </w:tc>
        <w:tc>
          <w:tcPr>
            <w:tcW w:w="1288" w:type="dxa"/>
            <w:vAlign w:val="center"/>
          </w:tcPr>
          <w:p>
            <w:pPr>
              <w:jc w:val="center"/>
              <w:rPr>
                <w:color w:val="000000"/>
                <w:szCs w:val="21"/>
              </w:rPr>
            </w:pPr>
            <w:r>
              <w:rPr>
                <w:color w:val="00000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29" w:type="dxa"/>
            <w:vAlign w:val="center"/>
          </w:tcPr>
          <w:p>
            <w:pPr>
              <w:spacing w:line="300" w:lineRule="exact"/>
              <w:ind w:left="-105" w:leftChars="-50" w:right="-105" w:rightChars="-50"/>
              <w:jc w:val="center"/>
            </w:pPr>
            <w:r>
              <w:t>修正系数</w:t>
            </w:r>
          </w:p>
        </w:tc>
        <w:tc>
          <w:tcPr>
            <w:tcW w:w="1289" w:type="dxa"/>
            <w:vAlign w:val="center"/>
          </w:tcPr>
          <w:p>
            <w:pPr>
              <w:widowControl/>
              <w:jc w:val="center"/>
              <w:textAlignment w:val="center"/>
              <w:rPr>
                <w:color w:val="000000"/>
                <w:sz w:val="22"/>
                <w:szCs w:val="22"/>
              </w:rPr>
            </w:pPr>
            <w:r>
              <w:rPr>
                <w:color w:val="000000"/>
                <w:kern w:val="0"/>
                <w:szCs w:val="21"/>
                <w:lang/>
              </w:rPr>
              <w:t xml:space="preserve">0.4614 </w:t>
            </w:r>
          </w:p>
        </w:tc>
        <w:tc>
          <w:tcPr>
            <w:tcW w:w="1289" w:type="dxa"/>
            <w:vAlign w:val="center"/>
          </w:tcPr>
          <w:p>
            <w:pPr>
              <w:widowControl/>
              <w:jc w:val="center"/>
              <w:textAlignment w:val="center"/>
              <w:rPr>
                <w:color w:val="000000"/>
                <w:sz w:val="22"/>
                <w:szCs w:val="22"/>
              </w:rPr>
            </w:pPr>
            <w:r>
              <w:rPr>
                <w:color w:val="000000"/>
                <w:kern w:val="0"/>
                <w:szCs w:val="21"/>
                <w:lang/>
              </w:rPr>
              <w:t xml:space="preserve">0.5078 </w:t>
            </w:r>
          </w:p>
        </w:tc>
        <w:tc>
          <w:tcPr>
            <w:tcW w:w="1289" w:type="dxa"/>
            <w:vAlign w:val="center"/>
          </w:tcPr>
          <w:p>
            <w:pPr>
              <w:widowControl/>
              <w:jc w:val="center"/>
              <w:textAlignment w:val="center"/>
              <w:rPr>
                <w:color w:val="000000"/>
                <w:sz w:val="22"/>
                <w:szCs w:val="22"/>
              </w:rPr>
            </w:pPr>
            <w:r>
              <w:rPr>
                <w:color w:val="000000"/>
                <w:kern w:val="0"/>
                <w:szCs w:val="21"/>
                <w:lang/>
              </w:rPr>
              <w:t xml:space="preserve">0.5504 </w:t>
            </w:r>
          </w:p>
        </w:tc>
        <w:tc>
          <w:tcPr>
            <w:tcW w:w="1289" w:type="dxa"/>
            <w:vAlign w:val="center"/>
          </w:tcPr>
          <w:p>
            <w:pPr>
              <w:widowControl/>
              <w:jc w:val="center"/>
              <w:textAlignment w:val="center"/>
              <w:rPr>
                <w:color w:val="000000"/>
                <w:sz w:val="22"/>
                <w:szCs w:val="22"/>
              </w:rPr>
            </w:pPr>
            <w:r>
              <w:rPr>
                <w:color w:val="000000"/>
                <w:kern w:val="0"/>
                <w:szCs w:val="21"/>
                <w:lang/>
              </w:rPr>
              <w:t xml:space="preserve">0.5896 </w:t>
            </w:r>
          </w:p>
        </w:tc>
        <w:tc>
          <w:tcPr>
            <w:tcW w:w="1288" w:type="dxa"/>
            <w:vAlign w:val="center"/>
          </w:tcPr>
          <w:p>
            <w:pPr>
              <w:widowControl/>
              <w:jc w:val="center"/>
              <w:textAlignment w:val="center"/>
              <w:rPr>
                <w:color w:val="000000"/>
                <w:sz w:val="22"/>
                <w:szCs w:val="22"/>
              </w:rPr>
            </w:pPr>
            <w:r>
              <w:rPr>
                <w:color w:val="000000"/>
                <w:kern w:val="0"/>
                <w:szCs w:val="21"/>
                <w:lang/>
              </w:rPr>
              <w:t xml:space="preserve">0.6257 </w:t>
            </w:r>
          </w:p>
        </w:tc>
        <w:tc>
          <w:tcPr>
            <w:tcW w:w="1288" w:type="dxa"/>
            <w:vAlign w:val="center"/>
          </w:tcPr>
          <w:p>
            <w:pPr>
              <w:widowControl/>
              <w:jc w:val="center"/>
              <w:textAlignment w:val="center"/>
              <w:rPr>
                <w:color w:val="000000"/>
                <w:sz w:val="22"/>
                <w:szCs w:val="22"/>
              </w:rPr>
            </w:pPr>
            <w:r>
              <w:rPr>
                <w:color w:val="000000"/>
                <w:kern w:val="0"/>
                <w:szCs w:val="21"/>
                <w:lang/>
              </w:rPr>
              <w:t xml:space="preserve">0.6588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29" w:type="dxa"/>
            <w:vAlign w:val="center"/>
          </w:tcPr>
          <w:p>
            <w:pPr>
              <w:spacing w:line="300" w:lineRule="exact"/>
              <w:ind w:left="-105" w:leftChars="-50" w:right="-105" w:rightChars="-50"/>
              <w:jc w:val="center"/>
            </w:pPr>
            <w:r>
              <w:t>使用年期</w:t>
            </w:r>
          </w:p>
        </w:tc>
        <w:tc>
          <w:tcPr>
            <w:tcW w:w="1289" w:type="dxa"/>
            <w:vAlign w:val="center"/>
          </w:tcPr>
          <w:p>
            <w:pPr>
              <w:jc w:val="center"/>
              <w:rPr>
                <w:color w:val="000000"/>
                <w:szCs w:val="21"/>
              </w:rPr>
            </w:pPr>
            <w:r>
              <w:rPr>
                <w:color w:val="000000"/>
                <w:szCs w:val="21"/>
              </w:rPr>
              <w:t>13</w:t>
            </w:r>
          </w:p>
        </w:tc>
        <w:tc>
          <w:tcPr>
            <w:tcW w:w="1289" w:type="dxa"/>
            <w:vAlign w:val="center"/>
          </w:tcPr>
          <w:p>
            <w:pPr>
              <w:jc w:val="center"/>
              <w:rPr>
                <w:color w:val="000000"/>
                <w:szCs w:val="21"/>
              </w:rPr>
            </w:pPr>
            <w:r>
              <w:rPr>
                <w:color w:val="000000"/>
                <w:szCs w:val="21"/>
              </w:rPr>
              <w:t>14</w:t>
            </w:r>
          </w:p>
        </w:tc>
        <w:tc>
          <w:tcPr>
            <w:tcW w:w="1289" w:type="dxa"/>
            <w:vAlign w:val="center"/>
          </w:tcPr>
          <w:p>
            <w:pPr>
              <w:jc w:val="center"/>
              <w:rPr>
                <w:color w:val="000000"/>
                <w:szCs w:val="21"/>
              </w:rPr>
            </w:pPr>
            <w:r>
              <w:rPr>
                <w:color w:val="000000"/>
                <w:szCs w:val="21"/>
              </w:rPr>
              <w:t>15</w:t>
            </w:r>
          </w:p>
        </w:tc>
        <w:tc>
          <w:tcPr>
            <w:tcW w:w="1289" w:type="dxa"/>
            <w:vAlign w:val="center"/>
          </w:tcPr>
          <w:p>
            <w:pPr>
              <w:jc w:val="center"/>
              <w:rPr>
                <w:color w:val="000000"/>
                <w:szCs w:val="21"/>
              </w:rPr>
            </w:pPr>
            <w:r>
              <w:rPr>
                <w:color w:val="000000"/>
                <w:szCs w:val="21"/>
              </w:rPr>
              <w:t>16</w:t>
            </w:r>
          </w:p>
        </w:tc>
        <w:tc>
          <w:tcPr>
            <w:tcW w:w="1288" w:type="dxa"/>
            <w:vAlign w:val="center"/>
          </w:tcPr>
          <w:p>
            <w:pPr>
              <w:jc w:val="center"/>
              <w:rPr>
                <w:color w:val="000000"/>
                <w:szCs w:val="21"/>
              </w:rPr>
            </w:pPr>
            <w:r>
              <w:rPr>
                <w:color w:val="000000"/>
                <w:szCs w:val="21"/>
              </w:rPr>
              <w:t>17</w:t>
            </w:r>
          </w:p>
        </w:tc>
        <w:tc>
          <w:tcPr>
            <w:tcW w:w="1288" w:type="dxa"/>
            <w:vAlign w:val="center"/>
          </w:tcPr>
          <w:p>
            <w:pPr>
              <w:jc w:val="center"/>
              <w:rPr>
                <w:color w:val="000000"/>
                <w:szCs w:val="21"/>
              </w:rPr>
            </w:pPr>
            <w:r>
              <w:rPr>
                <w:color w:val="00000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29" w:type="dxa"/>
            <w:vAlign w:val="center"/>
          </w:tcPr>
          <w:p>
            <w:pPr>
              <w:spacing w:line="300" w:lineRule="exact"/>
              <w:ind w:left="-105" w:leftChars="-50" w:right="-105" w:rightChars="-50"/>
              <w:jc w:val="center"/>
            </w:pPr>
            <w:r>
              <w:t>修正系数</w:t>
            </w:r>
          </w:p>
        </w:tc>
        <w:tc>
          <w:tcPr>
            <w:tcW w:w="1289" w:type="dxa"/>
            <w:vAlign w:val="center"/>
          </w:tcPr>
          <w:p>
            <w:pPr>
              <w:widowControl/>
              <w:jc w:val="center"/>
              <w:textAlignment w:val="center"/>
              <w:rPr>
                <w:color w:val="000000"/>
                <w:sz w:val="22"/>
                <w:szCs w:val="22"/>
              </w:rPr>
            </w:pPr>
            <w:r>
              <w:rPr>
                <w:color w:val="000000"/>
                <w:kern w:val="0"/>
                <w:szCs w:val="21"/>
                <w:lang/>
              </w:rPr>
              <w:t xml:space="preserve">0.6892 </w:t>
            </w:r>
          </w:p>
        </w:tc>
        <w:tc>
          <w:tcPr>
            <w:tcW w:w="1289" w:type="dxa"/>
            <w:vAlign w:val="center"/>
          </w:tcPr>
          <w:p>
            <w:pPr>
              <w:widowControl/>
              <w:jc w:val="center"/>
              <w:textAlignment w:val="center"/>
              <w:rPr>
                <w:color w:val="000000"/>
                <w:sz w:val="22"/>
                <w:szCs w:val="22"/>
              </w:rPr>
            </w:pPr>
            <w:r>
              <w:rPr>
                <w:color w:val="000000"/>
                <w:kern w:val="0"/>
                <w:szCs w:val="21"/>
                <w:lang/>
              </w:rPr>
              <w:t xml:space="preserve">0.7172 </w:t>
            </w:r>
          </w:p>
        </w:tc>
        <w:tc>
          <w:tcPr>
            <w:tcW w:w="1289" w:type="dxa"/>
            <w:vAlign w:val="center"/>
          </w:tcPr>
          <w:p>
            <w:pPr>
              <w:widowControl/>
              <w:jc w:val="center"/>
              <w:textAlignment w:val="center"/>
              <w:rPr>
                <w:color w:val="000000"/>
                <w:sz w:val="22"/>
                <w:szCs w:val="22"/>
              </w:rPr>
            </w:pPr>
            <w:r>
              <w:rPr>
                <w:color w:val="000000"/>
                <w:kern w:val="0"/>
                <w:szCs w:val="21"/>
                <w:lang/>
              </w:rPr>
              <w:t xml:space="preserve">0.7430 </w:t>
            </w:r>
          </w:p>
        </w:tc>
        <w:tc>
          <w:tcPr>
            <w:tcW w:w="1289" w:type="dxa"/>
            <w:vAlign w:val="center"/>
          </w:tcPr>
          <w:p>
            <w:pPr>
              <w:widowControl/>
              <w:jc w:val="center"/>
              <w:textAlignment w:val="center"/>
              <w:rPr>
                <w:color w:val="000000"/>
                <w:sz w:val="22"/>
                <w:szCs w:val="22"/>
              </w:rPr>
            </w:pPr>
            <w:r>
              <w:rPr>
                <w:color w:val="000000"/>
                <w:kern w:val="0"/>
                <w:szCs w:val="21"/>
                <w:lang/>
              </w:rPr>
              <w:t xml:space="preserve">0.7666 </w:t>
            </w:r>
          </w:p>
        </w:tc>
        <w:tc>
          <w:tcPr>
            <w:tcW w:w="1288" w:type="dxa"/>
            <w:vAlign w:val="center"/>
          </w:tcPr>
          <w:p>
            <w:pPr>
              <w:widowControl/>
              <w:jc w:val="center"/>
              <w:textAlignment w:val="center"/>
              <w:rPr>
                <w:color w:val="000000"/>
                <w:sz w:val="22"/>
                <w:szCs w:val="22"/>
              </w:rPr>
            </w:pPr>
            <w:r>
              <w:rPr>
                <w:color w:val="000000"/>
                <w:kern w:val="0"/>
                <w:szCs w:val="21"/>
                <w:lang/>
              </w:rPr>
              <w:t xml:space="preserve">0.7883 </w:t>
            </w:r>
          </w:p>
        </w:tc>
        <w:tc>
          <w:tcPr>
            <w:tcW w:w="1288" w:type="dxa"/>
            <w:vAlign w:val="center"/>
          </w:tcPr>
          <w:p>
            <w:pPr>
              <w:widowControl/>
              <w:jc w:val="center"/>
              <w:textAlignment w:val="center"/>
              <w:rPr>
                <w:color w:val="000000"/>
                <w:sz w:val="22"/>
                <w:szCs w:val="22"/>
              </w:rPr>
            </w:pPr>
            <w:r>
              <w:rPr>
                <w:color w:val="000000"/>
                <w:kern w:val="0"/>
                <w:szCs w:val="21"/>
                <w:lang/>
              </w:rPr>
              <w:t xml:space="preserve">0.8083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29" w:type="dxa"/>
            <w:vAlign w:val="center"/>
          </w:tcPr>
          <w:p>
            <w:pPr>
              <w:spacing w:line="300" w:lineRule="exact"/>
              <w:ind w:left="-105" w:leftChars="-50" w:right="-105" w:rightChars="-50"/>
              <w:jc w:val="center"/>
            </w:pPr>
            <w:r>
              <w:t>使用年期</w:t>
            </w:r>
          </w:p>
        </w:tc>
        <w:tc>
          <w:tcPr>
            <w:tcW w:w="1289" w:type="dxa"/>
            <w:vAlign w:val="center"/>
          </w:tcPr>
          <w:p>
            <w:pPr>
              <w:widowControl/>
              <w:jc w:val="center"/>
              <w:textAlignment w:val="center"/>
              <w:rPr>
                <w:color w:val="000000"/>
                <w:szCs w:val="21"/>
              </w:rPr>
            </w:pPr>
            <w:r>
              <w:rPr>
                <w:color w:val="000000"/>
                <w:kern w:val="0"/>
                <w:szCs w:val="21"/>
                <w:lang/>
              </w:rPr>
              <w:t>19</w:t>
            </w:r>
          </w:p>
        </w:tc>
        <w:tc>
          <w:tcPr>
            <w:tcW w:w="1289" w:type="dxa"/>
            <w:vAlign w:val="center"/>
          </w:tcPr>
          <w:p>
            <w:pPr>
              <w:widowControl/>
              <w:jc w:val="center"/>
              <w:textAlignment w:val="center"/>
              <w:rPr>
                <w:color w:val="000000"/>
                <w:szCs w:val="21"/>
              </w:rPr>
            </w:pPr>
            <w:r>
              <w:rPr>
                <w:color w:val="000000"/>
                <w:kern w:val="0"/>
                <w:szCs w:val="21"/>
                <w:lang/>
              </w:rPr>
              <w:t>20</w:t>
            </w:r>
          </w:p>
        </w:tc>
        <w:tc>
          <w:tcPr>
            <w:tcW w:w="1289" w:type="dxa"/>
            <w:vAlign w:val="center"/>
          </w:tcPr>
          <w:p>
            <w:pPr>
              <w:widowControl/>
              <w:jc w:val="center"/>
              <w:textAlignment w:val="center"/>
              <w:rPr>
                <w:color w:val="000000"/>
                <w:szCs w:val="21"/>
              </w:rPr>
            </w:pPr>
            <w:r>
              <w:rPr>
                <w:color w:val="000000"/>
                <w:kern w:val="0"/>
                <w:szCs w:val="21"/>
                <w:lang/>
              </w:rPr>
              <w:t>21</w:t>
            </w:r>
          </w:p>
        </w:tc>
        <w:tc>
          <w:tcPr>
            <w:tcW w:w="1289" w:type="dxa"/>
            <w:vAlign w:val="center"/>
          </w:tcPr>
          <w:p>
            <w:pPr>
              <w:widowControl/>
              <w:jc w:val="center"/>
              <w:textAlignment w:val="center"/>
              <w:rPr>
                <w:color w:val="000000"/>
                <w:szCs w:val="21"/>
              </w:rPr>
            </w:pPr>
            <w:r>
              <w:rPr>
                <w:color w:val="000000"/>
                <w:kern w:val="0"/>
                <w:szCs w:val="21"/>
                <w:lang/>
              </w:rPr>
              <w:t>22</w:t>
            </w:r>
          </w:p>
        </w:tc>
        <w:tc>
          <w:tcPr>
            <w:tcW w:w="1288" w:type="dxa"/>
            <w:vAlign w:val="center"/>
          </w:tcPr>
          <w:p>
            <w:pPr>
              <w:widowControl/>
              <w:jc w:val="center"/>
              <w:textAlignment w:val="center"/>
              <w:rPr>
                <w:color w:val="000000"/>
                <w:szCs w:val="21"/>
              </w:rPr>
            </w:pPr>
            <w:r>
              <w:rPr>
                <w:color w:val="000000"/>
                <w:kern w:val="0"/>
                <w:szCs w:val="21"/>
                <w:lang/>
              </w:rPr>
              <w:t>23</w:t>
            </w:r>
          </w:p>
        </w:tc>
        <w:tc>
          <w:tcPr>
            <w:tcW w:w="1288" w:type="dxa"/>
            <w:vAlign w:val="center"/>
          </w:tcPr>
          <w:p>
            <w:pPr>
              <w:widowControl/>
              <w:jc w:val="center"/>
              <w:textAlignment w:val="center"/>
              <w:rPr>
                <w:color w:val="000000"/>
                <w:szCs w:val="21"/>
              </w:rPr>
            </w:pPr>
            <w:r>
              <w:rPr>
                <w:color w:val="000000"/>
                <w:kern w:val="0"/>
                <w:szCs w:val="21"/>
                <w:lang/>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29" w:type="dxa"/>
            <w:vAlign w:val="center"/>
          </w:tcPr>
          <w:p>
            <w:pPr>
              <w:spacing w:line="300" w:lineRule="exact"/>
              <w:ind w:left="-105" w:leftChars="-50" w:right="-105" w:rightChars="-50"/>
              <w:jc w:val="center"/>
            </w:pPr>
            <w:r>
              <w:t>修正系数</w:t>
            </w:r>
          </w:p>
        </w:tc>
        <w:tc>
          <w:tcPr>
            <w:tcW w:w="1289" w:type="dxa"/>
            <w:vAlign w:val="center"/>
          </w:tcPr>
          <w:p>
            <w:pPr>
              <w:widowControl/>
              <w:jc w:val="center"/>
              <w:textAlignment w:val="center"/>
              <w:rPr>
                <w:color w:val="000000"/>
                <w:sz w:val="22"/>
                <w:szCs w:val="22"/>
              </w:rPr>
            </w:pPr>
            <w:r>
              <w:rPr>
                <w:color w:val="000000"/>
                <w:kern w:val="0"/>
                <w:szCs w:val="21"/>
                <w:lang/>
              </w:rPr>
              <w:t xml:space="preserve">0.8267 </w:t>
            </w:r>
          </w:p>
        </w:tc>
        <w:tc>
          <w:tcPr>
            <w:tcW w:w="1289" w:type="dxa"/>
            <w:vAlign w:val="center"/>
          </w:tcPr>
          <w:p>
            <w:pPr>
              <w:widowControl/>
              <w:jc w:val="center"/>
              <w:textAlignment w:val="center"/>
              <w:rPr>
                <w:color w:val="000000"/>
                <w:sz w:val="22"/>
                <w:szCs w:val="22"/>
              </w:rPr>
            </w:pPr>
            <w:r>
              <w:rPr>
                <w:color w:val="000000"/>
                <w:kern w:val="0"/>
                <w:szCs w:val="21"/>
                <w:lang/>
              </w:rPr>
              <w:t xml:space="preserve">0.8436 </w:t>
            </w:r>
          </w:p>
        </w:tc>
        <w:tc>
          <w:tcPr>
            <w:tcW w:w="1289" w:type="dxa"/>
            <w:vAlign w:val="center"/>
          </w:tcPr>
          <w:p>
            <w:pPr>
              <w:widowControl/>
              <w:jc w:val="center"/>
              <w:textAlignment w:val="center"/>
              <w:rPr>
                <w:color w:val="000000"/>
                <w:sz w:val="22"/>
                <w:szCs w:val="22"/>
              </w:rPr>
            </w:pPr>
            <w:r>
              <w:rPr>
                <w:color w:val="000000"/>
                <w:kern w:val="0"/>
                <w:szCs w:val="21"/>
                <w:lang/>
              </w:rPr>
              <w:t xml:space="preserve">0.8591 </w:t>
            </w:r>
          </w:p>
        </w:tc>
        <w:tc>
          <w:tcPr>
            <w:tcW w:w="1289" w:type="dxa"/>
            <w:vAlign w:val="center"/>
          </w:tcPr>
          <w:p>
            <w:pPr>
              <w:widowControl/>
              <w:jc w:val="center"/>
              <w:textAlignment w:val="center"/>
              <w:rPr>
                <w:color w:val="000000"/>
                <w:sz w:val="22"/>
                <w:szCs w:val="22"/>
              </w:rPr>
            </w:pPr>
            <w:r>
              <w:rPr>
                <w:color w:val="000000"/>
                <w:kern w:val="0"/>
                <w:szCs w:val="21"/>
                <w:lang/>
              </w:rPr>
              <w:t xml:space="preserve">0.8733 </w:t>
            </w:r>
          </w:p>
        </w:tc>
        <w:tc>
          <w:tcPr>
            <w:tcW w:w="1288" w:type="dxa"/>
            <w:vAlign w:val="center"/>
          </w:tcPr>
          <w:p>
            <w:pPr>
              <w:widowControl/>
              <w:jc w:val="center"/>
              <w:textAlignment w:val="center"/>
              <w:rPr>
                <w:color w:val="000000"/>
                <w:sz w:val="22"/>
                <w:szCs w:val="22"/>
              </w:rPr>
            </w:pPr>
            <w:r>
              <w:rPr>
                <w:color w:val="000000"/>
                <w:kern w:val="0"/>
                <w:szCs w:val="21"/>
                <w:lang/>
              </w:rPr>
              <w:t xml:space="preserve">0.8865 </w:t>
            </w:r>
          </w:p>
        </w:tc>
        <w:tc>
          <w:tcPr>
            <w:tcW w:w="1288" w:type="dxa"/>
            <w:vAlign w:val="center"/>
          </w:tcPr>
          <w:p>
            <w:pPr>
              <w:widowControl/>
              <w:jc w:val="center"/>
              <w:textAlignment w:val="center"/>
              <w:rPr>
                <w:color w:val="000000"/>
                <w:sz w:val="22"/>
                <w:szCs w:val="22"/>
              </w:rPr>
            </w:pPr>
            <w:r>
              <w:rPr>
                <w:color w:val="000000"/>
                <w:kern w:val="0"/>
                <w:szCs w:val="21"/>
                <w:lang/>
              </w:rPr>
              <w:t xml:space="preserve">0.8985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29" w:type="dxa"/>
            <w:vAlign w:val="center"/>
          </w:tcPr>
          <w:p>
            <w:pPr>
              <w:spacing w:line="300" w:lineRule="exact"/>
              <w:ind w:left="-105" w:leftChars="-50" w:right="-105" w:rightChars="-50"/>
              <w:jc w:val="center"/>
            </w:pPr>
            <w:r>
              <w:t>使用年期</w:t>
            </w:r>
          </w:p>
        </w:tc>
        <w:tc>
          <w:tcPr>
            <w:tcW w:w="1289" w:type="dxa"/>
            <w:vAlign w:val="center"/>
          </w:tcPr>
          <w:p>
            <w:pPr>
              <w:widowControl/>
              <w:jc w:val="center"/>
              <w:textAlignment w:val="center"/>
              <w:rPr>
                <w:color w:val="000000"/>
                <w:szCs w:val="21"/>
              </w:rPr>
            </w:pPr>
            <w:r>
              <w:rPr>
                <w:color w:val="000000"/>
                <w:kern w:val="0"/>
                <w:szCs w:val="21"/>
                <w:lang/>
              </w:rPr>
              <w:t>25</w:t>
            </w:r>
          </w:p>
        </w:tc>
        <w:tc>
          <w:tcPr>
            <w:tcW w:w="1289" w:type="dxa"/>
            <w:vAlign w:val="center"/>
          </w:tcPr>
          <w:p>
            <w:pPr>
              <w:widowControl/>
              <w:jc w:val="center"/>
              <w:textAlignment w:val="center"/>
              <w:rPr>
                <w:color w:val="000000"/>
                <w:szCs w:val="21"/>
              </w:rPr>
            </w:pPr>
            <w:r>
              <w:rPr>
                <w:color w:val="000000"/>
                <w:kern w:val="0"/>
                <w:szCs w:val="21"/>
                <w:lang/>
              </w:rPr>
              <w:t>26</w:t>
            </w:r>
          </w:p>
        </w:tc>
        <w:tc>
          <w:tcPr>
            <w:tcW w:w="1289" w:type="dxa"/>
            <w:vAlign w:val="center"/>
          </w:tcPr>
          <w:p>
            <w:pPr>
              <w:widowControl/>
              <w:jc w:val="center"/>
              <w:textAlignment w:val="center"/>
              <w:rPr>
                <w:color w:val="000000"/>
                <w:szCs w:val="21"/>
              </w:rPr>
            </w:pPr>
            <w:r>
              <w:rPr>
                <w:color w:val="000000"/>
                <w:kern w:val="0"/>
                <w:szCs w:val="21"/>
                <w:lang/>
              </w:rPr>
              <w:t>27</w:t>
            </w:r>
          </w:p>
        </w:tc>
        <w:tc>
          <w:tcPr>
            <w:tcW w:w="1289" w:type="dxa"/>
            <w:vAlign w:val="center"/>
          </w:tcPr>
          <w:p>
            <w:pPr>
              <w:widowControl/>
              <w:jc w:val="center"/>
              <w:textAlignment w:val="center"/>
              <w:rPr>
                <w:color w:val="000000"/>
                <w:szCs w:val="21"/>
              </w:rPr>
            </w:pPr>
            <w:r>
              <w:rPr>
                <w:color w:val="000000"/>
                <w:kern w:val="0"/>
                <w:szCs w:val="21"/>
                <w:lang/>
              </w:rPr>
              <w:t>28</w:t>
            </w:r>
          </w:p>
        </w:tc>
        <w:tc>
          <w:tcPr>
            <w:tcW w:w="1288" w:type="dxa"/>
            <w:vAlign w:val="center"/>
          </w:tcPr>
          <w:p>
            <w:pPr>
              <w:widowControl/>
              <w:jc w:val="center"/>
              <w:textAlignment w:val="center"/>
              <w:rPr>
                <w:color w:val="000000"/>
                <w:szCs w:val="21"/>
              </w:rPr>
            </w:pPr>
            <w:r>
              <w:rPr>
                <w:color w:val="000000"/>
                <w:kern w:val="0"/>
                <w:szCs w:val="21"/>
                <w:lang/>
              </w:rPr>
              <w:t>29</w:t>
            </w:r>
          </w:p>
        </w:tc>
        <w:tc>
          <w:tcPr>
            <w:tcW w:w="1288" w:type="dxa"/>
            <w:vAlign w:val="center"/>
          </w:tcPr>
          <w:p>
            <w:pPr>
              <w:widowControl/>
              <w:jc w:val="center"/>
              <w:textAlignment w:val="center"/>
              <w:rPr>
                <w:color w:val="000000"/>
                <w:szCs w:val="21"/>
              </w:rPr>
            </w:pPr>
            <w:r>
              <w:rPr>
                <w:color w:val="000000"/>
                <w:kern w:val="0"/>
                <w:szCs w:val="21"/>
                <w:lang/>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29" w:type="dxa"/>
            <w:vAlign w:val="center"/>
          </w:tcPr>
          <w:p>
            <w:pPr>
              <w:spacing w:line="300" w:lineRule="exact"/>
              <w:ind w:left="-105" w:leftChars="-50" w:right="-105" w:rightChars="-50"/>
              <w:jc w:val="center"/>
            </w:pPr>
            <w:r>
              <w:t>修正系数</w:t>
            </w:r>
          </w:p>
        </w:tc>
        <w:tc>
          <w:tcPr>
            <w:tcW w:w="1289" w:type="dxa"/>
            <w:vAlign w:val="center"/>
          </w:tcPr>
          <w:p>
            <w:pPr>
              <w:widowControl/>
              <w:jc w:val="center"/>
              <w:textAlignment w:val="center"/>
              <w:rPr>
                <w:color w:val="000000"/>
                <w:sz w:val="22"/>
                <w:szCs w:val="22"/>
              </w:rPr>
            </w:pPr>
            <w:r>
              <w:rPr>
                <w:color w:val="000000"/>
                <w:kern w:val="0"/>
                <w:szCs w:val="21"/>
                <w:lang/>
              </w:rPr>
              <w:t xml:space="preserve">0.9096 </w:t>
            </w:r>
          </w:p>
        </w:tc>
        <w:tc>
          <w:tcPr>
            <w:tcW w:w="1289" w:type="dxa"/>
            <w:vAlign w:val="center"/>
          </w:tcPr>
          <w:p>
            <w:pPr>
              <w:widowControl/>
              <w:jc w:val="center"/>
              <w:textAlignment w:val="center"/>
              <w:rPr>
                <w:color w:val="000000"/>
                <w:sz w:val="22"/>
                <w:szCs w:val="22"/>
              </w:rPr>
            </w:pPr>
            <w:r>
              <w:rPr>
                <w:color w:val="000000"/>
                <w:kern w:val="0"/>
                <w:szCs w:val="21"/>
                <w:lang/>
              </w:rPr>
              <w:t xml:space="preserve">0.9198 </w:t>
            </w:r>
          </w:p>
        </w:tc>
        <w:tc>
          <w:tcPr>
            <w:tcW w:w="1289" w:type="dxa"/>
            <w:vAlign w:val="center"/>
          </w:tcPr>
          <w:p>
            <w:pPr>
              <w:widowControl/>
              <w:jc w:val="center"/>
              <w:textAlignment w:val="center"/>
              <w:rPr>
                <w:color w:val="000000"/>
                <w:sz w:val="22"/>
                <w:szCs w:val="22"/>
              </w:rPr>
            </w:pPr>
            <w:r>
              <w:rPr>
                <w:color w:val="000000"/>
                <w:kern w:val="0"/>
                <w:szCs w:val="21"/>
                <w:lang/>
              </w:rPr>
              <w:t xml:space="preserve">0.9291 </w:t>
            </w:r>
          </w:p>
        </w:tc>
        <w:tc>
          <w:tcPr>
            <w:tcW w:w="1289" w:type="dxa"/>
            <w:vAlign w:val="center"/>
          </w:tcPr>
          <w:p>
            <w:pPr>
              <w:widowControl/>
              <w:jc w:val="center"/>
              <w:textAlignment w:val="center"/>
              <w:rPr>
                <w:color w:val="000000"/>
                <w:sz w:val="22"/>
                <w:szCs w:val="22"/>
              </w:rPr>
            </w:pPr>
            <w:r>
              <w:rPr>
                <w:color w:val="000000"/>
                <w:kern w:val="0"/>
                <w:szCs w:val="21"/>
                <w:lang/>
              </w:rPr>
              <w:t xml:space="preserve">0.9377 </w:t>
            </w:r>
          </w:p>
        </w:tc>
        <w:tc>
          <w:tcPr>
            <w:tcW w:w="1288" w:type="dxa"/>
            <w:vAlign w:val="center"/>
          </w:tcPr>
          <w:p>
            <w:pPr>
              <w:widowControl/>
              <w:jc w:val="center"/>
              <w:textAlignment w:val="center"/>
              <w:rPr>
                <w:color w:val="000000"/>
                <w:sz w:val="22"/>
                <w:szCs w:val="22"/>
              </w:rPr>
            </w:pPr>
            <w:r>
              <w:rPr>
                <w:color w:val="000000"/>
                <w:kern w:val="0"/>
                <w:szCs w:val="21"/>
                <w:lang/>
              </w:rPr>
              <w:t xml:space="preserve">0.9456 </w:t>
            </w:r>
          </w:p>
        </w:tc>
        <w:tc>
          <w:tcPr>
            <w:tcW w:w="1288" w:type="dxa"/>
            <w:vAlign w:val="center"/>
          </w:tcPr>
          <w:p>
            <w:pPr>
              <w:widowControl/>
              <w:jc w:val="center"/>
              <w:textAlignment w:val="center"/>
              <w:rPr>
                <w:color w:val="000000"/>
                <w:sz w:val="22"/>
                <w:szCs w:val="22"/>
              </w:rPr>
            </w:pPr>
            <w:r>
              <w:rPr>
                <w:color w:val="000000"/>
                <w:kern w:val="0"/>
                <w:szCs w:val="21"/>
                <w:lang/>
              </w:rPr>
              <w:t xml:space="preserve">0.9529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29" w:type="dxa"/>
            <w:vAlign w:val="center"/>
          </w:tcPr>
          <w:p>
            <w:pPr>
              <w:spacing w:line="300" w:lineRule="exact"/>
              <w:ind w:left="-105" w:leftChars="-50" w:right="-105" w:rightChars="-50"/>
              <w:jc w:val="center"/>
            </w:pPr>
            <w:r>
              <w:t>使用年期</w:t>
            </w:r>
          </w:p>
        </w:tc>
        <w:tc>
          <w:tcPr>
            <w:tcW w:w="1289" w:type="dxa"/>
            <w:vAlign w:val="center"/>
          </w:tcPr>
          <w:p>
            <w:pPr>
              <w:widowControl/>
              <w:jc w:val="center"/>
              <w:textAlignment w:val="center"/>
              <w:rPr>
                <w:color w:val="000000"/>
                <w:szCs w:val="21"/>
              </w:rPr>
            </w:pPr>
            <w:r>
              <w:rPr>
                <w:color w:val="000000"/>
                <w:kern w:val="0"/>
                <w:szCs w:val="21"/>
                <w:lang/>
              </w:rPr>
              <w:t>31</w:t>
            </w:r>
          </w:p>
        </w:tc>
        <w:tc>
          <w:tcPr>
            <w:tcW w:w="1289" w:type="dxa"/>
            <w:vAlign w:val="center"/>
          </w:tcPr>
          <w:p>
            <w:pPr>
              <w:widowControl/>
              <w:jc w:val="center"/>
              <w:textAlignment w:val="center"/>
              <w:rPr>
                <w:color w:val="000000"/>
                <w:szCs w:val="21"/>
              </w:rPr>
            </w:pPr>
            <w:r>
              <w:rPr>
                <w:color w:val="000000"/>
                <w:kern w:val="0"/>
                <w:szCs w:val="21"/>
                <w:lang/>
              </w:rPr>
              <w:t>32</w:t>
            </w:r>
          </w:p>
        </w:tc>
        <w:tc>
          <w:tcPr>
            <w:tcW w:w="1289" w:type="dxa"/>
            <w:vAlign w:val="center"/>
          </w:tcPr>
          <w:p>
            <w:pPr>
              <w:widowControl/>
              <w:jc w:val="center"/>
              <w:textAlignment w:val="center"/>
              <w:rPr>
                <w:color w:val="000000"/>
                <w:szCs w:val="21"/>
              </w:rPr>
            </w:pPr>
            <w:r>
              <w:rPr>
                <w:color w:val="000000"/>
                <w:kern w:val="0"/>
                <w:szCs w:val="21"/>
                <w:lang/>
              </w:rPr>
              <w:t>33</w:t>
            </w:r>
          </w:p>
        </w:tc>
        <w:tc>
          <w:tcPr>
            <w:tcW w:w="1289" w:type="dxa"/>
            <w:vAlign w:val="center"/>
          </w:tcPr>
          <w:p>
            <w:pPr>
              <w:widowControl/>
              <w:jc w:val="center"/>
              <w:textAlignment w:val="center"/>
              <w:rPr>
                <w:color w:val="000000"/>
                <w:szCs w:val="21"/>
              </w:rPr>
            </w:pPr>
            <w:r>
              <w:rPr>
                <w:color w:val="000000"/>
                <w:kern w:val="0"/>
                <w:szCs w:val="21"/>
                <w:lang/>
              </w:rPr>
              <w:t>34</w:t>
            </w:r>
          </w:p>
        </w:tc>
        <w:tc>
          <w:tcPr>
            <w:tcW w:w="1288" w:type="dxa"/>
            <w:vAlign w:val="center"/>
          </w:tcPr>
          <w:p>
            <w:pPr>
              <w:widowControl/>
              <w:jc w:val="center"/>
              <w:textAlignment w:val="center"/>
              <w:rPr>
                <w:color w:val="000000"/>
                <w:szCs w:val="21"/>
              </w:rPr>
            </w:pPr>
            <w:r>
              <w:rPr>
                <w:color w:val="000000"/>
                <w:kern w:val="0"/>
                <w:szCs w:val="21"/>
                <w:lang/>
              </w:rPr>
              <w:t>35</w:t>
            </w:r>
          </w:p>
        </w:tc>
        <w:tc>
          <w:tcPr>
            <w:tcW w:w="1288" w:type="dxa"/>
            <w:vAlign w:val="center"/>
          </w:tcPr>
          <w:p>
            <w:pPr>
              <w:widowControl/>
              <w:jc w:val="center"/>
              <w:textAlignment w:val="center"/>
              <w:rPr>
                <w:color w:val="000000"/>
                <w:szCs w:val="21"/>
              </w:rPr>
            </w:pPr>
            <w:r>
              <w:rPr>
                <w:color w:val="000000"/>
                <w:kern w:val="0"/>
                <w:szCs w:val="21"/>
                <w:lang/>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29" w:type="dxa"/>
            <w:vAlign w:val="center"/>
          </w:tcPr>
          <w:p>
            <w:pPr>
              <w:spacing w:line="300" w:lineRule="exact"/>
              <w:ind w:left="-105" w:leftChars="-50" w:right="-105" w:rightChars="-50"/>
              <w:jc w:val="center"/>
            </w:pPr>
            <w:r>
              <w:t>修正系数</w:t>
            </w:r>
          </w:p>
        </w:tc>
        <w:tc>
          <w:tcPr>
            <w:tcW w:w="1289" w:type="dxa"/>
            <w:vAlign w:val="center"/>
          </w:tcPr>
          <w:p>
            <w:pPr>
              <w:widowControl/>
              <w:jc w:val="center"/>
              <w:textAlignment w:val="center"/>
              <w:rPr>
                <w:color w:val="000000"/>
                <w:sz w:val="22"/>
                <w:szCs w:val="22"/>
              </w:rPr>
            </w:pPr>
            <w:r>
              <w:rPr>
                <w:color w:val="000000"/>
                <w:kern w:val="0"/>
                <w:szCs w:val="21"/>
                <w:lang/>
              </w:rPr>
              <w:t xml:space="preserve">0.9596 </w:t>
            </w:r>
          </w:p>
        </w:tc>
        <w:tc>
          <w:tcPr>
            <w:tcW w:w="1289" w:type="dxa"/>
            <w:vAlign w:val="center"/>
          </w:tcPr>
          <w:p>
            <w:pPr>
              <w:widowControl/>
              <w:jc w:val="center"/>
              <w:textAlignment w:val="center"/>
              <w:rPr>
                <w:color w:val="000000"/>
                <w:sz w:val="22"/>
                <w:szCs w:val="22"/>
              </w:rPr>
            </w:pPr>
            <w:r>
              <w:rPr>
                <w:color w:val="000000"/>
                <w:kern w:val="0"/>
                <w:szCs w:val="21"/>
                <w:lang/>
              </w:rPr>
              <w:t xml:space="preserve">0.9657 </w:t>
            </w:r>
          </w:p>
        </w:tc>
        <w:tc>
          <w:tcPr>
            <w:tcW w:w="1289" w:type="dxa"/>
            <w:vAlign w:val="center"/>
          </w:tcPr>
          <w:p>
            <w:pPr>
              <w:widowControl/>
              <w:jc w:val="center"/>
              <w:textAlignment w:val="center"/>
              <w:rPr>
                <w:color w:val="000000"/>
                <w:sz w:val="22"/>
                <w:szCs w:val="22"/>
              </w:rPr>
            </w:pPr>
            <w:r>
              <w:rPr>
                <w:color w:val="000000"/>
                <w:kern w:val="0"/>
                <w:szCs w:val="21"/>
                <w:lang/>
              </w:rPr>
              <w:t xml:space="preserve">0.9714 </w:t>
            </w:r>
          </w:p>
        </w:tc>
        <w:tc>
          <w:tcPr>
            <w:tcW w:w="1289" w:type="dxa"/>
            <w:vAlign w:val="center"/>
          </w:tcPr>
          <w:p>
            <w:pPr>
              <w:widowControl/>
              <w:jc w:val="center"/>
              <w:textAlignment w:val="center"/>
              <w:rPr>
                <w:color w:val="000000"/>
                <w:sz w:val="22"/>
                <w:szCs w:val="22"/>
              </w:rPr>
            </w:pPr>
            <w:r>
              <w:rPr>
                <w:color w:val="000000"/>
                <w:kern w:val="0"/>
                <w:szCs w:val="21"/>
                <w:lang/>
              </w:rPr>
              <w:t xml:space="preserve">0.9766 </w:t>
            </w:r>
          </w:p>
        </w:tc>
        <w:tc>
          <w:tcPr>
            <w:tcW w:w="1288" w:type="dxa"/>
            <w:vAlign w:val="center"/>
          </w:tcPr>
          <w:p>
            <w:pPr>
              <w:widowControl/>
              <w:jc w:val="center"/>
              <w:textAlignment w:val="center"/>
              <w:rPr>
                <w:color w:val="000000"/>
                <w:sz w:val="22"/>
                <w:szCs w:val="22"/>
              </w:rPr>
            </w:pPr>
            <w:r>
              <w:rPr>
                <w:color w:val="000000"/>
                <w:kern w:val="0"/>
                <w:szCs w:val="21"/>
                <w:lang/>
              </w:rPr>
              <w:t xml:space="preserve">0.9813 </w:t>
            </w:r>
          </w:p>
        </w:tc>
        <w:tc>
          <w:tcPr>
            <w:tcW w:w="1288" w:type="dxa"/>
            <w:vAlign w:val="center"/>
          </w:tcPr>
          <w:p>
            <w:pPr>
              <w:widowControl/>
              <w:jc w:val="center"/>
              <w:textAlignment w:val="center"/>
              <w:rPr>
                <w:color w:val="000000"/>
                <w:sz w:val="22"/>
                <w:szCs w:val="22"/>
              </w:rPr>
            </w:pPr>
            <w:r>
              <w:rPr>
                <w:color w:val="000000"/>
                <w:kern w:val="0"/>
                <w:szCs w:val="21"/>
                <w:lang/>
              </w:rPr>
              <w:t xml:space="preserve">0.9857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29" w:type="dxa"/>
            <w:vAlign w:val="center"/>
          </w:tcPr>
          <w:p>
            <w:pPr>
              <w:spacing w:line="300" w:lineRule="exact"/>
              <w:ind w:left="-105" w:leftChars="-50" w:right="-105" w:rightChars="-50"/>
              <w:jc w:val="center"/>
            </w:pPr>
            <w:r>
              <w:t>使用年期</w:t>
            </w:r>
          </w:p>
        </w:tc>
        <w:tc>
          <w:tcPr>
            <w:tcW w:w="1289" w:type="dxa"/>
            <w:vAlign w:val="center"/>
          </w:tcPr>
          <w:p>
            <w:pPr>
              <w:jc w:val="center"/>
              <w:rPr>
                <w:color w:val="000000"/>
                <w:szCs w:val="21"/>
              </w:rPr>
            </w:pPr>
            <w:r>
              <w:rPr>
                <w:color w:val="000000"/>
                <w:szCs w:val="21"/>
              </w:rPr>
              <w:t>37</w:t>
            </w:r>
          </w:p>
        </w:tc>
        <w:tc>
          <w:tcPr>
            <w:tcW w:w="1289" w:type="dxa"/>
            <w:vAlign w:val="center"/>
          </w:tcPr>
          <w:p>
            <w:pPr>
              <w:jc w:val="center"/>
              <w:rPr>
                <w:color w:val="000000"/>
                <w:szCs w:val="21"/>
              </w:rPr>
            </w:pPr>
            <w:r>
              <w:rPr>
                <w:color w:val="000000"/>
                <w:szCs w:val="21"/>
              </w:rPr>
              <w:t>38</w:t>
            </w:r>
          </w:p>
        </w:tc>
        <w:tc>
          <w:tcPr>
            <w:tcW w:w="1289" w:type="dxa"/>
            <w:vAlign w:val="center"/>
          </w:tcPr>
          <w:p>
            <w:pPr>
              <w:jc w:val="center"/>
              <w:rPr>
                <w:color w:val="000000"/>
                <w:szCs w:val="21"/>
              </w:rPr>
            </w:pPr>
            <w:r>
              <w:rPr>
                <w:color w:val="000000"/>
                <w:szCs w:val="21"/>
              </w:rPr>
              <w:t>39</w:t>
            </w:r>
          </w:p>
        </w:tc>
        <w:tc>
          <w:tcPr>
            <w:tcW w:w="1289" w:type="dxa"/>
            <w:vAlign w:val="center"/>
          </w:tcPr>
          <w:p>
            <w:pPr>
              <w:jc w:val="center"/>
              <w:rPr>
                <w:color w:val="000000"/>
                <w:szCs w:val="21"/>
              </w:rPr>
            </w:pPr>
            <w:r>
              <w:rPr>
                <w:color w:val="000000"/>
                <w:szCs w:val="21"/>
              </w:rPr>
              <w:t>40</w:t>
            </w:r>
          </w:p>
        </w:tc>
        <w:tc>
          <w:tcPr>
            <w:tcW w:w="1288" w:type="dxa"/>
            <w:vAlign w:val="center"/>
          </w:tcPr>
          <w:p>
            <w:pPr>
              <w:jc w:val="center"/>
              <w:rPr>
                <w:color w:val="000000"/>
                <w:szCs w:val="21"/>
              </w:rPr>
            </w:pPr>
          </w:p>
        </w:tc>
        <w:tc>
          <w:tcPr>
            <w:tcW w:w="1288"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29" w:type="dxa"/>
            <w:vAlign w:val="center"/>
          </w:tcPr>
          <w:p>
            <w:pPr>
              <w:spacing w:line="300" w:lineRule="exact"/>
              <w:ind w:left="-105" w:leftChars="-50" w:right="-105" w:rightChars="-50"/>
              <w:jc w:val="center"/>
            </w:pPr>
            <w:r>
              <w:t>修正系数</w:t>
            </w:r>
          </w:p>
        </w:tc>
        <w:tc>
          <w:tcPr>
            <w:tcW w:w="1289" w:type="dxa"/>
            <w:vAlign w:val="center"/>
          </w:tcPr>
          <w:p>
            <w:pPr>
              <w:widowControl/>
              <w:jc w:val="center"/>
              <w:textAlignment w:val="center"/>
              <w:rPr>
                <w:color w:val="000000"/>
                <w:sz w:val="22"/>
                <w:szCs w:val="22"/>
              </w:rPr>
            </w:pPr>
            <w:r>
              <w:rPr>
                <w:color w:val="000000"/>
                <w:kern w:val="0"/>
                <w:szCs w:val="21"/>
                <w:lang/>
              </w:rPr>
              <w:t xml:space="preserve">0.9898 </w:t>
            </w:r>
          </w:p>
        </w:tc>
        <w:tc>
          <w:tcPr>
            <w:tcW w:w="1289" w:type="dxa"/>
            <w:vAlign w:val="center"/>
          </w:tcPr>
          <w:p>
            <w:pPr>
              <w:widowControl/>
              <w:jc w:val="center"/>
              <w:textAlignment w:val="center"/>
              <w:rPr>
                <w:color w:val="000000"/>
                <w:sz w:val="22"/>
                <w:szCs w:val="22"/>
              </w:rPr>
            </w:pPr>
            <w:r>
              <w:rPr>
                <w:color w:val="000000"/>
                <w:kern w:val="0"/>
                <w:szCs w:val="21"/>
                <w:lang/>
              </w:rPr>
              <w:t xml:space="preserve">0.9935 </w:t>
            </w:r>
          </w:p>
        </w:tc>
        <w:tc>
          <w:tcPr>
            <w:tcW w:w="1289" w:type="dxa"/>
            <w:vAlign w:val="center"/>
          </w:tcPr>
          <w:p>
            <w:pPr>
              <w:widowControl/>
              <w:jc w:val="center"/>
              <w:textAlignment w:val="center"/>
              <w:rPr>
                <w:color w:val="000000"/>
                <w:sz w:val="22"/>
                <w:szCs w:val="22"/>
              </w:rPr>
            </w:pPr>
            <w:r>
              <w:rPr>
                <w:color w:val="000000"/>
                <w:kern w:val="0"/>
                <w:szCs w:val="21"/>
                <w:lang/>
              </w:rPr>
              <w:t xml:space="preserve">0.9969 </w:t>
            </w:r>
          </w:p>
        </w:tc>
        <w:tc>
          <w:tcPr>
            <w:tcW w:w="1289" w:type="dxa"/>
            <w:vAlign w:val="center"/>
          </w:tcPr>
          <w:p>
            <w:pPr>
              <w:widowControl/>
              <w:jc w:val="center"/>
              <w:textAlignment w:val="center"/>
              <w:rPr>
                <w:color w:val="000000"/>
                <w:sz w:val="22"/>
                <w:szCs w:val="22"/>
              </w:rPr>
            </w:pPr>
            <w:r>
              <w:rPr>
                <w:color w:val="000000"/>
                <w:kern w:val="0"/>
                <w:szCs w:val="21"/>
                <w:lang/>
              </w:rPr>
              <w:t xml:space="preserve">1.0000 </w:t>
            </w:r>
          </w:p>
        </w:tc>
        <w:tc>
          <w:tcPr>
            <w:tcW w:w="1288" w:type="dxa"/>
            <w:vAlign w:val="center"/>
          </w:tcPr>
          <w:p>
            <w:pPr>
              <w:jc w:val="center"/>
              <w:rPr>
                <w:color w:val="000000"/>
                <w:szCs w:val="21"/>
              </w:rPr>
            </w:pPr>
          </w:p>
        </w:tc>
        <w:tc>
          <w:tcPr>
            <w:tcW w:w="1288" w:type="dxa"/>
            <w:vAlign w:val="center"/>
          </w:tcPr>
          <w:p>
            <w:pPr>
              <w:jc w:val="center"/>
              <w:rPr>
                <w:color w:val="000000"/>
                <w:szCs w:val="21"/>
              </w:rPr>
            </w:pPr>
          </w:p>
        </w:tc>
      </w:tr>
    </w:tbl>
    <w:p>
      <w:pPr>
        <w:tabs>
          <w:tab w:val="right" w:pos="9298"/>
        </w:tabs>
        <w:ind w:firstLine="400" w:firstLineChars="200"/>
        <w:rPr>
          <w:sz w:val="20"/>
        </w:rPr>
      </w:pPr>
      <w:r>
        <w:rPr>
          <w:sz w:val="20"/>
        </w:rPr>
        <w:t>备注：本表为基于基准日</w:t>
      </w:r>
      <w:r>
        <w:rPr>
          <w:rFonts w:hint="eastAsia"/>
          <w:sz w:val="20"/>
          <w:lang w:eastAsia="zh-CN"/>
        </w:rPr>
        <w:t>2018年3月1日</w:t>
      </w:r>
      <w:r>
        <w:rPr>
          <w:sz w:val="20"/>
        </w:rPr>
        <w:t>时确定的还原利率来测算的，在宗地评估中，可根据实际测算的还原利率动态调整。</w:t>
      </w:r>
    </w:p>
    <w:p>
      <w:pPr>
        <w:tabs>
          <w:tab w:val="right" w:pos="9298"/>
        </w:tabs>
        <w:spacing w:line="460" w:lineRule="exact"/>
        <w:ind w:firstLine="480" w:firstLineChars="200"/>
        <w:rPr>
          <w:rFonts w:eastAsia="黑体"/>
          <w:sz w:val="24"/>
        </w:rPr>
      </w:pPr>
      <w:r>
        <w:rPr>
          <w:rFonts w:eastAsia="黑体"/>
          <w:sz w:val="24"/>
        </w:rPr>
        <w:t>（二）交易期日修正（K</w:t>
      </w:r>
      <w:r>
        <w:rPr>
          <w:rFonts w:eastAsia="黑体"/>
          <w:sz w:val="24"/>
          <w:vertAlign w:val="subscript"/>
        </w:rPr>
        <w:t>t</w:t>
      </w:r>
      <w:r>
        <w:rPr>
          <w:rFonts w:eastAsia="黑体"/>
          <w:sz w:val="24"/>
        </w:rPr>
        <w:t>）</w:t>
      </w:r>
    </w:p>
    <w:p>
      <w:pPr>
        <w:spacing w:line="460" w:lineRule="exact"/>
        <w:ind w:firstLine="480" w:firstLineChars="200"/>
        <w:rPr>
          <w:sz w:val="24"/>
        </w:rPr>
      </w:pPr>
      <w:r>
        <w:rPr>
          <w:sz w:val="24"/>
        </w:rPr>
        <w:t>待估宗地的基准日与基准地价的基准期日如不相同,则需根据地价的实际变化程度进行期日修正。期日修正系数K</w:t>
      </w:r>
      <w:r>
        <w:rPr>
          <w:sz w:val="24"/>
          <w:vertAlign w:val="subscript"/>
        </w:rPr>
        <w:t>t</w:t>
      </w:r>
      <w:r>
        <w:rPr>
          <w:sz w:val="24"/>
        </w:rPr>
        <w:t>与P</w:t>
      </w:r>
      <w:r>
        <w:rPr>
          <w:sz w:val="24"/>
          <w:vertAlign w:val="subscript"/>
        </w:rPr>
        <w:t>i</w:t>
      </w:r>
      <w:r>
        <w:rPr>
          <w:sz w:val="24"/>
        </w:rPr>
        <w:t>、P</w:t>
      </w:r>
      <w:r>
        <w:rPr>
          <w:sz w:val="24"/>
          <w:vertAlign w:val="subscript"/>
        </w:rPr>
        <w:t>o</w:t>
      </w:r>
      <w:r>
        <w:rPr>
          <w:sz w:val="24"/>
        </w:rPr>
        <w:t>关系如下式：</w:t>
      </w:r>
    </w:p>
    <w:p>
      <w:pPr>
        <w:spacing w:line="360" w:lineRule="auto"/>
        <w:ind w:firstLine="480" w:firstLineChars="200"/>
        <w:jc w:val="center"/>
        <w:rPr>
          <w:sz w:val="24"/>
        </w:rPr>
      </w:pPr>
      <w:r>
        <w:rPr>
          <w:sz w:val="24"/>
        </w:rPr>
        <w:t>K</w:t>
      </w:r>
      <w:r>
        <w:rPr>
          <w:sz w:val="24"/>
          <w:vertAlign w:val="subscript"/>
        </w:rPr>
        <w:t>t</w:t>
      </w:r>
      <w:r>
        <w:rPr>
          <w:sz w:val="24"/>
        </w:rPr>
        <w:t>=Pi/Po</w:t>
      </w:r>
    </w:p>
    <w:p>
      <w:pPr>
        <w:spacing w:line="360" w:lineRule="auto"/>
        <w:ind w:firstLine="480" w:firstLineChars="200"/>
        <w:rPr>
          <w:sz w:val="24"/>
        </w:rPr>
      </w:pPr>
      <w:r>
        <w:rPr>
          <w:sz w:val="24"/>
        </w:rPr>
        <w:t>式中：K</w:t>
      </w:r>
      <w:r>
        <w:rPr>
          <w:sz w:val="24"/>
          <w:vertAlign w:val="subscript"/>
        </w:rPr>
        <w:t>t</w:t>
      </w:r>
      <w:r>
        <w:rPr>
          <w:sz w:val="24"/>
        </w:rPr>
        <w:t>------将基准地价评估期日修正到待估宗地评估期日的系数</w:t>
      </w:r>
    </w:p>
    <w:p>
      <w:pPr>
        <w:spacing w:line="360" w:lineRule="auto"/>
        <w:ind w:firstLine="480" w:firstLineChars="200"/>
        <w:rPr>
          <w:sz w:val="24"/>
        </w:rPr>
      </w:pPr>
      <w:r>
        <w:rPr>
          <w:sz w:val="24"/>
        </w:rPr>
        <w:t>P</w:t>
      </w:r>
      <w:r>
        <w:rPr>
          <w:sz w:val="24"/>
          <w:vertAlign w:val="subscript"/>
        </w:rPr>
        <w:t>i</w:t>
      </w:r>
      <w:r>
        <w:rPr>
          <w:sz w:val="24"/>
        </w:rPr>
        <w:t>------待估宗地所在土地级别评估期日的地价</w:t>
      </w:r>
    </w:p>
    <w:p>
      <w:pPr>
        <w:spacing w:line="360" w:lineRule="auto"/>
        <w:ind w:firstLine="480" w:firstLineChars="200"/>
        <w:rPr>
          <w:sz w:val="24"/>
        </w:rPr>
      </w:pPr>
      <w:r>
        <w:rPr>
          <w:sz w:val="24"/>
        </w:rPr>
        <w:t>P</w:t>
      </w:r>
      <w:r>
        <w:rPr>
          <w:sz w:val="24"/>
          <w:vertAlign w:val="subscript"/>
        </w:rPr>
        <w:t>o</w:t>
      </w:r>
      <w:r>
        <w:rPr>
          <w:sz w:val="24"/>
        </w:rPr>
        <w:t>------基准地价评估期日待估宗地所在土地级别的土地交易平均价格</w:t>
      </w:r>
    </w:p>
    <w:p>
      <w:pPr>
        <w:spacing w:line="460" w:lineRule="exact"/>
        <w:ind w:firstLine="480" w:firstLineChars="200"/>
        <w:rPr>
          <w:sz w:val="24"/>
        </w:rPr>
      </w:pPr>
      <w:r>
        <w:rPr>
          <w:sz w:val="24"/>
        </w:rPr>
        <w:t>具体期日修正系数依据土地市场交易行情确定。</w:t>
      </w:r>
    </w:p>
    <w:p>
      <w:pPr>
        <w:tabs>
          <w:tab w:val="right" w:pos="9298"/>
        </w:tabs>
        <w:spacing w:line="460" w:lineRule="exact"/>
        <w:ind w:firstLine="480" w:firstLineChars="200"/>
        <w:rPr>
          <w:b/>
          <w:sz w:val="24"/>
        </w:rPr>
      </w:pPr>
      <w:r>
        <w:rPr>
          <w:rFonts w:eastAsia="黑体"/>
          <w:sz w:val="24"/>
        </w:rPr>
        <w:t>（</w:t>
      </w:r>
      <w:r>
        <w:rPr>
          <w:rFonts w:hint="eastAsia" w:eastAsia="黑体"/>
          <w:sz w:val="24"/>
        </w:rPr>
        <w:t>三</w:t>
      </w:r>
      <w:r>
        <w:rPr>
          <w:rFonts w:eastAsia="黑体"/>
          <w:sz w:val="24"/>
        </w:rPr>
        <w:t>）宗地形状与面积修正</w:t>
      </w:r>
    </w:p>
    <w:p>
      <w:pPr>
        <w:pStyle w:val="131"/>
        <w:spacing w:beforeLines="50" w:afterLines="50"/>
        <w:ind w:firstLine="0" w:firstLineChars="0"/>
        <w:rPr>
          <w:rFonts w:ascii="Times New Roman" w:hAnsi="Times New Roman"/>
          <w:sz w:val="24"/>
        </w:rPr>
      </w:pPr>
      <w:r>
        <w:rPr>
          <w:rFonts w:ascii="Times New Roman" w:hAnsi="Times New Roman"/>
          <w:sz w:val="24"/>
        </w:rPr>
        <w:t>表4-3-17 商服用地宗地形状与面积修正系数表</w:t>
      </w:r>
    </w:p>
    <w:tbl>
      <w:tblPr>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374"/>
        <w:gridCol w:w="1783"/>
        <w:gridCol w:w="1876"/>
        <w:gridCol w:w="1714"/>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71" w:type="dxa"/>
            <w:vAlign w:val="center"/>
          </w:tcPr>
          <w:p>
            <w:pPr>
              <w:spacing w:line="300" w:lineRule="exact"/>
              <w:ind w:left="-105" w:leftChars="-50" w:right="-105" w:rightChars="-50"/>
              <w:jc w:val="center"/>
            </w:pPr>
            <w:r>
              <w:t>指标标准</w:t>
            </w:r>
          </w:p>
        </w:tc>
        <w:tc>
          <w:tcPr>
            <w:tcW w:w="1374" w:type="dxa"/>
            <w:vAlign w:val="center"/>
          </w:tcPr>
          <w:p>
            <w:pPr>
              <w:spacing w:line="300" w:lineRule="exact"/>
              <w:ind w:left="-105" w:leftChars="-50" w:right="-105" w:rightChars="-50"/>
              <w:jc w:val="center"/>
            </w:pPr>
            <w:r>
              <w:t>≥1200m</w:t>
            </w:r>
            <w:r>
              <w:rPr>
                <w:kern w:val="0"/>
                <w:vertAlign w:val="superscript"/>
              </w:rPr>
              <w:t>2</w:t>
            </w:r>
          </w:p>
        </w:tc>
        <w:tc>
          <w:tcPr>
            <w:tcW w:w="1783" w:type="dxa"/>
            <w:vAlign w:val="center"/>
          </w:tcPr>
          <w:p>
            <w:pPr>
              <w:spacing w:line="300" w:lineRule="exact"/>
              <w:ind w:left="-105" w:leftChars="-50" w:right="-105" w:rightChars="-50"/>
              <w:jc w:val="center"/>
            </w:pPr>
            <w:r>
              <w:t>（800，1200]m</w:t>
            </w:r>
            <w:r>
              <w:rPr>
                <w:vertAlign w:val="superscript"/>
              </w:rPr>
              <w:t>2</w:t>
            </w:r>
          </w:p>
        </w:tc>
        <w:tc>
          <w:tcPr>
            <w:tcW w:w="1876" w:type="dxa"/>
            <w:vAlign w:val="center"/>
          </w:tcPr>
          <w:p>
            <w:pPr>
              <w:spacing w:line="300" w:lineRule="exact"/>
              <w:ind w:left="-105" w:leftChars="-50" w:right="-105" w:rightChars="-50"/>
              <w:jc w:val="center"/>
            </w:pPr>
            <w:r>
              <w:t>（500，800]m</w:t>
            </w:r>
            <w:r>
              <w:rPr>
                <w:vertAlign w:val="superscript"/>
              </w:rPr>
              <w:t>2</w:t>
            </w:r>
          </w:p>
        </w:tc>
        <w:tc>
          <w:tcPr>
            <w:tcW w:w="1714" w:type="dxa"/>
            <w:vAlign w:val="center"/>
          </w:tcPr>
          <w:p>
            <w:pPr>
              <w:spacing w:line="300" w:lineRule="exact"/>
              <w:ind w:left="-105" w:leftChars="-50" w:right="-105" w:rightChars="-50"/>
              <w:jc w:val="center"/>
            </w:pPr>
            <w:r>
              <w:t>（200，500]m</w:t>
            </w:r>
            <w:r>
              <w:rPr>
                <w:vertAlign w:val="superscript"/>
              </w:rPr>
              <w:t>2</w:t>
            </w:r>
          </w:p>
        </w:tc>
        <w:tc>
          <w:tcPr>
            <w:tcW w:w="1143" w:type="dxa"/>
            <w:vAlign w:val="center"/>
          </w:tcPr>
          <w:p>
            <w:pPr>
              <w:spacing w:line="300" w:lineRule="exact"/>
              <w:ind w:left="-105" w:leftChars="-50" w:right="-105" w:rightChars="-50"/>
              <w:jc w:val="center"/>
            </w:pPr>
            <w:r>
              <w:t>≤200m</w:t>
            </w:r>
            <w:r>
              <w:rPr>
                <w:kern w:val="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71" w:type="dxa"/>
            <w:vAlign w:val="center"/>
          </w:tcPr>
          <w:p>
            <w:pPr>
              <w:spacing w:line="300" w:lineRule="exact"/>
              <w:ind w:left="-105" w:leftChars="-50" w:right="-105" w:rightChars="-50"/>
              <w:jc w:val="center"/>
            </w:pPr>
            <w:r>
              <w:t>修正系数</w:t>
            </w:r>
          </w:p>
        </w:tc>
        <w:tc>
          <w:tcPr>
            <w:tcW w:w="1374" w:type="dxa"/>
            <w:vAlign w:val="center"/>
          </w:tcPr>
          <w:p>
            <w:pPr>
              <w:spacing w:line="300" w:lineRule="exact"/>
              <w:ind w:left="-105" w:leftChars="-50" w:right="-105" w:rightChars="-50"/>
              <w:jc w:val="center"/>
            </w:pPr>
            <w:r>
              <w:t>1.06</w:t>
            </w:r>
          </w:p>
        </w:tc>
        <w:tc>
          <w:tcPr>
            <w:tcW w:w="1783" w:type="dxa"/>
            <w:vAlign w:val="center"/>
          </w:tcPr>
          <w:p>
            <w:pPr>
              <w:spacing w:line="300" w:lineRule="exact"/>
              <w:ind w:left="-105" w:leftChars="-50" w:right="-105" w:rightChars="-50"/>
              <w:jc w:val="center"/>
            </w:pPr>
            <w:r>
              <w:t>1.03</w:t>
            </w:r>
          </w:p>
        </w:tc>
        <w:tc>
          <w:tcPr>
            <w:tcW w:w="1876" w:type="dxa"/>
            <w:vAlign w:val="center"/>
          </w:tcPr>
          <w:p>
            <w:pPr>
              <w:spacing w:line="300" w:lineRule="exact"/>
              <w:ind w:left="-105" w:leftChars="-50" w:right="-105" w:rightChars="-50"/>
              <w:jc w:val="center"/>
            </w:pPr>
            <w:r>
              <w:t>1</w:t>
            </w:r>
          </w:p>
        </w:tc>
        <w:tc>
          <w:tcPr>
            <w:tcW w:w="1714" w:type="dxa"/>
            <w:vAlign w:val="center"/>
          </w:tcPr>
          <w:p>
            <w:pPr>
              <w:spacing w:line="300" w:lineRule="exact"/>
              <w:ind w:left="-105" w:leftChars="-50" w:right="-105" w:rightChars="-50"/>
              <w:jc w:val="center"/>
            </w:pPr>
            <w:r>
              <w:t>0.97</w:t>
            </w:r>
          </w:p>
        </w:tc>
        <w:tc>
          <w:tcPr>
            <w:tcW w:w="1143" w:type="dxa"/>
            <w:vAlign w:val="center"/>
          </w:tcPr>
          <w:p>
            <w:pPr>
              <w:spacing w:line="300" w:lineRule="exact"/>
              <w:ind w:left="-105" w:leftChars="-50" w:right="-105" w:rightChars="-50"/>
              <w:jc w:val="center"/>
            </w:pPr>
            <w:r>
              <w:t>0.94</w:t>
            </w:r>
          </w:p>
        </w:tc>
      </w:tr>
    </w:tbl>
    <w:p>
      <w:pPr>
        <w:tabs>
          <w:tab w:val="right" w:pos="9298"/>
        </w:tabs>
        <w:spacing w:line="460" w:lineRule="exact"/>
        <w:ind w:firstLine="480" w:firstLineChars="200"/>
        <w:rPr>
          <w:rFonts w:eastAsia="黑体"/>
          <w:sz w:val="24"/>
        </w:rPr>
      </w:pPr>
      <w:r>
        <w:rPr>
          <w:rFonts w:eastAsia="黑体"/>
          <w:sz w:val="24"/>
        </w:rPr>
        <w:t>（</w:t>
      </w:r>
      <w:r>
        <w:rPr>
          <w:rFonts w:hint="eastAsia" w:eastAsia="黑体"/>
          <w:sz w:val="24"/>
        </w:rPr>
        <w:t>四</w:t>
      </w:r>
      <w:r>
        <w:rPr>
          <w:rFonts w:eastAsia="黑体"/>
          <w:sz w:val="24"/>
        </w:rPr>
        <w:t>）宗地位置偏离度修正(</w:t>
      </w:r>
      <w:r>
        <w:rPr>
          <w:sz w:val="24"/>
        </w:rPr>
        <w:t>K</w:t>
      </w:r>
      <w:r>
        <w:rPr>
          <w:sz w:val="24"/>
          <w:vertAlign w:val="subscript"/>
        </w:rPr>
        <w:t>p</w:t>
      </w:r>
      <w:r>
        <w:rPr>
          <w:rFonts w:eastAsia="黑体"/>
          <w:sz w:val="24"/>
        </w:rPr>
        <w:t>)</w:t>
      </w:r>
    </w:p>
    <w:p>
      <w:pPr>
        <w:pStyle w:val="131"/>
        <w:spacing w:beforeLines="50" w:afterLines="50"/>
        <w:ind w:firstLine="0" w:firstLineChars="0"/>
        <w:rPr>
          <w:rFonts w:ascii="Times New Roman" w:hAnsi="Times New Roman"/>
          <w:sz w:val="24"/>
        </w:rPr>
      </w:pPr>
      <w:r>
        <w:rPr>
          <w:rFonts w:ascii="Times New Roman" w:hAnsi="Times New Roman"/>
          <w:sz w:val="24"/>
        </w:rPr>
        <w:t>表4-3-18 商服用地宗地位置偏离度修正系数表</w:t>
      </w:r>
    </w:p>
    <w:tbl>
      <w:tblPr>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1203"/>
        <w:gridCol w:w="1510"/>
        <w:gridCol w:w="1510"/>
        <w:gridCol w:w="1510"/>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6" w:hRule="atLeast"/>
          <w:jc w:val="center"/>
        </w:trPr>
        <w:tc>
          <w:tcPr>
            <w:tcW w:w="2125" w:type="dxa"/>
            <w:vAlign w:val="center"/>
          </w:tcPr>
          <w:p>
            <w:pPr>
              <w:spacing w:line="300" w:lineRule="exact"/>
              <w:ind w:left="-105" w:leftChars="-50" w:right="-105" w:rightChars="-50"/>
              <w:jc w:val="center"/>
            </w:pPr>
            <w:r>
              <w:t>指标标准</w:t>
            </w:r>
          </w:p>
        </w:tc>
        <w:tc>
          <w:tcPr>
            <w:tcW w:w="1203" w:type="dxa"/>
            <w:vAlign w:val="center"/>
          </w:tcPr>
          <w:p>
            <w:pPr>
              <w:spacing w:line="300" w:lineRule="exact"/>
              <w:ind w:left="-105" w:leftChars="-50" w:right="-105" w:rightChars="-50"/>
              <w:jc w:val="center"/>
            </w:pPr>
            <w:r>
              <w:t>＜0.2</w:t>
            </w:r>
          </w:p>
        </w:tc>
        <w:tc>
          <w:tcPr>
            <w:tcW w:w="1510" w:type="dxa"/>
            <w:vAlign w:val="center"/>
          </w:tcPr>
          <w:p>
            <w:pPr>
              <w:spacing w:line="300" w:lineRule="exact"/>
              <w:ind w:left="-105" w:leftChars="-50" w:right="-105" w:rightChars="-50"/>
              <w:jc w:val="center"/>
            </w:pPr>
            <w:r>
              <w:t>0.2-0.4</w:t>
            </w:r>
          </w:p>
        </w:tc>
        <w:tc>
          <w:tcPr>
            <w:tcW w:w="1510" w:type="dxa"/>
            <w:vAlign w:val="center"/>
          </w:tcPr>
          <w:p>
            <w:pPr>
              <w:spacing w:line="300" w:lineRule="exact"/>
              <w:ind w:left="-105" w:leftChars="-50" w:right="-105" w:rightChars="-50"/>
              <w:jc w:val="center"/>
            </w:pPr>
            <w:r>
              <w:t>0.3-0.6</w:t>
            </w:r>
          </w:p>
        </w:tc>
        <w:tc>
          <w:tcPr>
            <w:tcW w:w="1510" w:type="dxa"/>
            <w:vAlign w:val="center"/>
          </w:tcPr>
          <w:p>
            <w:pPr>
              <w:spacing w:line="300" w:lineRule="exact"/>
              <w:ind w:left="-105" w:leftChars="-50" w:right="-105" w:rightChars="-50"/>
              <w:jc w:val="center"/>
            </w:pPr>
            <w:r>
              <w:t>0.6-0.8</w:t>
            </w:r>
          </w:p>
        </w:tc>
        <w:tc>
          <w:tcPr>
            <w:tcW w:w="1203" w:type="dxa"/>
            <w:vAlign w:val="center"/>
          </w:tcPr>
          <w:p>
            <w:pPr>
              <w:spacing w:line="300" w:lineRule="exact"/>
              <w:ind w:left="-105" w:leftChars="-50" w:right="-105" w:rightChars="-50"/>
              <w:jc w:val="center"/>
            </w:pPr>
            <w: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6" w:hRule="atLeast"/>
          <w:jc w:val="center"/>
        </w:trPr>
        <w:tc>
          <w:tcPr>
            <w:tcW w:w="2125" w:type="dxa"/>
            <w:vAlign w:val="center"/>
          </w:tcPr>
          <w:p>
            <w:pPr>
              <w:spacing w:line="300" w:lineRule="exact"/>
              <w:ind w:left="-105" w:leftChars="-50" w:right="-105" w:rightChars="-50"/>
              <w:jc w:val="center"/>
            </w:pPr>
            <w:r>
              <w:t>修正系数</w:t>
            </w:r>
          </w:p>
        </w:tc>
        <w:tc>
          <w:tcPr>
            <w:tcW w:w="1203" w:type="dxa"/>
            <w:vAlign w:val="center"/>
          </w:tcPr>
          <w:p>
            <w:pPr>
              <w:spacing w:line="300" w:lineRule="exact"/>
              <w:ind w:left="-105" w:leftChars="-50" w:right="-105" w:rightChars="-50"/>
              <w:jc w:val="center"/>
            </w:pPr>
            <w:r>
              <w:t>1.06</w:t>
            </w:r>
          </w:p>
        </w:tc>
        <w:tc>
          <w:tcPr>
            <w:tcW w:w="1510" w:type="dxa"/>
            <w:vAlign w:val="center"/>
          </w:tcPr>
          <w:p>
            <w:pPr>
              <w:spacing w:line="300" w:lineRule="exact"/>
              <w:ind w:left="-105" w:leftChars="-50" w:right="-105" w:rightChars="-50"/>
              <w:jc w:val="center"/>
            </w:pPr>
            <w:r>
              <w:t>1.03</w:t>
            </w:r>
          </w:p>
        </w:tc>
        <w:tc>
          <w:tcPr>
            <w:tcW w:w="1510" w:type="dxa"/>
            <w:vAlign w:val="center"/>
          </w:tcPr>
          <w:p>
            <w:pPr>
              <w:spacing w:line="300" w:lineRule="exact"/>
              <w:ind w:left="-105" w:leftChars="-50" w:right="-105" w:rightChars="-50"/>
              <w:jc w:val="center"/>
            </w:pPr>
            <w:r>
              <w:t>1.0</w:t>
            </w:r>
          </w:p>
        </w:tc>
        <w:tc>
          <w:tcPr>
            <w:tcW w:w="1510" w:type="dxa"/>
            <w:vAlign w:val="center"/>
          </w:tcPr>
          <w:p>
            <w:pPr>
              <w:spacing w:line="300" w:lineRule="exact"/>
              <w:ind w:left="-105" w:leftChars="-50" w:right="-105" w:rightChars="-50"/>
              <w:jc w:val="center"/>
            </w:pPr>
            <w:r>
              <w:t>0.97</w:t>
            </w:r>
          </w:p>
        </w:tc>
        <w:tc>
          <w:tcPr>
            <w:tcW w:w="1203" w:type="dxa"/>
            <w:vAlign w:val="center"/>
          </w:tcPr>
          <w:p>
            <w:pPr>
              <w:spacing w:line="300" w:lineRule="exact"/>
              <w:ind w:left="-105" w:leftChars="-50" w:right="-105" w:rightChars="-50"/>
              <w:jc w:val="center"/>
            </w:pPr>
            <w:r>
              <w:t>0.94</w:t>
            </w:r>
          </w:p>
        </w:tc>
      </w:tr>
    </w:tbl>
    <w:p>
      <w:pPr>
        <w:pStyle w:val="34"/>
        <w:spacing w:line="300" w:lineRule="auto"/>
        <w:ind w:left="0" w:firstLine="480" w:firstLineChars="200"/>
        <w:jc w:val="both"/>
        <w:rPr>
          <w:rFonts w:eastAsia="宋体"/>
          <w:b/>
          <w:sz w:val="24"/>
        </w:rPr>
      </w:pPr>
      <w:r>
        <w:rPr>
          <w:sz w:val="24"/>
        </w:rPr>
        <w:t>（</w:t>
      </w:r>
      <w:r>
        <w:rPr>
          <w:rFonts w:hint="eastAsia"/>
          <w:sz w:val="24"/>
        </w:rPr>
        <w:t>五</w:t>
      </w:r>
      <w:r>
        <w:rPr>
          <w:sz w:val="24"/>
        </w:rPr>
        <w:t>）土地开发程度修正(K</w:t>
      </w:r>
      <w:r>
        <w:rPr>
          <w:sz w:val="24"/>
          <w:vertAlign w:val="subscript"/>
        </w:rPr>
        <w:t>f</w:t>
      </w:r>
      <w:r>
        <w:rPr>
          <w:sz w:val="24"/>
        </w:rPr>
        <w:t>)</w:t>
      </w:r>
      <w:r>
        <w:rPr>
          <w:rFonts w:eastAsia="宋体"/>
          <w:b/>
          <w:sz w:val="24"/>
        </w:rPr>
        <w:t xml:space="preserve"> </w:t>
      </w:r>
    </w:p>
    <w:p>
      <w:pPr>
        <w:pStyle w:val="131"/>
        <w:spacing w:beforeLines="50" w:afterLines="50"/>
        <w:ind w:firstLine="0" w:firstLineChars="0"/>
        <w:rPr>
          <w:rFonts w:ascii="Times New Roman" w:hAnsi="Times New Roman"/>
          <w:sz w:val="24"/>
        </w:rPr>
      </w:pPr>
      <w:r>
        <w:rPr>
          <w:rFonts w:ascii="Times New Roman" w:hAnsi="Times New Roman"/>
          <w:sz w:val="24"/>
        </w:rPr>
        <w:t>表4-3-19  商服用地土地开发配套程度费用分配表（%）</w:t>
      </w:r>
    </w:p>
    <w:tbl>
      <w:tblPr>
        <w:tblW w:w="90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20"/>
        <w:gridCol w:w="1320"/>
        <w:gridCol w:w="1319"/>
        <w:gridCol w:w="1319"/>
        <w:gridCol w:w="1319"/>
        <w:gridCol w:w="1319"/>
        <w:gridCol w:w="11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exac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道路设施</w:t>
            </w:r>
          </w:p>
        </w:tc>
        <w:tc>
          <w:tcPr>
            <w:tcW w:w="1320" w:type="dxa"/>
            <w:tcBorders>
              <w:top w:val="single" w:color="auto" w:sz="4" w:space="0"/>
              <w:left w:val="nil"/>
              <w:bottom w:val="single" w:color="auto" w:sz="4" w:space="0"/>
              <w:right w:val="single" w:color="auto" w:sz="4" w:space="0"/>
            </w:tcBorders>
            <w:vAlign w:val="center"/>
          </w:tcPr>
          <w:p>
            <w:pPr>
              <w:widowControl/>
              <w:jc w:val="center"/>
              <w:rPr>
                <w:kern w:val="0"/>
                <w:szCs w:val="21"/>
              </w:rPr>
            </w:pPr>
            <w:r>
              <w:rPr>
                <w:kern w:val="0"/>
                <w:szCs w:val="21"/>
              </w:rPr>
              <w:t>供水设施</w:t>
            </w:r>
          </w:p>
        </w:tc>
        <w:tc>
          <w:tcPr>
            <w:tcW w:w="1319" w:type="dxa"/>
            <w:tcBorders>
              <w:top w:val="single" w:color="auto" w:sz="4" w:space="0"/>
              <w:left w:val="nil"/>
              <w:bottom w:val="single" w:color="auto" w:sz="4" w:space="0"/>
              <w:right w:val="single" w:color="auto" w:sz="4" w:space="0"/>
            </w:tcBorders>
            <w:vAlign w:val="center"/>
          </w:tcPr>
          <w:p>
            <w:pPr>
              <w:widowControl/>
              <w:jc w:val="center"/>
              <w:rPr>
                <w:kern w:val="0"/>
                <w:szCs w:val="21"/>
              </w:rPr>
            </w:pPr>
            <w:r>
              <w:rPr>
                <w:kern w:val="0"/>
                <w:szCs w:val="21"/>
              </w:rPr>
              <w:t>排水设施</w:t>
            </w:r>
          </w:p>
        </w:tc>
        <w:tc>
          <w:tcPr>
            <w:tcW w:w="1319" w:type="dxa"/>
            <w:tcBorders>
              <w:top w:val="single" w:color="auto" w:sz="4" w:space="0"/>
              <w:left w:val="nil"/>
              <w:bottom w:val="single" w:color="auto" w:sz="4" w:space="0"/>
              <w:right w:val="single" w:color="auto" w:sz="4" w:space="0"/>
            </w:tcBorders>
            <w:vAlign w:val="center"/>
          </w:tcPr>
          <w:p>
            <w:pPr>
              <w:widowControl/>
              <w:jc w:val="center"/>
              <w:rPr>
                <w:kern w:val="0"/>
                <w:szCs w:val="21"/>
              </w:rPr>
            </w:pPr>
            <w:r>
              <w:rPr>
                <w:kern w:val="0"/>
                <w:szCs w:val="21"/>
              </w:rPr>
              <w:t>电力设施</w:t>
            </w:r>
          </w:p>
        </w:tc>
        <w:tc>
          <w:tcPr>
            <w:tcW w:w="1319" w:type="dxa"/>
            <w:tcBorders>
              <w:top w:val="single" w:color="auto" w:sz="4" w:space="0"/>
              <w:left w:val="nil"/>
              <w:bottom w:val="single" w:color="auto" w:sz="4" w:space="0"/>
              <w:right w:val="single" w:color="auto" w:sz="4" w:space="0"/>
            </w:tcBorders>
            <w:vAlign w:val="center"/>
          </w:tcPr>
          <w:p>
            <w:pPr>
              <w:widowControl/>
              <w:jc w:val="center"/>
              <w:rPr>
                <w:kern w:val="0"/>
                <w:szCs w:val="21"/>
              </w:rPr>
            </w:pPr>
            <w:r>
              <w:rPr>
                <w:kern w:val="0"/>
                <w:szCs w:val="21"/>
              </w:rPr>
              <w:t>通讯设施</w:t>
            </w:r>
          </w:p>
        </w:tc>
        <w:tc>
          <w:tcPr>
            <w:tcW w:w="1319" w:type="dxa"/>
            <w:tcBorders>
              <w:top w:val="single" w:color="auto" w:sz="4" w:space="0"/>
              <w:left w:val="nil"/>
              <w:bottom w:val="single" w:color="auto" w:sz="4" w:space="0"/>
              <w:right w:val="single" w:color="auto" w:sz="4" w:space="0"/>
            </w:tcBorders>
            <w:vAlign w:val="center"/>
          </w:tcPr>
          <w:p>
            <w:pPr>
              <w:widowControl/>
              <w:jc w:val="center"/>
              <w:rPr>
                <w:kern w:val="0"/>
                <w:szCs w:val="21"/>
              </w:rPr>
            </w:pPr>
            <w:r>
              <w:rPr>
                <w:kern w:val="0"/>
                <w:szCs w:val="21"/>
              </w:rPr>
              <w:t>场地平整</w:t>
            </w:r>
          </w:p>
        </w:tc>
        <w:tc>
          <w:tcPr>
            <w:tcW w:w="1145" w:type="dxa"/>
            <w:tcBorders>
              <w:top w:val="single" w:color="auto" w:sz="4" w:space="0"/>
              <w:left w:val="nil"/>
              <w:bottom w:val="single" w:color="auto" w:sz="4" w:space="0"/>
              <w:right w:val="single" w:color="auto" w:sz="4" w:space="0"/>
            </w:tcBorders>
            <w:vAlign w:val="center"/>
          </w:tcPr>
          <w:p>
            <w:pPr>
              <w:widowControl/>
              <w:jc w:val="center"/>
              <w:rPr>
                <w:kern w:val="0"/>
                <w:szCs w:val="21"/>
              </w:rPr>
            </w:pPr>
            <w:r>
              <w:rPr>
                <w:kern w:val="0"/>
                <w:szCs w:val="21"/>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exact"/>
          <w:jc w:val="center"/>
        </w:trPr>
        <w:tc>
          <w:tcPr>
            <w:tcW w:w="1320"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40-60</w:t>
            </w:r>
          </w:p>
        </w:tc>
        <w:tc>
          <w:tcPr>
            <w:tcW w:w="1320"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25-45</w:t>
            </w:r>
          </w:p>
        </w:tc>
        <w:tc>
          <w:tcPr>
            <w:tcW w:w="1319"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20-35</w:t>
            </w:r>
          </w:p>
        </w:tc>
        <w:tc>
          <w:tcPr>
            <w:tcW w:w="1319"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25-45</w:t>
            </w:r>
          </w:p>
        </w:tc>
        <w:tc>
          <w:tcPr>
            <w:tcW w:w="1319"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15-25</w:t>
            </w:r>
          </w:p>
        </w:tc>
        <w:tc>
          <w:tcPr>
            <w:tcW w:w="1319"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25-35</w:t>
            </w:r>
          </w:p>
        </w:tc>
        <w:tc>
          <w:tcPr>
            <w:tcW w:w="1145" w:type="dxa"/>
            <w:tcBorders>
              <w:top w:val="nil"/>
              <w:left w:val="nil"/>
              <w:bottom w:val="single" w:color="auto" w:sz="4" w:space="0"/>
              <w:right w:val="single" w:color="auto" w:sz="4" w:space="0"/>
            </w:tcBorders>
            <w:vAlign w:val="center"/>
          </w:tcPr>
          <w:p>
            <w:pPr>
              <w:widowControl/>
              <w:jc w:val="center"/>
              <w:rPr>
                <w:kern w:val="0"/>
                <w:szCs w:val="21"/>
              </w:rPr>
            </w:pPr>
            <w:r>
              <w:rPr>
                <w:kern w:val="0"/>
                <w:szCs w:val="21"/>
              </w:rPr>
              <w:t>140-235</w:t>
            </w:r>
          </w:p>
        </w:tc>
      </w:tr>
    </w:tbl>
    <w:p>
      <w:pPr>
        <w:pStyle w:val="34"/>
        <w:spacing w:line="300" w:lineRule="auto"/>
        <w:ind w:left="0" w:firstLine="480" w:firstLineChars="200"/>
        <w:jc w:val="both"/>
        <w:rPr>
          <w:sz w:val="24"/>
        </w:rPr>
      </w:pPr>
      <w:r>
        <w:rPr>
          <w:sz w:val="24"/>
        </w:rPr>
        <w:t>（</w:t>
      </w:r>
      <w:r>
        <w:rPr>
          <w:rFonts w:hint="eastAsia"/>
          <w:sz w:val="24"/>
        </w:rPr>
        <w:t>六</w:t>
      </w:r>
      <w:r>
        <w:rPr>
          <w:sz w:val="24"/>
        </w:rPr>
        <w:t>）</w:t>
      </w:r>
      <w:r>
        <w:rPr>
          <w:rFonts w:hint="eastAsia"/>
          <w:sz w:val="24"/>
        </w:rPr>
        <w:t>轨道交通</w:t>
      </w:r>
      <w:r>
        <w:rPr>
          <w:sz w:val="24"/>
        </w:rPr>
        <w:t>站点修正（Km）</w:t>
      </w:r>
    </w:p>
    <w:p>
      <w:pPr>
        <w:pStyle w:val="131"/>
        <w:spacing w:beforeLines="50" w:afterLines="50"/>
        <w:ind w:firstLine="0" w:firstLineChars="0"/>
        <w:rPr>
          <w:rFonts w:ascii="Times New Roman" w:hAnsi="Times New Roman"/>
          <w:sz w:val="24"/>
        </w:rPr>
      </w:pPr>
      <w:r>
        <w:rPr>
          <w:rFonts w:ascii="Times New Roman" w:hAnsi="Times New Roman"/>
          <w:sz w:val="24"/>
        </w:rPr>
        <w:t>表4-3-20  商服用地</w:t>
      </w:r>
      <w:r>
        <w:rPr>
          <w:rFonts w:hint="eastAsia" w:ascii="Times New Roman" w:hAnsi="Times New Roman"/>
          <w:sz w:val="24"/>
        </w:rPr>
        <w:t>轨道交通</w:t>
      </w:r>
      <w:r>
        <w:rPr>
          <w:rFonts w:ascii="Times New Roman" w:hAnsi="Times New Roman"/>
          <w:sz w:val="24"/>
        </w:rPr>
        <w:t>站点修正系数表</w:t>
      </w:r>
    </w:p>
    <w:tbl>
      <w:tblPr>
        <w:tblW w:w="9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41"/>
        <w:gridCol w:w="1421"/>
        <w:gridCol w:w="1150"/>
        <w:gridCol w:w="1326"/>
        <w:gridCol w:w="1477"/>
        <w:gridCol w:w="1290"/>
        <w:gridCol w:w="10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7" w:hRule="atLeast"/>
        </w:trPr>
        <w:tc>
          <w:tcPr>
            <w:tcW w:w="134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rPr>
            </w:pPr>
            <w:r>
              <w:rPr>
                <w:b/>
              </w:rPr>
              <w:t>站点类型</w:t>
            </w:r>
          </w:p>
        </w:tc>
        <w:tc>
          <w:tcPr>
            <w:tcW w:w="1421" w:type="dxa"/>
            <w:tcBorders>
              <w:top w:val="single" w:color="auto" w:sz="4" w:space="0"/>
              <w:left w:val="nil"/>
              <w:bottom w:val="single" w:color="auto" w:sz="4" w:space="0"/>
              <w:right w:val="single" w:color="auto" w:sz="4" w:space="0"/>
            </w:tcBorders>
            <w:vAlign w:val="center"/>
          </w:tcPr>
          <w:p>
            <w:pPr>
              <w:spacing w:line="240" w:lineRule="exact"/>
              <w:jc w:val="center"/>
              <w:rPr>
                <w:lang/>
              </w:rPr>
            </w:pPr>
            <w:r>
              <w:rPr>
                <w:lang/>
              </w:rPr>
              <w:t>&lt;100 m</w:t>
            </w:r>
          </w:p>
        </w:tc>
        <w:tc>
          <w:tcPr>
            <w:tcW w:w="1150" w:type="dxa"/>
            <w:tcBorders>
              <w:top w:val="single" w:color="auto" w:sz="4" w:space="0"/>
              <w:left w:val="nil"/>
              <w:bottom w:val="single" w:color="auto" w:sz="4" w:space="0"/>
              <w:right w:val="single" w:color="auto" w:sz="4" w:space="0"/>
            </w:tcBorders>
            <w:vAlign w:val="center"/>
          </w:tcPr>
          <w:p>
            <w:pPr>
              <w:spacing w:line="240" w:lineRule="exact"/>
              <w:jc w:val="center"/>
              <w:rPr>
                <w:lang/>
              </w:rPr>
            </w:pPr>
            <w:r>
              <w:rPr>
                <w:lang/>
              </w:rPr>
              <w:t>100-300 m</w:t>
            </w:r>
          </w:p>
        </w:tc>
        <w:tc>
          <w:tcPr>
            <w:tcW w:w="1326" w:type="dxa"/>
            <w:tcBorders>
              <w:top w:val="single" w:color="auto" w:sz="4" w:space="0"/>
              <w:left w:val="nil"/>
              <w:bottom w:val="single" w:color="auto" w:sz="4" w:space="0"/>
              <w:right w:val="single" w:color="auto" w:sz="4" w:space="0"/>
            </w:tcBorders>
            <w:vAlign w:val="center"/>
          </w:tcPr>
          <w:p>
            <w:pPr>
              <w:spacing w:line="240" w:lineRule="exact"/>
              <w:jc w:val="center"/>
              <w:rPr>
                <w:lang/>
              </w:rPr>
            </w:pPr>
            <w:r>
              <w:rPr>
                <w:lang/>
              </w:rPr>
              <w:t>300-500 m</w:t>
            </w:r>
          </w:p>
        </w:tc>
        <w:tc>
          <w:tcPr>
            <w:tcW w:w="1477" w:type="dxa"/>
            <w:tcBorders>
              <w:top w:val="single" w:color="auto" w:sz="4" w:space="0"/>
              <w:left w:val="nil"/>
              <w:bottom w:val="single" w:color="auto" w:sz="4" w:space="0"/>
              <w:right w:val="single" w:color="auto" w:sz="4" w:space="0"/>
            </w:tcBorders>
            <w:vAlign w:val="center"/>
          </w:tcPr>
          <w:p>
            <w:pPr>
              <w:spacing w:line="240" w:lineRule="exact"/>
              <w:jc w:val="center"/>
              <w:rPr>
                <w:lang/>
              </w:rPr>
            </w:pPr>
            <w:r>
              <w:rPr>
                <w:lang/>
              </w:rPr>
              <w:t>500-700 m</w:t>
            </w:r>
          </w:p>
        </w:tc>
        <w:tc>
          <w:tcPr>
            <w:tcW w:w="1290" w:type="dxa"/>
            <w:tcBorders>
              <w:top w:val="single" w:color="auto" w:sz="4" w:space="0"/>
              <w:left w:val="nil"/>
              <w:bottom w:val="single" w:color="auto" w:sz="4" w:space="0"/>
              <w:right w:val="single" w:color="auto" w:sz="4" w:space="0"/>
            </w:tcBorders>
            <w:vAlign w:val="center"/>
          </w:tcPr>
          <w:p>
            <w:pPr>
              <w:spacing w:line="240" w:lineRule="exact"/>
              <w:jc w:val="center"/>
              <w:rPr>
                <w:lang/>
              </w:rPr>
            </w:pPr>
            <w:r>
              <w:rPr>
                <w:lang/>
              </w:rPr>
              <w:t>700-1000 m</w:t>
            </w:r>
          </w:p>
        </w:tc>
        <w:tc>
          <w:tcPr>
            <w:tcW w:w="1055" w:type="dxa"/>
            <w:tcBorders>
              <w:top w:val="single" w:color="auto" w:sz="4" w:space="0"/>
              <w:left w:val="nil"/>
              <w:bottom w:val="single" w:color="auto" w:sz="4" w:space="0"/>
              <w:right w:val="single" w:color="auto" w:sz="4" w:space="0"/>
            </w:tcBorders>
            <w:vAlign w:val="center"/>
          </w:tcPr>
          <w:p>
            <w:pPr>
              <w:spacing w:line="240" w:lineRule="exact"/>
              <w:jc w:val="center"/>
              <w:rPr>
                <w:lang/>
              </w:rPr>
            </w:pPr>
            <w:r>
              <w:rPr>
                <w:lang/>
              </w:rPr>
              <w:t>≥1000 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trPr>
        <w:tc>
          <w:tcPr>
            <w:tcW w:w="1341" w:type="dxa"/>
            <w:tcBorders>
              <w:top w:val="nil"/>
              <w:left w:val="single" w:color="auto" w:sz="4" w:space="0"/>
              <w:bottom w:val="single" w:color="auto" w:sz="4" w:space="0"/>
              <w:right w:val="single" w:color="auto" w:sz="4" w:space="0"/>
            </w:tcBorders>
            <w:vAlign w:val="center"/>
          </w:tcPr>
          <w:p>
            <w:pPr>
              <w:spacing w:line="240" w:lineRule="exact"/>
              <w:jc w:val="center"/>
              <w:rPr>
                <w:b/>
              </w:rPr>
            </w:pPr>
            <w:r>
              <w:rPr>
                <w:b/>
              </w:rPr>
              <w:t>单一站点</w:t>
            </w:r>
          </w:p>
        </w:tc>
        <w:tc>
          <w:tcPr>
            <w:tcW w:w="1421" w:type="dxa"/>
            <w:tcBorders>
              <w:top w:val="nil"/>
              <w:left w:val="nil"/>
              <w:bottom w:val="single" w:color="auto" w:sz="4" w:space="0"/>
              <w:right w:val="single" w:color="auto" w:sz="4" w:space="0"/>
            </w:tcBorders>
            <w:vAlign w:val="center"/>
          </w:tcPr>
          <w:p>
            <w:pPr>
              <w:spacing w:line="240" w:lineRule="exact"/>
              <w:jc w:val="center"/>
              <w:rPr>
                <w:lang/>
              </w:rPr>
            </w:pPr>
            <w:r>
              <w:rPr>
                <w:lang/>
              </w:rPr>
              <w:t>1.10</w:t>
            </w:r>
          </w:p>
        </w:tc>
        <w:tc>
          <w:tcPr>
            <w:tcW w:w="1150" w:type="dxa"/>
            <w:tcBorders>
              <w:top w:val="nil"/>
              <w:left w:val="nil"/>
              <w:bottom w:val="single" w:color="auto" w:sz="4" w:space="0"/>
              <w:right w:val="single" w:color="auto" w:sz="4" w:space="0"/>
            </w:tcBorders>
            <w:vAlign w:val="center"/>
          </w:tcPr>
          <w:p>
            <w:pPr>
              <w:spacing w:line="240" w:lineRule="exact"/>
              <w:jc w:val="center"/>
              <w:rPr>
                <w:lang/>
              </w:rPr>
            </w:pPr>
            <w:r>
              <w:rPr>
                <w:lang/>
              </w:rPr>
              <w:t>1.08</w:t>
            </w:r>
          </w:p>
        </w:tc>
        <w:tc>
          <w:tcPr>
            <w:tcW w:w="1326" w:type="dxa"/>
            <w:tcBorders>
              <w:top w:val="nil"/>
              <w:left w:val="nil"/>
              <w:bottom w:val="single" w:color="auto" w:sz="4" w:space="0"/>
              <w:right w:val="single" w:color="auto" w:sz="4" w:space="0"/>
            </w:tcBorders>
            <w:vAlign w:val="center"/>
          </w:tcPr>
          <w:p>
            <w:pPr>
              <w:spacing w:line="240" w:lineRule="exact"/>
              <w:jc w:val="center"/>
              <w:rPr>
                <w:lang/>
              </w:rPr>
            </w:pPr>
            <w:r>
              <w:rPr>
                <w:lang/>
              </w:rPr>
              <w:t>1.06</w:t>
            </w:r>
          </w:p>
        </w:tc>
        <w:tc>
          <w:tcPr>
            <w:tcW w:w="1477" w:type="dxa"/>
            <w:tcBorders>
              <w:top w:val="nil"/>
              <w:left w:val="nil"/>
              <w:bottom w:val="single" w:color="auto" w:sz="4" w:space="0"/>
              <w:right w:val="single" w:color="auto" w:sz="4" w:space="0"/>
            </w:tcBorders>
            <w:vAlign w:val="center"/>
          </w:tcPr>
          <w:p>
            <w:pPr>
              <w:spacing w:line="240" w:lineRule="exact"/>
              <w:jc w:val="center"/>
              <w:rPr>
                <w:lang/>
              </w:rPr>
            </w:pPr>
            <w:r>
              <w:rPr>
                <w:lang/>
              </w:rPr>
              <w:t>1.04</w:t>
            </w:r>
          </w:p>
        </w:tc>
        <w:tc>
          <w:tcPr>
            <w:tcW w:w="1290" w:type="dxa"/>
            <w:tcBorders>
              <w:top w:val="nil"/>
              <w:left w:val="nil"/>
              <w:bottom w:val="single" w:color="auto" w:sz="4" w:space="0"/>
              <w:right w:val="single" w:color="auto" w:sz="4" w:space="0"/>
            </w:tcBorders>
            <w:vAlign w:val="center"/>
          </w:tcPr>
          <w:p>
            <w:pPr>
              <w:spacing w:line="240" w:lineRule="exact"/>
              <w:jc w:val="center"/>
              <w:rPr>
                <w:lang/>
              </w:rPr>
            </w:pPr>
            <w:r>
              <w:rPr>
                <w:lang/>
              </w:rPr>
              <w:t>1.02</w:t>
            </w:r>
          </w:p>
        </w:tc>
        <w:tc>
          <w:tcPr>
            <w:tcW w:w="1055" w:type="dxa"/>
            <w:tcBorders>
              <w:top w:val="nil"/>
              <w:left w:val="nil"/>
              <w:bottom w:val="single" w:color="auto" w:sz="4" w:space="0"/>
              <w:right w:val="single" w:color="auto" w:sz="4" w:space="0"/>
            </w:tcBorders>
            <w:vAlign w:val="center"/>
          </w:tcPr>
          <w:p>
            <w:pPr>
              <w:spacing w:line="240" w:lineRule="exact"/>
              <w:jc w:val="center"/>
              <w:rPr>
                <w:lang/>
              </w:rPr>
            </w:pPr>
            <w:r>
              <w:rPr>
                <w:lang/>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trPr>
        <w:tc>
          <w:tcPr>
            <w:tcW w:w="1341" w:type="dxa"/>
            <w:tcBorders>
              <w:top w:val="nil"/>
              <w:left w:val="single" w:color="auto" w:sz="4" w:space="0"/>
              <w:bottom w:val="single" w:color="auto" w:sz="4" w:space="0"/>
              <w:right w:val="single" w:color="auto" w:sz="4" w:space="0"/>
            </w:tcBorders>
            <w:vAlign w:val="center"/>
          </w:tcPr>
          <w:p>
            <w:pPr>
              <w:spacing w:line="240" w:lineRule="exact"/>
              <w:jc w:val="center"/>
              <w:rPr>
                <w:b/>
              </w:rPr>
            </w:pPr>
            <w:r>
              <w:rPr>
                <w:b/>
              </w:rPr>
              <w:t>换乘站点</w:t>
            </w:r>
          </w:p>
        </w:tc>
        <w:tc>
          <w:tcPr>
            <w:tcW w:w="1421" w:type="dxa"/>
            <w:tcBorders>
              <w:top w:val="nil"/>
              <w:left w:val="nil"/>
              <w:bottom w:val="single" w:color="auto" w:sz="4" w:space="0"/>
              <w:right w:val="single" w:color="auto" w:sz="4" w:space="0"/>
            </w:tcBorders>
            <w:vAlign w:val="center"/>
          </w:tcPr>
          <w:p>
            <w:pPr>
              <w:spacing w:line="240" w:lineRule="exact"/>
              <w:jc w:val="center"/>
              <w:rPr>
                <w:lang/>
              </w:rPr>
            </w:pPr>
            <w:r>
              <w:rPr>
                <w:lang/>
              </w:rPr>
              <w:t>1.13</w:t>
            </w:r>
          </w:p>
        </w:tc>
        <w:tc>
          <w:tcPr>
            <w:tcW w:w="1150" w:type="dxa"/>
            <w:tcBorders>
              <w:top w:val="nil"/>
              <w:left w:val="nil"/>
              <w:bottom w:val="single" w:color="auto" w:sz="4" w:space="0"/>
              <w:right w:val="single" w:color="auto" w:sz="4" w:space="0"/>
            </w:tcBorders>
            <w:vAlign w:val="center"/>
          </w:tcPr>
          <w:p>
            <w:pPr>
              <w:spacing w:line="240" w:lineRule="exact"/>
              <w:jc w:val="center"/>
              <w:rPr>
                <w:lang/>
              </w:rPr>
            </w:pPr>
            <w:r>
              <w:rPr>
                <w:lang/>
              </w:rPr>
              <w:t>1.10</w:t>
            </w:r>
          </w:p>
        </w:tc>
        <w:tc>
          <w:tcPr>
            <w:tcW w:w="1326" w:type="dxa"/>
            <w:tcBorders>
              <w:top w:val="nil"/>
              <w:left w:val="nil"/>
              <w:bottom w:val="single" w:color="auto" w:sz="4" w:space="0"/>
              <w:right w:val="single" w:color="auto" w:sz="4" w:space="0"/>
            </w:tcBorders>
            <w:vAlign w:val="center"/>
          </w:tcPr>
          <w:p>
            <w:pPr>
              <w:spacing w:line="240" w:lineRule="exact"/>
              <w:jc w:val="center"/>
              <w:rPr>
                <w:lang/>
              </w:rPr>
            </w:pPr>
            <w:r>
              <w:rPr>
                <w:lang/>
              </w:rPr>
              <w:t>1.08</w:t>
            </w:r>
          </w:p>
        </w:tc>
        <w:tc>
          <w:tcPr>
            <w:tcW w:w="1477" w:type="dxa"/>
            <w:tcBorders>
              <w:top w:val="nil"/>
              <w:left w:val="nil"/>
              <w:bottom w:val="single" w:color="auto" w:sz="4" w:space="0"/>
              <w:right w:val="single" w:color="auto" w:sz="4" w:space="0"/>
            </w:tcBorders>
            <w:vAlign w:val="center"/>
          </w:tcPr>
          <w:p>
            <w:pPr>
              <w:spacing w:line="240" w:lineRule="exact"/>
              <w:jc w:val="center"/>
              <w:rPr>
                <w:lang/>
              </w:rPr>
            </w:pPr>
            <w:r>
              <w:rPr>
                <w:lang/>
              </w:rPr>
              <w:t>1.06</w:t>
            </w:r>
          </w:p>
        </w:tc>
        <w:tc>
          <w:tcPr>
            <w:tcW w:w="1290" w:type="dxa"/>
            <w:tcBorders>
              <w:top w:val="nil"/>
              <w:left w:val="nil"/>
              <w:bottom w:val="single" w:color="auto" w:sz="4" w:space="0"/>
              <w:right w:val="single" w:color="auto" w:sz="4" w:space="0"/>
            </w:tcBorders>
            <w:vAlign w:val="center"/>
          </w:tcPr>
          <w:p>
            <w:pPr>
              <w:spacing w:line="240" w:lineRule="exact"/>
              <w:jc w:val="center"/>
              <w:rPr>
                <w:lang/>
              </w:rPr>
            </w:pPr>
            <w:r>
              <w:rPr>
                <w:lang/>
              </w:rPr>
              <w:t>1.04</w:t>
            </w:r>
          </w:p>
        </w:tc>
        <w:tc>
          <w:tcPr>
            <w:tcW w:w="1055" w:type="dxa"/>
            <w:tcBorders>
              <w:top w:val="nil"/>
              <w:left w:val="nil"/>
              <w:bottom w:val="single" w:color="auto" w:sz="4" w:space="0"/>
              <w:right w:val="single" w:color="auto" w:sz="4" w:space="0"/>
            </w:tcBorders>
            <w:vAlign w:val="center"/>
          </w:tcPr>
          <w:p>
            <w:pPr>
              <w:spacing w:line="240" w:lineRule="exact"/>
              <w:jc w:val="center"/>
              <w:rPr>
                <w:lang/>
              </w:rPr>
            </w:pPr>
            <w:r>
              <w:rPr>
                <w:lang/>
              </w:rPr>
              <w:t>1</w:t>
            </w:r>
          </w:p>
        </w:tc>
      </w:tr>
    </w:tbl>
    <w:p>
      <w:pPr>
        <w:ind w:firstLine="420" w:firstLineChars="200"/>
        <w:rPr>
          <w:szCs w:val="21"/>
        </w:rPr>
      </w:pPr>
      <w:r>
        <w:rPr>
          <w:szCs w:val="21"/>
        </w:rPr>
        <w:t>备注：本表距离指宗地红线距离</w:t>
      </w:r>
      <w:r>
        <w:rPr>
          <w:rFonts w:hint="eastAsia"/>
          <w:szCs w:val="21"/>
        </w:rPr>
        <w:t>轨道交通</w:t>
      </w:r>
      <w:r>
        <w:rPr>
          <w:szCs w:val="21"/>
        </w:rPr>
        <w:t>站点出口的距离。</w:t>
      </w:r>
    </w:p>
    <w:p>
      <w:pPr>
        <w:spacing w:line="360" w:lineRule="auto"/>
        <w:ind w:firstLine="560" w:firstLineChars="200"/>
        <w:outlineLvl w:val="2"/>
        <w:rPr>
          <w:rFonts w:eastAsia="黑体"/>
          <w:sz w:val="28"/>
          <w:szCs w:val="28"/>
        </w:rPr>
      </w:pPr>
      <w:bookmarkStart w:id="805" w:name="_Toc23622"/>
      <w:bookmarkStart w:id="806" w:name="_Toc8580"/>
      <w:bookmarkStart w:id="807" w:name="_Toc470721361"/>
      <w:bookmarkStart w:id="808" w:name="_Toc469296511"/>
      <w:bookmarkStart w:id="809" w:name="_Toc467846893"/>
      <w:r>
        <w:rPr>
          <w:rFonts w:eastAsia="黑体"/>
          <w:sz w:val="28"/>
          <w:szCs w:val="28"/>
        </w:rPr>
        <w:t>三、宗地地价特别因素修正</w:t>
      </w:r>
      <w:bookmarkEnd w:id="805"/>
      <w:bookmarkEnd w:id="806"/>
      <w:bookmarkEnd w:id="807"/>
      <w:bookmarkEnd w:id="808"/>
      <w:bookmarkEnd w:id="809"/>
    </w:p>
    <w:p>
      <w:pPr>
        <w:pStyle w:val="49"/>
        <w:spacing w:line="360" w:lineRule="auto"/>
        <w:ind w:firstLine="482"/>
        <w:rPr>
          <w:b/>
          <w:bCs/>
          <w:szCs w:val="24"/>
        </w:rPr>
      </w:pPr>
      <w:bookmarkStart w:id="810" w:name="_Toc309982726"/>
      <w:bookmarkStart w:id="811" w:name="_Toc310325451"/>
      <w:bookmarkStart w:id="812" w:name="_Toc310514421"/>
      <w:bookmarkStart w:id="813" w:name="_Toc362244285"/>
      <w:r>
        <w:rPr>
          <w:b/>
          <w:bCs/>
          <w:szCs w:val="24"/>
        </w:rPr>
        <w:t>（一）街角修正</w:t>
      </w:r>
      <w:bookmarkEnd w:id="810"/>
      <w:bookmarkEnd w:id="811"/>
      <w:bookmarkEnd w:id="812"/>
    </w:p>
    <w:p>
      <w:pPr>
        <w:pStyle w:val="49"/>
        <w:spacing w:line="360" w:lineRule="auto"/>
        <w:rPr>
          <w:bCs/>
          <w:szCs w:val="24"/>
        </w:rPr>
      </w:pPr>
      <w:r>
        <w:rPr>
          <w:bCs/>
          <w:szCs w:val="24"/>
        </w:rPr>
        <w:t>街角地是指同时临两条相互交叉路段的宗地，街角条件是影响商服用地地价最重要的微观区域因素之一。街角地交通便利，车流量、人流量大，单位面积的商服用地效益远高于其它地段，地价水平也相应较高。在调查长沙县城区主要街道街角地地价与同一街道普通宗地地价比例关系的基础上，并借鉴国内其它城市的经验，编制了长沙县城区商服用地街角地修正系数表（表</w:t>
      </w:r>
      <w:r>
        <w:t>4-3-21</w:t>
      </w:r>
      <w:r>
        <w:rPr>
          <w:bCs/>
          <w:szCs w:val="24"/>
        </w:rPr>
        <w:t>）。</w:t>
      </w:r>
    </w:p>
    <w:p>
      <w:pPr>
        <w:pStyle w:val="131"/>
        <w:spacing w:beforeLines="50" w:afterLines="50"/>
        <w:ind w:firstLine="0" w:firstLineChars="0"/>
        <w:rPr>
          <w:rFonts w:ascii="Times New Roman" w:hAnsi="Times New Roman"/>
          <w:sz w:val="24"/>
        </w:rPr>
      </w:pPr>
      <w:r>
        <w:rPr>
          <w:rFonts w:ascii="Times New Roman" w:hAnsi="Times New Roman"/>
          <w:sz w:val="24"/>
        </w:rPr>
        <w:t>表4-3-21 长沙县城区商服用地街角地修正系数</w:t>
      </w:r>
    </w:p>
    <w:tbl>
      <w:tblPr>
        <w:tblW w:w="8940" w:type="dxa"/>
        <w:jc w:val="center"/>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3215"/>
        <w:gridCol w:w="2108"/>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995" w:type="dxa"/>
            <w:vAlign w:val="center"/>
          </w:tcPr>
          <w:p>
            <w:pPr>
              <w:pStyle w:val="49"/>
              <w:spacing w:line="440" w:lineRule="exact"/>
              <w:ind w:firstLine="0" w:firstLineChars="0"/>
              <w:jc w:val="center"/>
              <w:rPr>
                <w:sz w:val="21"/>
                <w:szCs w:val="21"/>
              </w:rPr>
            </w:pPr>
            <w:r>
              <w:rPr>
                <w:sz w:val="21"/>
                <w:szCs w:val="21"/>
              </w:rPr>
              <w:t>道路等级比</w:t>
            </w:r>
          </w:p>
        </w:tc>
        <w:tc>
          <w:tcPr>
            <w:tcW w:w="3215" w:type="dxa"/>
            <w:vAlign w:val="center"/>
          </w:tcPr>
          <w:p>
            <w:pPr>
              <w:spacing w:line="300" w:lineRule="exact"/>
              <w:ind w:left="-105" w:leftChars="-50" w:right="-105" w:rightChars="-50"/>
              <w:jc w:val="center"/>
            </w:pPr>
            <w:r>
              <w:t>主：主，次：次，支：支</w:t>
            </w:r>
          </w:p>
        </w:tc>
        <w:tc>
          <w:tcPr>
            <w:tcW w:w="2108" w:type="dxa"/>
            <w:vAlign w:val="center"/>
          </w:tcPr>
          <w:p>
            <w:pPr>
              <w:spacing w:line="300" w:lineRule="exact"/>
              <w:ind w:left="-105" w:leftChars="-50" w:right="-105" w:rightChars="-50"/>
              <w:jc w:val="center"/>
            </w:pPr>
            <w:r>
              <w:t>主：次，次：支</w:t>
            </w:r>
          </w:p>
        </w:tc>
        <w:tc>
          <w:tcPr>
            <w:tcW w:w="1622" w:type="dxa"/>
            <w:vAlign w:val="center"/>
          </w:tcPr>
          <w:p>
            <w:pPr>
              <w:spacing w:line="300" w:lineRule="exact"/>
              <w:ind w:left="-105" w:leftChars="-50" w:right="-105" w:rightChars="-50"/>
              <w:jc w:val="center"/>
            </w:pPr>
            <w:r>
              <w:t>主：支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995" w:type="dxa"/>
            <w:vAlign w:val="center"/>
          </w:tcPr>
          <w:p>
            <w:pPr>
              <w:pStyle w:val="49"/>
              <w:spacing w:line="440" w:lineRule="exact"/>
              <w:ind w:firstLine="0" w:firstLineChars="0"/>
              <w:jc w:val="center"/>
              <w:rPr>
                <w:sz w:val="21"/>
                <w:szCs w:val="21"/>
              </w:rPr>
            </w:pPr>
            <w:r>
              <w:rPr>
                <w:sz w:val="21"/>
                <w:szCs w:val="21"/>
              </w:rPr>
              <w:t>修正系数</w:t>
            </w:r>
          </w:p>
        </w:tc>
        <w:tc>
          <w:tcPr>
            <w:tcW w:w="3215" w:type="dxa"/>
            <w:vAlign w:val="center"/>
          </w:tcPr>
          <w:p>
            <w:pPr>
              <w:jc w:val="center"/>
              <w:rPr>
                <w:sz w:val="24"/>
              </w:rPr>
            </w:pPr>
            <w:r>
              <w:t>1.376</w:t>
            </w:r>
          </w:p>
        </w:tc>
        <w:tc>
          <w:tcPr>
            <w:tcW w:w="2108" w:type="dxa"/>
            <w:vAlign w:val="center"/>
          </w:tcPr>
          <w:p>
            <w:pPr>
              <w:jc w:val="center"/>
              <w:rPr>
                <w:sz w:val="24"/>
              </w:rPr>
            </w:pPr>
            <w:r>
              <w:t>1.287</w:t>
            </w:r>
          </w:p>
        </w:tc>
        <w:tc>
          <w:tcPr>
            <w:tcW w:w="1622" w:type="dxa"/>
            <w:vAlign w:val="center"/>
          </w:tcPr>
          <w:p>
            <w:pPr>
              <w:jc w:val="center"/>
              <w:rPr>
                <w:sz w:val="24"/>
              </w:rPr>
            </w:pPr>
            <w:r>
              <w:t>1.206</w:t>
            </w:r>
          </w:p>
        </w:tc>
      </w:tr>
    </w:tbl>
    <w:p>
      <w:pPr>
        <w:pStyle w:val="49"/>
        <w:spacing w:line="360" w:lineRule="auto"/>
        <w:ind w:firstLine="420"/>
        <w:rPr>
          <w:bCs/>
          <w:sz w:val="21"/>
          <w:szCs w:val="21"/>
        </w:rPr>
      </w:pPr>
      <w:bookmarkStart w:id="814" w:name="_Toc310514422"/>
      <w:bookmarkStart w:id="815" w:name="_Toc310325452"/>
      <w:bookmarkStart w:id="816" w:name="_Toc309982727"/>
      <w:r>
        <w:rPr>
          <w:bCs/>
          <w:sz w:val="21"/>
          <w:szCs w:val="21"/>
        </w:rPr>
        <w:t>备注：“主”为主干道、“次”为次干道、“支”为支路，见表4-3-21。</w:t>
      </w:r>
    </w:p>
    <w:bookmarkEnd w:id="814"/>
    <w:bookmarkEnd w:id="815"/>
    <w:bookmarkEnd w:id="816"/>
    <w:p>
      <w:pPr>
        <w:spacing w:line="440" w:lineRule="exact"/>
        <w:ind w:firstLine="482" w:firstLineChars="200"/>
        <w:rPr>
          <w:b/>
          <w:sz w:val="24"/>
          <w:szCs w:val="21"/>
        </w:rPr>
      </w:pPr>
      <w:r>
        <w:rPr>
          <w:b/>
          <w:sz w:val="24"/>
          <w:szCs w:val="21"/>
        </w:rPr>
        <w:t>（二）宗地地价土地深度修正</w:t>
      </w:r>
    </w:p>
    <w:p>
      <w:pPr>
        <w:pStyle w:val="49"/>
        <w:spacing w:line="360" w:lineRule="auto"/>
        <w:rPr>
          <w:bCs/>
          <w:szCs w:val="24"/>
        </w:rPr>
      </w:pPr>
      <w:r>
        <w:rPr>
          <w:bCs/>
          <w:szCs w:val="24"/>
        </w:rPr>
        <w:t>1、临路加价修正确定的技术路线</w:t>
      </w:r>
    </w:p>
    <w:p>
      <w:pPr>
        <w:pStyle w:val="49"/>
        <w:spacing w:line="360" w:lineRule="auto"/>
        <w:rPr>
          <w:bCs/>
          <w:szCs w:val="24"/>
        </w:rPr>
      </w:pPr>
      <w:r>
        <w:rPr>
          <w:bCs/>
          <w:szCs w:val="24"/>
        </w:rPr>
        <w:t>利用市场交易资料确定商服用地临路加价修正，其技术路线如下：</w:t>
      </w:r>
    </w:p>
    <w:p>
      <w:pPr>
        <w:pStyle w:val="49"/>
        <w:spacing w:line="360" w:lineRule="auto"/>
        <w:rPr>
          <w:bCs/>
          <w:szCs w:val="24"/>
        </w:rPr>
      </w:pPr>
      <w:r>
        <w:rPr>
          <w:bCs/>
          <w:szCs w:val="24"/>
        </w:rPr>
        <w:t>（1）设定标准深度；</w:t>
      </w:r>
    </w:p>
    <w:p>
      <w:pPr>
        <w:spacing w:line="460" w:lineRule="exact"/>
        <w:ind w:firstLine="480" w:firstLineChars="200"/>
        <w:rPr>
          <w:sz w:val="24"/>
        </w:rPr>
      </w:pPr>
      <w:r>
        <w:rPr>
          <w:sz w:val="24"/>
        </w:rPr>
        <w:t>（2）确定道路等级；</w:t>
      </w:r>
    </w:p>
    <w:p>
      <w:pPr>
        <w:spacing w:line="460" w:lineRule="exact"/>
        <w:ind w:firstLine="480" w:firstLineChars="200"/>
        <w:rPr>
          <w:sz w:val="24"/>
        </w:rPr>
      </w:pPr>
      <w:r>
        <w:rPr>
          <w:sz w:val="24"/>
        </w:rPr>
        <w:t>（3）利用临路平均宗地地价与级别价比例确定临路加价修正系数。</w:t>
      </w:r>
    </w:p>
    <w:p>
      <w:pPr>
        <w:spacing w:line="460" w:lineRule="exact"/>
        <w:ind w:firstLine="480" w:firstLineChars="200"/>
        <w:rPr>
          <w:sz w:val="24"/>
        </w:rPr>
      </w:pPr>
      <w:r>
        <w:rPr>
          <w:sz w:val="24"/>
        </w:rPr>
        <w:t>2、标准深度的设定及深度修正系数表</w:t>
      </w:r>
    </w:p>
    <w:p>
      <w:pPr>
        <w:spacing w:line="360" w:lineRule="auto"/>
        <w:ind w:firstLine="480" w:firstLineChars="200"/>
        <w:rPr>
          <w:sz w:val="24"/>
          <w:lang w:val="zh-CN"/>
        </w:rPr>
      </w:pPr>
      <w:r>
        <w:rPr>
          <w:sz w:val="24"/>
          <w:lang w:val="zh-CN"/>
        </w:rPr>
        <w:t>城市内各宗土地价格的高低，随其离开街道距离的增加呈指数递减，换句话说，一宗临街地，其接近街道部分的利用价值高于远离街道部分的利用价值，越接近街道利用价值越大，价格越高，距离街道越远利用价值越小，价格越低。但道路对土地利用的影响是有限度的，即当土地达到一定的深度时，土地价格的变化接近于零，这一道路对土地利用价值影响的零点称为标准深度。针对长沙县的实际情况，我们按长沙县城镇规划道路的标准设定三种标准深度：主干道为25米，次干道为20米，支路为15米。样点地价须修正到基准地价内涵所对应的标准深度。样点地价修正到标准深度地价的计算公式为：</w:t>
      </w:r>
    </w:p>
    <w:p>
      <w:pPr>
        <w:adjustRightInd w:val="0"/>
        <w:spacing w:line="460" w:lineRule="exact"/>
        <w:ind w:firstLine="480" w:firstLineChars="200"/>
        <w:rPr>
          <w:sz w:val="24"/>
        </w:rPr>
      </w:pPr>
      <w:r>
        <w:rPr>
          <w:sz w:val="24"/>
        </w:rPr>
        <w:t>P</w:t>
      </w:r>
      <w:r>
        <w:rPr>
          <w:sz w:val="24"/>
          <w:vertAlign w:val="subscript"/>
        </w:rPr>
        <w:t>s</w:t>
      </w:r>
      <w:r>
        <w:rPr>
          <w:sz w:val="24"/>
        </w:rPr>
        <w:t>=P</w:t>
      </w:r>
      <w:r>
        <w:rPr>
          <w:sz w:val="24"/>
          <w:vertAlign w:val="subscript"/>
        </w:rPr>
        <w:t>i</w:t>
      </w:r>
      <w:r>
        <w:rPr>
          <w:sz w:val="24"/>
        </w:rPr>
        <w:t>×k</w:t>
      </w:r>
      <w:r>
        <w:rPr>
          <w:sz w:val="24"/>
          <w:vertAlign w:val="subscript"/>
        </w:rPr>
        <w:t>i</w:t>
      </w:r>
      <w:r>
        <w:rPr>
          <w:color w:val="000000"/>
          <w:sz w:val="24"/>
        </w:rPr>
        <w:t xml:space="preserve">                    </w:t>
      </w:r>
    </w:p>
    <w:p>
      <w:pPr>
        <w:adjustRightInd w:val="0"/>
        <w:spacing w:line="460" w:lineRule="exact"/>
        <w:ind w:firstLine="480" w:firstLineChars="200"/>
        <w:rPr>
          <w:sz w:val="24"/>
        </w:rPr>
      </w:pPr>
      <w:r>
        <w:rPr>
          <w:sz w:val="24"/>
        </w:rPr>
        <w:t>式中：P</w:t>
      </w:r>
      <w:r>
        <w:rPr>
          <w:sz w:val="24"/>
          <w:vertAlign w:val="subscript"/>
        </w:rPr>
        <w:t>s</w:t>
      </w:r>
      <w:r>
        <w:rPr>
          <w:sz w:val="24"/>
        </w:rPr>
        <w:t xml:space="preserve"> —— 标准深度上的地价</w:t>
      </w:r>
    </w:p>
    <w:p>
      <w:pPr>
        <w:adjustRightInd w:val="0"/>
        <w:spacing w:line="460" w:lineRule="exact"/>
        <w:ind w:firstLine="480" w:firstLineChars="200"/>
        <w:rPr>
          <w:sz w:val="24"/>
        </w:rPr>
      </w:pPr>
      <w:r>
        <w:rPr>
          <w:sz w:val="24"/>
        </w:rPr>
        <w:t>P</w:t>
      </w:r>
      <w:r>
        <w:rPr>
          <w:sz w:val="24"/>
          <w:vertAlign w:val="subscript"/>
        </w:rPr>
        <w:t>i</w:t>
      </w:r>
      <w:r>
        <w:rPr>
          <w:sz w:val="24"/>
        </w:rPr>
        <w:t xml:space="preserve"> ——某土地深度样点地价</w:t>
      </w:r>
    </w:p>
    <w:p>
      <w:pPr>
        <w:adjustRightInd w:val="0"/>
        <w:spacing w:line="460" w:lineRule="exact"/>
        <w:ind w:firstLine="480" w:firstLineChars="200"/>
        <w:rPr>
          <w:sz w:val="24"/>
        </w:rPr>
      </w:pPr>
      <w:r>
        <w:rPr>
          <w:sz w:val="24"/>
        </w:rPr>
        <w:t>k</w:t>
      </w:r>
      <w:r>
        <w:rPr>
          <w:sz w:val="24"/>
          <w:vertAlign w:val="subscript"/>
        </w:rPr>
        <w:t>i</w:t>
      </w:r>
      <w:r>
        <w:rPr>
          <w:sz w:val="24"/>
        </w:rPr>
        <w:t>——某土地深度上的修正系数</w:t>
      </w:r>
    </w:p>
    <w:p>
      <w:pPr>
        <w:spacing w:line="360" w:lineRule="auto"/>
        <w:ind w:firstLine="464" w:firstLineChars="200"/>
        <w:rPr>
          <w:spacing w:val="-4"/>
          <w:sz w:val="24"/>
          <w:lang w:val="zh-CN"/>
        </w:rPr>
      </w:pPr>
      <w:r>
        <w:rPr>
          <w:spacing w:val="-4"/>
          <w:sz w:val="24"/>
          <w:lang w:val="zh-CN"/>
        </w:rPr>
        <w:t>根据样点资料及其它城市的经验，长沙县土地深度修正系数如表4-3-22所示。</w:t>
      </w:r>
    </w:p>
    <w:p>
      <w:pPr>
        <w:pStyle w:val="131"/>
        <w:spacing w:beforeLines="50" w:afterLines="50"/>
        <w:ind w:firstLine="0" w:firstLineChars="0"/>
        <w:rPr>
          <w:rFonts w:ascii="Times New Roman" w:hAnsi="Times New Roman"/>
          <w:sz w:val="24"/>
        </w:rPr>
      </w:pPr>
      <w:r>
        <w:rPr>
          <w:rFonts w:ascii="Times New Roman" w:hAnsi="Times New Roman"/>
          <w:sz w:val="24"/>
        </w:rPr>
        <w:t>表</w:t>
      </w:r>
      <w:r>
        <w:rPr>
          <w:rFonts w:ascii="Times New Roman" w:hAnsi="Times New Roman"/>
          <w:spacing w:val="-4"/>
          <w:sz w:val="24"/>
        </w:rPr>
        <w:t>4-3-22</w:t>
      </w:r>
      <w:r>
        <w:rPr>
          <w:rFonts w:ascii="Times New Roman" w:hAnsi="Times New Roman"/>
          <w:sz w:val="24"/>
        </w:rPr>
        <w:t xml:space="preserve">  商服用地样点地价临街深度修正系数表</w:t>
      </w:r>
    </w:p>
    <w:tbl>
      <w:tblPr>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1369"/>
        <w:gridCol w:w="1510"/>
        <w:gridCol w:w="1510"/>
        <w:gridCol w:w="1510"/>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651" w:type="dxa"/>
            <w:vAlign w:val="top"/>
          </w:tcPr>
          <w:p>
            <w:pPr>
              <w:spacing w:line="300" w:lineRule="exact"/>
              <w:ind w:left="-105" w:leftChars="-50" w:right="-105" w:rightChars="-50" w:firstLine="420" w:firstLineChars="200"/>
              <w:jc w:val="center"/>
            </w:pPr>
            <w:r>
              <w:rPr>
                <w:rFonts w:ascii="Times New Roman" w:hAnsi="Times New Roman" w:eastAsia="宋体" w:cs="Times New Roman"/>
                <w:kern w:val="2"/>
                <w:sz w:val="21"/>
                <w:lang w:val="en-US" w:eastAsia="zh-CN" w:bidi="ar-SA"/>
              </w:rPr>
              <w:pict>
                <v:shape id="直接连接符 1585" o:spid="_x0000_s1359" type="#_x0000_t32" style="position:absolute;left:0;margin-left:-6.6pt;margin-top:0.1pt;height:31.55pt;width:82.45pt;rotation:0f;z-index:251669504;" o:ole="f" fillcolor="#FFFFFF" filled="t" o:preferrelative="t" stroked="t" coordorigin="0,0" coordsize="21600,21600">
                  <v:stroke color="#000000" color2="#FFFFFF" joinstyle="round"/>
                  <v:imagedata gain="65536f" blacklevel="0f" gamma="0"/>
                  <o:lock v:ext="edit" position="f" selection="f" grouping="f" rotation="f" cropping="f" text="f" aspectratio="f"/>
                </v:shape>
              </w:pict>
            </w:r>
            <w:r>
              <w:t>道路深度</w:t>
            </w:r>
          </w:p>
          <w:p>
            <w:pPr>
              <w:spacing w:line="300" w:lineRule="exact"/>
              <w:ind w:right="-105" w:rightChars="-50"/>
            </w:pPr>
            <w:r>
              <w:t>道路类型</w:t>
            </w:r>
          </w:p>
        </w:tc>
        <w:tc>
          <w:tcPr>
            <w:tcW w:w="1369" w:type="dxa"/>
            <w:vAlign w:val="center"/>
          </w:tcPr>
          <w:p>
            <w:pPr>
              <w:spacing w:line="300" w:lineRule="exact"/>
              <w:ind w:left="-105" w:leftChars="-50" w:right="-105" w:rightChars="-50"/>
              <w:jc w:val="center"/>
            </w:pPr>
            <w:r>
              <w:t>&lt; 10</w:t>
            </w:r>
          </w:p>
        </w:tc>
        <w:tc>
          <w:tcPr>
            <w:tcW w:w="1510" w:type="dxa"/>
            <w:vAlign w:val="center"/>
          </w:tcPr>
          <w:p>
            <w:pPr>
              <w:spacing w:line="300" w:lineRule="exact"/>
              <w:ind w:left="-105" w:leftChars="-50" w:right="-105" w:rightChars="-50"/>
              <w:jc w:val="center"/>
            </w:pPr>
            <w:r>
              <w:t>10-15</w:t>
            </w:r>
          </w:p>
        </w:tc>
        <w:tc>
          <w:tcPr>
            <w:tcW w:w="1510" w:type="dxa"/>
            <w:vAlign w:val="center"/>
          </w:tcPr>
          <w:p>
            <w:pPr>
              <w:spacing w:line="300" w:lineRule="exact"/>
              <w:ind w:left="-105" w:leftChars="-50" w:right="-105" w:rightChars="-50"/>
              <w:jc w:val="center"/>
            </w:pPr>
            <w:r>
              <w:t>15-20</w:t>
            </w:r>
          </w:p>
        </w:tc>
        <w:tc>
          <w:tcPr>
            <w:tcW w:w="1510" w:type="dxa"/>
            <w:vAlign w:val="center"/>
          </w:tcPr>
          <w:p>
            <w:pPr>
              <w:spacing w:line="300" w:lineRule="exact"/>
              <w:ind w:left="-105" w:leftChars="-50" w:right="-105" w:rightChars="-50"/>
              <w:jc w:val="center"/>
            </w:pPr>
            <w:r>
              <w:t>20-25</w:t>
            </w:r>
          </w:p>
        </w:tc>
        <w:tc>
          <w:tcPr>
            <w:tcW w:w="1511" w:type="dxa"/>
            <w:vAlign w:val="center"/>
          </w:tcPr>
          <w:p>
            <w:pPr>
              <w:spacing w:line="300" w:lineRule="exact"/>
              <w:ind w:left="-105" w:leftChars="-50" w:right="-105" w:rightChars="-50"/>
              <w:jc w:val="center"/>
            </w:pPr>
            <w:r>
              <w:t>&gt;25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1" w:type="dxa"/>
            <w:vAlign w:val="top"/>
          </w:tcPr>
          <w:p>
            <w:pPr>
              <w:spacing w:line="300" w:lineRule="exact"/>
              <w:ind w:left="-105" w:leftChars="-50" w:right="-105" w:rightChars="-50"/>
              <w:jc w:val="center"/>
            </w:pPr>
            <w:r>
              <w:t>主干道</w:t>
            </w:r>
          </w:p>
        </w:tc>
        <w:tc>
          <w:tcPr>
            <w:tcW w:w="1369" w:type="dxa"/>
            <w:vAlign w:val="top"/>
          </w:tcPr>
          <w:p>
            <w:pPr>
              <w:spacing w:line="300" w:lineRule="exact"/>
              <w:ind w:left="-105" w:leftChars="-50" w:right="-105" w:rightChars="-50"/>
              <w:jc w:val="center"/>
            </w:pPr>
            <w:r>
              <w:t>1.28</w:t>
            </w:r>
          </w:p>
        </w:tc>
        <w:tc>
          <w:tcPr>
            <w:tcW w:w="1510" w:type="dxa"/>
            <w:vAlign w:val="top"/>
          </w:tcPr>
          <w:p>
            <w:pPr>
              <w:spacing w:line="300" w:lineRule="exact"/>
              <w:ind w:left="-105" w:leftChars="-50" w:right="-105" w:rightChars="-50"/>
              <w:jc w:val="center"/>
            </w:pPr>
            <w:r>
              <w:t>1.22</w:t>
            </w:r>
          </w:p>
        </w:tc>
        <w:tc>
          <w:tcPr>
            <w:tcW w:w="1510" w:type="dxa"/>
            <w:vAlign w:val="top"/>
          </w:tcPr>
          <w:p>
            <w:pPr>
              <w:spacing w:line="300" w:lineRule="exact"/>
              <w:ind w:left="-105" w:leftChars="-50" w:right="-105" w:rightChars="-50"/>
              <w:jc w:val="center"/>
            </w:pPr>
            <w:r>
              <w:t>1.19</w:t>
            </w:r>
          </w:p>
        </w:tc>
        <w:tc>
          <w:tcPr>
            <w:tcW w:w="1510" w:type="dxa"/>
            <w:vAlign w:val="top"/>
          </w:tcPr>
          <w:p>
            <w:pPr>
              <w:spacing w:line="300" w:lineRule="exact"/>
              <w:ind w:left="-105" w:leftChars="-50" w:right="-105" w:rightChars="-50"/>
              <w:jc w:val="center"/>
            </w:pPr>
            <w:r>
              <w:t>1.09</w:t>
            </w:r>
          </w:p>
        </w:tc>
        <w:tc>
          <w:tcPr>
            <w:tcW w:w="1511" w:type="dxa"/>
            <w:vAlign w:val="top"/>
          </w:tcPr>
          <w:p>
            <w:pPr>
              <w:spacing w:line="300" w:lineRule="exact"/>
              <w:ind w:left="-105" w:leftChars="-50" w:right="-105" w:rightChars="-50"/>
              <w:jc w:val="center"/>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1" w:type="dxa"/>
            <w:vAlign w:val="top"/>
          </w:tcPr>
          <w:p>
            <w:pPr>
              <w:spacing w:line="300" w:lineRule="exact"/>
              <w:ind w:left="-105" w:leftChars="-50" w:right="-105" w:rightChars="-50"/>
              <w:jc w:val="center"/>
            </w:pPr>
            <w:r>
              <w:t>次干道</w:t>
            </w:r>
          </w:p>
        </w:tc>
        <w:tc>
          <w:tcPr>
            <w:tcW w:w="1369" w:type="dxa"/>
            <w:vAlign w:val="top"/>
          </w:tcPr>
          <w:p>
            <w:pPr>
              <w:spacing w:line="300" w:lineRule="exact"/>
              <w:ind w:left="-105" w:leftChars="-50" w:right="-105" w:rightChars="-50"/>
              <w:jc w:val="center"/>
            </w:pPr>
            <w:r>
              <w:t>1.21</w:t>
            </w:r>
          </w:p>
        </w:tc>
        <w:tc>
          <w:tcPr>
            <w:tcW w:w="1510" w:type="dxa"/>
            <w:vAlign w:val="top"/>
          </w:tcPr>
          <w:p>
            <w:pPr>
              <w:spacing w:line="300" w:lineRule="exact"/>
              <w:ind w:left="-105" w:leftChars="-50" w:right="-105" w:rightChars="-50"/>
              <w:jc w:val="center"/>
            </w:pPr>
            <w:r>
              <w:t>1.17</w:t>
            </w:r>
          </w:p>
        </w:tc>
        <w:tc>
          <w:tcPr>
            <w:tcW w:w="1510" w:type="dxa"/>
            <w:vAlign w:val="top"/>
          </w:tcPr>
          <w:p>
            <w:pPr>
              <w:spacing w:line="300" w:lineRule="exact"/>
              <w:ind w:left="-105" w:leftChars="-50" w:right="-105" w:rightChars="-50"/>
              <w:jc w:val="center"/>
            </w:pPr>
            <w:r>
              <w:t>1.10</w:t>
            </w:r>
          </w:p>
        </w:tc>
        <w:tc>
          <w:tcPr>
            <w:tcW w:w="1510" w:type="dxa"/>
            <w:vAlign w:val="top"/>
          </w:tcPr>
          <w:p>
            <w:pPr>
              <w:spacing w:line="300" w:lineRule="exact"/>
              <w:ind w:left="-105" w:leftChars="-50" w:right="-105" w:rightChars="-50"/>
              <w:jc w:val="center"/>
            </w:pPr>
            <w:r>
              <w:t>1.00</w:t>
            </w:r>
          </w:p>
        </w:tc>
        <w:tc>
          <w:tcPr>
            <w:tcW w:w="1511" w:type="dxa"/>
            <w:vAlign w:val="top"/>
          </w:tcPr>
          <w:p>
            <w:pPr>
              <w:spacing w:line="300" w:lineRule="exact"/>
              <w:ind w:left="-105" w:leftChars="-50" w:right="-105" w:rightChars="-5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1" w:type="dxa"/>
            <w:vAlign w:val="top"/>
          </w:tcPr>
          <w:p>
            <w:pPr>
              <w:spacing w:line="300" w:lineRule="exact"/>
              <w:ind w:left="-105" w:leftChars="-50" w:right="-105" w:rightChars="-50"/>
              <w:jc w:val="center"/>
            </w:pPr>
            <w:r>
              <w:t>支路</w:t>
            </w:r>
          </w:p>
        </w:tc>
        <w:tc>
          <w:tcPr>
            <w:tcW w:w="1369" w:type="dxa"/>
            <w:vAlign w:val="top"/>
          </w:tcPr>
          <w:p>
            <w:pPr>
              <w:spacing w:line="300" w:lineRule="exact"/>
              <w:ind w:left="-105" w:leftChars="-50" w:right="-105" w:rightChars="-50"/>
              <w:jc w:val="center"/>
            </w:pPr>
            <w:r>
              <w:t>1.17</w:t>
            </w:r>
          </w:p>
        </w:tc>
        <w:tc>
          <w:tcPr>
            <w:tcW w:w="1510" w:type="dxa"/>
            <w:vAlign w:val="top"/>
          </w:tcPr>
          <w:p>
            <w:pPr>
              <w:spacing w:line="300" w:lineRule="exact"/>
              <w:ind w:left="-105" w:leftChars="-50" w:right="-105" w:rightChars="-50"/>
              <w:jc w:val="center"/>
            </w:pPr>
            <w:r>
              <w:t>1.09</w:t>
            </w:r>
          </w:p>
        </w:tc>
        <w:tc>
          <w:tcPr>
            <w:tcW w:w="1510" w:type="dxa"/>
            <w:vAlign w:val="top"/>
          </w:tcPr>
          <w:p>
            <w:pPr>
              <w:spacing w:line="300" w:lineRule="exact"/>
              <w:ind w:left="-105" w:leftChars="-50" w:right="-105" w:rightChars="-50"/>
              <w:jc w:val="center"/>
            </w:pPr>
            <w:r>
              <w:t>1.00</w:t>
            </w:r>
          </w:p>
        </w:tc>
        <w:tc>
          <w:tcPr>
            <w:tcW w:w="1510" w:type="dxa"/>
            <w:vAlign w:val="top"/>
          </w:tcPr>
          <w:p>
            <w:pPr>
              <w:spacing w:line="300" w:lineRule="exact"/>
              <w:ind w:left="-105" w:leftChars="-50" w:right="-105" w:rightChars="-50"/>
              <w:jc w:val="center"/>
            </w:pPr>
            <w:r>
              <w:t>/</w:t>
            </w:r>
          </w:p>
        </w:tc>
        <w:tc>
          <w:tcPr>
            <w:tcW w:w="1511" w:type="dxa"/>
            <w:vAlign w:val="top"/>
          </w:tcPr>
          <w:p>
            <w:pPr>
              <w:spacing w:line="300" w:lineRule="exact"/>
              <w:ind w:left="-105" w:leftChars="-50" w:right="-105" w:rightChars="-50"/>
              <w:jc w:val="center"/>
            </w:pPr>
            <w:r>
              <w:t>/</w:t>
            </w:r>
          </w:p>
        </w:tc>
      </w:tr>
    </w:tbl>
    <w:p>
      <w:pPr>
        <w:spacing w:line="360" w:lineRule="auto"/>
        <w:jc w:val="center"/>
        <w:textAlignment w:val="baseline"/>
        <w:outlineLvl w:val="1"/>
        <w:rPr>
          <w:b/>
          <w:bCs/>
          <w:sz w:val="32"/>
        </w:rPr>
      </w:pPr>
      <w:r>
        <w:rPr>
          <w:rFonts w:eastAsia="黑体"/>
          <w:sz w:val="32"/>
        </w:rPr>
        <w:br w:type="page"/>
      </w:r>
      <w:bookmarkStart w:id="817" w:name="_Toc25975"/>
      <w:bookmarkStart w:id="818" w:name="_Toc470721362"/>
      <w:bookmarkStart w:id="819" w:name="_Toc467846894"/>
      <w:bookmarkStart w:id="820" w:name="_Toc469296512"/>
      <w:bookmarkStart w:id="821" w:name="_Toc12789"/>
      <w:bookmarkStart w:id="822" w:name="_Toc1916"/>
      <w:bookmarkStart w:id="823" w:name="_Toc27401"/>
      <w:r>
        <w:rPr>
          <w:rFonts w:eastAsia="黑体"/>
          <w:sz w:val="32"/>
        </w:rPr>
        <w:t>第四章　住宅用地修正体系</w:t>
      </w:r>
      <w:bookmarkEnd w:id="813"/>
      <w:bookmarkEnd w:id="817"/>
      <w:bookmarkEnd w:id="818"/>
      <w:bookmarkEnd w:id="819"/>
      <w:bookmarkEnd w:id="820"/>
      <w:bookmarkEnd w:id="821"/>
      <w:bookmarkEnd w:id="822"/>
      <w:bookmarkEnd w:id="823"/>
    </w:p>
    <w:p>
      <w:pPr>
        <w:spacing w:line="360" w:lineRule="auto"/>
        <w:ind w:firstLine="560" w:firstLineChars="200"/>
        <w:outlineLvl w:val="2"/>
        <w:rPr>
          <w:rFonts w:eastAsia="黑体"/>
          <w:sz w:val="28"/>
          <w:szCs w:val="28"/>
        </w:rPr>
      </w:pPr>
      <w:bookmarkStart w:id="824" w:name="_Toc470721363"/>
      <w:bookmarkStart w:id="825" w:name="_Toc467846895"/>
      <w:bookmarkStart w:id="826" w:name="_Toc31463"/>
      <w:bookmarkStart w:id="827" w:name="_Toc469296513"/>
      <w:bookmarkStart w:id="828" w:name="_Toc18135"/>
      <w:r>
        <w:rPr>
          <w:rFonts w:eastAsia="黑体"/>
          <w:sz w:val="28"/>
          <w:szCs w:val="28"/>
        </w:rPr>
        <w:t>一、宗地地价区域因素修正</w:t>
      </w:r>
      <w:bookmarkEnd w:id="824"/>
      <w:bookmarkEnd w:id="825"/>
      <w:bookmarkEnd w:id="826"/>
      <w:bookmarkEnd w:id="827"/>
      <w:bookmarkEnd w:id="828"/>
    </w:p>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表4-4-1  长沙县Ⅰ级住宅用地宗地地价区域因素修正系数表（%）</w:t>
      </w:r>
    </w:p>
    <w:tbl>
      <w:tblPr>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2526"/>
        <w:gridCol w:w="915"/>
        <w:gridCol w:w="915"/>
        <w:gridCol w:w="915"/>
        <w:gridCol w:w="915"/>
        <w:gridCol w:w="915"/>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81" w:type="dxa"/>
            <w:vAlign w:val="center"/>
          </w:tcPr>
          <w:p>
            <w:pPr>
              <w:widowControl/>
              <w:jc w:val="center"/>
              <w:rPr>
                <w:b/>
                <w:bCs/>
                <w:color w:val="000000"/>
                <w:kern w:val="0"/>
                <w:szCs w:val="21"/>
              </w:rPr>
            </w:pPr>
            <w:r>
              <w:rPr>
                <w:b/>
                <w:bCs/>
                <w:color w:val="000000"/>
                <w:kern w:val="0"/>
                <w:szCs w:val="21"/>
              </w:rPr>
              <w:t>因子层</w:t>
            </w:r>
          </w:p>
        </w:tc>
        <w:tc>
          <w:tcPr>
            <w:tcW w:w="2526" w:type="dxa"/>
            <w:vAlign w:val="center"/>
          </w:tcPr>
          <w:p>
            <w:pPr>
              <w:widowControl/>
              <w:jc w:val="center"/>
              <w:rPr>
                <w:b/>
                <w:bCs/>
                <w:color w:val="000000"/>
                <w:kern w:val="0"/>
                <w:szCs w:val="21"/>
              </w:rPr>
            </w:pPr>
            <w:r>
              <w:rPr>
                <w:b/>
                <w:bCs/>
                <w:color w:val="000000"/>
                <w:kern w:val="0"/>
                <w:szCs w:val="21"/>
              </w:rPr>
              <w:t>指标层</w:t>
            </w:r>
          </w:p>
        </w:tc>
        <w:tc>
          <w:tcPr>
            <w:tcW w:w="915" w:type="dxa"/>
            <w:vAlign w:val="center"/>
          </w:tcPr>
          <w:p>
            <w:pPr>
              <w:widowControl/>
              <w:jc w:val="center"/>
              <w:rPr>
                <w:b/>
                <w:bCs/>
                <w:kern w:val="0"/>
                <w:szCs w:val="21"/>
              </w:rPr>
            </w:pPr>
            <w:r>
              <w:rPr>
                <w:b/>
                <w:bCs/>
                <w:kern w:val="0"/>
                <w:szCs w:val="21"/>
              </w:rPr>
              <w:t>权重</w:t>
            </w:r>
          </w:p>
        </w:tc>
        <w:tc>
          <w:tcPr>
            <w:tcW w:w="915" w:type="dxa"/>
            <w:vAlign w:val="center"/>
          </w:tcPr>
          <w:p>
            <w:pPr>
              <w:widowControl/>
              <w:jc w:val="center"/>
              <w:rPr>
                <w:b/>
                <w:bCs/>
                <w:kern w:val="0"/>
                <w:szCs w:val="21"/>
              </w:rPr>
            </w:pPr>
            <w:r>
              <w:rPr>
                <w:b/>
                <w:bCs/>
                <w:kern w:val="0"/>
                <w:szCs w:val="21"/>
              </w:rPr>
              <w:t>优</w:t>
            </w:r>
          </w:p>
        </w:tc>
        <w:tc>
          <w:tcPr>
            <w:tcW w:w="915" w:type="dxa"/>
            <w:vAlign w:val="center"/>
          </w:tcPr>
          <w:p>
            <w:pPr>
              <w:widowControl/>
              <w:jc w:val="center"/>
              <w:rPr>
                <w:b/>
                <w:bCs/>
                <w:kern w:val="0"/>
                <w:szCs w:val="21"/>
              </w:rPr>
            </w:pPr>
            <w:r>
              <w:rPr>
                <w:b/>
                <w:bCs/>
                <w:kern w:val="0"/>
                <w:szCs w:val="21"/>
              </w:rPr>
              <w:t>较优</w:t>
            </w:r>
          </w:p>
        </w:tc>
        <w:tc>
          <w:tcPr>
            <w:tcW w:w="915" w:type="dxa"/>
            <w:vAlign w:val="center"/>
          </w:tcPr>
          <w:p>
            <w:pPr>
              <w:widowControl/>
              <w:jc w:val="center"/>
              <w:rPr>
                <w:b/>
                <w:bCs/>
                <w:kern w:val="0"/>
                <w:szCs w:val="21"/>
              </w:rPr>
            </w:pPr>
            <w:r>
              <w:rPr>
                <w:b/>
                <w:bCs/>
                <w:kern w:val="0"/>
                <w:szCs w:val="21"/>
              </w:rPr>
              <w:t>一般</w:t>
            </w:r>
          </w:p>
        </w:tc>
        <w:tc>
          <w:tcPr>
            <w:tcW w:w="915" w:type="dxa"/>
            <w:vAlign w:val="center"/>
          </w:tcPr>
          <w:p>
            <w:pPr>
              <w:widowControl/>
              <w:jc w:val="center"/>
              <w:rPr>
                <w:b/>
                <w:bCs/>
                <w:kern w:val="0"/>
                <w:szCs w:val="21"/>
              </w:rPr>
            </w:pPr>
            <w:r>
              <w:rPr>
                <w:b/>
                <w:bCs/>
                <w:kern w:val="0"/>
                <w:szCs w:val="21"/>
              </w:rPr>
              <w:t>较劣</w:t>
            </w:r>
          </w:p>
        </w:tc>
        <w:tc>
          <w:tcPr>
            <w:tcW w:w="918" w:type="dxa"/>
            <w:vAlign w:val="center"/>
          </w:tcPr>
          <w:p>
            <w:pPr>
              <w:widowControl/>
              <w:jc w:val="center"/>
              <w:rPr>
                <w:b/>
                <w:bCs/>
                <w:kern w:val="0"/>
                <w:szCs w:val="21"/>
              </w:rPr>
            </w:pPr>
            <w:r>
              <w:rPr>
                <w:b/>
                <w:bCs/>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81" w:type="dxa"/>
            <w:vMerge w:val="restart"/>
            <w:vAlign w:val="center"/>
          </w:tcPr>
          <w:p>
            <w:pPr>
              <w:widowControl/>
              <w:jc w:val="center"/>
              <w:rPr>
                <w:color w:val="000000"/>
                <w:kern w:val="0"/>
                <w:szCs w:val="21"/>
              </w:rPr>
            </w:pPr>
            <w:r>
              <w:rPr>
                <w:color w:val="000000"/>
                <w:kern w:val="0"/>
                <w:szCs w:val="21"/>
              </w:rPr>
              <w:t>基础设施完善度</w:t>
            </w:r>
          </w:p>
        </w:tc>
        <w:tc>
          <w:tcPr>
            <w:tcW w:w="2526" w:type="dxa"/>
            <w:vAlign w:val="center"/>
          </w:tcPr>
          <w:p>
            <w:pPr>
              <w:widowControl/>
              <w:jc w:val="center"/>
              <w:rPr>
                <w:color w:val="000000"/>
                <w:kern w:val="0"/>
                <w:szCs w:val="21"/>
              </w:rPr>
            </w:pPr>
            <w:r>
              <w:rPr>
                <w:color w:val="000000"/>
                <w:kern w:val="0"/>
                <w:szCs w:val="21"/>
              </w:rPr>
              <w:t>排水状况</w:t>
            </w:r>
          </w:p>
        </w:tc>
        <w:tc>
          <w:tcPr>
            <w:tcW w:w="915" w:type="dxa"/>
            <w:vAlign w:val="center"/>
          </w:tcPr>
          <w:p>
            <w:pPr>
              <w:widowControl/>
              <w:jc w:val="center"/>
              <w:textAlignment w:val="center"/>
              <w:rPr>
                <w:kern w:val="0"/>
                <w:szCs w:val="21"/>
              </w:rPr>
            </w:pPr>
            <w:r>
              <w:rPr>
                <w:rFonts w:eastAsia="Tahoma"/>
                <w:color w:val="000000"/>
                <w:kern w:val="0"/>
                <w:szCs w:val="21"/>
                <w:lang/>
              </w:rPr>
              <w:t>0.0426</w:t>
            </w:r>
          </w:p>
        </w:tc>
        <w:tc>
          <w:tcPr>
            <w:tcW w:w="915" w:type="dxa"/>
            <w:vAlign w:val="center"/>
          </w:tcPr>
          <w:p>
            <w:pPr>
              <w:widowControl/>
              <w:jc w:val="center"/>
              <w:textAlignment w:val="center"/>
              <w:rPr>
                <w:kern w:val="0"/>
                <w:szCs w:val="21"/>
              </w:rPr>
            </w:pPr>
            <w:r>
              <w:rPr>
                <w:rFonts w:eastAsia="Tahoma"/>
                <w:color w:val="000000"/>
                <w:kern w:val="0"/>
                <w:szCs w:val="21"/>
                <w:lang/>
              </w:rPr>
              <w:t xml:space="preserve">0.6049 </w:t>
            </w:r>
          </w:p>
        </w:tc>
        <w:tc>
          <w:tcPr>
            <w:tcW w:w="915" w:type="dxa"/>
            <w:vAlign w:val="center"/>
          </w:tcPr>
          <w:p>
            <w:pPr>
              <w:widowControl/>
              <w:jc w:val="center"/>
              <w:textAlignment w:val="center"/>
              <w:rPr>
                <w:kern w:val="0"/>
                <w:szCs w:val="21"/>
              </w:rPr>
            </w:pPr>
            <w:r>
              <w:rPr>
                <w:rFonts w:eastAsia="Tahoma"/>
                <w:color w:val="000000"/>
                <w:kern w:val="0"/>
                <w:szCs w:val="21"/>
                <w:lang/>
              </w:rPr>
              <w:t xml:space="preserve">0.3025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-0.2588 </w:t>
            </w:r>
          </w:p>
        </w:tc>
        <w:tc>
          <w:tcPr>
            <w:tcW w:w="918" w:type="dxa"/>
            <w:vAlign w:val="center"/>
          </w:tcPr>
          <w:p>
            <w:pPr>
              <w:widowControl/>
              <w:jc w:val="center"/>
              <w:textAlignment w:val="center"/>
              <w:rPr>
                <w:kern w:val="0"/>
                <w:szCs w:val="21"/>
              </w:rPr>
            </w:pPr>
            <w:r>
              <w:rPr>
                <w:rFonts w:eastAsia="Tahoma"/>
                <w:color w:val="000000"/>
                <w:kern w:val="0"/>
                <w:szCs w:val="21"/>
                <w:lang/>
              </w:rPr>
              <w:t xml:space="preserve">-0.5176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481" w:type="dxa"/>
            <w:vMerge w:val="continue"/>
            <w:vAlign w:val="center"/>
          </w:tcPr>
          <w:p>
            <w:pPr>
              <w:widowControl/>
              <w:jc w:val="left"/>
              <w:rPr>
                <w:color w:val="000000"/>
                <w:kern w:val="0"/>
                <w:szCs w:val="21"/>
              </w:rPr>
            </w:pPr>
          </w:p>
        </w:tc>
        <w:tc>
          <w:tcPr>
            <w:tcW w:w="2526" w:type="dxa"/>
            <w:vAlign w:val="center"/>
          </w:tcPr>
          <w:p>
            <w:pPr>
              <w:widowControl/>
              <w:jc w:val="center"/>
              <w:rPr>
                <w:color w:val="000000"/>
                <w:kern w:val="0"/>
                <w:szCs w:val="21"/>
              </w:rPr>
            </w:pPr>
            <w:r>
              <w:rPr>
                <w:color w:val="000000"/>
                <w:kern w:val="0"/>
                <w:szCs w:val="21"/>
              </w:rPr>
              <w:t>供水状况</w:t>
            </w:r>
          </w:p>
        </w:tc>
        <w:tc>
          <w:tcPr>
            <w:tcW w:w="915" w:type="dxa"/>
            <w:vAlign w:val="center"/>
          </w:tcPr>
          <w:p>
            <w:pPr>
              <w:widowControl/>
              <w:jc w:val="center"/>
              <w:textAlignment w:val="center"/>
              <w:rPr>
                <w:kern w:val="0"/>
                <w:szCs w:val="21"/>
              </w:rPr>
            </w:pPr>
            <w:r>
              <w:rPr>
                <w:rFonts w:eastAsia="Tahoma"/>
                <w:color w:val="000000"/>
                <w:kern w:val="0"/>
                <w:szCs w:val="21"/>
                <w:lang/>
              </w:rPr>
              <w:t>0.0426</w:t>
            </w:r>
          </w:p>
        </w:tc>
        <w:tc>
          <w:tcPr>
            <w:tcW w:w="915" w:type="dxa"/>
            <w:vAlign w:val="center"/>
          </w:tcPr>
          <w:p>
            <w:pPr>
              <w:widowControl/>
              <w:jc w:val="center"/>
              <w:textAlignment w:val="center"/>
              <w:rPr>
                <w:kern w:val="0"/>
                <w:szCs w:val="21"/>
              </w:rPr>
            </w:pPr>
            <w:r>
              <w:rPr>
                <w:rFonts w:eastAsia="Tahoma"/>
                <w:color w:val="000000"/>
                <w:kern w:val="0"/>
                <w:szCs w:val="21"/>
                <w:lang/>
              </w:rPr>
              <w:t xml:space="preserve">0.6049 </w:t>
            </w:r>
          </w:p>
        </w:tc>
        <w:tc>
          <w:tcPr>
            <w:tcW w:w="915" w:type="dxa"/>
            <w:vAlign w:val="center"/>
          </w:tcPr>
          <w:p>
            <w:pPr>
              <w:widowControl/>
              <w:jc w:val="center"/>
              <w:textAlignment w:val="center"/>
              <w:rPr>
                <w:kern w:val="0"/>
                <w:szCs w:val="21"/>
              </w:rPr>
            </w:pPr>
            <w:r>
              <w:rPr>
                <w:rFonts w:eastAsia="Tahoma"/>
                <w:color w:val="000000"/>
                <w:kern w:val="0"/>
                <w:szCs w:val="21"/>
                <w:lang/>
              </w:rPr>
              <w:t xml:space="preserve">0.3025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-0.2588 </w:t>
            </w:r>
          </w:p>
        </w:tc>
        <w:tc>
          <w:tcPr>
            <w:tcW w:w="918" w:type="dxa"/>
            <w:vAlign w:val="center"/>
          </w:tcPr>
          <w:p>
            <w:pPr>
              <w:widowControl/>
              <w:jc w:val="center"/>
              <w:textAlignment w:val="center"/>
              <w:rPr>
                <w:kern w:val="0"/>
                <w:szCs w:val="21"/>
              </w:rPr>
            </w:pPr>
            <w:r>
              <w:rPr>
                <w:rFonts w:eastAsia="Tahoma"/>
                <w:color w:val="000000"/>
                <w:kern w:val="0"/>
                <w:szCs w:val="21"/>
                <w:lang/>
              </w:rPr>
              <w:t xml:space="preserve">-0.5176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481" w:type="dxa"/>
            <w:vMerge w:val="continue"/>
            <w:vAlign w:val="center"/>
          </w:tcPr>
          <w:p>
            <w:pPr>
              <w:widowControl/>
              <w:jc w:val="left"/>
              <w:rPr>
                <w:color w:val="000000"/>
                <w:kern w:val="0"/>
                <w:szCs w:val="21"/>
              </w:rPr>
            </w:pPr>
          </w:p>
        </w:tc>
        <w:tc>
          <w:tcPr>
            <w:tcW w:w="2526" w:type="dxa"/>
            <w:vAlign w:val="center"/>
          </w:tcPr>
          <w:p>
            <w:pPr>
              <w:widowControl/>
              <w:jc w:val="center"/>
              <w:rPr>
                <w:color w:val="000000"/>
                <w:kern w:val="0"/>
                <w:szCs w:val="21"/>
              </w:rPr>
            </w:pPr>
            <w:r>
              <w:rPr>
                <w:color w:val="000000"/>
                <w:kern w:val="0"/>
                <w:szCs w:val="21"/>
              </w:rPr>
              <w:t>供电状况</w:t>
            </w:r>
          </w:p>
        </w:tc>
        <w:tc>
          <w:tcPr>
            <w:tcW w:w="915" w:type="dxa"/>
            <w:vAlign w:val="center"/>
          </w:tcPr>
          <w:p>
            <w:pPr>
              <w:widowControl/>
              <w:jc w:val="center"/>
              <w:textAlignment w:val="center"/>
              <w:rPr>
                <w:kern w:val="0"/>
                <w:szCs w:val="21"/>
              </w:rPr>
            </w:pPr>
            <w:r>
              <w:rPr>
                <w:rFonts w:eastAsia="Tahoma"/>
                <w:color w:val="000000"/>
                <w:kern w:val="0"/>
                <w:szCs w:val="21"/>
                <w:lang/>
              </w:rPr>
              <w:t>0.0426</w:t>
            </w:r>
          </w:p>
        </w:tc>
        <w:tc>
          <w:tcPr>
            <w:tcW w:w="915" w:type="dxa"/>
            <w:vAlign w:val="center"/>
          </w:tcPr>
          <w:p>
            <w:pPr>
              <w:widowControl/>
              <w:jc w:val="center"/>
              <w:textAlignment w:val="center"/>
              <w:rPr>
                <w:kern w:val="0"/>
                <w:szCs w:val="21"/>
              </w:rPr>
            </w:pPr>
            <w:r>
              <w:rPr>
                <w:rFonts w:eastAsia="Tahoma"/>
                <w:color w:val="000000"/>
                <w:kern w:val="0"/>
                <w:szCs w:val="21"/>
                <w:lang/>
              </w:rPr>
              <w:t xml:space="preserve">0.6049 </w:t>
            </w:r>
          </w:p>
        </w:tc>
        <w:tc>
          <w:tcPr>
            <w:tcW w:w="915" w:type="dxa"/>
            <w:vAlign w:val="center"/>
          </w:tcPr>
          <w:p>
            <w:pPr>
              <w:widowControl/>
              <w:jc w:val="center"/>
              <w:textAlignment w:val="center"/>
              <w:rPr>
                <w:kern w:val="0"/>
                <w:szCs w:val="21"/>
              </w:rPr>
            </w:pPr>
            <w:r>
              <w:rPr>
                <w:rFonts w:eastAsia="Tahoma"/>
                <w:color w:val="000000"/>
                <w:kern w:val="0"/>
                <w:szCs w:val="21"/>
                <w:lang/>
              </w:rPr>
              <w:t xml:space="preserve">0.3025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-0.2588 </w:t>
            </w:r>
          </w:p>
        </w:tc>
        <w:tc>
          <w:tcPr>
            <w:tcW w:w="918" w:type="dxa"/>
            <w:vAlign w:val="center"/>
          </w:tcPr>
          <w:p>
            <w:pPr>
              <w:widowControl/>
              <w:jc w:val="center"/>
              <w:textAlignment w:val="center"/>
              <w:rPr>
                <w:kern w:val="0"/>
                <w:szCs w:val="21"/>
              </w:rPr>
            </w:pPr>
            <w:r>
              <w:rPr>
                <w:rFonts w:eastAsia="Tahoma"/>
                <w:color w:val="000000"/>
                <w:kern w:val="0"/>
                <w:szCs w:val="21"/>
                <w:lang/>
              </w:rPr>
              <w:t xml:space="preserve">-0.5176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481" w:type="dxa"/>
            <w:vMerge w:val="continue"/>
            <w:vAlign w:val="center"/>
          </w:tcPr>
          <w:p>
            <w:pPr>
              <w:widowControl/>
              <w:jc w:val="left"/>
              <w:rPr>
                <w:color w:val="000000"/>
                <w:kern w:val="0"/>
                <w:szCs w:val="21"/>
              </w:rPr>
            </w:pPr>
          </w:p>
        </w:tc>
        <w:tc>
          <w:tcPr>
            <w:tcW w:w="2526" w:type="dxa"/>
            <w:vAlign w:val="center"/>
          </w:tcPr>
          <w:p>
            <w:pPr>
              <w:widowControl/>
              <w:jc w:val="center"/>
              <w:rPr>
                <w:color w:val="000000"/>
                <w:kern w:val="0"/>
                <w:szCs w:val="21"/>
              </w:rPr>
            </w:pPr>
            <w:r>
              <w:rPr>
                <w:color w:val="000000"/>
                <w:kern w:val="0"/>
                <w:szCs w:val="21"/>
              </w:rPr>
              <w:t>供气状况</w:t>
            </w:r>
          </w:p>
        </w:tc>
        <w:tc>
          <w:tcPr>
            <w:tcW w:w="915" w:type="dxa"/>
            <w:vAlign w:val="center"/>
          </w:tcPr>
          <w:p>
            <w:pPr>
              <w:widowControl/>
              <w:jc w:val="center"/>
              <w:textAlignment w:val="center"/>
              <w:rPr>
                <w:kern w:val="0"/>
                <w:szCs w:val="21"/>
              </w:rPr>
            </w:pPr>
            <w:r>
              <w:rPr>
                <w:rFonts w:eastAsia="Tahoma"/>
                <w:color w:val="000000"/>
                <w:kern w:val="0"/>
                <w:szCs w:val="21"/>
                <w:lang/>
              </w:rPr>
              <w:t>0.0426</w:t>
            </w:r>
          </w:p>
        </w:tc>
        <w:tc>
          <w:tcPr>
            <w:tcW w:w="915" w:type="dxa"/>
            <w:vAlign w:val="center"/>
          </w:tcPr>
          <w:p>
            <w:pPr>
              <w:widowControl/>
              <w:jc w:val="center"/>
              <w:textAlignment w:val="center"/>
              <w:rPr>
                <w:kern w:val="0"/>
                <w:szCs w:val="21"/>
              </w:rPr>
            </w:pPr>
            <w:r>
              <w:rPr>
                <w:rFonts w:eastAsia="Tahoma"/>
                <w:color w:val="000000"/>
                <w:kern w:val="0"/>
                <w:szCs w:val="21"/>
                <w:lang/>
              </w:rPr>
              <w:t xml:space="preserve">0.6049 </w:t>
            </w:r>
          </w:p>
        </w:tc>
        <w:tc>
          <w:tcPr>
            <w:tcW w:w="915" w:type="dxa"/>
            <w:vAlign w:val="center"/>
          </w:tcPr>
          <w:p>
            <w:pPr>
              <w:widowControl/>
              <w:jc w:val="center"/>
              <w:textAlignment w:val="center"/>
              <w:rPr>
                <w:kern w:val="0"/>
                <w:szCs w:val="21"/>
              </w:rPr>
            </w:pPr>
            <w:r>
              <w:rPr>
                <w:rFonts w:eastAsia="Tahoma"/>
                <w:color w:val="000000"/>
                <w:kern w:val="0"/>
                <w:szCs w:val="21"/>
                <w:lang/>
              </w:rPr>
              <w:t xml:space="preserve">0.3025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-0.2588 </w:t>
            </w:r>
          </w:p>
        </w:tc>
        <w:tc>
          <w:tcPr>
            <w:tcW w:w="918" w:type="dxa"/>
            <w:vAlign w:val="center"/>
          </w:tcPr>
          <w:p>
            <w:pPr>
              <w:widowControl/>
              <w:jc w:val="center"/>
              <w:textAlignment w:val="center"/>
              <w:rPr>
                <w:kern w:val="0"/>
                <w:szCs w:val="21"/>
              </w:rPr>
            </w:pPr>
            <w:r>
              <w:rPr>
                <w:rFonts w:eastAsia="Tahoma"/>
                <w:color w:val="000000"/>
                <w:kern w:val="0"/>
                <w:szCs w:val="21"/>
                <w:lang/>
              </w:rPr>
              <w:t xml:space="preserve">-0.5176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481" w:type="dxa"/>
            <w:vMerge w:val="restart"/>
            <w:vAlign w:val="center"/>
          </w:tcPr>
          <w:p>
            <w:pPr>
              <w:widowControl/>
              <w:jc w:val="center"/>
              <w:rPr>
                <w:color w:val="000000"/>
                <w:kern w:val="0"/>
                <w:szCs w:val="21"/>
              </w:rPr>
            </w:pPr>
            <w:r>
              <w:rPr>
                <w:color w:val="000000"/>
                <w:kern w:val="0"/>
                <w:szCs w:val="21"/>
              </w:rPr>
              <w:t>公用设施完备度</w:t>
            </w:r>
          </w:p>
        </w:tc>
        <w:tc>
          <w:tcPr>
            <w:tcW w:w="2526" w:type="dxa"/>
            <w:vAlign w:val="center"/>
          </w:tcPr>
          <w:p>
            <w:pPr>
              <w:widowControl/>
              <w:jc w:val="center"/>
              <w:rPr>
                <w:color w:val="000000"/>
                <w:kern w:val="0"/>
                <w:szCs w:val="21"/>
              </w:rPr>
            </w:pPr>
            <w:r>
              <w:rPr>
                <w:color w:val="000000"/>
                <w:kern w:val="0"/>
                <w:szCs w:val="21"/>
              </w:rPr>
              <w:t>距中小学距离</w:t>
            </w:r>
          </w:p>
        </w:tc>
        <w:tc>
          <w:tcPr>
            <w:tcW w:w="915" w:type="dxa"/>
            <w:vAlign w:val="center"/>
          </w:tcPr>
          <w:p>
            <w:pPr>
              <w:widowControl/>
              <w:jc w:val="center"/>
              <w:textAlignment w:val="center"/>
              <w:rPr>
                <w:kern w:val="0"/>
                <w:szCs w:val="21"/>
              </w:rPr>
            </w:pPr>
            <w:r>
              <w:rPr>
                <w:rFonts w:eastAsia="Tahoma"/>
                <w:color w:val="000000"/>
                <w:kern w:val="0"/>
                <w:szCs w:val="21"/>
                <w:lang/>
              </w:rPr>
              <w:t>0.0521</w:t>
            </w:r>
          </w:p>
        </w:tc>
        <w:tc>
          <w:tcPr>
            <w:tcW w:w="915" w:type="dxa"/>
            <w:vAlign w:val="center"/>
          </w:tcPr>
          <w:p>
            <w:pPr>
              <w:widowControl/>
              <w:jc w:val="center"/>
              <w:textAlignment w:val="center"/>
              <w:rPr>
                <w:kern w:val="0"/>
                <w:szCs w:val="21"/>
              </w:rPr>
            </w:pPr>
            <w:r>
              <w:rPr>
                <w:rFonts w:eastAsia="Tahoma"/>
                <w:color w:val="000000"/>
                <w:kern w:val="0"/>
                <w:szCs w:val="21"/>
                <w:lang/>
              </w:rPr>
              <w:t xml:space="preserve">0.7398 </w:t>
            </w:r>
          </w:p>
        </w:tc>
        <w:tc>
          <w:tcPr>
            <w:tcW w:w="915" w:type="dxa"/>
            <w:vAlign w:val="center"/>
          </w:tcPr>
          <w:p>
            <w:pPr>
              <w:widowControl/>
              <w:jc w:val="center"/>
              <w:textAlignment w:val="center"/>
              <w:rPr>
                <w:kern w:val="0"/>
                <w:szCs w:val="21"/>
              </w:rPr>
            </w:pPr>
            <w:r>
              <w:rPr>
                <w:rFonts w:eastAsia="Tahoma"/>
                <w:color w:val="000000"/>
                <w:kern w:val="0"/>
                <w:szCs w:val="21"/>
                <w:lang/>
              </w:rPr>
              <w:t xml:space="preserve">0.3699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-0.3165 </w:t>
            </w:r>
          </w:p>
        </w:tc>
        <w:tc>
          <w:tcPr>
            <w:tcW w:w="918" w:type="dxa"/>
            <w:vAlign w:val="center"/>
          </w:tcPr>
          <w:p>
            <w:pPr>
              <w:widowControl/>
              <w:jc w:val="center"/>
              <w:textAlignment w:val="center"/>
              <w:rPr>
                <w:kern w:val="0"/>
                <w:szCs w:val="21"/>
              </w:rPr>
            </w:pPr>
            <w:r>
              <w:rPr>
                <w:rFonts w:eastAsia="Tahoma"/>
                <w:color w:val="000000"/>
                <w:kern w:val="0"/>
                <w:szCs w:val="21"/>
                <w:lang/>
              </w:rPr>
              <w:t xml:space="preserve">-0.6330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81" w:type="dxa"/>
            <w:vMerge w:val="continue"/>
            <w:vAlign w:val="center"/>
          </w:tcPr>
          <w:p>
            <w:pPr>
              <w:widowControl/>
              <w:jc w:val="left"/>
              <w:rPr>
                <w:color w:val="000000"/>
                <w:kern w:val="0"/>
                <w:szCs w:val="21"/>
              </w:rPr>
            </w:pPr>
          </w:p>
        </w:tc>
        <w:tc>
          <w:tcPr>
            <w:tcW w:w="2526" w:type="dxa"/>
            <w:vAlign w:val="center"/>
          </w:tcPr>
          <w:p>
            <w:pPr>
              <w:widowControl/>
              <w:jc w:val="center"/>
              <w:rPr>
                <w:color w:val="000000"/>
                <w:kern w:val="0"/>
                <w:szCs w:val="21"/>
              </w:rPr>
            </w:pPr>
            <w:r>
              <w:rPr>
                <w:color w:val="000000"/>
                <w:kern w:val="0"/>
                <w:szCs w:val="21"/>
              </w:rPr>
              <w:t>距医院距离</w:t>
            </w:r>
          </w:p>
        </w:tc>
        <w:tc>
          <w:tcPr>
            <w:tcW w:w="915" w:type="dxa"/>
            <w:vAlign w:val="center"/>
          </w:tcPr>
          <w:p>
            <w:pPr>
              <w:widowControl/>
              <w:jc w:val="center"/>
              <w:textAlignment w:val="center"/>
              <w:rPr>
                <w:kern w:val="0"/>
                <w:szCs w:val="21"/>
              </w:rPr>
            </w:pPr>
            <w:r>
              <w:rPr>
                <w:rFonts w:eastAsia="Tahoma"/>
                <w:color w:val="000000"/>
                <w:kern w:val="0"/>
                <w:szCs w:val="21"/>
                <w:lang/>
              </w:rPr>
              <w:t>0.0312</w:t>
            </w:r>
          </w:p>
        </w:tc>
        <w:tc>
          <w:tcPr>
            <w:tcW w:w="915" w:type="dxa"/>
            <w:vAlign w:val="center"/>
          </w:tcPr>
          <w:p>
            <w:pPr>
              <w:widowControl/>
              <w:jc w:val="center"/>
              <w:textAlignment w:val="center"/>
              <w:rPr>
                <w:kern w:val="0"/>
                <w:szCs w:val="21"/>
              </w:rPr>
            </w:pPr>
            <w:r>
              <w:rPr>
                <w:rFonts w:eastAsia="Tahoma"/>
                <w:color w:val="000000"/>
                <w:kern w:val="0"/>
                <w:szCs w:val="21"/>
                <w:lang/>
              </w:rPr>
              <w:t xml:space="preserve">0.4430 </w:t>
            </w:r>
          </w:p>
        </w:tc>
        <w:tc>
          <w:tcPr>
            <w:tcW w:w="915" w:type="dxa"/>
            <w:vAlign w:val="center"/>
          </w:tcPr>
          <w:p>
            <w:pPr>
              <w:widowControl/>
              <w:jc w:val="center"/>
              <w:textAlignment w:val="center"/>
              <w:rPr>
                <w:kern w:val="0"/>
                <w:szCs w:val="21"/>
              </w:rPr>
            </w:pPr>
            <w:r>
              <w:rPr>
                <w:rFonts w:eastAsia="Tahoma"/>
                <w:color w:val="000000"/>
                <w:kern w:val="0"/>
                <w:szCs w:val="21"/>
                <w:lang/>
              </w:rPr>
              <w:t xml:space="preserve">0.2215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-0.1895 </w:t>
            </w:r>
          </w:p>
        </w:tc>
        <w:tc>
          <w:tcPr>
            <w:tcW w:w="918" w:type="dxa"/>
            <w:vAlign w:val="center"/>
          </w:tcPr>
          <w:p>
            <w:pPr>
              <w:widowControl/>
              <w:jc w:val="center"/>
              <w:textAlignment w:val="center"/>
              <w:rPr>
                <w:kern w:val="0"/>
                <w:szCs w:val="21"/>
              </w:rPr>
            </w:pPr>
            <w:r>
              <w:rPr>
                <w:rFonts w:eastAsia="Tahoma"/>
                <w:color w:val="000000"/>
                <w:kern w:val="0"/>
                <w:szCs w:val="21"/>
                <w:lang/>
              </w:rPr>
              <w:t xml:space="preserve">-0.3791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81" w:type="dxa"/>
            <w:vMerge w:val="continue"/>
            <w:vAlign w:val="center"/>
          </w:tcPr>
          <w:p>
            <w:pPr>
              <w:widowControl/>
              <w:jc w:val="left"/>
              <w:rPr>
                <w:color w:val="000000"/>
                <w:kern w:val="0"/>
                <w:szCs w:val="21"/>
              </w:rPr>
            </w:pPr>
          </w:p>
        </w:tc>
        <w:tc>
          <w:tcPr>
            <w:tcW w:w="2526" w:type="dxa"/>
            <w:vAlign w:val="center"/>
          </w:tcPr>
          <w:p>
            <w:pPr>
              <w:widowControl/>
              <w:jc w:val="center"/>
              <w:rPr>
                <w:color w:val="000000"/>
                <w:kern w:val="0"/>
                <w:szCs w:val="21"/>
              </w:rPr>
            </w:pPr>
            <w:r>
              <w:rPr>
                <w:color w:val="000000"/>
                <w:kern w:val="0"/>
                <w:szCs w:val="21"/>
              </w:rPr>
              <w:t>距大型超市距离</w:t>
            </w:r>
          </w:p>
        </w:tc>
        <w:tc>
          <w:tcPr>
            <w:tcW w:w="915" w:type="dxa"/>
            <w:vAlign w:val="center"/>
          </w:tcPr>
          <w:p>
            <w:pPr>
              <w:widowControl/>
              <w:jc w:val="center"/>
              <w:textAlignment w:val="center"/>
              <w:rPr>
                <w:kern w:val="0"/>
                <w:szCs w:val="21"/>
              </w:rPr>
            </w:pPr>
            <w:r>
              <w:rPr>
                <w:rFonts w:eastAsia="Tahoma"/>
                <w:color w:val="000000"/>
                <w:kern w:val="0"/>
                <w:szCs w:val="21"/>
                <w:lang/>
              </w:rPr>
              <w:t>0.0366</w:t>
            </w:r>
          </w:p>
        </w:tc>
        <w:tc>
          <w:tcPr>
            <w:tcW w:w="915" w:type="dxa"/>
            <w:vAlign w:val="center"/>
          </w:tcPr>
          <w:p>
            <w:pPr>
              <w:widowControl/>
              <w:jc w:val="center"/>
              <w:textAlignment w:val="center"/>
              <w:rPr>
                <w:kern w:val="0"/>
                <w:szCs w:val="21"/>
              </w:rPr>
            </w:pPr>
            <w:r>
              <w:rPr>
                <w:rFonts w:eastAsia="Tahoma"/>
                <w:color w:val="000000"/>
                <w:kern w:val="0"/>
                <w:szCs w:val="21"/>
                <w:lang/>
              </w:rPr>
              <w:t xml:space="preserve">0.5197 </w:t>
            </w:r>
          </w:p>
        </w:tc>
        <w:tc>
          <w:tcPr>
            <w:tcW w:w="915" w:type="dxa"/>
            <w:vAlign w:val="center"/>
          </w:tcPr>
          <w:p>
            <w:pPr>
              <w:widowControl/>
              <w:jc w:val="center"/>
              <w:textAlignment w:val="center"/>
              <w:rPr>
                <w:kern w:val="0"/>
                <w:szCs w:val="21"/>
              </w:rPr>
            </w:pPr>
            <w:r>
              <w:rPr>
                <w:rFonts w:eastAsia="Tahoma"/>
                <w:color w:val="000000"/>
                <w:kern w:val="0"/>
                <w:szCs w:val="21"/>
                <w:lang/>
              </w:rPr>
              <w:t xml:space="preserve">0.2599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-0.2223 </w:t>
            </w:r>
          </w:p>
        </w:tc>
        <w:tc>
          <w:tcPr>
            <w:tcW w:w="918" w:type="dxa"/>
            <w:vAlign w:val="center"/>
          </w:tcPr>
          <w:p>
            <w:pPr>
              <w:widowControl/>
              <w:jc w:val="center"/>
              <w:textAlignment w:val="center"/>
              <w:rPr>
                <w:kern w:val="0"/>
                <w:szCs w:val="21"/>
              </w:rPr>
            </w:pPr>
            <w:r>
              <w:rPr>
                <w:rFonts w:eastAsia="Tahoma"/>
                <w:color w:val="000000"/>
                <w:kern w:val="0"/>
                <w:szCs w:val="21"/>
                <w:lang/>
              </w:rPr>
              <w:t xml:space="preserve">-0.4447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81" w:type="dxa"/>
            <w:vMerge w:val="continue"/>
            <w:vAlign w:val="center"/>
          </w:tcPr>
          <w:p>
            <w:pPr>
              <w:widowControl/>
              <w:jc w:val="left"/>
              <w:rPr>
                <w:color w:val="000000"/>
                <w:kern w:val="0"/>
                <w:szCs w:val="21"/>
              </w:rPr>
            </w:pPr>
          </w:p>
        </w:tc>
        <w:tc>
          <w:tcPr>
            <w:tcW w:w="2526" w:type="dxa"/>
            <w:vAlign w:val="center"/>
          </w:tcPr>
          <w:p>
            <w:pPr>
              <w:widowControl/>
              <w:jc w:val="center"/>
              <w:rPr>
                <w:color w:val="000000"/>
                <w:kern w:val="0"/>
                <w:szCs w:val="21"/>
              </w:rPr>
            </w:pPr>
            <w:r>
              <w:rPr>
                <w:color w:val="000000"/>
                <w:kern w:val="0"/>
                <w:szCs w:val="21"/>
              </w:rPr>
              <w:t>距文体设施距离</w:t>
            </w:r>
          </w:p>
        </w:tc>
        <w:tc>
          <w:tcPr>
            <w:tcW w:w="915" w:type="dxa"/>
            <w:vAlign w:val="center"/>
          </w:tcPr>
          <w:p>
            <w:pPr>
              <w:widowControl/>
              <w:jc w:val="center"/>
              <w:textAlignment w:val="center"/>
              <w:rPr>
                <w:kern w:val="0"/>
                <w:szCs w:val="21"/>
              </w:rPr>
            </w:pPr>
            <w:r>
              <w:rPr>
                <w:rFonts w:eastAsia="Tahoma"/>
                <w:color w:val="000000"/>
                <w:kern w:val="0"/>
                <w:szCs w:val="21"/>
                <w:lang/>
              </w:rPr>
              <w:t>0.0257</w:t>
            </w:r>
          </w:p>
        </w:tc>
        <w:tc>
          <w:tcPr>
            <w:tcW w:w="915" w:type="dxa"/>
            <w:vAlign w:val="center"/>
          </w:tcPr>
          <w:p>
            <w:pPr>
              <w:widowControl/>
              <w:jc w:val="center"/>
              <w:textAlignment w:val="center"/>
              <w:rPr>
                <w:kern w:val="0"/>
                <w:szCs w:val="21"/>
              </w:rPr>
            </w:pPr>
            <w:r>
              <w:rPr>
                <w:rFonts w:eastAsia="Tahoma"/>
                <w:color w:val="000000"/>
                <w:kern w:val="0"/>
                <w:szCs w:val="21"/>
                <w:lang/>
              </w:rPr>
              <w:t xml:space="preserve">0.3649 </w:t>
            </w:r>
          </w:p>
        </w:tc>
        <w:tc>
          <w:tcPr>
            <w:tcW w:w="915" w:type="dxa"/>
            <w:vAlign w:val="center"/>
          </w:tcPr>
          <w:p>
            <w:pPr>
              <w:widowControl/>
              <w:jc w:val="center"/>
              <w:textAlignment w:val="center"/>
              <w:rPr>
                <w:kern w:val="0"/>
                <w:szCs w:val="21"/>
              </w:rPr>
            </w:pPr>
            <w:r>
              <w:rPr>
                <w:rFonts w:eastAsia="Tahoma"/>
                <w:color w:val="000000"/>
                <w:kern w:val="0"/>
                <w:szCs w:val="21"/>
                <w:lang/>
              </w:rPr>
              <w:t xml:space="preserve">0.1825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-0.1561 </w:t>
            </w:r>
          </w:p>
        </w:tc>
        <w:tc>
          <w:tcPr>
            <w:tcW w:w="918" w:type="dxa"/>
            <w:vAlign w:val="center"/>
          </w:tcPr>
          <w:p>
            <w:pPr>
              <w:widowControl/>
              <w:jc w:val="center"/>
              <w:textAlignment w:val="center"/>
              <w:rPr>
                <w:kern w:val="0"/>
                <w:szCs w:val="21"/>
              </w:rPr>
            </w:pPr>
            <w:r>
              <w:rPr>
                <w:rFonts w:eastAsia="Tahoma"/>
                <w:color w:val="000000"/>
                <w:kern w:val="0"/>
                <w:szCs w:val="21"/>
                <w:lang/>
              </w:rPr>
              <w:t xml:space="preserve">-0.3123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81" w:type="dxa"/>
            <w:vAlign w:val="center"/>
          </w:tcPr>
          <w:p>
            <w:pPr>
              <w:widowControl/>
              <w:jc w:val="center"/>
              <w:rPr>
                <w:color w:val="000000"/>
                <w:kern w:val="0"/>
                <w:szCs w:val="21"/>
              </w:rPr>
            </w:pPr>
            <w:r>
              <w:rPr>
                <w:color w:val="000000"/>
                <w:kern w:val="0"/>
                <w:szCs w:val="21"/>
              </w:rPr>
              <w:t>道路通达度</w:t>
            </w:r>
          </w:p>
        </w:tc>
        <w:tc>
          <w:tcPr>
            <w:tcW w:w="2526" w:type="dxa"/>
            <w:vAlign w:val="center"/>
          </w:tcPr>
          <w:p>
            <w:pPr>
              <w:widowControl/>
              <w:jc w:val="center"/>
              <w:rPr>
                <w:color w:val="000000"/>
                <w:kern w:val="0"/>
                <w:szCs w:val="21"/>
              </w:rPr>
            </w:pPr>
            <w:r>
              <w:rPr>
                <w:color w:val="000000"/>
                <w:kern w:val="0"/>
                <w:szCs w:val="21"/>
              </w:rPr>
              <w:t>临近道路状况</w:t>
            </w:r>
          </w:p>
        </w:tc>
        <w:tc>
          <w:tcPr>
            <w:tcW w:w="915" w:type="dxa"/>
            <w:vAlign w:val="center"/>
          </w:tcPr>
          <w:p>
            <w:pPr>
              <w:widowControl/>
              <w:jc w:val="center"/>
              <w:textAlignment w:val="center"/>
              <w:rPr>
                <w:kern w:val="0"/>
                <w:szCs w:val="21"/>
              </w:rPr>
            </w:pPr>
            <w:r>
              <w:rPr>
                <w:rFonts w:eastAsia="Tahoma"/>
                <w:color w:val="000000"/>
                <w:kern w:val="0"/>
                <w:szCs w:val="21"/>
                <w:lang/>
              </w:rPr>
              <w:t>0.1124</w:t>
            </w:r>
          </w:p>
        </w:tc>
        <w:tc>
          <w:tcPr>
            <w:tcW w:w="915" w:type="dxa"/>
            <w:vAlign w:val="center"/>
          </w:tcPr>
          <w:p>
            <w:pPr>
              <w:widowControl/>
              <w:jc w:val="center"/>
              <w:textAlignment w:val="center"/>
              <w:rPr>
                <w:kern w:val="0"/>
                <w:szCs w:val="21"/>
              </w:rPr>
            </w:pPr>
            <w:r>
              <w:rPr>
                <w:rFonts w:eastAsia="Tahoma"/>
                <w:color w:val="000000"/>
                <w:kern w:val="0"/>
                <w:szCs w:val="21"/>
                <w:lang/>
              </w:rPr>
              <w:t xml:space="preserve">1.5961 </w:t>
            </w:r>
          </w:p>
        </w:tc>
        <w:tc>
          <w:tcPr>
            <w:tcW w:w="915" w:type="dxa"/>
            <w:vAlign w:val="center"/>
          </w:tcPr>
          <w:p>
            <w:pPr>
              <w:widowControl/>
              <w:jc w:val="center"/>
              <w:textAlignment w:val="center"/>
              <w:rPr>
                <w:kern w:val="0"/>
                <w:szCs w:val="21"/>
              </w:rPr>
            </w:pPr>
            <w:r>
              <w:rPr>
                <w:rFonts w:eastAsia="Tahoma"/>
                <w:color w:val="000000"/>
                <w:kern w:val="0"/>
                <w:szCs w:val="21"/>
                <w:lang/>
              </w:rPr>
              <w:t xml:space="preserve">0.7980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-0.6828 </w:t>
            </w:r>
          </w:p>
        </w:tc>
        <w:tc>
          <w:tcPr>
            <w:tcW w:w="918" w:type="dxa"/>
            <w:vAlign w:val="center"/>
          </w:tcPr>
          <w:p>
            <w:pPr>
              <w:widowControl/>
              <w:jc w:val="center"/>
              <w:textAlignment w:val="center"/>
              <w:rPr>
                <w:kern w:val="0"/>
                <w:szCs w:val="21"/>
              </w:rPr>
            </w:pPr>
            <w:r>
              <w:rPr>
                <w:rFonts w:eastAsia="Tahoma"/>
                <w:color w:val="000000"/>
                <w:kern w:val="0"/>
                <w:szCs w:val="21"/>
                <w:lang/>
              </w:rPr>
              <w:t xml:space="preserve">-1.3657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481" w:type="dxa"/>
            <w:vAlign w:val="center"/>
          </w:tcPr>
          <w:p>
            <w:pPr>
              <w:widowControl/>
              <w:jc w:val="center"/>
              <w:rPr>
                <w:color w:val="000000"/>
                <w:kern w:val="0"/>
                <w:szCs w:val="21"/>
              </w:rPr>
            </w:pPr>
            <w:r>
              <w:rPr>
                <w:color w:val="000000"/>
                <w:kern w:val="0"/>
                <w:szCs w:val="21"/>
              </w:rPr>
              <w:t>公交便捷度</w:t>
            </w:r>
          </w:p>
        </w:tc>
        <w:tc>
          <w:tcPr>
            <w:tcW w:w="2526" w:type="dxa"/>
            <w:vAlign w:val="center"/>
          </w:tcPr>
          <w:p>
            <w:pPr>
              <w:widowControl/>
              <w:jc w:val="center"/>
              <w:rPr>
                <w:color w:val="000000"/>
                <w:kern w:val="0"/>
                <w:szCs w:val="21"/>
              </w:rPr>
            </w:pPr>
            <w:r>
              <w:rPr>
                <w:color w:val="000000"/>
                <w:kern w:val="0"/>
                <w:szCs w:val="21"/>
              </w:rPr>
              <w:t>距最近公交站点（</w:t>
            </w:r>
            <w:r>
              <w:rPr>
                <w:rFonts w:hint="eastAsia"/>
                <w:color w:val="000000"/>
                <w:kern w:val="0"/>
                <w:szCs w:val="21"/>
              </w:rPr>
              <w:t>轨道交通</w:t>
            </w:r>
            <w:r>
              <w:rPr>
                <w:color w:val="000000"/>
                <w:kern w:val="0"/>
                <w:szCs w:val="21"/>
              </w:rPr>
              <w:t>站）距离</w:t>
            </w:r>
          </w:p>
        </w:tc>
        <w:tc>
          <w:tcPr>
            <w:tcW w:w="915" w:type="dxa"/>
            <w:vAlign w:val="center"/>
          </w:tcPr>
          <w:p>
            <w:pPr>
              <w:widowControl/>
              <w:jc w:val="center"/>
              <w:textAlignment w:val="center"/>
              <w:rPr>
                <w:kern w:val="0"/>
                <w:szCs w:val="21"/>
              </w:rPr>
            </w:pPr>
            <w:r>
              <w:rPr>
                <w:rFonts w:eastAsia="Tahoma"/>
                <w:color w:val="000000"/>
                <w:kern w:val="0"/>
                <w:szCs w:val="21"/>
                <w:lang/>
              </w:rPr>
              <w:t>0.0821</w:t>
            </w:r>
          </w:p>
        </w:tc>
        <w:tc>
          <w:tcPr>
            <w:tcW w:w="915" w:type="dxa"/>
            <w:vAlign w:val="center"/>
          </w:tcPr>
          <w:p>
            <w:pPr>
              <w:widowControl/>
              <w:jc w:val="center"/>
              <w:textAlignment w:val="center"/>
              <w:rPr>
                <w:kern w:val="0"/>
                <w:szCs w:val="21"/>
              </w:rPr>
            </w:pPr>
            <w:r>
              <w:rPr>
                <w:rFonts w:eastAsia="Tahoma"/>
                <w:color w:val="000000"/>
                <w:kern w:val="0"/>
                <w:szCs w:val="21"/>
                <w:lang/>
              </w:rPr>
              <w:t xml:space="preserve">1.1658 </w:t>
            </w:r>
          </w:p>
        </w:tc>
        <w:tc>
          <w:tcPr>
            <w:tcW w:w="915" w:type="dxa"/>
            <w:vAlign w:val="center"/>
          </w:tcPr>
          <w:p>
            <w:pPr>
              <w:widowControl/>
              <w:jc w:val="center"/>
              <w:textAlignment w:val="center"/>
              <w:rPr>
                <w:kern w:val="0"/>
                <w:szCs w:val="21"/>
              </w:rPr>
            </w:pPr>
            <w:r>
              <w:rPr>
                <w:rFonts w:eastAsia="Tahoma"/>
                <w:color w:val="000000"/>
                <w:kern w:val="0"/>
                <w:szCs w:val="21"/>
                <w:lang/>
              </w:rPr>
              <w:t xml:space="preserve">0.5829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-0.4988 </w:t>
            </w:r>
          </w:p>
        </w:tc>
        <w:tc>
          <w:tcPr>
            <w:tcW w:w="918" w:type="dxa"/>
            <w:vAlign w:val="center"/>
          </w:tcPr>
          <w:p>
            <w:pPr>
              <w:widowControl/>
              <w:jc w:val="center"/>
              <w:textAlignment w:val="center"/>
              <w:rPr>
                <w:kern w:val="0"/>
                <w:szCs w:val="21"/>
              </w:rPr>
            </w:pPr>
            <w:r>
              <w:rPr>
                <w:rFonts w:eastAsia="Tahoma"/>
                <w:color w:val="000000"/>
                <w:kern w:val="0"/>
                <w:szCs w:val="21"/>
                <w:lang/>
              </w:rPr>
              <w:t xml:space="preserve">-0.9975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481" w:type="dxa"/>
            <w:vMerge w:val="restart"/>
            <w:vAlign w:val="center"/>
          </w:tcPr>
          <w:p>
            <w:pPr>
              <w:widowControl/>
              <w:jc w:val="center"/>
              <w:rPr>
                <w:color w:val="000000"/>
                <w:kern w:val="0"/>
                <w:szCs w:val="21"/>
              </w:rPr>
            </w:pPr>
            <w:r>
              <w:rPr>
                <w:color w:val="000000"/>
                <w:kern w:val="0"/>
                <w:szCs w:val="21"/>
              </w:rPr>
              <w:t>对外交通便利度</w:t>
            </w:r>
          </w:p>
        </w:tc>
        <w:tc>
          <w:tcPr>
            <w:tcW w:w="2526" w:type="dxa"/>
            <w:vAlign w:val="center"/>
          </w:tcPr>
          <w:p>
            <w:pPr>
              <w:widowControl/>
              <w:jc w:val="center"/>
              <w:rPr>
                <w:color w:val="000000"/>
                <w:kern w:val="0"/>
                <w:szCs w:val="21"/>
              </w:rPr>
            </w:pPr>
            <w:r>
              <w:rPr>
                <w:color w:val="000000"/>
                <w:kern w:val="0"/>
                <w:szCs w:val="21"/>
              </w:rPr>
              <w:t>距最近长途汽车站距离</w:t>
            </w:r>
          </w:p>
        </w:tc>
        <w:tc>
          <w:tcPr>
            <w:tcW w:w="915" w:type="dxa"/>
            <w:vAlign w:val="center"/>
          </w:tcPr>
          <w:p>
            <w:pPr>
              <w:widowControl/>
              <w:jc w:val="center"/>
              <w:textAlignment w:val="center"/>
              <w:rPr>
                <w:kern w:val="0"/>
                <w:szCs w:val="21"/>
              </w:rPr>
            </w:pPr>
            <w:r>
              <w:rPr>
                <w:rFonts w:eastAsia="Tahoma"/>
                <w:color w:val="000000"/>
                <w:kern w:val="0"/>
                <w:szCs w:val="21"/>
                <w:lang/>
              </w:rPr>
              <w:t>0.0188</w:t>
            </w:r>
          </w:p>
        </w:tc>
        <w:tc>
          <w:tcPr>
            <w:tcW w:w="915" w:type="dxa"/>
            <w:vAlign w:val="center"/>
          </w:tcPr>
          <w:p>
            <w:pPr>
              <w:widowControl/>
              <w:jc w:val="center"/>
              <w:textAlignment w:val="center"/>
              <w:rPr>
                <w:kern w:val="0"/>
                <w:szCs w:val="21"/>
              </w:rPr>
            </w:pPr>
            <w:r>
              <w:rPr>
                <w:rFonts w:eastAsia="Tahoma"/>
                <w:color w:val="000000"/>
                <w:kern w:val="0"/>
                <w:szCs w:val="21"/>
                <w:lang/>
              </w:rPr>
              <w:t xml:space="preserve">0.2670 </w:t>
            </w:r>
          </w:p>
        </w:tc>
        <w:tc>
          <w:tcPr>
            <w:tcW w:w="915" w:type="dxa"/>
            <w:vAlign w:val="center"/>
          </w:tcPr>
          <w:p>
            <w:pPr>
              <w:widowControl/>
              <w:jc w:val="center"/>
              <w:textAlignment w:val="center"/>
              <w:rPr>
                <w:kern w:val="0"/>
                <w:szCs w:val="21"/>
              </w:rPr>
            </w:pPr>
            <w:r>
              <w:rPr>
                <w:rFonts w:eastAsia="Tahoma"/>
                <w:color w:val="000000"/>
                <w:kern w:val="0"/>
                <w:szCs w:val="21"/>
                <w:lang/>
              </w:rPr>
              <w:t xml:space="preserve">0.1335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-0.1142 </w:t>
            </w:r>
          </w:p>
        </w:tc>
        <w:tc>
          <w:tcPr>
            <w:tcW w:w="918" w:type="dxa"/>
            <w:vAlign w:val="center"/>
          </w:tcPr>
          <w:p>
            <w:pPr>
              <w:widowControl/>
              <w:jc w:val="center"/>
              <w:textAlignment w:val="center"/>
              <w:rPr>
                <w:kern w:val="0"/>
                <w:szCs w:val="21"/>
              </w:rPr>
            </w:pPr>
            <w:r>
              <w:rPr>
                <w:rFonts w:eastAsia="Tahoma"/>
                <w:color w:val="000000"/>
                <w:kern w:val="0"/>
                <w:szCs w:val="21"/>
                <w:lang/>
              </w:rPr>
              <w:t xml:space="preserve">-0.2284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81" w:type="dxa"/>
            <w:vMerge w:val="continue"/>
            <w:vAlign w:val="center"/>
          </w:tcPr>
          <w:p>
            <w:pPr>
              <w:widowControl/>
              <w:jc w:val="left"/>
              <w:rPr>
                <w:color w:val="000000"/>
                <w:kern w:val="0"/>
                <w:szCs w:val="21"/>
              </w:rPr>
            </w:pPr>
          </w:p>
        </w:tc>
        <w:tc>
          <w:tcPr>
            <w:tcW w:w="2526" w:type="dxa"/>
            <w:vAlign w:val="center"/>
          </w:tcPr>
          <w:p>
            <w:pPr>
              <w:widowControl/>
              <w:jc w:val="center"/>
              <w:rPr>
                <w:color w:val="000000"/>
                <w:kern w:val="0"/>
                <w:szCs w:val="21"/>
              </w:rPr>
            </w:pPr>
            <w:r>
              <w:rPr>
                <w:color w:val="000000"/>
                <w:kern w:val="0"/>
                <w:szCs w:val="21"/>
              </w:rPr>
              <w:t>距火车站距离</w:t>
            </w:r>
          </w:p>
        </w:tc>
        <w:tc>
          <w:tcPr>
            <w:tcW w:w="915" w:type="dxa"/>
            <w:vAlign w:val="center"/>
          </w:tcPr>
          <w:p>
            <w:pPr>
              <w:widowControl/>
              <w:jc w:val="center"/>
              <w:textAlignment w:val="center"/>
              <w:rPr>
                <w:kern w:val="0"/>
                <w:szCs w:val="21"/>
              </w:rPr>
            </w:pPr>
            <w:r>
              <w:rPr>
                <w:rFonts w:eastAsia="Tahoma"/>
                <w:color w:val="000000"/>
                <w:kern w:val="0"/>
                <w:szCs w:val="21"/>
                <w:lang/>
              </w:rPr>
              <w:t>0.0121</w:t>
            </w:r>
          </w:p>
        </w:tc>
        <w:tc>
          <w:tcPr>
            <w:tcW w:w="915" w:type="dxa"/>
            <w:vAlign w:val="center"/>
          </w:tcPr>
          <w:p>
            <w:pPr>
              <w:widowControl/>
              <w:jc w:val="center"/>
              <w:textAlignment w:val="center"/>
              <w:rPr>
                <w:kern w:val="0"/>
                <w:szCs w:val="21"/>
              </w:rPr>
            </w:pPr>
            <w:r>
              <w:rPr>
                <w:rFonts w:eastAsia="Tahoma"/>
                <w:color w:val="000000"/>
                <w:kern w:val="0"/>
                <w:szCs w:val="21"/>
                <w:lang/>
              </w:rPr>
              <w:t xml:space="preserve">0.1718 </w:t>
            </w:r>
          </w:p>
        </w:tc>
        <w:tc>
          <w:tcPr>
            <w:tcW w:w="915" w:type="dxa"/>
            <w:vAlign w:val="center"/>
          </w:tcPr>
          <w:p>
            <w:pPr>
              <w:widowControl/>
              <w:jc w:val="center"/>
              <w:textAlignment w:val="center"/>
              <w:rPr>
                <w:kern w:val="0"/>
                <w:szCs w:val="21"/>
              </w:rPr>
            </w:pPr>
            <w:r>
              <w:rPr>
                <w:rFonts w:eastAsia="Tahoma"/>
                <w:color w:val="000000"/>
                <w:kern w:val="0"/>
                <w:szCs w:val="21"/>
                <w:lang/>
              </w:rPr>
              <w:t xml:space="preserve">0.0859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-0.0735 </w:t>
            </w:r>
          </w:p>
        </w:tc>
        <w:tc>
          <w:tcPr>
            <w:tcW w:w="918" w:type="dxa"/>
            <w:vAlign w:val="center"/>
          </w:tcPr>
          <w:p>
            <w:pPr>
              <w:widowControl/>
              <w:jc w:val="center"/>
              <w:textAlignment w:val="center"/>
              <w:rPr>
                <w:kern w:val="0"/>
                <w:szCs w:val="21"/>
              </w:rPr>
            </w:pPr>
            <w:r>
              <w:rPr>
                <w:rFonts w:eastAsia="Tahoma"/>
                <w:color w:val="000000"/>
                <w:kern w:val="0"/>
                <w:szCs w:val="21"/>
                <w:lang/>
              </w:rPr>
              <w:t xml:space="preserve">-0.1470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481" w:type="dxa"/>
            <w:vMerge w:val="continue"/>
            <w:vAlign w:val="center"/>
          </w:tcPr>
          <w:p>
            <w:pPr>
              <w:widowControl/>
              <w:jc w:val="left"/>
              <w:rPr>
                <w:color w:val="000000"/>
                <w:kern w:val="0"/>
                <w:szCs w:val="21"/>
              </w:rPr>
            </w:pPr>
          </w:p>
        </w:tc>
        <w:tc>
          <w:tcPr>
            <w:tcW w:w="2526" w:type="dxa"/>
            <w:vAlign w:val="center"/>
          </w:tcPr>
          <w:p>
            <w:pPr>
              <w:widowControl/>
              <w:jc w:val="center"/>
              <w:rPr>
                <w:color w:val="000000"/>
                <w:kern w:val="0"/>
                <w:szCs w:val="21"/>
              </w:rPr>
            </w:pPr>
            <w:r>
              <w:rPr>
                <w:color w:val="000000"/>
                <w:kern w:val="0"/>
                <w:szCs w:val="21"/>
              </w:rPr>
              <w:t>距高铁站长沙南站距离</w:t>
            </w:r>
          </w:p>
        </w:tc>
        <w:tc>
          <w:tcPr>
            <w:tcW w:w="915" w:type="dxa"/>
            <w:vAlign w:val="center"/>
          </w:tcPr>
          <w:p>
            <w:pPr>
              <w:widowControl/>
              <w:jc w:val="center"/>
              <w:textAlignment w:val="center"/>
              <w:rPr>
                <w:kern w:val="0"/>
                <w:szCs w:val="21"/>
              </w:rPr>
            </w:pPr>
            <w:r>
              <w:rPr>
                <w:rFonts w:eastAsia="Tahoma"/>
                <w:color w:val="000000"/>
                <w:kern w:val="0"/>
                <w:szCs w:val="21"/>
                <w:lang/>
              </w:rPr>
              <w:t>0.0124</w:t>
            </w:r>
          </w:p>
        </w:tc>
        <w:tc>
          <w:tcPr>
            <w:tcW w:w="915" w:type="dxa"/>
            <w:vAlign w:val="center"/>
          </w:tcPr>
          <w:p>
            <w:pPr>
              <w:widowControl/>
              <w:jc w:val="center"/>
              <w:textAlignment w:val="center"/>
              <w:rPr>
                <w:kern w:val="0"/>
                <w:szCs w:val="21"/>
              </w:rPr>
            </w:pPr>
            <w:r>
              <w:rPr>
                <w:rFonts w:eastAsia="Tahoma"/>
                <w:color w:val="000000"/>
                <w:kern w:val="0"/>
                <w:szCs w:val="21"/>
                <w:lang/>
              </w:rPr>
              <w:t xml:space="preserve">0.1761 </w:t>
            </w:r>
          </w:p>
        </w:tc>
        <w:tc>
          <w:tcPr>
            <w:tcW w:w="915" w:type="dxa"/>
            <w:vAlign w:val="center"/>
          </w:tcPr>
          <w:p>
            <w:pPr>
              <w:widowControl/>
              <w:jc w:val="center"/>
              <w:textAlignment w:val="center"/>
              <w:rPr>
                <w:kern w:val="0"/>
                <w:szCs w:val="21"/>
              </w:rPr>
            </w:pPr>
            <w:r>
              <w:rPr>
                <w:rFonts w:eastAsia="Tahoma"/>
                <w:color w:val="000000"/>
                <w:kern w:val="0"/>
                <w:szCs w:val="21"/>
                <w:lang/>
              </w:rPr>
              <w:t xml:space="preserve">0.0880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-0.0753 </w:t>
            </w:r>
          </w:p>
        </w:tc>
        <w:tc>
          <w:tcPr>
            <w:tcW w:w="918" w:type="dxa"/>
            <w:vAlign w:val="center"/>
          </w:tcPr>
          <w:p>
            <w:pPr>
              <w:widowControl/>
              <w:jc w:val="center"/>
              <w:textAlignment w:val="center"/>
              <w:rPr>
                <w:kern w:val="0"/>
                <w:szCs w:val="21"/>
              </w:rPr>
            </w:pPr>
            <w:r>
              <w:rPr>
                <w:rFonts w:eastAsia="Tahoma"/>
                <w:color w:val="000000"/>
                <w:kern w:val="0"/>
                <w:szCs w:val="21"/>
                <w:lang/>
              </w:rPr>
              <w:t xml:space="preserve">-0.1507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81" w:type="dxa"/>
            <w:vMerge w:val="restart"/>
            <w:vAlign w:val="center"/>
          </w:tcPr>
          <w:p>
            <w:pPr>
              <w:widowControl/>
              <w:jc w:val="center"/>
              <w:rPr>
                <w:color w:val="000000"/>
                <w:kern w:val="0"/>
                <w:szCs w:val="21"/>
              </w:rPr>
            </w:pPr>
            <w:r>
              <w:rPr>
                <w:color w:val="000000"/>
                <w:kern w:val="0"/>
                <w:szCs w:val="21"/>
              </w:rPr>
              <w:t>环境优劣度</w:t>
            </w:r>
          </w:p>
        </w:tc>
        <w:tc>
          <w:tcPr>
            <w:tcW w:w="2526" w:type="dxa"/>
            <w:vAlign w:val="center"/>
          </w:tcPr>
          <w:p>
            <w:pPr>
              <w:widowControl/>
              <w:jc w:val="center"/>
              <w:rPr>
                <w:color w:val="000000"/>
                <w:kern w:val="0"/>
                <w:szCs w:val="21"/>
              </w:rPr>
            </w:pPr>
            <w:r>
              <w:rPr>
                <w:color w:val="000000"/>
                <w:kern w:val="0"/>
                <w:szCs w:val="21"/>
              </w:rPr>
              <w:t>水污染情况</w:t>
            </w:r>
          </w:p>
        </w:tc>
        <w:tc>
          <w:tcPr>
            <w:tcW w:w="915" w:type="dxa"/>
            <w:vAlign w:val="center"/>
          </w:tcPr>
          <w:p>
            <w:pPr>
              <w:widowControl/>
              <w:jc w:val="center"/>
              <w:textAlignment w:val="center"/>
              <w:rPr>
                <w:kern w:val="0"/>
                <w:szCs w:val="21"/>
              </w:rPr>
            </w:pPr>
            <w:r>
              <w:rPr>
                <w:rFonts w:eastAsia="Tahoma"/>
                <w:color w:val="000000"/>
                <w:kern w:val="0"/>
                <w:szCs w:val="21"/>
                <w:lang/>
              </w:rPr>
              <w:t>0.0433</w:t>
            </w:r>
          </w:p>
        </w:tc>
        <w:tc>
          <w:tcPr>
            <w:tcW w:w="915" w:type="dxa"/>
            <w:vAlign w:val="center"/>
          </w:tcPr>
          <w:p>
            <w:pPr>
              <w:widowControl/>
              <w:jc w:val="center"/>
              <w:textAlignment w:val="center"/>
              <w:rPr>
                <w:kern w:val="0"/>
                <w:szCs w:val="21"/>
              </w:rPr>
            </w:pPr>
            <w:r>
              <w:rPr>
                <w:rFonts w:eastAsia="Tahoma"/>
                <w:color w:val="000000"/>
                <w:kern w:val="0"/>
                <w:szCs w:val="21"/>
                <w:lang/>
              </w:rPr>
              <w:t xml:space="preserve">0.6149 </w:t>
            </w:r>
          </w:p>
        </w:tc>
        <w:tc>
          <w:tcPr>
            <w:tcW w:w="915" w:type="dxa"/>
            <w:vAlign w:val="center"/>
          </w:tcPr>
          <w:p>
            <w:pPr>
              <w:widowControl/>
              <w:jc w:val="center"/>
              <w:textAlignment w:val="center"/>
              <w:rPr>
                <w:kern w:val="0"/>
                <w:szCs w:val="21"/>
              </w:rPr>
            </w:pPr>
            <w:r>
              <w:rPr>
                <w:rFonts w:eastAsia="Tahoma"/>
                <w:color w:val="000000"/>
                <w:kern w:val="0"/>
                <w:szCs w:val="21"/>
                <w:lang/>
              </w:rPr>
              <w:t xml:space="preserve">0.3074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-0.2630 </w:t>
            </w:r>
          </w:p>
        </w:tc>
        <w:tc>
          <w:tcPr>
            <w:tcW w:w="918" w:type="dxa"/>
            <w:vAlign w:val="center"/>
          </w:tcPr>
          <w:p>
            <w:pPr>
              <w:widowControl/>
              <w:jc w:val="center"/>
              <w:textAlignment w:val="center"/>
              <w:rPr>
                <w:kern w:val="0"/>
                <w:szCs w:val="21"/>
              </w:rPr>
            </w:pPr>
            <w:r>
              <w:rPr>
                <w:rFonts w:eastAsia="Tahoma"/>
                <w:color w:val="000000"/>
                <w:kern w:val="0"/>
                <w:szCs w:val="21"/>
                <w:lang/>
              </w:rPr>
              <w:t xml:space="preserve">-0.5261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81" w:type="dxa"/>
            <w:vMerge w:val="continue"/>
            <w:vAlign w:val="center"/>
          </w:tcPr>
          <w:p>
            <w:pPr>
              <w:widowControl/>
              <w:jc w:val="left"/>
              <w:rPr>
                <w:color w:val="000000"/>
                <w:kern w:val="0"/>
                <w:szCs w:val="21"/>
              </w:rPr>
            </w:pPr>
          </w:p>
        </w:tc>
        <w:tc>
          <w:tcPr>
            <w:tcW w:w="2526" w:type="dxa"/>
            <w:vAlign w:val="center"/>
          </w:tcPr>
          <w:p>
            <w:pPr>
              <w:widowControl/>
              <w:jc w:val="center"/>
              <w:rPr>
                <w:color w:val="000000"/>
                <w:kern w:val="0"/>
                <w:szCs w:val="21"/>
              </w:rPr>
            </w:pPr>
            <w:r>
              <w:rPr>
                <w:color w:val="000000"/>
                <w:kern w:val="0"/>
                <w:szCs w:val="21"/>
              </w:rPr>
              <w:t>大气污染情况</w:t>
            </w:r>
          </w:p>
        </w:tc>
        <w:tc>
          <w:tcPr>
            <w:tcW w:w="915" w:type="dxa"/>
            <w:vAlign w:val="center"/>
          </w:tcPr>
          <w:p>
            <w:pPr>
              <w:widowControl/>
              <w:jc w:val="center"/>
              <w:textAlignment w:val="center"/>
              <w:rPr>
                <w:kern w:val="0"/>
                <w:szCs w:val="21"/>
              </w:rPr>
            </w:pPr>
            <w:r>
              <w:rPr>
                <w:rFonts w:eastAsia="Tahoma"/>
                <w:color w:val="000000"/>
                <w:kern w:val="0"/>
                <w:szCs w:val="21"/>
                <w:lang/>
              </w:rPr>
              <w:t>0.0433</w:t>
            </w:r>
          </w:p>
        </w:tc>
        <w:tc>
          <w:tcPr>
            <w:tcW w:w="915" w:type="dxa"/>
            <w:vAlign w:val="center"/>
          </w:tcPr>
          <w:p>
            <w:pPr>
              <w:widowControl/>
              <w:jc w:val="center"/>
              <w:textAlignment w:val="center"/>
              <w:rPr>
                <w:kern w:val="0"/>
                <w:szCs w:val="21"/>
              </w:rPr>
            </w:pPr>
            <w:r>
              <w:rPr>
                <w:rFonts w:eastAsia="Tahoma"/>
                <w:color w:val="000000"/>
                <w:kern w:val="0"/>
                <w:szCs w:val="21"/>
                <w:lang/>
              </w:rPr>
              <w:t xml:space="preserve">0.6149 </w:t>
            </w:r>
          </w:p>
        </w:tc>
        <w:tc>
          <w:tcPr>
            <w:tcW w:w="915" w:type="dxa"/>
            <w:vAlign w:val="center"/>
          </w:tcPr>
          <w:p>
            <w:pPr>
              <w:widowControl/>
              <w:jc w:val="center"/>
              <w:textAlignment w:val="center"/>
              <w:rPr>
                <w:kern w:val="0"/>
                <w:szCs w:val="21"/>
              </w:rPr>
            </w:pPr>
            <w:r>
              <w:rPr>
                <w:rFonts w:eastAsia="Tahoma"/>
                <w:color w:val="000000"/>
                <w:kern w:val="0"/>
                <w:szCs w:val="21"/>
                <w:lang/>
              </w:rPr>
              <w:t xml:space="preserve">0.3074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-0.2630 </w:t>
            </w:r>
          </w:p>
        </w:tc>
        <w:tc>
          <w:tcPr>
            <w:tcW w:w="918" w:type="dxa"/>
            <w:vAlign w:val="center"/>
          </w:tcPr>
          <w:p>
            <w:pPr>
              <w:widowControl/>
              <w:jc w:val="center"/>
              <w:textAlignment w:val="center"/>
              <w:rPr>
                <w:kern w:val="0"/>
                <w:szCs w:val="21"/>
              </w:rPr>
            </w:pPr>
            <w:r>
              <w:rPr>
                <w:rFonts w:eastAsia="Tahoma"/>
                <w:color w:val="000000"/>
                <w:kern w:val="0"/>
                <w:szCs w:val="21"/>
                <w:lang/>
              </w:rPr>
              <w:t xml:space="preserve">-0.5261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81" w:type="dxa"/>
            <w:vMerge w:val="continue"/>
            <w:vAlign w:val="center"/>
          </w:tcPr>
          <w:p>
            <w:pPr>
              <w:widowControl/>
              <w:jc w:val="left"/>
              <w:rPr>
                <w:color w:val="000000"/>
                <w:kern w:val="0"/>
                <w:szCs w:val="21"/>
              </w:rPr>
            </w:pPr>
          </w:p>
        </w:tc>
        <w:tc>
          <w:tcPr>
            <w:tcW w:w="2526" w:type="dxa"/>
            <w:vAlign w:val="center"/>
          </w:tcPr>
          <w:p>
            <w:pPr>
              <w:widowControl/>
              <w:jc w:val="center"/>
              <w:rPr>
                <w:color w:val="000000"/>
                <w:kern w:val="0"/>
                <w:szCs w:val="21"/>
              </w:rPr>
            </w:pPr>
            <w:r>
              <w:rPr>
                <w:color w:val="000000"/>
                <w:kern w:val="0"/>
                <w:szCs w:val="21"/>
              </w:rPr>
              <w:t>噪声污染情况</w:t>
            </w:r>
          </w:p>
        </w:tc>
        <w:tc>
          <w:tcPr>
            <w:tcW w:w="915" w:type="dxa"/>
            <w:vAlign w:val="center"/>
          </w:tcPr>
          <w:p>
            <w:pPr>
              <w:widowControl/>
              <w:jc w:val="center"/>
              <w:textAlignment w:val="center"/>
              <w:rPr>
                <w:kern w:val="0"/>
                <w:szCs w:val="21"/>
              </w:rPr>
            </w:pPr>
            <w:r>
              <w:rPr>
                <w:rFonts w:eastAsia="Tahoma"/>
                <w:color w:val="000000"/>
                <w:kern w:val="0"/>
                <w:szCs w:val="21"/>
                <w:lang/>
              </w:rPr>
              <w:t>0.0433</w:t>
            </w:r>
          </w:p>
        </w:tc>
        <w:tc>
          <w:tcPr>
            <w:tcW w:w="915" w:type="dxa"/>
            <w:vAlign w:val="center"/>
          </w:tcPr>
          <w:p>
            <w:pPr>
              <w:widowControl/>
              <w:jc w:val="center"/>
              <w:textAlignment w:val="center"/>
              <w:rPr>
                <w:kern w:val="0"/>
                <w:szCs w:val="21"/>
              </w:rPr>
            </w:pPr>
            <w:r>
              <w:rPr>
                <w:rFonts w:eastAsia="Tahoma"/>
                <w:color w:val="000000"/>
                <w:kern w:val="0"/>
                <w:szCs w:val="21"/>
                <w:lang/>
              </w:rPr>
              <w:t xml:space="preserve">0.6149 </w:t>
            </w:r>
          </w:p>
        </w:tc>
        <w:tc>
          <w:tcPr>
            <w:tcW w:w="915" w:type="dxa"/>
            <w:vAlign w:val="center"/>
          </w:tcPr>
          <w:p>
            <w:pPr>
              <w:widowControl/>
              <w:jc w:val="center"/>
              <w:textAlignment w:val="center"/>
              <w:rPr>
                <w:kern w:val="0"/>
                <w:szCs w:val="21"/>
              </w:rPr>
            </w:pPr>
            <w:r>
              <w:rPr>
                <w:rFonts w:eastAsia="Tahoma"/>
                <w:color w:val="000000"/>
                <w:kern w:val="0"/>
                <w:szCs w:val="21"/>
                <w:lang/>
              </w:rPr>
              <w:t xml:space="preserve">0.3074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-0.2630 </w:t>
            </w:r>
          </w:p>
        </w:tc>
        <w:tc>
          <w:tcPr>
            <w:tcW w:w="918" w:type="dxa"/>
            <w:vAlign w:val="center"/>
          </w:tcPr>
          <w:p>
            <w:pPr>
              <w:widowControl/>
              <w:jc w:val="center"/>
              <w:textAlignment w:val="center"/>
              <w:rPr>
                <w:kern w:val="0"/>
                <w:szCs w:val="21"/>
              </w:rPr>
            </w:pPr>
            <w:r>
              <w:rPr>
                <w:rFonts w:eastAsia="Tahoma"/>
                <w:color w:val="000000"/>
                <w:kern w:val="0"/>
                <w:szCs w:val="21"/>
                <w:lang/>
              </w:rPr>
              <w:t xml:space="preserve">-0.5261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81" w:type="dxa"/>
            <w:vAlign w:val="center"/>
          </w:tcPr>
          <w:p>
            <w:pPr>
              <w:widowControl/>
              <w:jc w:val="center"/>
              <w:rPr>
                <w:color w:val="000000"/>
                <w:kern w:val="0"/>
                <w:szCs w:val="21"/>
              </w:rPr>
            </w:pPr>
            <w:r>
              <w:rPr>
                <w:color w:val="000000"/>
                <w:kern w:val="0"/>
                <w:szCs w:val="21"/>
              </w:rPr>
              <w:t>自然条件优劣度</w:t>
            </w:r>
          </w:p>
        </w:tc>
        <w:tc>
          <w:tcPr>
            <w:tcW w:w="2526" w:type="dxa"/>
            <w:vAlign w:val="center"/>
          </w:tcPr>
          <w:p>
            <w:pPr>
              <w:widowControl/>
              <w:jc w:val="center"/>
              <w:rPr>
                <w:color w:val="000000"/>
                <w:kern w:val="0"/>
                <w:szCs w:val="21"/>
              </w:rPr>
            </w:pPr>
            <w:r>
              <w:rPr>
                <w:color w:val="000000"/>
                <w:kern w:val="0"/>
                <w:szCs w:val="21"/>
              </w:rPr>
              <w:t>洪水淹没状况</w:t>
            </w:r>
          </w:p>
        </w:tc>
        <w:tc>
          <w:tcPr>
            <w:tcW w:w="915" w:type="dxa"/>
            <w:vAlign w:val="center"/>
          </w:tcPr>
          <w:p>
            <w:pPr>
              <w:widowControl/>
              <w:jc w:val="center"/>
              <w:textAlignment w:val="center"/>
              <w:rPr>
                <w:kern w:val="0"/>
                <w:szCs w:val="21"/>
              </w:rPr>
            </w:pPr>
            <w:r>
              <w:rPr>
                <w:rFonts w:eastAsia="Tahoma"/>
                <w:color w:val="000000"/>
                <w:kern w:val="0"/>
                <w:szCs w:val="21"/>
                <w:lang/>
              </w:rPr>
              <w:t>0.0668</w:t>
            </w:r>
          </w:p>
        </w:tc>
        <w:tc>
          <w:tcPr>
            <w:tcW w:w="915" w:type="dxa"/>
            <w:vAlign w:val="center"/>
          </w:tcPr>
          <w:p>
            <w:pPr>
              <w:widowControl/>
              <w:jc w:val="center"/>
              <w:textAlignment w:val="center"/>
              <w:rPr>
                <w:kern w:val="0"/>
                <w:szCs w:val="21"/>
              </w:rPr>
            </w:pPr>
            <w:r>
              <w:rPr>
                <w:rFonts w:eastAsia="Tahoma"/>
                <w:color w:val="000000"/>
                <w:kern w:val="0"/>
                <w:szCs w:val="21"/>
                <w:lang/>
              </w:rPr>
              <w:t xml:space="preserve">0.9486 </w:t>
            </w:r>
          </w:p>
        </w:tc>
        <w:tc>
          <w:tcPr>
            <w:tcW w:w="915" w:type="dxa"/>
            <w:vAlign w:val="center"/>
          </w:tcPr>
          <w:p>
            <w:pPr>
              <w:widowControl/>
              <w:jc w:val="center"/>
              <w:textAlignment w:val="center"/>
              <w:rPr>
                <w:kern w:val="0"/>
                <w:szCs w:val="21"/>
              </w:rPr>
            </w:pPr>
            <w:r>
              <w:rPr>
                <w:rFonts w:eastAsia="Tahoma"/>
                <w:color w:val="000000"/>
                <w:kern w:val="0"/>
                <w:szCs w:val="21"/>
                <w:lang/>
              </w:rPr>
              <w:t xml:space="preserve">0.4743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-0.4058 </w:t>
            </w:r>
          </w:p>
        </w:tc>
        <w:tc>
          <w:tcPr>
            <w:tcW w:w="918" w:type="dxa"/>
            <w:vAlign w:val="center"/>
          </w:tcPr>
          <w:p>
            <w:pPr>
              <w:widowControl/>
              <w:jc w:val="center"/>
              <w:textAlignment w:val="center"/>
              <w:rPr>
                <w:kern w:val="0"/>
                <w:szCs w:val="21"/>
              </w:rPr>
            </w:pPr>
            <w:r>
              <w:rPr>
                <w:rFonts w:eastAsia="Tahoma"/>
                <w:color w:val="000000"/>
                <w:kern w:val="0"/>
                <w:szCs w:val="21"/>
                <w:lang/>
              </w:rPr>
              <w:t xml:space="preserve">-0.8116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81" w:type="dxa"/>
            <w:vAlign w:val="center"/>
          </w:tcPr>
          <w:p>
            <w:pPr>
              <w:widowControl/>
              <w:jc w:val="center"/>
              <w:rPr>
                <w:color w:val="000000"/>
                <w:kern w:val="0"/>
                <w:szCs w:val="21"/>
              </w:rPr>
            </w:pPr>
            <w:r>
              <w:rPr>
                <w:color w:val="000000"/>
                <w:kern w:val="0"/>
                <w:szCs w:val="21"/>
              </w:rPr>
              <w:t>商服繁华影响度</w:t>
            </w:r>
          </w:p>
        </w:tc>
        <w:tc>
          <w:tcPr>
            <w:tcW w:w="2526" w:type="dxa"/>
            <w:vAlign w:val="center"/>
          </w:tcPr>
          <w:p>
            <w:pPr>
              <w:widowControl/>
              <w:jc w:val="center"/>
              <w:rPr>
                <w:color w:val="000000"/>
                <w:kern w:val="0"/>
                <w:szCs w:val="21"/>
              </w:rPr>
            </w:pPr>
            <w:r>
              <w:rPr>
                <w:color w:val="000000"/>
                <w:kern w:val="0"/>
                <w:szCs w:val="21"/>
              </w:rPr>
              <w:t>距商服中心距离</w:t>
            </w:r>
          </w:p>
        </w:tc>
        <w:tc>
          <w:tcPr>
            <w:tcW w:w="915" w:type="dxa"/>
            <w:vAlign w:val="center"/>
          </w:tcPr>
          <w:p>
            <w:pPr>
              <w:widowControl/>
              <w:jc w:val="center"/>
              <w:textAlignment w:val="center"/>
              <w:rPr>
                <w:kern w:val="0"/>
                <w:szCs w:val="21"/>
              </w:rPr>
            </w:pPr>
            <w:r>
              <w:rPr>
                <w:rFonts w:eastAsia="Tahoma"/>
                <w:color w:val="000000"/>
                <w:kern w:val="0"/>
                <w:szCs w:val="21"/>
                <w:lang/>
              </w:rPr>
              <w:t>0.1525</w:t>
            </w:r>
          </w:p>
        </w:tc>
        <w:tc>
          <w:tcPr>
            <w:tcW w:w="915" w:type="dxa"/>
            <w:vAlign w:val="center"/>
          </w:tcPr>
          <w:p>
            <w:pPr>
              <w:widowControl/>
              <w:jc w:val="center"/>
              <w:textAlignment w:val="center"/>
              <w:rPr>
                <w:kern w:val="0"/>
                <w:szCs w:val="21"/>
              </w:rPr>
            </w:pPr>
            <w:r>
              <w:rPr>
                <w:rFonts w:eastAsia="Tahoma"/>
                <w:color w:val="000000"/>
                <w:kern w:val="0"/>
                <w:szCs w:val="21"/>
                <w:lang/>
              </w:rPr>
              <w:t xml:space="preserve">2.1655 </w:t>
            </w:r>
          </w:p>
        </w:tc>
        <w:tc>
          <w:tcPr>
            <w:tcW w:w="915" w:type="dxa"/>
            <w:vAlign w:val="center"/>
          </w:tcPr>
          <w:p>
            <w:pPr>
              <w:widowControl/>
              <w:jc w:val="center"/>
              <w:textAlignment w:val="center"/>
              <w:rPr>
                <w:kern w:val="0"/>
                <w:szCs w:val="21"/>
              </w:rPr>
            </w:pPr>
            <w:r>
              <w:rPr>
                <w:rFonts w:eastAsia="Tahoma"/>
                <w:color w:val="000000"/>
                <w:kern w:val="0"/>
                <w:szCs w:val="21"/>
                <w:lang/>
              </w:rPr>
              <w:t xml:space="preserve">1.0828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-0.9264 </w:t>
            </w:r>
          </w:p>
        </w:tc>
        <w:tc>
          <w:tcPr>
            <w:tcW w:w="918" w:type="dxa"/>
            <w:vAlign w:val="center"/>
          </w:tcPr>
          <w:p>
            <w:pPr>
              <w:widowControl/>
              <w:jc w:val="center"/>
              <w:textAlignment w:val="center"/>
              <w:rPr>
                <w:kern w:val="0"/>
                <w:szCs w:val="21"/>
              </w:rPr>
            </w:pPr>
            <w:r>
              <w:rPr>
                <w:rFonts w:eastAsia="Tahoma"/>
                <w:color w:val="000000"/>
                <w:kern w:val="0"/>
                <w:szCs w:val="21"/>
                <w:lang/>
              </w:rPr>
              <w:t xml:space="preserve">-1.8529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81" w:type="dxa"/>
            <w:vAlign w:val="center"/>
          </w:tcPr>
          <w:p>
            <w:pPr>
              <w:widowControl/>
              <w:jc w:val="center"/>
              <w:rPr>
                <w:color w:val="000000"/>
                <w:kern w:val="0"/>
                <w:szCs w:val="21"/>
              </w:rPr>
            </w:pPr>
            <w:r>
              <w:rPr>
                <w:color w:val="000000"/>
                <w:kern w:val="0"/>
                <w:szCs w:val="21"/>
              </w:rPr>
              <w:t>人口密度</w:t>
            </w:r>
          </w:p>
        </w:tc>
        <w:tc>
          <w:tcPr>
            <w:tcW w:w="2526" w:type="dxa"/>
            <w:vAlign w:val="center"/>
          </w:tcPr>
          <w:p>
            <w:pPr>
              <w:widowControl/>
              <w:jc w:val="center"/>
              <w:rPr>
                <w:color w:val="000000"/>
                <w:kern w:val="0"/>
                <w:szCs w:val="21"/>
              </w:rPr>
            </w:pPr>
            <w:r>
              <w:rPr>
                <w:color w:val="000000"/>
                <w:kern w:val="0"/>
                <w:szCs w:val="21"/>
              </w:rPr>
              <w:t>人口密度</w:t>
            </w:r>
          </w:p>
        </w:tc>
        <w:tc>
          <w:tcPr>
            <w:tcW w:w="915" w:type="dxa"/>
            <w:vAlign w:val="center"/>
          </w:tcPr>
          <w:p>
            <w:pPr>
              <w:widowControl/>
              <w:jc w:val="center"/>
              <w:textAlignment w:val="center"/>
              <w:rPr>
                <w:kern w:val="0"/>
                <w:szCs w:val="21"/>
              </w:rPr>
            </w:pPr>
            <w:r>
              <w:rPr>
                <w:rFonts w:eastAsia="Tahoma"/>
                <w:color w:val="000000"/>
                <w:kern w:val="0"/>
                <w:szCs w:val="21"/>
                <w:lang/>
              </w:rPr>
              <w:t>0.0486</w:t>
            </w:r>
          </w:p>
        </w:tc>
        <w:tc>
          <w:tcPr>
            <w:tcW w:w="915" w:type="dxa"/>
            <w:vAlign w:val="center"/>
          </w:tcPr>
          <w:p>
            <w:pPr>
              <w:widowControl/>
              <w:jc w:val="center"/>
              <w:textAlignment w:val="center"/>
              <w:rPr>
                <w:kern w:val="0"/>
                <w:szCs w:val="21"/>
              </w:rPr>
            </w:pPr>
            <w:r>
              <w:rPr>
                <w:rFonts w:eastAsia="Tahoma"/>
                <w:color w:val="000000"/>
                <w:kern w:val="0"/>
                <w:szCs w:val="21"/>
                <w:lang/>
              </w:rPr>
              <w:t xml:space="preserve">0.6901 </w:t>
            </w:r>
          </w:p>
        </w:tc>
        <w:tc>
          <w:tcPr>
            <w:tcW w:w="915" w:type="dxa"/>
            <w:vAlign w:val="center"/>
          </w:tcPr>
          <w:p>
            <w:pPr>
              <w:widowControl/>
              <w:jc w:val="center"/>
              <w:textAlignment w:val="center"/>
              <w:rPr>
                <w:kern w:val="0"/>
                <w:szCs w:val="21"/>
              </w:rPr>
            </w:pPr>
            <w:r>
              <w:rPr>
                <w:rFonts w:eastAsia="Tahoma"/>
                <w:color w:val="000000"/>
                <w:kern w:val="0"/>
                <w:szCs w:val="21"/>
                <w:lang/>
              </w:rPr>
              <w:t xml:space="preserve">0.3451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-0.2952 </w:t>
            </w:r>
          </w:p>
        </w:tc>
        <w:tc>
          <w:tcPr>
            <w:tcW w:w="918" w:type="dxa"/>
            <w:vAlign w:val="center"/>
          </w:tcPr>
          <w:p>
            <w:pPr>
              <w:widowControl/>
              <w:jc w:val="center"/>
              <w:textAlignment w:val="center"/>
              <w:rPr>
                <w:kern w:val="0"/>
                <w:szCs w:val="21"/>
              </w:rPr>
            </w:pPr>
            <w:r>
              <w:rPr>
                <w:rFonts w:eastAsia="Tahoma"/>
                <w:color w:val="000000"/>
                <w:kern w:val="0"/>
                <w:szCs w:val="21"/>
                <w:lang/>
              </w:rPr>
              <w:t xml:space="preserve">-0.5905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81" w:type="dxa"/>
            <w:vMerge w:val="restart"/>
            <w:vAlign w:val="center"/>
          </w:tcPr>
          <w:p>
            <w:pPr>
              <w:widowControl/>
              <w:jc w:val="center"/>
              <w:rPr>
                <w:color w:val="000000"/>
                <w:kern w:val="0"/>
                <w:szCs w:val="21"/>
              </w:rPr>
            </w:pPr>
            <w:r>
              <w:rPr>
                <w:color w:val="000000"/>
                <w:kern w:val="0"/>
                <w:szCs w:val="21"/>
              </w:rPr>
              <w:t>城市规划</w:t>
            </w:r>
          </w:p>
        </w:tc>
        <w:tc>
          <w:tcPr>
            <w:tcW w:w="2526" w:type="dxa"/>
            <w:vAlign w:val="center"/>
          </w:tcPr>
          <w:p>
            <w:pPr>
              <w:widowControl/>
              <w:jc w:val="center"/>
              <w:rPr>
                <w:color w:val="000000"/>
                <w:kern w:val="0"/>
                <w:szCs w:val="21"/>
              </w:rPr>
            </w:pPr>
            <w:r>
              <w:rPr>
                <w:color w:val="000000"/>
                <w:kern w:val="0"/>
                <w:szCs w:val="21"/>
              </w:rPr>
              <w:t>用地规划</w:t>
            </w:r>
          </w:p>
        </w:tc>
        <w:tc>
          <w:tcPr>
            <w:tcW w:w="915" w:type="dxa"/>
            <w:vAlign w:val="center"/>
          </w:tcPr>
          <w:p>
            <w:pPr>
              <w:widowControl/>
              <w:jc w:val="center"/>
              <w:textAlignment w:val="center"/>
              <w:rPr>
                <w:kern w:val="0"/>
                <w:szCs w:val="21"/>
              </w:rPr>
            </w:pPr>
            <w:r>
              <w:rPr>
                <w:rFonts w:eastAsia="Tahoma"/>
                <w:color w:val="000000"/>
                <w:kern w:val="0"/>
                <w:szCs w:val="21"/>
                <w:lang/>
              </w:rPr>
              <w:t>0.0256</w:t>
            </w:r>
          </w:p>
        </w:tc>
        <w:tc>
          <w:tcPr>
            <w:tcW w:w="915" w:type="dxa"/>
            <w:vAlign w:val="center"/>
          </w:tcPr>
          <w:p>
            <w:pPr>
              <w:widowControl/>
              <w:jc w:val="center"/>
              <w:textAlignment w:val="center"/>
              <w:rPr>
                <w:kern w:val="0"/>
                <w:szCs w:val="21"/>
              </w:rPr>
            </w:pPr>
            <w:r>
              <w:rPr>
                <w:rFonts w:eastAsia="Tahoma"/>
                <w:color w:val="000000"/>
                <w:kern w:val="0"/>
                <w:szCs w:val="21"/>
                <w:lang/>
              </w:rPr>
              <w:t xml:space="preserve">0.3635 </w:t>
            </w:r>
          </w:p>
        </w:tc>
        <w:tc>
          <w:tcPr>
            <w:tcW w:w="915" w:type="dxa"/>
            <w:vAlign w:val="center"/>
          </w:tcPr>
          <w:p>
            <w:pPr>
              <w:widowControl/>
              <w:jc w:val="center"/>
              <w:textAlignment w:val="center"/>
              <w:rPr>
                <w:kern w:val="0"/>
                <w:szCs w:val="21"/>
              </w:rPr>
            </w:pPr>
            <w:r>
              <w:rPr>
                <w:rFonts w:eastAsia="Tahoma"/>
                <w:color w:val="000000"/>
                <w:kern w:val="0"/>
                <w:szCs w:val="21"/>
                <w:lang/>
              </w:rPr>
              <w:t xml:space="preserve">0.1818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-0.1555 </w:t>
            </w:r>
          </w:p>
        </w:tc>
        <w:tc>
          <w:tcPr>
            <w:tcW w:w="918" w:type="dxa"/>
            <w:vAlign w:val="center"/>
          </w:tcPr>
          <w:p>
            <w:pPr>
              <w:widowControl/>
              <w:jc w:val="center"/>
              <w:textAlignment w:val="center"/>
              <w:rPr>
                <w:kern w:val="0"/>
                <w:szCs w:val="21"/>
              </w:rPr>
            </w:pPr>
            <w:r>
              <w:rPr>
                <w:rFonts w:eastAsia="Tahoma"/>
                <w:color w:val="000000"/>
                <w:kern w:val="0"/>
                <w:szCs w:val="21"/>
                <w:lang/>
              </w:rPr>
              <w:t xml:space="preserve">-0.3110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81" w:type="dxa"/>
            <w:vMerge w:val="continue"/>
            <w:vAlign w:val="center"/>
          </w:tcPr>
          <w:p>
            <w:pPr>
              <w:widowControl/>
              <w:jc w:val="left"/>
              <w:rPr>
                <w:color w:val="000000"/>
                <w:kern w:val="0"/>
                <w:szCs w:val="21"/>
              </w:rPr>
            </w:pPr>
          </w:p>
        </w:tc>
        <w:tc>
          <w:tcPr>
            <w:tcW w:w="2526" w:type="dxa"/>
            <w:vAlign w:val="center"/>
          </w:tcPr>
          <w:p>
            <w:pPr>
              <w:widowControl/>
              <w:jc w:val="center"/>
              <w:rPr>
                <w:color w:val="000000"/>
                <w:kern w:val="0"/>
                <w:szCs w:val="21"/>
              </w:rPr>
            </w:pPr>
            <w:r>
              <w:rPr>
                <w:color w:val="000000"/>
                <w:kern w:val="0"/>
                <w:szCs w:val="21"/>
              </w:rPr>
              <w:t>道路规划</w:t>
            </w:r>
          </w:p>
        </w:tc>
        <w:tc>
          <w:tcPr>
            <w:tcW w:w="915" w:type="dxa"/>
            <w:vAlign w:val="center"/>
          </w:tcPr>
          <w:p>
            <w:pPr>
              <w:widowControl/>
              <w:jc w:val="center"/>
              <w:textAlignment w:val="center"/>
              <w:rPr>
                <w:kern w:val="0"/>
                <w:szCs w:val="21"/>
              </w:rPr>
            </w:pPr>
            <w:r>
              <w:rPr>
                <w:rFonts w:eastAsia="Tahoma"/>
                <w:color w:val="000000"/>
                <w:kern w:val="0"/>
                <w:szCs w:val="21"/>
                <w:lang/>
              </w:rPr>
              <w:t>0.0228</w:t>
            </w:r>
          </w:p>
        </w:tc>
        <w:tc>
          <w:tcPr>
            <w:tcW w:w="915" w:type="dxa"/>
            <w:vAlign w:val="center"/>
          </w:tcPr>
          <w:p>
            <w:pPr>
              <w:widowControl/>
              <w:jc w:val="center"/>
              <w:textAlignment w:val="center"/>
              <w:rPr>
                <w:kern w:val="0"/>
                <w:szCs w:val="21"/>
              </w:rPr>
            </w:pPr>
            <w:r>
              <w:rPr>
                <w:rFonts w:eastAsia="Tahoma"/>
                <w:color w:val="000000"/>
                <w:kern w:val="0"/>
                <w:szCs w:val="21"/>
                <w:lang/>
              </w:rPr>
              <w:t xml:space="preserve">0.3238 </w:t>
            </w:r>
          </w:p>
        </w:tc>
        <w:tc>
          <w:tcPr>
            <w:tcW w:w="915" w:type="dxa"/>
            <w:vAlign w:val="center"/>
          </w:tcPr>
          <w:p>
            <w:pPr>
              <w:widowControl/>
              <w:jc w:val="center"/>
              <w:textAlignment w:val="center"/>
              <w:rPr>
                <w:kern w:val="0"/>
                <w:szCs w:val="21"/>
              </w:rPr>
            </w:pPr>
            <w:r>
              <w:rPr>
                <w:rFonts w:eastAsia="Tahoma"/>
                <w:color w:val="000000"/>
                <w:kern w:val="0"/>
                <w:szCs w:val="21"/>
                <w:lang/>
              </w:rPr>
              <w:t xml:space="preserve">0.1619 </w:t>
            </w:r>
          </w:p>
        </w:tc>
        <w:tc>
          <w:tcPr>
            <w:tcW w:w="915" w:type="dxa"/>
            <w:vAlign w:val="center"/>
          </w:tcPr>
          <w:p>
            <w:pPr>
              <w:widowControl/>
              <w:jc w:val="center"/>
              <w:textAlignment w:val="center"/>
              <w:rPr>
                <w:kern w:val="0"/>
                <w:szCs w:val="21"/>
              </w:rPr>
            </w:pPr>
            <w:r>
              <w:rPr>
                <w:rFonts w:eastAsia="Tahoma"/>
                <w:color w:val="000000"/>
                <w:kern w:val="0"/>
                <w:szCs w:val="21"/>
                <w:lang/>
              </w:rPr>
              <w:t>0</w:t>
            </w:r>
          </w:p>
        </w:tc>
        <w:tc>
          <w:tcPr>
            <w:tcW w:w="915" w:type="dxa"/>
            <w:vAlign w:val="center"/>
          </w:tcPr>
          <w:p>
            <w:pPr>
              <w:widowControl/>
              <w:jc w:val="center"/>
              <w:textAlignment w:val="center"/>
              <w:rPr>
                <w:kern w:val="0"/>
                <w:szCs w:val="21"/>
              </w:rPr>
            </w:pPr>
            <w:r>
              <w:rPr>
                <w:rFonts w:eastAsia="Tahoma"/>
                <w:color w:val="000000"/>
                <w:kern w:val="0"/>
                <w:szCs w:val="21"/>
                <w:lang/>
              </w:rPr>
              <w:t xml:space="preserve">-0.1385 </w:t>
            </w:r>
          </w:p>
        </w:tc>
        <w:tc>
          <w:tcPr>
            <w:tcW w:w="918" w:type="dxa"/>
            <w:vAlign w:val="center"/>
          </w:tcPr>
          <w:p>
            <w:pPr>
              <w:widowControl/>
              <w:jc w:val="center"/>
              <w:textAlignment w:val="center"/>
              <w:rPr>
                <w:kern w:val="0"/>
                <w:szCs w:val="21"/>
              </w:rPr>
            </w:pPr>
            <w:r>
              <w:rPr>
                <w:rFonts w:eastAsia="Tahoma"/>
                <w:color w:val="000000"/>
                <w:kern w:val="0"/>
                <w:szCs w:val="21"/>
                <w:lang/>
              </w:rPr>
              <w:t xml:space="preserve">-0.2770 </w:t>
            </w:r>
          </w:p>
        </w:tc>
      </w:tr>
    </w:tbl>
    <w:p>
      <w:pPr>
        <w:widowControl/>
        <w:ind w:firstLine="480" w:firstLineChars="200"/>
        <w:jc w:val="left"/>
        <w:rPr>
          <w:b/>
          <w:sz w:val="24"/>
          <w:szCs w:val="24"/>
        </w:rPr>
      </w:pPr>
      <w:r>
        <w:rPr>
          <w:bCs/>
          <w:sz w:val="24"/>
          <w:szCs w:val="24"/>
        </w:rPr>
        <w:br w:type="page"/>
      </w:r>
    </w:p>
    <w:p>
      <w:pPr>
        <w:pStyle w:val="131"/>
        <w:spacing w:beforeLines="50" w:afterLines="50"/>
        <w:ind w:firstLine="0" w:firstLineChars="0"/>
        <w:rPr>
          <w:rFonts w:ascii="Times New Roman" w:hAnsi="Times New Roman"/>
          <w:bCs w:val="0"/>
          <w:sz w:val="23"/>
          <w:szCs w:val="23"/>
        </w:rPr>
      </w:pPr>
      <w:r>
        <w:rPr>
          <w:rFonts w:ascii="Times New Roman" w:hAnsi="Times New Roman"/>
          <w:bCs w:val="0"/>
          <w:sz w:val="24"/>
          <w:szCs w:val="24"/>
        </w:rPr>
        <w:t>表4-4-2  长沙县Ⅰ级住宅用地宗地地价区域因素修正系数指标说明表</w:t>
      </w:r>
    </w:p>
    <w:tbl>
      <w:tblPr>
        <w:tblW w:w="9153"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927"/>
        <w:gridCol w:w="1490"/>
        <w:gridCol w:w="1005"/>
        <w:gridCol w:w="1327"/>
        <w:gridCol w:w="1275"/>
        <w:gridCol w:w="1276"/>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48" w:type="dxa"/>
            <w:vAlign w:val="center"/>
          </w:tcPr>
          <w:p>
            <w:pPr>
              <w:widowControl/>
              <w:jc w:val="center"/>
              <w:rPr>
                <w:b/>
                <w:bCs/>
                <w:color w:val="000000"/>
                <w:kern w:val="0"/>
                <w:sz w:val="20"/>
              </w:rPr>
            </w:pPr>
            <w:r>
              <w:rPr>
                <w:b/>
                <w:bCs/>
                <w:color w:val="000000"/>
                <w:kern w:val="0"/>
                <w:sz w:val="20"/>
              </w:rPr>
              <w:t>因素层</w:t>
            </w:r>
          </w:p>
        </w:tc>
        <w:tc>
          <w:tcPr>
            <w:tcW w:w="927" w:type="dxa"/>
            <w:vAlign w:val="center"/>
          </w:tcPr>
          <w:p>
            <w:pPr>
              <w:widowControl/>
              <w:jc w:val="center"/>
              <w:rPr>
                <w:b/>
                <w:bCs/>
                <w:color w:val="000000"/>
                <w:kern w:val="0"/>
                <w:sz w:val="20"/>
              </w:rPr>
            </w:pPr>
            <w:r>
              <w:rPr>
                <w:b/>
                <w:bCs/>
                <w:color w:val="000000"/>
                <w:kern w:val="0"/>
                <w:sz w:val="20"/>
              </w:rPr>
              <w:t>因子层</w:t>
            </w:r>
          </w:p>
        </w:tc>
        <w:tc>
          <w:tcPr>
            <w:tcW w:w="1490" w:type="dxa"/>
            <w:vAlign w:val="center"/>
          </w:tcPr>
          <w:p>
            <w:pPr>
              <w:widowControl/>
              <w:jc w:val="center"/>
              <w:rPr>
                <w:b/>
                <w:bCs/>
                <w:color w:val="000000"/>
                <w:kern w:val="0"/>
                <w:sz w:val="20"/>
              </w:rPr>
            </w:pPr>
            <w:r>
              <w:rPr>
                <w:b/>
                <w:bCs/>
                <w:color w:val="000000"/>
                <w:kern w:val="0"/>
                <w:sz w:val="20"/>
              </w:rPr>
              <w:t>指标层</w:t>
            </w:r>
          </w:p>
        </w:tc>
        <w:tc>
          <w:tcPr>
            <w:tcW w:w="1005" w:type="dxa"/>
            <w:vAlign w:val="center"/>
          </w:tcPr>
          <w:p>
            <w:pPr>
              <w:widowControl/>
              <w:jc w:val="center"/>
              <w:rPr>
                <w:b/>
                <w:bCs/>
                <w:color w:val="000000"/>
                <w:kern w:val="0"/>
                <w:sz w:val="20"/>
              </w:rPr>
            </w:pPr>
            <w:r>
              <w:rPr>
                <w:b/>
                <w:bCs/>
                <w:color w:val="000000"/>
                <w:kern w:val="0"/>
                <w:sz w:val="20"/>
              </w:rPr>
              <w:t>优</w:t>
            </w:r>
          </w:p>
        </w:tc>
        <w:tc>
          <w:tcPr>
            <w:tcW w:w="1327" w:type="dxa"/>
            <w:vAlign w:val="center"/>
          </w:tcPr>
          <w:p>
            <w:pPr>
              <w:widowControl/>
              <w:jc w:val="center"/>
              <w:rPr>
                <w:b/>
                <w:bCs/>
                <w:color w:val="000000"/>
                <w:kern w:val="0"/>
                <w:sz w:val="20"/>
              </w:rPr>
            </w:pPr>
            <w:r>
              <w:rPr>
                <w:b/>
                <w:bCs/>
                <w:color w:val="000000"/>
                <w:kern w:val="0"/>
                <w:sz w:val="20"/>
              </w:rPr>
              <w:t>较优</w:t>
            </w:r>
          </w:p>
        </w:tc>
        <w:tc>
          <w:tcPr>
            <w:tcW w:w="1275" w:type="dxa"/>
            <w:vAlign w:val="center"/>
          </w:tcPr>
          <w:p>
            <w:pPr>
              <w:widowControl/>
              <w:jc w:val="center"/>
              <w:rPr>
                <w:b/>
                <w:bCs/>
                <w:color w:val="000000"/>
                <w:kern w:val="0"/>
                <w:sz w:val="20"/>
              </w:rPr>
            </w:pPr>
            <w:r>
              <w:rPr>
                <w:b/>
                <w:bCs/>
                <w:color w:val="000000"/>
                <w:kern w:val="0"/>
                <w:sz w:val="20"/>
              </w:rPr>
              <w:t>一般</w:t>
            </w:r>
          </w:p>
        </w:tc>
        <w:tc>
          <w:tcPr>
            <w:tcW w:w="1276" w:type="dxa"/>
            <w:vAlign w:val="center"/>
          </w:tcPr>
          <w:p>
            <w:pPr>
              <w:widowControl/>
              <w:jc w:val="center"/>
              <w:rPr>
                <w:b/>
                <w:bCs/>
                <w:color w:val="000000"/>
                <w:kern w:val="0"/>
                <w:sz w:val="20"/>
              </w:rPr>
            </w:pPr>
            <w:r>
              <w:rPr>
                <w:b/>
                <w:bCs/>
                <w:color w:val="000000"/>
                <w:kern w:val="0"/>
                <w:sz w:val="20"/>
              </w:rPr>
              <w:t>较劣</w:t>
            </w:r>
          </w:p>
        </w:tc>
        <w:tc>
          <w:tcPr>
            <w:tcW w:w="1005" w:type="dxa"/>
            <w:vAlign w:val="center"/>
          </w:tcPr>
          <w:p>
            <w:pPr>
              <w:widowControl/>
              <w:jc w:val="center"/>
              <w:rPr>
                <w:b/>
                <w:bCs/>
                <w:color w:val="000000"/>
                <w:kern w:val="0"/>
                <w:sz w:val="20"/>
              </w:rPr>
            </w:pPr>
            <w:r>
              <w:rPr>
                <w:b/>
                <w:bCs/>
                <w:color w:val="000000"/>
                <w:kern w:val="0"/>
                <w:sz w:val="20"/>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48" w:type="dxa"/>
            <w:vMerge w:val="restart"/>
            <w:vAlign w:val="center"/>
          </w:tcPr>
          <w:p>
            <w:pPr>
              <w:widowControl/>
              <w:jc w:val="center"/>
              <w:rPr>
                <w:color w:val="000000"/>
                <w:kern w:val="0"/>
                <w:sz w:val="20"/>
              </w:rPr>
            </w:pPr>
            <w:r>
              <w:rPr>
                <w:color w:val="000000"/>
                <w:kern w:val="0"/>
                <w:sz w:val="20"/>
              </w:rPr>
              <w:t>基本设施状况</w:t>
            </w:r>
          </w:p>
        </w:tc>
        <w:tc>
          <w:tcPr>
            <w:tcW w:w="927" w:type="dxa"/>
            <w:vMerge w:val="restart"/>
            <w:vAlign w:val="center"/>
          </w:tcPr>
          <w:p>
            <w:pPr>
              <w:widowControl/>
              <w:jc w:val="center"/>
              <w:rPr>
                <w:color w:val="000000"/>
                <w:kern w:val="0"/>
                <w:sz w:val="20"/>
              </w:rPr>
            </w:pPr>
            <w:r>
              <w:rPr>
                <w:color w:val="000000"/>
                <w:kern w:val="0"/>
                <w:sz w:val="20"/>
              </w:rPr>
              <w:t>基础设施完善度</w:t>
            </w:r>
          </w:p>
        </w:tc>
        <w:tc>
          <w:tcPr>
            <w:tcW w:w="1490" w:type="dxa"/>
            <w:vAlign w:val="center"/>
          </w:tcPr>
          <w:p>
            <w:pPr>
              <w:widowControl/>
              <w:jc w:val="center"/>
              <w:rPr>
                <w:color w:val="000000"/>
                <w:kern w:val="0"/>
                <w:sz w:val="20"/>
              </w:rPr>
            </w:pPr>
            <w:r>
              <w:rPr>
                <w:color w:val="000000"/>
                <w:kern w:val="0"/>
                <w:sz w:val="20"/>
              </w:rPr>
              <w:t>排水状况</w:t>
            </w:r>
          </w:p>
        </w:tc>
        <w:tc>
          <w:tcPr>
            <w:tcW w:w="1005" w:type="dxa"/>
            <w:vAlign w:val="center"/>
          </w:tcPr>
          <w:p>
            <w:pPr>
              <w:widowControl/>
              <w:jc w:val="center"/>
              <w:rPr>
                <w:color w:val="000000"/>
                <w:kern w:val="0"/>
                <w:sz w:val="20"/>
              </w:rPr>
            </w:pPr>
            <w:r>
              <w:rPr>
                <w:color w:val="000000"/>
                <w:kern w:val="0"/>
                <w:sz w:val="20"/>
              </w:rPr>
              <w:t>好</w:t>
            </w:r>
          </w:p>
        </w:tc>
        <w:tc>
          <w:tcPr>
            <w:tcW w:w="1327" w:type="dxa"/>
            <w:vAlign w:val="center"/>
          </w:tcPr>
          <w:p>
            <w:pPr>
              <w:widowControl/>
              <w:jc w:val="center"/>
              <w:rPr>
                <w:color w:val="000000"/>
                <w:kern w:val="0"/>
                <w:sz w:val="20"/>
              </w:rPr>
            </w:pPr>
            <w:r>
              <w:rPr>
                <w:color w:val="000000"/>
                <w:kern w:val="0"/>
                <w:sz w:val="20"/>
              </w:rPr>
              <w:t>较好</w:t>
            </w:r>
          </w:p>
        </w:tc>
        <w:tc>
          <w:tcPr>
            <w:tcW w:w="1275" w:type="dxa"/>
            <w:vAlign w:val="center"/>
          </w:tcPr>
          <w:p>
            <w:pPr>
              <w:widowControl/>
              <w:jc w:val="center"/>
              <w:rPr>
                <w:color w:val="000000"/>
                <w:kern w:val="0"/>
                <w:sz w:val="20"/>
              </w:rPr>
            </w:pPr>
            <w:r>
              <w:rPr>
                <w:color w:val="000000"/>
                <w:kern w:val="0"/>
                <w:sz w:val="20"/>
              </w:rPr>
              <w:t>一般</w:t>
            </w:r>
          </w:p>
        </w:tc>
        <w:tc>
          <w:tcPr>
            <w:tcW w:w="1276" w:type="dxa"/>
            <w:vAlign w:val="center"/>
          </w:tcPr>
          <w:p>
            <w:pPr>
              <w:widowControl/>
              <w:jc w:val="center"/>
              <w:rPr>
                <w:color w:val="000000"/>
                <w:kern w:val="0"/>
                <w:sz w:val="20"/>
              </w:rPr>
            </w:pPr>
            <w:r>
              <w:rPr>
                <w:color w:val="000000"/>
                <w:kern w:val="0"/>
                <w:sz w:val="20"/>
              </w:rPr>
              <w:t>较差</w:t>
            </w:r>
          </w:p>
        </w:tc>
        <w:tc>
          <w:tcPr>
            <w:tcW w:w="1005" w:type="dxa"/>
            <w:vAlign w:val="center"/>
          </w:tcPr>
          <w:p>
            <w:pPr>
              <w:widowControl/>
              <w:jc w:val="center"/>
              <w:rPr>
                <w:color w:val="000000"/>
                <w:kern w:val="0"/>
                <w:sz w:val="20"/>
              </w:rPr>
            </w:pPr>
            <w:r>
              <w:rPr>
                <w:color w:val="000000"/>
                <w:kern w:val="0"/>
                <w:sz w:val="20"/>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848" w:type="dxa"/>
            <w:vMerge w:val="continue"/>
            <w:vAlign w:val="center"/>
          </w:tcPr>
          <w:p>
            <w:pPr>
              <w:widowControl/>
              <w:jc w:val="left"/>
              <w:rPr>
                <w:color w:val="000000"/>
                <w:kern w:val="0"/>
                <w:sz w:val="20"/>
              </w:rPr>
            </w:pPr>
          </w:p>
        </w:tc>
        <w:tc>
          <w:tcPr>
            <w:tcW w:w="927" w:type="dxa"/>
            <w:vMerge w:val="continue"/>
            <w:vAlign w:val="center"/>
          </w:tcPr>
          <w:p>
            <w:pPr>
              <w:widowControl/>
              <w:jc w:val="left"/>
              <w:rPr>
                <w:color w:val="000000"/>
                <w:kern w:val="0"/>
                <w:sz w:val="20"/>
              </w:rPr>
            </w:pPr>
          </w:p>
        </w:tc>
        <w:tc>
          <w:tcPr>
            <w:tcW w:w="1490" w:type="dxa"/>
            <w:vAlign w:val="center"/>
          </w:tcPr>
          <w:p>
            <w:pPr>
              <w:widowControl/>
              <w:jc w:val="center"/>
              <w:rPr>
                <w:color w:val="000000"/>
                <w:kern w:val="0"/>
                <w:sz w:val="20"/>
              </w:rPr>
            </w:pPr>
            <w:r>
              <w:rPr>
                <w:color w:val="000000"/>
                <w:kern w:val="0"/>
                <w:sz w:val="20"/>
              </w:rPr>
              <w:t>供水状况</w:t>
            </w:r>
          </w:p>
        </w:tc>
        <w:tc>
          <w:tcPr>
            <w:tcW w:w="1005" w:type="dxa"/>
            <w:vAlign w:val="center"/>
          </w:tcPr>
          <w:p>
            <w:pPr>
              <w:widowControl/>
              <w:jc w:val="center"/>
              <w:rPr>
                <w:color w:val="000000"/>
                <w:kern w:val="0"/>
                <w:sz w:val="20"/>
              </w:rPr>
            </w:pPr>
            <w:r>
              <w:rPr>
                <w:color w:val="000000"/>
                <w:kern w:val="0"/>
                <w:sz w:val="20"/>
              </w:rPr>
              <w:t>100%</w:t>
            </w:r>
          </w:p>
        </w:tc>
        <w:tc>
          <w:tcPr>
            <w:tcW w:w="1327" w:type="dxa"/>
            <w:vAlign w:val="center"/>
          </w:tcPr>
          <w:p>
            <w:pPr>
              <w:widowControl/>
              <w:jc w:val="center"/>
              <w:rPr>
                <w:color w:val="000000"/>
                <w:kern w:val="0"/>
                <w:sz w:val="20"/>
              </w:rPr>
            </w:pPr>
            <w:r>
              <w:rPr>
                <w:color w:val="000000"/>
                <w:kern w:val="0"/>
                <w:sz w:val="20"/>
              </w:rPr>
              <w:t>90-99%</w:t>
            </w:r>
          </w:p>
        </w:tc>
        <w:tc>
          <w:tcPr>
            <w:tcW w:w="1275" w:type="dxa"/>
            <w:vAlign w:val="center"/>
          </w:tcPr>
          <w:p>
            <w:pPr>
              <w:widowControl/>
              <w:jc w:val="center"/>
              <w:rPr>
                <w:color w:val="000000"/>
                <w:kern w:val="0"/>
                <w:sz w:val="20"/>
              </w:rPr>
            </w:pPr>
            <w:r>
              <w:rPr>
                <w:color w:val="000000"/>
                <w:kern w:val="0"/>
                <w:sz w:val="20"/>
              </w:rPr>
              <w:t>80-89%</w:t>
            </w:r>
          </w:p>
        </w:tc>
        <w:tc>
          <w:tcPr>
            <w:tcW w:w="1276" w:type="dxa"/>
            <w:vAlign w:val="center"/>
          </w:tcPr>
          <w:p>
            <w:pPr>
              <w:widowControl/>
              <w:jc w:val="center"/>
              <w:rPr>
                <w:color w:val="000000"/>
                <w:kern w:val="0"/>
                <w:sz w:val="20"/>
              </w:rPr>
            </w:pPr>
            <w:r>
              <w:rPr>
                <w:color w:val="000000"/>
                <w:kern w:val="0"/>
                <w:sz w:val="20"/>
              </w:rPr>
              <w:t>60-79%</w:t>
            </w:r>
          </w:p>
        </w:tc>
        <w:tc>
          <w:tcPr>
            <w:tcW w:w="1005" w:type="dxa"/>
            <w:vAlign w:val="center"/>
          </w:tcPr>
          <w:p>
            <w:pPr>
              <w:widowControl/>
              <w:jc w:val="center"/>
              <w:rPr>
                <w:color w:val="000000"/>
                <w:kern w:val="0"/>
                <w:sz w:val="20"/>
              </w:rPr>
            </w:pPr>
            <w:r>
              <w:rPr>
                <w:color w:val="000000"/>
                <w:kern w:val="0"/>
                <w:sz w:val="20"/>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848" w:type="dxa"/>
            <w:vMerge w:val="continue"/>
            <w:vAlign w:val="center"/>
          </w:tcPr>
          <w:p>
            <w:pPr>
              <w:widowControl/>
              <w:jc w:val="left"/>
              <w:rPr>
                <w:color w:val="000000"/>
                <w:kern w:val="0"/>
                <w:sz w:val="20"/>
              </w:rPr>
            </w:pPr>
          </w:p>
        </w:tc>
        <w:tc>
          <w:tcPr>
            <w:tcW w:w="927" w:type="dxa"/>
            <w:vMerge w:val="continue"/>
            <w:vAlign w:val="center"/>
          </w:tcPr>
          <w:p>
            <w:pPr>
              <w:widowControl/>
              <w:jc w:val="left"/>
              <w:rPr>
                <w:color w:val="000000"/>
                <w:kern w:val="0"/>
                <w:sz w:val="20"/>
              </w:rPr>
            </w:pPr>
          </w:p>
        </w:tc>
        <w:tc>
          <w:tcPr>
            <w:tcW w:w="1490" w:type="dxa"/>
            <w:vAlign w:val="center"/>
          </w:tcPr>
          <w:p>
            <w:pPr>
              <w:widowControl/>
              <w:jc w:val="center"/>
              <w:rPr>
                <w:color w:val="000000"/>
                <w:kern w:val="0"/>
                <w:sz w:val="20"/>
              </w:rPr>
            </w:pPr>
            <w:r>
              <w:rPr>
                <w:color w:val="000000"/>
                <w:kern w:val="0"/>
                <w:sz w:val="20"/>
              </w:rPr>
              <w:t>供电状况</w:t>
            </w:r>
          </w:p>
        </w:tc>
        <w:tc>
          <w:tcPr>
            <w:tcW w:w="1005" w:type="dxa"/>
            <w:vAlign w:val="center"/>
          </w:tcPr>
          <w:p>
            <w:pPr>
              <w:widowControl/>
              <w:jc w:val="center"/>
              <w:rPr>
                <w:color w:val="000000"/>
                <w:kern w:val="0"/>
                <w:sz w:val="20"/>
              </w:rPr>
            </w:pPr>
            <w:r>
              <w:rPr>
                <w:color w:val="000000"/>
                <w:kern w:val="0"/>
                <w:sz w:val="20"/>
              </w:rPr>
              <w:t>100%</w:t>
            </w:r>
          </w:p>
        </w:tc>
        <w:tc>
          <w:tcPr>
            <w:tcW w:w="1327" w:type="dxa"/>
            <w:vAlign w:val="center"/>
          </w:tcPr>
          <w:p>
            <w:pPr>
              <w:widowControl/>
              <w:jc w:val="center"/>
              <w:rPr>
                <w:color w:val="000000"/>
                <w:kern w:val="0"/>
                <w:sz w:val="20"/>
              </w:rPr>
            </w:pPr>
            <w:r>
              <w:rPr>
                <w:color w:val="000000"/>
                <w:kern w:val="0"/>
                <w:sz w:val="20"/>
              </w:rPr>
              <w:t>90-99%</w:t>
            </w:r>
          </w:p>
        </w:tc>
        <w:tc>
          <w:tcPr>
            <w:tcW w:w="1275" w:type="dxa"/>
            <w:vAlign w:val="center"/>
          </w:tcPr>
          <w:p>
            <w:pPr>
              <w:widowControl/>
              <w:jc w:val="center"/>
              <w:rPr>
                <w:color w:val="000000"/>
                <w:kern w:val="0"/>
                <w:sz w:val="20"/>
              </w:rPr>
            </w:pPr>
            <w:r>
              <w:rPr>
                <w:color w:val="000000"/>
                <w:kern w:val="0"/>
                <w:sz w:val="20"/>
              </w:rPr>
              <w:t>80-89%</w:t>
            </w:r>
          </w:p>
        </w:tc>
        <w:tc>
          <w:tcPr>
            <w:tcW w:w="1276" w:type="dxa"/>
            <w:vAlign w:val="center"/>
          </w:tcPr>
          <w:p>
            <w:pPr>
              <w:widowControl/>
              <w:jc w:val="center"/>
              <w:rPr>
                <w:color w:val="000000"/>
                <w:kern w:val="0"/>
                <w:sz w:val="20"/>
              </w:rPr>
            </w:pPr>
            <w:r>
              <w:rPr>
                <w:color w:val="000000"/>
                <w:kern w:val="0"/>
                <w:sz w:val="20"/>
              </w:rPr>
              <w:t>60-79%</w:t>
            </w:r>
          </w:p>
        </w:tc>
        <w:tc>
          <w:tcPr>
            <w:tcW w:w="1005" w:type="dxa"/>
            <w:vAlign w:val="center"/>
          </w:tcPr>
          <w:p>
            <w:pPr>
              <w:widowControl/>
              <w:jc w:val="center"/>
              <w:rPr>
                <w:color w:val="000000"/>
                <w:kern w:val="0"/>
                <w:sz w:val="20"/>
              </w:rPr>
            </w:pPr>
            <w:r>
              <w:rPr>
                <w:color w:val="000000"/>
                <w:kern w:val="0"/>
                <w:sz w:val="20"/>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848" w:type="dxa"/>
            <w:vMerge w:val="continue"/>
            <w:vAlign w:val="center"/>
          </w:tcPr>
          <w:p>
            <w:pPr>
              <w:widowControl/>
              <w:jc w:val="left"/>
              <w:rPr>
                <w:color w:val="000000"/>
                <w:kern w:val="0"/>
                <w:sz w:val="20"/>
              </w:rPr>
            </w:pPr>
          </w:p>
        </w:tc>
        <w:tc>
          <w:tcPr>
            <w:tcW w:w="927" w:type="dxa"/>
            <w:vMerge w:val="continue"/>
            <w:vAlign w:val="center"/>
          </w:tcPr>
          <w:p>
            <w:pPr>
              <w:widowControl/>
              <w:jc w:val="left"/>
              <w:rPr>
                <w:color w:val="000000"/>
                <w:kern w:val="0"/>
                <w:sz w:val="20"/>
              </w:rPr>
            </w:pPr>
          </w:p>
        </w:tc>
        <w:tc>
          <w:tcPr>
            <w:tcW w:w="1490" w:type="dxa"/>
            <w:vAlign w:val="center"/>
          </w:tcPr>
          <w:p>
            <w:pPr>
              <w:widowControl/>
              <w:jc w:val="center"/>
              <w:rPr>
                <w:color w:val="000000"/>
                <w:kern w:val="0"/>
                <w:sz w:val="20"/>
              </w:rPr>
            </w:pPr>
            <w:r>
              <w:rPr>
                <w:color w:val="000000"/>
                <w:kern w:val="0"/>
                <w:sz w:val="20"/>
              </w:rPr>
              <w:t>供气状况</w:t>
            </w:r>
          </w:p>
        </w:tc>
        <w:tc>
          <w:tcPr>
            <w:tcW w:w="1005" w:type="dxa"/>
            <w:vAlign w:val="center"/>
          </w:tcPr>
          <w:p>
            <w:pPr>
              <w:widowControl/>
              <w:jc w:val="center"/>
              <w:rPr>
                <w:color w:val="000000"/>
                <w:kern w:val="0"/>
                <w:sz w:val="20"/>
              </w:rPr>
            </w:pPr>
            <w:r>
              <w:rPr>
                <w:color w:val="000000"/>
                <w:kern w:val="0"/>
                <w:sz w:val="20"/>
              </w:rPr>
              <w:t>100%</w:t>
            </w:r>
          </w:p>
        </w:tc>
        <w:tc>
          <w:tcPr>
            <w:tcW w:w="1327" w:type="dxa"/>
            <w:vAlign w:val="center"/>
          </w:tcPr>
          <w:p>
            <w:pPr>
              <w:widowControl/>
              <w:jc w:val="center"/>
              <w:rPr>
                <w:color w:val="000000"/>
                <w:kern w:val="0"/>
                <w:sz w:val="20"/>
              </w:rPr>
            </w:pPr>
            <w:r>
              <w:rPr>
                <w:color w:val="000000"/>
                <w:kern w:val="0"/>
                <w:sz w:val="20"/>
              </w:rPr>
              <w:t>90-99%</w:t>
            </w:r>
          </w:p>
        </w:tc>
        <w:tc>
          <w:tcPr>
            <w:tcW w:w="1275" w:type="dxa"/>
            <w:vAlign w:val="center"/>
          </w:tcPr>
          <w:p>
            <w:pPr>
              <w:widowControl/>
              <w:jc w:val="center"/>
              <w:rPr>
                <w:color w:val="000000"/>
                <w:kern w:val="0"/>
                <w:sz w:val="20"/>
              </w:rPr>
            </w:pPr>
            <w:r>
              <w:rPr>
                <w:color w:val="000000"/>
                <w:kern w:val="0"/>
                <w:sz w:val="20"/>
              </w:rPr>
              <w:t>80-89%</w:t>
            </w:r>
          </w:p>
        </w:tc>
        <w:tc>
          <w:tcPr>
            <w:tcW w:w="1276" w:type="dxa"/>
            <w:vAlign w:val="center"/>
          </w:tcPr>
          <w:p>
            <w:pPr>
              <w:widowControl/>
              <w:jc w:val="center"/>
              <w:rPr>
                <w:color w:val="000000"/>
                <w:kern w:val="0"/>
                <w:sz w:val="20"/>
              </w:rPr>
            </w:pPr>
            <w:r>
              <w:rPr>
                <w:color w:val="000000"/>
                <w:kern w:val="0"/>
                <w:sz w:val="20"/>
              </w:rPr>
              <w:t>60-79%</w:t>
            </w:r>
          </w:p>
        </w:tc>
        <w:tc>
          <w:tcPr>
            <w:tcW w:w="1005" w:type="dxa"/>
            <w:vAlign w:val="center"/>
          </w:tcPr>
          <w:p>
            <w:pPr>
              <w:widowControl/>
              <w:jc w:val="center"/>
              <w:rPr>
                <w:color w:val="000000"/>
                <w:kern w:val="0"/>
                <w:sz w:val="20"/>
              </w:rPr>
            </w:pPr>
            <w:r>
              <w:rPr>
                <w:color w:val="000000"/>
                <w:kern w:val="0"/>
                <w:sz w:val="20"/>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848" w:type="dxa"/>
            <w:vMerge w:val="continue"/>
            <w:vAlign w:val="center"/>
          </w:tcPr>
          <w:p>
            <w:pPr>
              <w:widowControl/>
              <w:jc w:val="left"/>
              <w:rPr>
                <w:color w:val="000000"/>
                <w:kern w:val="0"/>
                <w:sz w:val="20"/>
              </w:rPr>
            </w:pPr>
          </w:p>
        </w:tc>
        <w:tc>
          <w:tcPr>
            <w:tcW w:w="927" w:type="dxa"/>
            <w:vMerge w:val="restart"/>
            <w:vAlign w:val="center"/>
          </w:tcPr>
          <w:p>
            <w:pPr>
              <w:widowControl/>
              <w:jc w:val="center"/>
              <w:rPr>
                <w:color w:val="000000"/>
                <w:kern w:val="0"/>
                <w:sz w:val="20"/>
              </w:rPr>
            </w:pPr>
            <w:r>
              <w:rPr>
                <w:color w:val="000000"/>
                <w:kern w:val="0"/>
                <w:sz w:val="20"/>
              </w:rPr>
              <w:t>公用设施完备度</w:t>
            </w:r>
          </w:p>
        </w:tc>
        <w:tc>
          <w:tcPr>
            <w:tcW w:w="1490" w:type="dxa"/>
            <w:vAlign w:val="center"/>
          </w:tcPr>
          <w:p>
            <w:pPr>
              <w:widowControl/>
              <w:jc w:val="center"/>
              <w:rPr>
                <w:color w:val="000000"/>
                <w:kern w:val="0"/>
                <w:sz w:val="20"/>
              </w:rPr>
            </w:pPr>
            <w:r>
              <w:rPr>
                <w:color w:val="000000"/>
                <w:kern w:val="0"/>
                <w:sz w:val="20"/>
              </w:rPr>
              <w:t>距中小学距离</w:t>
            </w:r>
          </w:p>
        </w:tc>
        <w:tc>
          <w:tcPr>
            <w:tcW w:w="1005" w:type="dxa"/>
            <w:vAlign w:val="center"/>
          </w:tcPr>
          <w:p>
            <w:pPr>
              <w:widowControl/>
              <w:jc w:val="center"/>
              <w:rPr>
                <w:color w:val="000000"/>
                <w:kern w:val="0"/>
                <w:sz w:val="20"/>
              </w:rPr>
            </w:pPr>
            <w:r>
              <w:rPr>
                <w:color w:val="000000"/>
                <w:kern w:val="0"/>
                <w:sz w:val="20"/>
              </w:rPr>
              <w:t>&lt;900</w:t>
            </w:r>
          </w:p>
        </w:tc>
        <w:tc>
          <w:tcPr>
            <w:tcW w:w="1327" w:type="dxa"/>
            <w:vAlign w:val="center"/>
          </w:tcPr>
          <w:p>
            <w:pPr>
              <w:widowControl/>
              <w:jc w:val="center"/>
              <w:rPr>
                <w:color w:val="000000"/>
                <w:kern w:val="0"/>
                <w:sz w:val="20"/>
              </w:rPr>
            </w:pPr>
            <w:r>
              <w:rPr>
                <w:color w:val="000000"/>
                <w:kern w:val="0"/>
                <w:sz w:val="20"/>
              </w:rPr>
              <w:t>900-1600</w:t>
            </w:r>
          </w:p>
        </w:tc>
        <w:tc>
          <w:tcPr>
            <w:tcW w:w="1275" w:type="dxa"/>
            <w:vAlign w:val="center"/>
          </w:tcPr>
          <w:p>
            <w:pPr>
              <w:widowControl/>
              <w:jc w:val="center"/>
              <w:rPr>
                <w:color w:val="000000"/>
                <w:kern w:val="0"/>
                <w:sz w:val="20"/>
              </w:rPr>
            </w:pPr>
            <w:r>
              <w:rPr>
                <w:color w:val="000000"/>
                <w:kern w:val="0"/>
                <w:sz w:val="20"/>
              </w:rPr>
              <w:t>1600-2300</w:t>
            </w:r>
          </w:p>
        </w:tc>
        <w:tc>
          <w:tcPr>
            <w:tcW w:w="1276" w:type="dxa"/>
            <w:vAlign w:val="center"/>
          </w:tcPr>
          <w:p>
            <w:pPr>
              <w:widowControl/>
              <w:jc w:val="center"/>
              <w:rPr>
                <w:color w:val="000000"/>
                <w:kern w:val="0"/>
                <w:sz w:val="20"/>
              </w:rPr>
            </w:pPr>
            <w:r>
              <w:rPr>
                <w:color w:val="000000"/>
                <w:kern w:val="0"/>
                <w:sz w:val="20"/>
              </w:rPr>
              <w:t>2300-3000</w:t>
            </w:r>
          </w:p>
        </w:tc>
        <w:tc>
          <w:tcPr>
            <w:tcW w:w="1005" w:type="dxa"/>
            <w:vAlign w:val="center"/>
          </w:tcPr>
          <w:p>
            <w:pPr>
              <w:widowControl/>
              <w:jc w:val="center"/>
              <w:rPr>
                <w:color w:val="000000"/>
                <w:kern w:val="0"/>
                <w:sz w:val="20"/>
              </w:rPr>
            </w:pPr>
            <w:r>
              <w:rPr>
                <w:color w:val="000000"/>
                <w:kern w:val="0"/>
                <w:sz w:val="20"/>
              </w:rPr>
              <w:t>&gt;3000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848" w:type="dxa"/>
            <w:vMerge w:val="continue"/>
            <w:vAlign w:val="center"/>
          </w:tcPr>
          <w:p>
            <w:pPr>
              <w:widowControl/>
              <w:jc w:val="left"/>
              <w:rPr>
                <w:color w:val="000000"/>
                <w:kern w:val="0"/>
                <w:sz w:val="20"/>
              </w:rPr>
            </w:pPr>
          </w:p>
        </w:tc>
        <w:tc>
          <w:tcPr>
            <w:tcW w:w="927" w:type="dxa"/>
            <w:vMerge w:val="continue"/>
            <w:vAlign w:val="center"/>
          </w:tcPr>
          <w:p>
            <w:pPr>
              <w:widowControl/>
              <w:jc w:val="left"/>
              <w:rPr>
                <w:color w:val="000000"/>
                <w:kern w:val="0"/>
                <w:sz w:val="20"/>
              </w:rPr>
            </w:pPr>
          </w:p>
        </w:tc>
        <w:tc>
          <w:tcPr>
            <w:tcW w:w="1490" w:type="dxa"/>
            <w:vAlign w:val="center"/>
          </w:tcPr>
          <w:p>
            <w:pPr>
              <w:widowControl/>
              <w:jc w:val="center"/>
              <w:rPr>
                <w:color w:val="000000"/>
                <w:kern w:val="0"/>
                <w:sz w:val="20"/>
              </w:rPr>
            </w:pPr>
            <w:r>
              <w:rPr>
                <w:color w:val="000000"/>
                <w:kern w:val="0"/>
                <w:sz w:val="20"/>
              </w:rPr>
              <w:t>距医院距离</w:t>
            </w:r>
          </w:p>
        </w:tc>
        <w:tc>
          <w:tcPr>
            <w:tcW w:w="1005" w:type="dxa"/>
            <w:vAlign w:val="center"/>
          </w:tcPr>
          <w:p>
            <w:pPr>
              <w:widowControl/>
              <w:jc w:val="center"/>
              <w:rPr>
                <w:color w:val="000000"/>
                <w:kern w:val="0"/>
                <w:sz w:val="20"/>
              </w:rPr>
            </w:pPr>
            <w:r>
              <w:rPr>
                <w:color w:val="000000"/>
                <w:kern w:val="0"/>
                <w:sz w:val="20"/>
              </w:rPr>
              <w:t>&lt;900</w:t>
            </w:r>
          </w:p>
        </w:tc>
        <w:tc>
          <w:tcPr>
            <w:tcW w:w="1327" w:type="dxa"/>
            <w:vAlign w:val="center"/>
          </w:tcPr>
          <w:p>
            <w:pPr>
              <w:widowControl/>
              <w:jc w:val="center"/>
              <w:rPr>
                <w:color w:val="000000"/>
                <w:kern w:val="0"/>
                <w:sz w:val="20"/>
              </w:rPr>
            </w:pPr>
            <w:r>
              <w:rPr>
                <w:color w:val="000000"/>
                <w:kern w:val="0"/>
                <w:sz w:val="20"/>
              </w:rPr>
              <w:t>900-1600</w:t>
            </w:r>
          </w:p>
        </w:tc>
        <w:tc>
          <w:tcPr>
            <w:tcW w:w="1275" w:type="dxa"/>
            <w:vAlign w:val="center"/>
          </w:tcPr>
          <w:p>
            <w:pPr>
              <w:widowControl/>
              <w:jc w:val="center"/>
              <w:rPr>
                <w:color w:val="000000"/>
                <w:kern w:val="0"/>
                <w:sz w:val="20"/>
              </w:rPr>
            </w:pPr>
            <w:r>
              <w:rPr>
                <w:color w:val="000000"/>
                <w:kern w:val="0"/>
                <w:sz w:val="20"/>
              </w:rPr>
              <w:t>1600-2300</w:t>
            </w:r>
          </w:p>
        </w:tc>
        <w:tc>
          <w:tcPr>
            <w:tcW w:w="1276" w:type="dxa"/>
            <w:vAlign w:val="center"/>
          </w:tcPr>
          <w:p>
            <w:pPr>
              <w:widowControl/>
              <w:jc w:val="center"/>
              <w:rPr>
                <w:color w:val="000000"/>
                <w:kern w:val="0"/>
                <w:sz w:val="20"/>
              </w:rPr>
            </w:pPr>
            <w:r>
              <w:rPr>
                <w:color w:val="000000"/>
                <w:kern w:val="0"/>
                <w:sz w:val="20"/>
              </w:rPr>
              <w:t>2300-3000</w:t>
            </w:r>
          </w:p>
        </w:tc>
        <w:tc>
          <w:tcPr>
            <w:tcW w:w="1005" w:type="dxa"/>
            <w:vAlign w:val="center"/>
          </w:tcPr>
          <w:p>
            <w:pPr>
              <w:widowControl/>
              <w:jc w:val="center"/>
              <w:rPr>
                <w:color w:val="000000"/>
                <w:kern w:val="0"/>
                <w:sz w:val="20"/>
              </w:rPr>
            </w:pPr>
            <w:r>
              <w:rPr>
                <w:color w:val="000000"/>
                <w:kern w:val="0"/>
                <w:sz w:val="20"/>
              </w:rPr>
              <w:t>&gt;3000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848" w:type="dxa"/>
            <w:vMerge w:val="continue"/>
            <w:vAlign w:val="center"/>
          </w:tcPr>
          <w:p>
            <w:pPr>
              <w:widowControl/>
              <w:jc w:val="left"/>
              <w:rPr>
                <w:color w:val="000000"/>
                <w:kern w:val="0"/>
                <w:sz w:val="20"/>
              </w:rPr>
            </w:pPr>
          </w:p>
        </w:tc>
        <w:tc>
          <w:tcPr>
            <w:tcW w:w="927" w:type="dxa"/>
            <w:vMerge w:val="continue"/>
            <w:vAlign w:val="center"/>
          </w:tcPr>
          <w:p>
            <w:pPr>
              <w:widowControl/>
              <w:jc w:val="left"/>
              <w:rPr>
                <w:color w:val="000000"/>
                <w:kern w:val="0"/>
                <w:sz w:val="20"/>
              </w:rPr>
            </w:pPr>
          </w:p>
        </w:tc>
        <w:tc>
          <w:tcPr>
            <w:tcW w:w="1490" w:type="dxa"/>
            <w:vAlign w:val="center"/>
          </w:tcPr>
          <w:p>
            <w:pPr>
              <w:widowControl/>
              <w:jc w:val="center"/>
              <w:rPr>
                <w:color w:val="000000"/>
                <w:kern w:val="0"/>
                <w:sz w:val="20"/>
              </w:rPr>
            </w:pPr>
            <w:r>
              <w:rPr>
                <w:color w:val="000000"/>
                <w:kern w:val="0"/>
                <w:sz w:val="20"/>
              </w:rPr>
              <w:t>距大型超市距离</w:t>
            </w:r>
          </w:p>
        </w:tc>
        <w:tc>
          <w:tcPr>
            <w:tcW w:w="1005" w:type="dxa"/>
            <w:vAlign w:val="center"/>
          </w:tcPr>
          <w:p>
            <w:pPr>
              <w:widowControl/>
              <w:jc w:val="center"/>
              <w:rPr>
                <w:color w:val="000000"/>
                <w:kern w:val="0"/>
                <w:sz w:val="20"/>
              </w:rPr>
            </w:pPr>
            <w:r>
              <w:rPr>
                <w:color w:val="000000"/>
                <w:kern w:val="0"/>
                <w:sz w:val="20"/>
              </w:rPr>
              <w:t>&lt;1000</w:t>
            </w:r>
          </w:p>
        </w:tc>
        <w:tc>
          <w:tcPr>
            <w:tcW w:w="1327" w:type="dxa"/>
            <w:vAlign w:val="center"/>
          </w:tcPr>
          <w:p>
            <w:pPr>
              <w:widowControl/>
              <w:jc w:val="center"/>
              <w:rPr>
                <w:color w:val="000000"/>
                <w:kern w:val="0"/>
                <w:sz w:val="20"/>
              </w:rPr>
            </w:pPr>
            <w:r>
              <w:rPr>
                <w:color w:val="000000"/>
                <w:kern w:val="0"/>
                <w:sz w:val="20"/>
              </w:rPr>
              <w:t>1000-2000</w:t>
            </w:r>
          </w:p>
        </w:tc>
        <w:tc>
          <w:tcPr>
            <w:tcW w:w="1275" w:type="dxa"/>
            <w:vAlign w:val="center"/>
          </w:tcPr>
          <w:p>
            <w:pPr>
              <w:widowControl/>
              <w:jc w:val="center"/>
              <w:rPr>
                <w:color w:val="000000"/>
                <w:kern w:val="0"/>
                <w:sz w:val="20"/>
              </w:rPr>
            </w:pPr>
            <w:r>
              <w:rPr>
                <w:color w:val="000000"/>
                <w:kern w:val="0"/>
                <w:sz w:val="20"/>
              </w:rPr>
              <w:t>2000-3000</w:t>
            </w:r>
          </w:p>
        </w:tc>
        <w:tc>
          <w:tcPr>
            <w:tcW w:w="1276" w:type="dxa"/>
            <w:vAlign w:val="center"/>
          </w:tcPr>
          <w:p>
            <w:pPr>
              <w:widowControl/>
              <w:jc w:val="center"/>
              <w:rPr>
                <w:color w:val="000000"/>
                <w:kern w:val="0"/>
                <w:sz w:val="20"/>
              </w:rPr>
            </w:pPr>
            <w:r>
              <w:rPr>
                <w:color w:val="000000"/>
                <w:kern w:val="0"/>
                <w:sz w:val="20"/>
              </w:rPr>
              <w:t>3000-4000</w:t>
            </w:r>
          </w:p>
        </w:tc>
        <w:tc>
          <w:tcPr>
            <w:tcW w:w="1005" w:type="dxa"/>
            <w:vAlign w:val="center"/>
          </w:tcPr>
          <w:p>
            <w:pPr>
              <w:widowControl/>
              <w:jc w:val="center"/>
              <w:rPr>
                <w:color w:val="000000"/>
                <w:kern w:val="0"/>
                <w:sz w:val="20"/>
              </w:rPr>
            </w:pPr>
            <w:r>
              <w:rPr>
                <w:color w:val="000000"/>
                <w:kern w:val="0"/>
                <w:sz w:val="20"/>
              </w:rPr>
              <w:t>&gt;4000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48" w:type="dxa"/>
            <w:vMerge w:val="continue"/>
            <w:vAlign w:val="center"/>
          </w:tcPr>
          <w:p>
            <w:pPr>
              <w:widowControl/>
              <w:jc w:val="left"/>
              <w:rPr>
                <w:color w:val="000000"/>
                <w:kern w:val="0"/>
                <w:sz w:val="20"/>
              </w:rPr>
            </w:pPr>
          </w:p>
        </w:tc>
        <w:tc>
          <w:tcPr>
            <w:tcW w:w="927" w:type="dxa"/>
            <w:vMerge w:val="continue"/>
            <w:vAlign w:val="center"/>
          </w:tcPr>
          <w:p>
            <w:pPr>
              <w:widowControl/>
              <w:jc w:val="left"/>
              <w:rPr>
                <w:color w:val="000000"/>
                <w:kern w:val="0"/>
                <w:sz w:val="20"/>
              </w:rPr>
            </w:pPr>
          </w:p>
        </w:tc>
        <w:tc>
          <w:tcPr>
            <w:tcW w:w="1490" w:type="dxa"/>
            <w:vAlign w:val="center"/>
          </w:tcPr>
          <w:p>
            <w:pPr>
              <w:widowControl/>
              <w:jc w:val="center"/>
              <w:rPr>
                <w:color w:val="000000"/>
                <w:kern w:val="0"/>
                <w:sz w:val="20"/>
              </w:rPr>
            </w:pPr>
            <w:r>
              <w:rPr>
                <w:color w:val="000000"/>
                <w:kern w:val="0"/>
                <w:sz w:val="20"/>
              </w:rPr>
              <w:t>距文体设施距离</w:t>
            </w:r>
          </w:p>
        </w:tc>
        <w:tc>
          <w:tcPr>
            <w:tcW w:w="1005" w:type="dxa"/>
            <w:vAlign w:val="center"/>
          </w:tcPr>
          <w:p>
            <w:pPr>
              <w:widowControl/>
              <w:jc w:val="center"/>
              <w:rPr>
                <w:color w:val="000000"/>
                <w:kern w:val="0"/>
                <w:sz w:val="20"/>
              </w:rPr>
            </w:pPr>
            <w:r>
              <w:rPr>
                <w:color w:val="000000"/>
                <w:kern w:val="0"/>
                <w:sz w:val="20"/>
              </w:rPr>
              <w:t>&lt;1100</w:t>
            </w:r>
          </w:p>
        </w:tc>
        <w:tc>
          <w:tcPr>
            <w:tcW w:w="1327" w:type="dxa"/>
            <w:vAlign w:val="center"/>
          </w:tcPr>
          <w:p>
            <w:pPr>
              <w:widowControl/>
              <w:jc w:val="center"/>
              <w:rPr>
                <w:color w:val="000000"/>
                <w:kern w:val="0"/>
                <w:sz w:val="20"/>
              </w:rPr>
            </w:pPr>
            <w:r>
              <w:rPr>
                <w:color w:val="000000"/>
                <w:kern w:val="0"/>
                <w:sz w:val="20"/>
              </w:rPr>
              <w:t>1100-2400</w:t>
            </w:r>
          </w:p>
        </w:tc>
        <w:tc>
          <w:tcPr>
            <w:tcW w:w="1275" w:type="dxa"/>
            <w:vAlign w:val="center"/>
          </w:tcPr>
          <w:p>
            <w:pPr>
              <w:widowControl/>
              <w:jc w:val="center"/>
              <w:rPr>
                <w:color w:val="000000"/>
                <w:kern w:val="0"/>
                <w:sz w:val="20"/>
              </w:rPr>
            </w:pPr>
            <w:r>
              <w:rPr>
                <w:color w:val="000000"/>
                <w:kern w:val="0"/>
                <w:sz w:val="20"/>
              </w:rPr>
              <w:t>2400-3700</w:t>
            </w:r>
          </w:p>
        </w:tc>
        <w:tc>
          <w:tcPr>
            <w:tcW w:w="1276" w:type="dxa"/>
            <w:vAlign w:val="center"/>
          </w:tcPr>
          <w:p>
            <w:pPr>
              <w:widowControl/>
              <w:jc w:val="center"/>
              <w:rPr>
                <w:color w:val="000000"/>
                <w:kern w:val="0"/>
                <w:sz w:val="20"/>
              </w:rPr>
            </w:pPr>
            <w:r>
              <w:rPr>
                <w:color w:val="000000"/>
                <w:kern w:val="0"/>
                <w:sz w:val="20"/>
              </w:rPr>
              <w:t>3700-5000</w:t>
            </w:r>
          </w:p>
        </w:tc>
        <w:tc>
          <w:tcPr>
            <w:tcW w:w="1005" w:type="dxa"/>
            <w:vAlign w:val="center"/>
          </w:tcPr>
          <w:p>
            <w:pPr>
              <w:widowControl/>
              <w:jc w:val="center"/>
              <w:rPr>
                <w:color w:val="000000"/>
                <w:kern w:val="0"/>
                <w:sz w:val="20"/>
              </w:rPr>
            </w:pPr>
            <w:r>
              <w:rPr>
                <w:color w:val="000000"/>
                <w:kern w:val="0"/>
                <w:sz w:val="20"/>
              </w:rPr>
              <w:t>&gt;5000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848" w:type="dxa"/>
            <w:vMerge w:val="restart"/>
            <w:vAlign w:val="center"/>
          </w:tcPr>
          <w:p>
            <w:pPr>
              <w:widowControl/>
              <w:jc w:val="center"/>
              <w:rPr>
                <w:color w:val="000000"/>
                <w:kern w:val="0"/>
                <w:sz w:val="20"/>
              </w:rPr>
            </w:pPr>
            <w:r>
              <w:rPr>
                <w:color w:val="000000"/>
                <w:kern w:val="0"/>
                <w:sz w:val="20"/>
              </w:rPr>
              <w:t>交通条件</w:t>
            </w:r>
          </w:p>
        </w:tc>
        <w:tc>
          <w:tcPr>
            <w:tcW w:w="927" w:type="dxa"/>
            <w:vAlign w:val="center"/>
          </w:tcPr>
          <w:p>
            <w:pPr>
              <w:widowControl/>
              <w:jc w:val="center"/>
              <w:rPr>
                <w:color w:val="000000"/>
                <w:kern w:val="0"/>
                <w:sz w:val="20"/>
              </w:rPr>
            </w:pPr>
            <w:r>
              <w:rPr>
                <w:color w:val="000000"/>
                <w:kern w:val="0"/>
                <w:sz w:val="20"/>
              </w:rPr>
              <w:t>道路通达度</w:t>
            </w:r>
          </w:p>
        </w:tc>
        <w:tc>
          <w:tcPr>
            <w:tcW w:w="1490" w:type="dxa"/>
            <w:vAlign w:val="center"/>
          </w:tcPr>
          <w:p>
            <w:pPr>
              <w:widowControl/>
              <w:jc w:val="center"/>
              <w:rPr>
                <w:color w:val="000000"/>
                <w:kern w:val="0"/>
                <w:sz w:val="20"/>
              </w:rPr>
            </w:pPr>
            <w:r>
              <w:rPr>
                <w:color w:val="000000"/>
                <w:kern w:val="0"/>
                <w:sz w:val="20"/>
              </w:rPr>
              <w:t>临近道路状况</w:t>
            </w:r>
          </w:p>
        </w:tc>
        <w:tc>
          <w:tcPr>
            <w:tcW w:w="1005" w:type="dxa"/>
            <w:vAlign w:val="center"/>
          </w:tcPr>
          <w:p>
            <w:pPr>
              <w:widowControl/>
              <w:jc w:val="center"/>
              <w:rPr>
                <w:kern w:val="0"/>
                <w:sz w:val="20"/>
              </w:rPr>
            </w:pPr>
            <w:r>
              <w:rPr>
                <w:kern w:val="0"/>
                <w:sz w:val="20"/>
              </w:rPr>
              <w:t>临繁华主干道</w:t>
            </w:r>
          </w:p>
        </w:tc>
        <w:tc>
          <w:tcPr>
            <w:tcW w:w="1327" w:type="dxa"/>
            <w:vAlign w:val="center"/>
          </w:tcPr>
          <w:p>
            <w:pPr>
              <w:widowControl/>
              <w:jc w:val="center"/>
              <w:rPr>
                <w:kern w:val="0"/>
                <w:sz w:val="20"/>
              </w:rPr>
            </w:pPr>
            <w:r>
              <w:rPr>
                <w:kern w:val="0"/>
                <w:sz w:val="20"/>
              </w:rPr>
              <w:t>临主干道</w:t>
            </w:r>
          </w:p>
        </w:tc>
        <w:tc>
          <w:tcPr>
            <w:tcW w:w="1275" w:type="dxa"/>
            <w:vAlign w:val="center"/>
          </w:tcPr>
          <w:p>
            <w:pPr>
              <w:widowControl/>
              <w:jc w:val="center"/>
              <w:rPr>
                <w:kern w:val="0"/>
                <w:sz w:val="20"/>
              </w:rPr>
            </w:pPr>
            <w:r>
              <w:rPr>
                <w:kern w:val="0"/>
                <w:sz w:val="20"/>
              </w:rPr>
              <w:t>临繁华次干道</w:t>
            </w:r>
          </w:p>
        </w:tc>
        <w:tc>
          <w:tcPr>
            <w:tcW w:w="1276" w:type="dxa"/>
            <w:vAlign w:val="center"/>
          </w:tcPr>
          <w:p>
            <w:pPr>
              <w:widowControl/>
              <w:jc w:val="center"/>
              <w:rPr>
                <w:kern w:val="0"/>
                <w:sz w:val="20"/>
              </w:rPr>
            </w:pPr>
            <w:r>
              <w:rPr>
                <w:kern w:val="0"/>
                <w:sz w:val="20"/>
              </w:rPr>
              <w:t>临次干道</w:t>
            </w:r>
          </w:p>
        </w:tc>
        <w:tc>
          <w:tcPr>
            <w:tcW w:w="1005" w:type="dxa"/>
            <w:vAlign w:val="center"/>
          </w:tcPr>
          <w:p>
            <w:pPr>
              <w:widowControl/>
              <w:jc w:val="center"/>
              <w:rPr>
                <w:kern w:val="0"/>
                <w:sz w:val="20"/>
              </w:rPr>
            </w:pPr>
            <w:r>
              <w:rPr>
                <w:kern w:val="0"/>
                <w:sz w:val="20"/>
              </w:rPr>
              <w:t>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8" w:type="dxa"/>
            <w:vMerge w:val="continue"/>
            <w:vAlign w:val="center"/>
          </w:tcPr>
          <w:p>
            <w:pPr>
              <w:widowControl/>
              <w:jc w:val="left"/>
              <w:rPr>
                <w:color w:val="000000"/>
                <w:kern w:val="0"/>
                <w:sz w:val="20"/>
              </w:rPr>
            </w:pPr>
          </w:p>
        </w:tc>
        <w:tc>
          <w:tcPr>
            <w:tcW w:w="927" w:type="dxa"/>
            <w:vAlign w:val="center"/>
          </w:tcPr>
          <w:p>
            <w:pPr>
              <w:widowControl/>
              <w:jc w:val="center"/>
              <w:rPr>
                <w:color w:val="000000"/>
                <w:kern w:val="0"/>
                <w:sz w:val="20"/>
              </w:rPr>
            </w:pPr>
            <w:r>
              <w:rPr>
                <w:color w:val="000000"/>
                <w:kern w:val="0"/>
                <w:sz w:val="20"/>
              </w:rPr>
              <w:t>公交便捷度</w:t>
            </w:r>
          </w:p>
        </w:tc>
        <w:tc>
          <w:tcPr>
            <w:tcW w:w="1490" w:type="dxa"/>
            <w:vAlign w:val="center"/>
          </w:tcPr>
          <w:p>
            <w:pPr>
              <w:widowControl/>
              <w:jc w:val="center"/>
              <w:rPr>
                <w:color w:val="000000"/>
                <w:kern w:val="0"/>
                <w:sz w:val="20"/>
              </w:rPr>
            </w:pPr>
            <w:r>
              <w:rPr>
                <w:color w:val="000000"/>
                <w:kern w:val="0"/>
                <w:sz w:val="20"/>
              </w:rPr>
              <w:t>距最近公交站（</w:t>
            </w:r>
            <w:r>
              <w:rPr>
                <w:rFonts w:hint="eastAsia"/>
                <w:color w:val="000000"/>
                <w:kern w:val="0"/>
                <w:sz w:val="20"/>
              </w:rPr>
              <w:t>轨道交通</w:t>
            </w:r>
            <w:r>
              <w:rPr>
                <w:color w:val="000000"/>
                <w:kern w:val="0"/>
                <w:sz w:val="20"/>
              </w:rPr>
              <w:t>站）距离</w:t>
            </w:r>
          </w:p>
        </w:tc>
        <w:tc>
          <w:tcPr>
            <w:tcW w:w="1005" w:type="dxa"/>
            <w:vAlign w:val="center"/>
          </w:tcPr>
          <w:p>
            <w:pPr>
              <w:widowControl/>
              <w:jc w:val="center"/>
              <w:rPr>
                <w:color w:val="000000"/>
                <w:kern w:val="0"/>
                <w:sz w:val="20"/>
              </w:rPr>
            </w:pPr>
            <w:r>
              <w:rPr>
                <w:color w:val="000000"/>
                <w:kern w:val="0"/>
                <w:sz w:val="20"/>
              </w:rPr>
              <w:t>&lt;25</w:t>
            </w:r>
          </w:p>
        </w:tc>
        <w:tc>
          <w:tcPr>
            <w:tcW w:w="1327" w:type="dxa"/>
            <w:vAlign w:val="center"/>
          </w:tcPr>
          <w:p>
            <w:pPr>
              <w:widowControl/>
              <w:jc w:val="center"/>
              <w:rPr>
                <w:color w:val="000000"/>
                <w:kern w:val="0"/>
                <w:sz w:val="20"/>
              </w:rPr>
            </w:pPr>
            <w:r>
              <w:rPr>
                <w:color w:val="000000"/>
                <w:kern w:val="0"/>
                <w:sz w:val="20"/>
              </w:rPr>
              <w:t>25-50</w:t>
            </w:r>
          </w:p>
        </w:tc>
        <w:tc>
          <w:tcPr>
            <w:tcW w:w="1275" w:type="dxa"/>
            <w:vAlign w:val="center"/>
          </w:tcPr>
          <w:p>
            <w:pPr>
              <w:widowControl/>
              <w:jc w:val="center"/>
              <w:rPr>
                <w:color w:val="000000"/>
                <w:kern w:val="0"/>
                <w:sz w:val="20"/>
              </w:rPr>
            </w:pPr>
            <w:r>
              <w:rPr>
                <w:color w:val="000000"/>
                <w:kern w:val="0"/>
                <w:sz w:val="20"/>
              </w:rPr>
              <w:t>50-75</w:t>
            </w:r>
          </w:p>
        </w:tc>
        <w:tc>
          <w:tcPr>
            <w:tcW w:w="1276" w:type="dxa"/>
            <w:vAlign w:val="center"/>
          </w:tcPr>
          <w:p>
            <w:pPr>
              <w:widowControl/>
              <w:jc w:val="center"/>
              <w:rPr>
                <w:color w:val="000000"/>
                <w:kern w:val="0"/>
                <w:sz w:val="20"/>
              </w:rPr>
            </w:pPr>
            <w:r>
              <w:rPr>
                <w:color w:val="000000"/>
                <w:kern w:val="0"/>
                <w:sz w:val="20"/>
              </w:rPr>
              <w:t>75-100</w:t>
            </w:r>
          </w:p>
        </w:tc>
        <w:tc>
          <w:tcPr>
            <w:tcW w:w="1005" w:type="dxa"/>
            <w:vAlign w:val="center"/>
          </w:tcPr>
          <w:p>
            <w:pPr>
              <w:widowControl/>
              <w:jc w:val="center"/>
              <w:rPr>
                <w:color w:val="000000"/>
                <w:kern w:val="0"/>
                <w:sz w:val="20"/>
              </w:rPr>
            </w:pPr>
            <w:r>
              <w:rPr>
                <w:color w:val="000000"/>
                <w:kern w:val="0"/>
                <w:sz w:val="20"/>
              </w:rPr>
              <w:t>&gt;100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48" w:type="dxa"/>
            <w:vMerge w:val="continue"/>
            <w:vAlign w:val="center"/>
          </w:tcPr>
          <w:p>
            <w:pPr>
              <w:widowControl/>
              <w:jc w:val="left"/>
              <w:rPr>
                <w:color w:val="000000"/>
                <w:kern w:val="0"/>
                <w:sz w:val="20"/>
              </w:rPr>
            </w:pPr>
          </w:p>
        </w:tc>
        <w:tc>
          <w:tcPr>
            <w:tcW w:w="927" w:type="dxa"/>
            <w:vMerge w:val="restart"/>
            <w:vAlign w:val="center"/>
          </w:tcPr>
          <w:p>
            <w:pPr>
              <w:widowControl/>
              <w:jc w:val="center"/>
              <w:rPr>
                <w:color w:val="000000"/>
                <w:kern w:val="0"/>
                <w:sz w:val="20"/>
              </w:rPr>
            </w:pPr>
            <w:r>
              <w:rPr>
                <w:color w:val="000000"/>
                <w:kern w:val="0"/>
                <w:sz w:val="20"/>
              </w:rPr>
              <w:t>对外交通便利度</w:t>
            </w:r>
          </w:p>
        </w:tc>
        <w:tc>
          <w:tcPr>
            <w:tcW w:w="1490" w:type="dxa"/>
            <w:vAlign w:val="center"/>
          </w:tcPr>
          <w:p>
            <w:pPr>
              <w:widowControl/>
              <w:jc w:val="center"/>
              <w:rPr>
                <w:color w:val="000000"/>
                <w:kern w:val="0"/>
                <w:sz w:val="20"/>
              </w:rPr>
            </w:pPr>
            <w:r>
              <w:rPr>
                <w:color w:val="000000"/>
                <w:kern w:val="0"/>
                <w:sz w:val="20"/>
              </w:rPr>
              <w:t>距最近长途汽车站距离</w:t>
            </w:r>
          </w:p>
        </w:tc>
        <w:tc>
          <w:tcPr>
            <w:tcW w:w="1005" w:type="dxa"/>
            <w:vAlign w:val="center"/>
          </w:tcPr>
          <w:p>
            <w:pPr>
              <w:widowControl/>
              <w:jc w:val="center"/>
              <w:rPr>
                <w:kern w:val="0"/>
                <w:sz w:val="20"/>
              </w:rPr>
            </w:pPr>
            <w:r>
              <w:rPr>
                <w:kern w:val="0"/>
                <w:sz w:val="20"/>
              </w:rPr>
              <w:t>≤1600</w:t>
            </w:r>
          </w:p>
        </w:tc>
        <w:tc>
          <w:tcPr>
            <w:tcW w:w="1327" w:type="dxa"/>
            <w:vAlign w:val="center"/>
          </w:tcPr>
          <w:p>
            <w:pPr>
              <w:widowControl/>
              <w:jc w:val="center"/>
              <w:rPr>
                <w:kern w:val="0"/>
                <w:sz w:val="20"/>
              </w:rPr>
            </w:pPr>
            <w:r>
              <w:rPr>
                <w:kern w:val="0"/>
                <w:sz w:val="20"/>
              </w:rPr>
              <w:t>1600-2000</w:t>
            </w:r>
          </w:p>
        </w:tc>
        <w:tc>
          <w:tcPr>
            <w:tcW w:w="1275" w:type="dxa"/>
            <w:vAlign w:val="center"/>
          </w:tcPr>
          <w:p>
            <w:pPr>
              <w:widowControl/>
              <w:jc w:val="center"/>
              <w:rPr>
                <w:kern w:val="0"/>
                <w:sz w:val="20"/>
              </w:rPr>
            </w:pPr>
            <w:r>
              <w:rPr>
                <w:kern w:val="0"/>
                <w:sz w:val="20"/>
              </w:rPr>
              <w:t>2000-2400</w:t>
            </w:r>
          </w:p>
        </w:tc>
        <w:tc>
          <w:tcPr>
            <w:tcW w:w="1276" w:type="dxa"/>
            <w:vAlign w:val="center"/>
          </w:tcPr>
          <w:p>
            <w:pPr>
              <w:widowControl/>
              <w:jc w:val="center"/>
              <w:rPr>
                <w:kern w:val="0"/>
                <w:sz w:val="20"/>
              </w:rPr>
            </w:pPr>
            <w:r>
              <w:rPr>
                <w:kern w:val="0"/>
                <w:sz w:val="20"/>
              </w:rPr>
              <w:t>2400-2800</w:t>
            </w:r>
          </w:p>
        </w:tc>
        <w:tc>
          <w:tcPr>
            <w:tcW w:w="1005" w:type="dxa"/>
            <w:vAlign w:val="center"/>
          </w:tcPr>
          <w:p>
            <w:pPr>
              <w:widowControl/>
              <w:jc w:val="center"/>
              <w:rPr>
                <w:kern w:val="0"/>
                <w:sz w:val="20"/>
              </w:rPr>
            </w:pPr>
            <w:r>
              <w:rPr>
                <w:kern w:val="0"/>
                <w:sz w:val="20"/>
              </w:rPr>
              <w:t>&gt;2800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48" w:type="dxa"/>
            <w:vMerge w:val="continue"/>
            <w:vAlign w:val="center"/>
          </w:tcPr>
          <w:p>
            <w:pPr>
              <w:widowControl/>
              <w:jc w:val="left"/>
              <w:rPr>
                <w:color w:val="000000"/>
                <w:kern w:val="0"/>
                <w:sz w:val="20"/>
              </w:rPr>
            </w:pPr>
          </w:p>
        </w:tc>
        <w:tc>
          <w:tcPr>
            <w:tcW w:w="927" w:type="dxa"/>
            <w:vMerge w:val="continue"/>
            <w:vAlign w:val="center"/>
          </w:tcPr>
          <w:p>
            <w:pPr>
              <w:widowControl/>
              <w:jc w:val="left"/>
              <w:rPr>
                <w:color w:val="000000"/>
                <w:kern w:val="0"/>
                <w:sz w:val="20"/>
              </w:rPr>
            </w:pPr>
          </w:p>
        </w:tc>
        <w:tc>
          <w:tcPr>
            <w:tcW w:w="1490" w:type="dxa"/>
            <w:vAlign w:val="center"/>
          </w:tcPr>
          <w:p>
            <w:pPr>
              <w:widowControl/>
              <w:jc w:val="center"/>
              <w:rPr>
                <w:color w:val="000000"/>
                <w:kern w:val="0"/>
                <w:sz w:val="20"/>
              </w:rPr>
            </w:pPr>
            <w:r>
              <w:rPr>
                <w:color w:val="000000"/>
                <w:kern w:val="0"/>
                <w:sz w:val="20"/>
              </w:rPr>
              <w:t>距火车站距离</w:t>
            </w:r>
          </w:p>
        </w:tc>
        <w:tc>
          <w:tcPr>
            <w:tcW w:w="1005" w:type="dxa"/>
            <w:vAlign w:val="center"/>
          </w:tcPr>
          <w:p>
            <w:pPr>
              <w:widowControl/>
              <w:jc w:val="center"/>
              <w:rPr>
                <w:kern w:val="0"/>
                <w:sz w:val="20"/>
              </w:rPr>
            </w:pPr>
            <w:r>
              <w:rPr>
                <w:kern w:val="0"/>
                <w:sz w:val="20"/>
              </w:rPr>
              <w:t>&lt;1000</w:t>
            </w:r>
          </w:p>
        </w:tc>
        <w:tc>
          <w:tcPr>
            <w:tcW w:w="1327" w:type="dxa"/>
            <w:vAlign w:val="center"/>
          </w:tcPr>
          <w:p>
            <w:pPr>
              <w:widowControl/>
              <w:jc w:val="center"/>
              <w:rPr>
                <w:kern w:val="0"/>
                <w:sz w:val="20"/>
              </w:rPr>
            </w:pPr>
            <w:r>
              <w:rPr>
                <w:kern w:val="0"/>
                <w:sz w:val="20"/>
              </w:rPr>
              <w:t>1000-1800</w:t>
            </w:r>
          </w:p>
        </w:tc>
        <w:tc>
          <w:tcPr>
            <w:tcW w:w="1275" w:type="dxa"/>
            <w:vAlign w:val="center"/>
          </w:tcPr>
          <w:p>
            <w:pPr>
              <w:widowControl/>
              <w:jc w:val="center"/>
              <w:rPr>
                <w:kern w:val="0"/>
                <w:sz w:val="20"/>
              </w:rPr>
            </w:pPr>
            <w:r>
              <w:rPr>
                <w:kern w:val="0"/>
                <w:sz w:val="20"/>
              </w:rPr>
              <w:t>1800-2600</w:t>
            </w:r>
          </w:p>
        </w:tc>
        <w:tc>
          <w:tcPr>
            <w:tcW w:w="1276" w:type="dxa"/>
            <w:vAlign w:val="center"/>
          </w:tcPr>
          <w:p>
            <w:pPr>
              <w:widowControl/>
              <w:jc w:val="center"/>
              <w:rPr>
                <w:kern w:val="0"/>
                <w:sz w:val="20"/>
              </w:rPr>
            </w:pPr>
            <w:r>
              <w:rPr>
                <w:kern w:val="0"/>
                <w:sz w:val="20"/>
              </w:rPr>
              <w:t>2600-3000</w:t>
            </w:r>
          </w:p>
        </w:tc>
        <w:tc>
          <w:tcPr>
            <w:tcW w:w="1005" w:type="dxa"/>
            <w:vAlign w:val="center"/>
          </w:tcPr>
          <w:p>
            <w:pPr>
              <w:widowControl/>
              <w:jc w:val="center"/>
              <w:rPr>
                <w:kern w:val="0"/>
                <w:sz w:val="20"/>
              </w:rPr>
            </w:pPr>
            <w:r>
              <w:rPr>
                <w:kern w:val="0"/>
                <w:sz w:val="20"/>
              </w:rPr>
              <w:t>&gt;3000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848" w:type="dxa"/>
            <w:vMerge w:val="continue"/>
            <w:vAlign w:val="center"/>
          </w:tcPr>
          <w:p>
            <w:pPr>
              <w:widowControl/>
              <w:jc w:val="left"/>
              <w:rPr>
                <w:color w:val="000000"/>
                <w:kern w:val="0"/>
                <w:sz w:val="20"/>
              </w:rPr>
            </w:pPr>
          </w:p>
        </w:tc>
        <w:tc>
          <w:tcPr>
            <w:tcW w:w="927" w:type="dxa"/>
            <w:vMerge w:val="continue"/>
            <w:vAlign w:val="center"/>
          </w:tcPr>
          <w:p>
            <w:pPr>
              <w:widowControl/>
              <w:jc w:val="left"/>
              <w:rPr>
                <w:color w:val="000000"/>
                <w:kern w:val="0"/>
                <w:sz w:val="20"/>
              </w:rPr>
            </w:pPr>
          </w:p>
        </w:tc>
        <w:tc>
          <w:tcPr>
            <w:tcW w:w="1490" w:type="dxa"/>
            <w:vAlign w:val="center"/>
          </w:tcPr>
          <w:p>
            <w:pPr>
              <w:widowControl/>
              <w:jc w:val="center"/>
              <w:rPr>
                <w:color w:val="000000"/>
                <w:kern w:val="0"/>
                <w:sz w:val="20"/>
              </w:rPr>
            </w:pPr>
            <w:r>
              <w:rPr>
                <w:color w:val="000000"/>
                <w:kern w:val="0"/>
                <w:sz w:val="20"/>
              </w:rPr>
              <w:t>距高铁站长沙南站距离</w:t>
            </w:r>
          </w:p>
        </w:tc>
        <w:tc>
          <w:tcPr>
            <w:tcW w:w="1005" w:type="dxa"/>
            <w:vAlign w:val="center"/>
          </w:tcPr>
          <w:p>
            <w:pPr>
              <w:widowControl/>
              <w:jc w:val="center"/>
              <w:rPr>
                <w:color w:val="000000"/>
                <w:kern w:val="0"/>
                <w:sz w:val="20"/>
              </w:rPr>
            </w:pPr>
            <w:r>
              <w:rPr>
                <w:color w:val="000000"/>
                <w:kern w:val="0"/>
                <w:sz w:val="20"/>
              </w:rPr>
              <w:t>&lt;20000</w:t>
            </w:r>
          </w:p>
        </w:tc>
        <w:tc>
          <w:tcPr>
            <w:tcW w:w="1327" w:type="dxa"/>
            <w:vAlign w:val="center"/>
          </w:tcPr>
          <w:p>
            <w:pPr>
              <w:widowControl/>
              <w:jc w:val="center"/>
              <w:rPr>
                <w:color w:val="000000"/>
                <w:kern w:val="0"/>
                <w:sz w:val="20"/>
              </w:rPr>
            </w:pPr>
            <w:r>
              <w:rPr>
                <w:color w:val="000000"/>
                <w:kern w:val="0"/>
                <w:sz w:val="20"/>
              </w:rPr>
              <w:t>20000-23000</w:t>
            </w:r>
          </w:p>
        </w:tc>
        <w:tc>
          <w:tcPr>
            <w:tcW w:w="1275" w:type="dxa"/>
            <w:vAlign w:val="center"/>
          </w:tcPr>
          <w:p>
            <w:pPr>
              <w:widowControl/>
              <w:jc w:val="center"/>
              <w:rPr>
                <w:color w:val="000000"/>
                <w:kern w:val="0"/>
                <w:sz w:val="20"/>
              </w:rPr>
            </w:pPr>
            <w:r>
              <w:rPr>
                <w:color w:val="000000"/>
                <w:kern w:val="0"/>
                <w:sz w:val="20"/>
              </w:rPr>
              <w:t>23000-27000</w:t>
            </w:r>
          </w:p>
        </w:tc>
        <w:tc>
          <w:tcPr>
            <w:tcW w:w="1276" w:type="dxa"/>
            <w:vAlign w:val="center"/>
          </w:tcPr>
          <w:p>
            <w:pPr>
              <w:widowControl/>
              <w:jc w:val="center"/>
              <w:rPr>
                <w:color w:val="000000"/>
                <w:kern w:val="0"/>
                <w:sz w:val="20"/>
              </w:rPr>
            </w:pPr>
            <w:r>
              <w:rPr>
                <w:color w:val="000000"/>
                <w:kern w:val="0"/>
                <w:sz w:val="20"/>
              </w:rPr>
              <w:t>27000-30000</w:t>
            </w:r>
          </w:p>
        </w:tc>
        <w:tc>
          <w:tcPr>
            <w:tcW w:w="1005" w:type="dxa"/>
            <w:vAlign w:val="center"/>
          </w:tcPr>
          <w:p>
            <w:pPr>
              <w:widowControl/>
              <w:jc w:val="center"/>
              <w:rPr>
                <w:color w:val="000000"/>
                <w:kern w:val="0"/>
                <w:sz w:val="20"/>
              </w:rPr>
            </w:pPr>
            <w:r>
              <w:rPr>
                <w:color w:val="000000"/>
                <w:kern w:val="0"/>
                <w:sz w:val="20"/>
              </w:rPr>
              <w:t>&gt;30000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848" w:type="dxa"/>
            <w:vMerge w:val="restart"/>
            <w:vAlign w:val="center"/>
          </w:tcPr>
          <w:p>
            <w:pPr>
              <w:widowControl/>
              <w:jc w:val="center"/>
              <w:rPr>
                <w:color w:val="000000"/>
                <w:kern w:val="0"/>
                <w:sz w:val="20"/>
              </w:rPr>
            </w:pPr>
            <w:r>
              <w:rPr>
                <w:color w:val="000000"/>
                <w:kern w:val="0"/>
                <w:sz w:val="20"/>
              </w:rPr>
              <w:t>环境条件</w:t>
            </w:r>
          </w:p>
        </w:tc>
        <w:tc>
          <w:tcPr>
            <w:tcW w:w="927" w:type="dxa"/>
            <w:vMerge w:val="restart"/>
            <w:vAlign w:val="center"/>
          </w:tcPr>
          <w:p>
            <w:pPr>
              <w:widowControl/>
              <w:jc w:val="center"/>
              <w:rPr>
                <w:color w:val="000000"/>
                <w:kern w:val="0"/>
                <w:sz w:val="20"/>
              </w:rPr>
            </w:pPr>
            <w:r>
              <w:rPr>
                <w:color w:val="000000"/>
                <w:kern w:val="0"/>
                <w:sz w:val="20"/>
              </w:rPr>
              <w:t>环境优劣度</w:t>
            </w:r>
          </w:p>
        </w:tc>
        <w:tc>
          <w:tcPr>
            <w:tcW w:w="1490" w:type="dxa"/>
            <w:vAlign w:val="center"/>
          </w:tcPr>
          <w:p>
            <w:pPr>
              <w:widowControl/>
              <w:jc w:val="center"/>
              <w:rPr>
                <w:color w:val="000000"/>
                <w:kern w:val="0"/>
                <w:sz w:val="20"/>
              </w:rPr>
            </w:pPr>
            <w:r>
              <w:rPr>
                <w:color w:val="000000"/>
                <w:kern w:val="0"/>
                <w:sz w:val="20"/>
              </w:rPr>
              <w:t>水污染情况</w:t>
            </w:r>
          </w:p>
        </w:tc>
        <w:tc>
          <w:tcPr>
            <w:tcW w:w="1005" w:type="dxa"/>
            <w:vAlign w:val="center"/>
          </w:tcPr>
          <w:p>
            <w:pPr>
              <w:widowControl/>
              <w:jc w:val="center"/>
              <w:rPr>
                <w:color w:val="000000"/>
                <w:kern w:val="0"/>
                <w:sz w:val="20"/>
              </w:rPr>
            </w:pPr>
            <w:r>
              <w:rPr>
                <w:color w:val="000000"/>
                <w:kern w:val="0"/>
                <w:sz w:val="20"/>
              </w:rPr>
              <w:t>低</w:t>
            </w:r>
          </w:p>
        </w:tc>
        <w:tc>
          <w:tcPr>
            <w:tcW w:w="1327" w:type="dxa"/>
            <w:vAlign w:val="center"/>
          </w:tcPr>
          <w:p>
            <w:pPr>
              <w:widowControl/>
              <w:jc w:val="center"/>
              <w:rPr>
                <w:color w:val="000000"/>
                <w:kern w:val="0"/>
                <w:sz w:val="20"/>
              </w:rPr>
            </w:pPr>
            <w:r>
              <w:rPr>
                <w:color w:val="000000"/>
                <w:kern w:val="0"/>
                <w:sz w:val="20"/>
              </w:rPr>
              <w:t>较低</w:t>
            </w:r>
          </w:p>
        </w:tc>
        <w:tc>
          <w:tcPr>
            <w:tcW w:w="1275" w:type="dxa"/>
            <w:vAlign w:val="center"/>
          </w:tcPr>
          <w:p>
            <w:pPr>
              <w:widowControl/>
              <w:jc w:val="center"/>
              <w:rPr>
                <w:color w:val="000000"/>
                <w:kern w:val="0"/>
                <w:sz w:val="20"/>
              </w:rPr>
            </w:pPr>
            <w:r>
              <w:rPr>
                <w:color w:val="000000"/>
                <w:kern w:val="0"/>
                <w:sz w:val="20"/>
              </w:rPr>
              <w:t>一般</w:t>
            </w:r>
          </w:p>
        </w:tc>
        <w:tc>
          <w:tcPr>
            <w:tcW w:w="1276" w:type="dxa"/>
            <w:vAlign w:val="center"/>
          </w:tcPr>
          <w:p>
            <w:pPr>
              <w:widowControl/>
              <w:jc w:val="center"/>
              <w:rPr>
                <w:color w:val="000000"/>
                <w:kern w:val="0"/>
                <w:sz w:val="20"/>
              </w:rPr>
            </w:pPr>
            <w:r>
              <w:rPr>
                <w:color w:val="000000"/>
                <w:kern w:val="0"/>
                <w:sz w:val="20"/>
              </w:rPr>
              <w:t>较高</w:t>
            </w:r>
          </w:p>
        </w:tc>
        <w:tc>
          <w:tcPr>
            <w:tcW w:w="1005" w:type="dxa"/>
            <w:vAlign w:val="center"/>
          </w:tcPr>
          <w:p>
            <w:pPr>
              <w:widowControl/>
              <w:jc w:val="center"/>
              <w:rPr>
                <w:color w:val="000000"/>
                <w:kern w:val="0"/>
                <w:sz w:val="20"/>
              </w:rPr>
            </w:pPr>
            <w:r>
              <w:rPr>
                <w:color w:val="000000"/>
                <w:kern w:val="0"/>
                <w:sz w:val="20"/>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48" w:type="dxa"/>
            <w:vMerge w:val="continue"/>
            <w:vAlign w:val="center"/>
          </w:tcPr>
          <w:p>
            <w:pPr>
              <w:widowControl/>
              <w:jc w:val="left"/>
              <w:rPr>
                <w:color w:val="000000"/>
                <w:kern w:val="0"/>
                <w:sz w:val="20"/>
              </w:rPr>
            </w:pPr>
          </w:p>
        </w:tc>
        <w:tc>
          <w:tcPr>
            <w:tcW w:w="927" w:type="dxa"/>
            <w:vMerge w:val="continue"/>
            <w:vAlign w:val="center"/>
          </w:tcPr>
          <w:p>
            <w:pPr>
              <w:widowControl/>
              <w:jc w:val="left"/>
              <w:rPr>
                <w:color w:val="000000"/>
                <w:kern w:val="0"/>
                <w:sz w:val="20"/>
              </w:rPr>
            </w:pPr>
          </w:p>
        </w:tc>
        <w:tc>
          <w:tcPr>
            <w:tcW w:w="1490" w:type="dxa"/>
            <w:vAlign w:val="center"/>
          </w:tcPr>
          <w:p>
            <w:pPr>
              <w:widowControl/>
              <w:jc w:val="center"/>
              <w:rPr>
                <w:color w:val="000000"/>
                <w:kern w:val="0"/>
                <w:sz w:val="20"/>
              </w:rPr>
            </w:pPr>
            <w:r>
              <w:rPr>
                <w:color w:val="000000"/>
                <w:kern w:val="0"/>
                <w:sz w:val="20"/>
              </w:rPr>
              <w:t>大气污染情况</w:t>
            </w:r>
          </w:p>
        </w:tc>
        <w:tc>
          <w:tcPr>
            <w:tcW w:w="1005" w:type="dxa"/>
            <w:vAlign w:val="center"/>
          </w:tcPr>
          <w:p>
            <w:pPr>
              <w:widowControl/>
              <w:jc w:val="center"/>
              <w:rPr>
                <w:color w:val="000000"/>
                <w:kern w:val="0"/>
                <w:sz w:val="20"/>
              </w:rPr>
            </w:pPr>
            <w:r>
              <w:rPr>
                <w:color w:val="000000"/>
                <w:kern w:val="0"/>
                <w:sz w:val="20"/>
              </w:rPr>
              <w:t>低</w:t>
            </w:r>
          </w:p>
        </w:tc>
        <w:tc>
          <w:tcPr>
            <w:tcW w:w="1327" w:type="dxa"/>
            <w:vAlign w:val="center"/>
          </w:tcPr>
          <w:p>
            <w:pPr>
              <w:widowControl/>
              <w:jc w:val="center"/>
              <w:rPr>
                <w:color w:val="000000"/>
                <w:kern w:val="0"/>
                <w:sz w:val="20"/>
              </w:rPr>
            </w:pPr>
            <w:r>
              <w:rPr>
                <w:color w:val="000000"/>
                <w:kern w:val="0"/>
                <w:sz w:val="20"/>
              </w:rPr>
              <w:t>较低</w:t>
            </w:r>
          </w:p>
        </w:tc>
        <w:tc>
          <w:tcPr>
            <w:tcW w:w="1275" w:type="dxa"/>
            <w:vAlign w:val="center"/>
          </w:tcPr>
          <w:p>
            <w:pPr>
              <w:widowControl/>
              <w:jc w:val="center"/>
              <w:rPr>
                <w:color w:val="000000"/>
                <w:kern w:val="0"/>
                <w:sz w:val="20"/>
              </w:rPr>
            </w:pPr>
            <w:r>
              <w:rPr>
                <w:color w:val="000000"/>
                <w:kern w:val="0"/>
                <w:sz w:val="20"/>
              </w:rPr>
              <w:t>一般</w:t>
            </w:r>
          </w:p>
        </w:tc>
        <w:tc>
          <w:tcPr>
            <w:tcW w:w="1276" w:type="dxa"/>
            <w:vAlign w:val="center"/>
          </w:tcPr>
          <w:p>
            <w:pPr>
              <w:widowControl/>
              <w:jc w:val="center"/>
              <w:rPr>
                <w:color w:val="000000"/>
                <w:kern w:val="0"/>
                <w:sz w:val="20"/>
              </w:rPr>
            </w:pPr>
            <w:r>
              <w:rPr>
                <w:color w:val="000000"/>
                <w:kern w:val="0"/>
                <w:sz w:val="20"/>
              </w:rPr>
              <w:t>较高</w:t>
            </w:r>
          </w:p>
        </w:tc>
        <w:tc>
          <w:tcPr>
            <w:tcW w:w="1005" w:type="dxa"/>
            <w:vAlign w:val="center"/>
          </w:tcPr>
          <w:p>
            <w:pPr>
              <w:widowControl/>
              <w:jc w:val="center"/>
              <w:rPr>
                <w:color w:val="000000"/>
                <w:kern w:val="0"/>
                <w:sz w:val="20"/>
              </w:rPr>
            </w:pPr>
            <w:r>
              <w:rPr>
                <w:color w:val="000000"/>
                <w:kern w:val="0"/>
                <w:sz w:val="20"/>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48" w:type="dxa"/>
            <w:vMerge w:val="continue"/>
            <w:vAlign w:val="center"/>
          </w:tcPr>
          <w:p>
            <w:pPr>
              <w:widowControl/>
              <w:jc w:val="left"/>
              <w:rPr>
                <w:color w:val="000000"/>
                <w:kern w:val="0"/>
                <w:sz w:val="20"/>
              </w:rPr>
            </w:pPr>
          </w:p>
        </w:tc>
        <w:tc>
          <w:tcPr>
            <w:tcW w:w="927" w:type="dxa"/>
            <w:vMerge w:val="continue"/>
            <w:vAlign w:val="center"/>
          </w:tcPr>
          <w:p>
            <w:pPr>
              <w:widowControl/>
              <w:jc w:val="left"/>
              <w:rPr>
                <w:color w:val="000000"/>
                <w:kern w:val="0"/>
                <w:sz w:val="20"/>
              </w:rPr>
            </w:pPr>
          </w:p>
        </w:tc>
        <w:tc>
          <w:tcPr>
            <w:tcW w:w="1490" w:type="dxa"/>
            <w:vAlign w:val="center"/>
          </w:tcPr>
          <w:p>
            <w:pPr>
              <w:widowControl/>
              <w:jc w:val="center"/>
              <w:rPr>
                <w:color w:val="000000"/>
                <w:kern w:val="0"/>
                <w:sz w:val="20"/>
              </w:rPr>
            </w:pPr>
            <w:r>
              <w:rPr>
                <w:color w:val="000000"/>
                <w:kern w:val="0"/>
                <w:sz w:val="20"/>
              </w:rPr>
              <w:t>噪声污染情况</w:t>
            </w:r>
          </w:p>
        </w:tc>
        <w:tc>
          <w:tcPr>
            <w:tcW w:w="1005" w:type="dxa"/>
            <w:vAlign w:val="center"/>
          </w:tcPr>
          <w:p>
            <w:pPr>
              <w:widowControl/>
              <w:jc w:val="center"/>
              <w:rPr>
                <w:color w:val="000000"/>
                <w:kern w:val="0"/>
                <w:sz w:val="20"/>
              </w:rPr>
            </w:pPr>
            <w:r>
              <w:rPr>
                <w:color w:val="000000"/>
                <w:kern w:val="0"/>
                <w:sz w:val="20"/>
              </w:rPr>
              <w:t>低</w:t>
            </w:r>
          </w:p>
        </w:tc>
        <w:tc>
          <w:tcPr>
            <w:tcW w:w="1327" w:type="dxa"/>
            <w:vAlign w:val="center"/>
          </w:tcPr>
          <w:p>
            <w:pPr>
              <w:widowControl/>
              <w:jc w:val="center"/>
              <w:rPr>
                <w:color w:val="000000"/>
                <w:kern w:val="0"/>
                <w:sz w:val="20"/>
              </w:rPr>
            </w:pPr>
            <w:r>
              <w:rPr>
                <w:color w:val="000000"/>
                <w:kern w:val="0"/>
                <w:sz w:val="20"/>
              </w:rPr>
              <w:t>较低</w:t>
            </w:r>
          </w:p>
        </w:tc>
        <w:tc>
          <w:tcPr>
            <w:tcW w:w="1275" w:type="dxa"/>
            <w:vAlign w:val="center"/>
          </w:tcPr>
          <w:p>
            <w:pPr>
              <w:widowControl/>
              <w:jc w:val="center"/>
              <w:rPr>
                <w:color w:val="000000"/>
                <w:kern w:val="0"/>
                <w:sz w:val="20"/>
              </w:rPr>
            </w:pPr>
            <w:r>
              <w:rPr>
                <w:color w:val="000000"/>
                <w:kern w:val="0"/>
                <w:sz w:val="20"/>
              </w:rPr>
              <w:t>一般</w:t>
            </w:r>
          </w:p>
        </w:tc>
        <w:tc>
          <w:tcPr>
            <w:tcW w:w="1276" w:type="dxa"/>
            <w:vAlign w:val="center"/>
          </w:tcPr>
          <w:p>
            <w:pPr>
              <w:widowControl/>
              <w:jc w:val="center"/>
              <w:rPr>
                <w:color w:val="000000"/>
                <w:kern w:val="0"/>
                <w:sz w:val="20"/>
              </w:rPr>
            </w:pPr>
            <w:r>
              <w:rPr>
                <w:color w:val="000000"/>
                <w:kern w:val="0"/>
                <w:sz w:val="20"/>
              </w:rPr>
              <w:t>较高</w:t>
            </w:r>
          </w:p>
        </w:tc>
        <w:tc>
          <w:tcPr>
            <w:tcW w:w="1005" w:type="dxa"/>
            <w:vAlign w:val="center"/>
          </w:tcPr>
          <w:p>
            <w:pPr>
              <w:widowControl/>
              <w:jc w:val="center"/>
              <w:rPr>
                <w:color w:val="000000"/>
                <w:kern w:val="0"/>
                <w:sz w:val="20"/>
              </w:rPr>
            </w:pPr>
            <w:r>
              <w:rPr>
                <w:color w:val="000000"/>
                <w:kern w:val="0"/>
                <w:sz w:val="20"/>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848" w:type="dxa"/>
            <w:vMerge w:val="continue"/>
            <w:vAlign w:val="center"/>
          </w:tcPr>
          <w:p>
            <w:pPr>
              <w:widowControl/>
              <w:jc w:val="left"/>
              <w:rPr>
                <w:color w:val="000000"/>
                <w:kern w:val="0"/>
                <w:sz w:val="20"/>
              </w:rPr>
            </w:pPr>
          </w:p>
        </w:tc>
        <w:tc>
          <w:tcPr>
            <w:tcW w:w="927" w:type="dxa"/>
            <w:vAlign w:val="center"/>
          </w:tcPr>
          <w:p>
            <w:pPr>
              <w:widowControl/>
              <w:jc w:val="center"/>
              <w:rPr>
                <w:color w:val="000000"/>
                <w:kern w:val="0"/>
                <w:sz w:val="20"/>
              </w:rPr>
            </w:pPr>
            <w:r>
              <w:rPr>
                <w:color w:val="000000"/>
                <w:kern w:val="0"/>
                <w:sz w:val="20"/>
              </w:rPr>
              <w:t>自然条件优劣度</w:t>
            </w:r>
          </w:p>
        </w:tc>
        <w:tc>
          <w:tcPr>
            <w:tcW w:w="1490" w:type="dxa"/>
            <w:vAlign w:val="center"/>
          </w:tcPr>
          <w:p>
            <w:pPr>
              <w:widowControl/>
              <w:jc w:val="center"/>
              <w:rPr>
                <w:color w:val="000000"/>
                <w:kern w:val="0"/>
                <w:sz w:val="20"/>
              </w:rPr>
            </w:pPr>
            <w:r>
              <w:rPr>
                <w:color w:val="000000"/>
                <w:kern w:val="0"/>
                <w:sz w:val="20"/>
              </w:rPr>
              <w:t>洪水淹没状况</w:t>
            </w:r>
          </w:p>
        </w:tc>
        <w:tc>
          <w:tcPr>
            <w:tcW w:w="1005" w:type="dxa"/>
            <w:vAlign w:val="center"/>
          </w:tcPr>
          <w:p>
            <w:pPr>
              <w:widowControl/>
              <w:jc w:val="center"/>
              <w:rPr>
                <w:color w:val="000000"/>
                <w:kern w:val="0"/>
                <w:sz w:val="20"/>
              </w:rPr>
            </w:pPr>
            <w:r>
              <w:rPr>
                <w:color w:val="000000"/>
                <w:kern w:val="0"/>
                <w:sz w:val="20"/>
              </w:rPr>
              <w:t>低</w:t>
            </w:r>
          </w:p>
        </w:tc>
        <w:tc>
          <w:tcPr>
            <w:tcW w:w="1327" w:type="dxa"/>
            <w:vAlign w:val="center"/>
          </w:tcPr>
          <w:p>
            <w:pPr>
              <w:widowControl/>
              <w:jc w:val="center"/>
              <w:rPr>
                <w:color w:val="000000"/>
                <w:kern w:val="0"/>
                <w:sz w:val="20"/>
              </w:rPr>
            </w:pPr>
            <w:r>
              <w:rPr>
                <w:color w:val="000000"/>
                <w:kern w:val="0"/>
                <w:sz w:val="20"/>
              </w:rPr>
              <w:t>较低</w:t>
            </w:r>
          </w:p>
        </w:tc>
        <w:tc>
          <w:tcPr>
            <w:tcW w:w="1275" w:type="dxa"/>
            <w:vAlign w:val="center"/>
          </w:tcPr>
          <w:p>
            <w:pPr>
              <w:widowControl/>
              <w:jc w:val="center"/>
              <w:rPr>
                <w:color w:val="000000"/>
                <w:kern w:val="0"/>
                <w:sz w:val="20"/>
              </w:rPr>
            </w:pPr>
            <w:r>
              <w:rPr>
                <w:color w:val="000000"/>
                <w:kern w:val="0"/>
                <w:sz w:val="20"/>
              </w:rPr>
              <w:t>一般</w:t>
            </w:r>
          </w:p>
        </w:tc>
        <w:tc>
          <w:tcPr>
            <w:tcW w:w="1276" w:type="dxa"/>
            <w:vAlign w:val="center"/>
          </w:tcPr>
          <w:p>
            <w:pPr>
              <w:widowControl/>
              <w:jc w:val="center"/>
              <w:rPr>
                <w:color w:val="000000"/>
                <w:kern w:val="0"/>
                <w:sz w:val="20"/>
              </w:rPr>
            </w:pPr>
            <w:r>
              <w:rPr>
                <w:color w:val="000000"/>
                <w:kern w:val="0"/>
                <w:sz w:val="20"/>
              </w:rPr>
              <w:t>较高</w:t>
            </w:r>
          </w:p>
        </w:tc>
        <w:tc>
          <w:tcPr>
            <w:tcW w:w="1005" w:type="dxa"/>
            <w:vAlign w:val="center"/>
          </w:tcPr>
          <w:p>
            <w:pPr>
              <w:widowControl/>
              <w:jc w:val="center"/>
              <w:rPr>
                <w:color w:val="000000"/>
                <w:kern w:val="0"/>
                <w:sz w:val="20"/>
              </w:rPr>
            </w:pPr>
            <w:r>
              <w:rPr>
                <w:color w:val="000000"/>
                <w:kern w:val="0"/>
                <w:sz w:val="20"/>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48" w:type="dxa"/>
            <w:vAlign w:val="center"/>
          </w:tcPr>
          <w:p>
            <w:pPr>
              <w:widowControl/>
              <w:jc w:val="center"/>
              <w:rPr>
                <w:color w:val="000000"/>
                <w:kern w:val="0"/>
                <w:sz w:val="20"/>
              </w:rPr>
            </w:pPr>
            <w:r>
              <w:rPr>
                <w:color w:val="000000"/>
                <w:kern w:val="0"/>
                <w:sz w:val="20"/>
              </w:rPr>
              <w:t>繁华程度</w:t>
            </w:r>
          </w:p>
        </w:tc>
        <w:tc>
          <w:tcPr>
            <w:tcW w:w="927" w:type="dxa"/>
            <w:vAlign w:val="center"/>
          </w:tcPr>
          <w:p>
            <w:pPr>
              <w:widowControl/>
              <w:jc w:val="center"/>
              <w:rPr>
                <w:color w:val="000000"/>
                <w:kern w:val="0"/>
                <w:sz w:val="20"/>
              </w:rPr>
            </w:pPr>
            <w:r>
              <w:rPr>
                <w:color w:val="000000"/>
                <w:kern w:val="0"/>
                <w:sz w:val="20"/>
              </w:rPr>
              <w:t>商服繁华影响度</w:t>
            </w:r>
          </w:p>
        </w:tc>
        <w:tc>
          <w:tcPr>
            <w:tcW w:w="1490" w:type="dxa"/>
            <w:vAlign w:val="center"/>
          </w:tcPr>
          <w:p>
            <w:pPr>
              <w:widowControl/>
              <w:jc w:val="center"/>
              <w:rPr>
                <w:color w:val="000000"/>
                <w:kern w:val="0"/>
                <w:sz w:val="20"/>
              </w:rPr>
            </w:pPr>
            <w:r>
              <w:rPr>
                <w:color w:val="000000"/>
                <w:kern w:val="0"/>
                <w:sz w:val="20"/>
              </w:rPr>
              <w:t>距商服中心距离</w:t>
            </w:r>
          </w:p>
        </w:tc>
        <w:tc>
          <w:tcPr>
            <w:tcW w:w="1005" w:type="dxa"/>
            <w:vAlign w:val="center"/>
          </w:tcPr>
          <w:p>
            <w:pPr>
              <w:widowControl/>
              <w:jc w:val="center"/>
              <w:rPr>
                <w:kern w:val="0"/>
                <w:sz w:val="20"/>
              </w:rPr>
            </w:pPr>
            <w:r>
              <w:rPr>
                <w:kern w:val="0"/>
                <w:sz w:val="20"/>
              </w:rPr>
              <w:t>≤200</w:t>
            </w:r>
          </w:p>
        </w:tc>
        <w:tc>
          <w:tcPr>
            <w:tcW w:w="1327" w:type="dxa"/>
            <w:vAlign w:val="center"/>
          </w:tcPr>
          <w:p>
            <w:pPr>
              <w:widowControl/>
              <w:jc w:val="center"/>
              <w:rPr>
                <w:kern w:val="0"/>
                <w:sz w:val="20"/>
              </w:rPr>
            </w:pPr>
            <w:r>
              <w:rPr>
                <w:kern w:val="0"/>
                <w:sz w:val="20"/>
              </w:rPr>
              <w:t>200-400</w:t>
            </w:r>
          </w:p>
        </w:tc>
        <w:tc>
          <w:tcPr>
            <w:tcW w:w="1275" w:type="dxa"/>
            <w:vAlign w:val="center"/>
          </w:tcPr>
          <w:p>
            <w:pPr>
              <w:widowControl/>
              <w:jc w:val="center"/>
              <w:rPr>
                <w:kern w:val="0"/>
                <w:sz w:val="20"/>
              </w:rPr>
            </w:pPr>
            <w:r>
              <w:rPr>
                <w:kern w:val="0"/>
                <w:sz w:val="20"/>
              </w:rPr>
              <w:t>400-700</w:t>
            </w:r>
          </w:p>
        </w:tc>
        <w:tc>
          <w:tcPr>
            <w:tcW w:w="1276" w:type="dxa"/>
            <w:vAlign w:val="center"/>
          </w:tcPr>
          <w:p>
            <w:pPr>
              <w:widowControl/>
              <w:jc w:val="center"/>
              <w:rPr>
                <w:kern w:val="0"/>
                <w:sz w:val="20"/>
              </w:rPr>
            </w:pPr>
            <w:r>
              <w:rPr>
                <w:kern w:val="0"/>
                <w:sz w:val="20"/>
              </w:rPr>
              <w:t>700-1000</w:t>
            </w:r>
          </w:p>
        </w:tc>
        <w:tc>
          <w:tcPr>
            <w:tcW w:w="1005" w:type="dxa"/>
            <w:vAlign w:val="center"/>
          </w:tcPr>
          <w:p>
            <w:pPr>
              <w:widowControl/>
              <w:jc w:val="center"/>
              <w:rPr>
                <w:kern w:val="0"/>
                <w:sz w:val="20"/>
              </w:rPr>
            </w:pPr>
            <w:r>
              <w:rPr>
                <w:kern w:val="0"/>
                <w:sz w:val="20"/>
              </w:rPr>
              <w:t>&gt;1000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848" w:type="dxa"/>
            <w:vAlign w:val="center"/>
          </w:tcPr>
          <w:p>
            <w:pPr>
              <w:widowControl/>
              <w:jc w:val="center"/>
              <w:rPr>
                <w:color w:val="000000"/>
                <w:kern w:val="0"/>
                <w:sz w:val="20"/>
              </w:rPr>
            </w:pPr>
            <w:r>
              <w:rPr>
                <w:color w:val="000000"/>
                <w:kern w:val="0"/>
                <w:sz w:val="20"/>
              </w:rPr>
              <w:t>人口状况</w:t>
            </w:r>
          </w:p>
        </w:tc>
        <w:tc>
          <w:tcPr>
            <w:tcW w:w="927" w:type="dxa"/>
            <w:vAlign w:val="center"/>
          </w:tcPr>
          <w:p>
            <w:pPr>
              <w:widowControl/>
              <w:jc w:val="center"/>
              <w:rPr>
                <w:color w:val="000000"/>
                <w:kern w:val="0"/>
                <w:sz w:val="20"/>
              </w:rPr>
            </w:pPr>
            <w:r>
              <w:rPr>
                <w:color w:val="000000"/>
                <w:kern w:val="0"/>
                <w:sz w:val="20"/>
              </w:rPr>
              <w:t>人口密度</w:t>
            </w:r>
          </w:p>
        </w:tc>
        <w:tc>
          <w:tcPr>
            <w:tcW w:w="1490" w:type="dxa"/>
            <w:vAlign w:val="center"/>
          </w:tcPr>
          <w:p>
            <w:pPr>
              <w:widowControl/>
              <w:jc w:val="center"/>
              <w:rPr>
                <w:color w:val="000000"/>
                <w:kern w:val="0"/>
                <w:sz w:val="20"/>
              </w:rPr>
            </w:pPr>
            <w:r>
              <w:rPr>
                <w:color w:val="000000"/>
                <w:kern w:val="0"/>
                <w:sz w:val="20"/>
              </w:rPr>
              <w:t>人口密度</w:t>
            </w:r>
          </w:p>
        </w:tc>
        <w:tc>
          <w:tcPr>
            <w:tcW w:w="1005" w:type="dxa"/>
            <w:vAlign w:val="center"/>
          </w:tcPr>
          <w:p>
            <w:pPr>
              <w:widowControl/>
              <w:jc w:val="center"/>
              <w:rPr>
                <w:color w:val="000000"/>
                <w:kern w:val="0"/>
                <w:sz w:val="20"/>
              </w:rPr>
            </w:pPr>
            <w:r>
              <w:rPr>
                <w:color w:val="000000"/>
                <w:kern w:val="0"/>
                <w:sz w:val="20"/>
              </w:rPr>
              <w:t>人口稠密</w:t>
            </w:r>
          </w:p>
        </w:tc>
        <w:tc>
          <w:tcPr>
            <w:tcW w:w="1327" w:type="dxa"/>
            <w:vAlign w:val="center"/>
          </w:tcPr>
          <w:p>
            <w:pPr>
              <w:widowControl/>
              <w:jc w:val="center"/>
              <w:rPr>
                <w:color w:val="000000"/>
                <w:kern w:val="0"/>
                <w:sz w:val="20"/>
              </w:rPr>
            </w:pPr>
            <w:r>
              <w:rPr>
                <w:color w:val="000000"/>
                <w:kern w:val="0"/>
                <w:sz w:val="20"/>
              </w:rPr>
              <w:t>人口较稠密</w:t>
            </w:r>
          </w:p>
        </w:tc>
        <w:tc>
          <w:tcPr>
            <w:tcW w:w="1275" w:type="dxa"/>
            <w:vAlign w:val="center"/>
          </w:tcPr>
          <w:p>
            <w:pPr>
              <w:widowControl/>
              <w:jc w:val="center"/>
              <w:rPr>
                <w:color w:val="000000"/>
                <w:kern w:val="0"/>
                <w:sz w:val="20"/>
              </w:rPr>
            </w:pPr>
            <w:r>
              <w:rPr>
                <w:color w:val="000000"/>
                <w:kern w:val="0"/>
                <w:sz w:val="20"/>
              </w:rPr>
              <w:t>一般</w:t>
            </w:r>
          </w:p>
        </w:tc>
        <w:tc>
          <w:tcPr>
            <w:tcW w:w="1276" w:type="dxa"/>
            <w:vAlign w:val="center"/>
          </w:tcPr>
          <w:p>
            <w:pPr>
              <w:widowControl/>
              <w:jc w:val="center"/>
              <w:rPr>
                <w:color w:val="000000"/>
                <w:kern w:val="0"/>
                <w:sz w:val="20"/>
              </w:rPr>
            </w:pPr>
            <w:r>
              <w:rPr>
                <w:color w:val="000000"/>
                <w:kern w:val="0"/>
                <w:sz w:val="20"/>
              </w:rPr>
              <w:t>人口较稀疏</w:t>
            </w:r>
          </w:p>
        </w:tc>
        <w:tc>
          <w:tcPr>
            <w:tcW w:w="1005" w:type="dxa"/>
            <w:vAlign w:val="center"/>
          </w:tcPr>
          <w:p>
            <w:pPr>
              <w:widowControl/>
              <w:jc w:val="center"/>
              <w:rPr>
                <w:color w:val="000000"/>
                <w:kern w:val="0"/>
                <w:sz w:val="20"/>
              </w:rPr>
            </w:pPr>
            <w:r>
              <w:rPr>
                <w:color w:val="000000"/>
                <w:kern w:val="0"/>
                <w:sz w:val="20"/>
              </w:rPr>
              <w:t>人口稀疏区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848" w:type="dxa"/>
            <w:vMerge w:val="restart"/>
            <w:vAlign w:val="center"/>
          </w:tcPr>
          <w:p>
            <w:pPr>
              <w:widowControl/>
              <w:jc w:val="center"/>
              <w:rPr>
                <w:color w:val="000000"/>
                <w:kern w:val="0"/>
                <w:sz w:val="20"/>
              </w:rPr>
            </w:pPr>
            <w:r>
              <w:rPr>
                <w:color w:val="000000"/>
                <w:kern w:val="0"/>
                <w:sz w:val="20"/>
              </w:rPr>
              <w:t>城市规划</w:t>
            </w:r>
          </w:p>
        </w:tc>
        <w:tc>
          <w:tcPr>
            <w:tcW w:w="927" w:type="dxa"/>
            <w:vMerge w:val="restart"/>
            <w:vAlign w:val="center"/>
          </w:tcPr>
          <w:p>
            <w:pPr>
              <w:widowControl/>
              <w:jc w:val="center"/>
              <w:rPr>
                <w:color w:val="000000"/>
                <w:kern w:val="0"/>
                <w:sz w:val="20"/>
              </w:rPr>
            </w:pPr>
            <w:r>
              <w:rPr>
                <w:color w:val="000000"/>
                <w:kern w:val="0"/>
                <w:sz w:val="20"/>
              </w:rPr>
              <w:t>城市规划</w:t>
            </w:r>
          </w:p>
        </w:tc>
        <w:tc>
          <w:tcPr>
            <w:tcW w:w="1490" w:type="dxa"/>
            <w:vAlign w:val="center"/>
          </w:tcPr>
          <w:p>
            <w:pPr>
              <w:widowControl/>
              <w:jc w:val="center"/>
              <w:rPr>
                <w:color w:val="000000"/>
                <w:kern w:val="0"/>
                <w:sz w:val="20"/>
              </w:rPr>
            </w:pPr>
            <w:r>
              <w:rPr>
                <w:color w:val="000000"/>
                <w:kern w:val="0"/>
                <w:sz w:val="20"/>
              </w:rPr>
              <w:t>用地规划</w:t>
            </w:r>
          </w:p>
        </w:tc>
        <w:tc>
          <w:tcPr>
            <w:tcW w:w="1005" w:type="dxa"/>
            <w:vAlign w:val="center"/>
          </w:tcPr>
          <w:p>
            <w:pPr>
              <w:widowControl/>
              <w:jc w:val="center"/>
              <w:rPr>
                <w:color w:val="000000"/>
                <w:kern w:val="0"/>
                <w:sz w:val="20"/>
              </w:rPr>
            </w:pPr>
            <w:r>
              <w:rPr>
                <w:color w:val="000000"/>
                <w:kern w:val="0"/>
                <w:sz w:val="20"/>
              </w:rPr>
              <w:t>主干道</w:t>
            </w:r>
          </w:p>
        </w:tc>
        <w:tc>
          <w:tcPr>
            <w:tcW w:w="1327" w:type="dxa"/>
            <w:vAlign w:val="center"/>
          </w:tcPr>
          <w:p>
            <w:pPr>
              <w:widowControl/>
              <w:jc w:val="center"/>
              <w:rPr>
                <w:color w:val="000000"/>
                <w:kern w:val="0"/>
                <w:sz w:val="20"/>
              </w:rPr>
            </w:pPr>
            <w:r>
              <w:rPr>
                <w:color w:val="000000"/>
                <w:kern w:val="0"/>
                <w:sz w:val="20"/>
              </w:rPr>
              <w:t>次干道</w:t>
            </w:r>
          </w:p>
        </w:tc>
        <w:tc>
          <w:tcPr>
            <w:tcW w:w="1275" w:type="dxa"/>
            <w:vAlign w:val="center"/>
          </w:tcPr>
          <w:p>
            <w:pPr>
              <w:widowControl/>
              <w:jc w:val="center"/>
              <w:rPr>
                <w:color w:val="000000"/>
                <w:kern w:val="0"/>
                <w:sz w:val="20"/>
              </w:rPr>
            </w:pPr>
            <w:r>
              <w:rPr>
                <w:color w:val="000000"/>
                <w:kern w:val="0"/>
                <w:sz w:val="20"/>
              </w:rPr>
              <w:t>快速路</w:t>
            </w:r>
          </w:p>
        </w:tc>
        <w:tc>
          <w:tcPr>
            <w:tcW w:w="1276" w:type="dxa"/>
            <w:vAlign w:val="center"/>
          </w:tcPr>
          <w:p>
            <w:pPr>
              <w:widowControl/>
              <w:jc w:val="center"/>
              <w:rPr>
                <w:color w:val="000000"/>
                <w:kern w:val="0"/>
                <w:sz w:val="20"/>
              </w:rPr>
            </w:pPr>
            <w:r>
              <w:rPr>
                <w:color w:val="000000"/>
                <w:kern w:val="0"/>
                <w:sz w:val="20"/>
              </w:rPr>
              <w:t>支路</w:t>
            </w:r>
          </w:p>
        </w:tc>
        <w:tc>
          <w:tcPr>
            <w:tcW w:w="1005" w:type="dxa"/>
            <w:vAlign w:val="center"/>
          </w:tcPr>
          <w:p>
            <w:pPr>
              <w:widowControl/>
              <w:jc w:val="center"/>
              <w:rPr>
                <w:color w:val="000000"/>
                <w:kern w:val="0"/>
                <w:sz w:val="20"/>
              </w:rPr>
            </w:pPr>
            <w:r>
              <w:rPr>
                <w:color w:val="000000"/>
                <w:kern w:val="0"/>
                <w:sz w:val="20"/>
              </w:rPr>
              <w:t>街坊间支路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848" w:type="dxa"/>
            <w:vMerge w:val="continue"/>
            <w:vAlign w:val="center"/>
          </w:tcPr>
          <w:p>
            <w:pPr>
              <w:widowControl/>
              <w:jc w:val="left"/>
              <w:rPr>
                <w:color w:val="000000"/>
                <w:kern w:val="0"/>
                <w:sz w:val="20"/>
              </w:rPr>
            </w:pPr>
          </w:p>
        </w:tc>
        <w:tc>
          <w:tcPr>
            <w:tcW w:w="927" w:type="dxa"/>
            <w:vMerge w:val="continue"/>
            <w:vAlign w:val="center"/>
          </w:tcPr>
          <w:p>
            <w:pPr>
              <w:widowControl/>
              <w:jc w:val="left"/>
              <w:rPr>
                <w:color w:val="000000"/>
                <w:kern w:val="0"/>
                <w:sz w:val="20"/>
              </w:rPr>
            </w:pPr>
          </w:p>
        </w:tc>
        <w:tc>
          <w:tcPr>
            <w:tcW w:w="1490" w:type="dxa"/>
            <w:vAlign w:val="center"/>
          </w:tcPr>
          <w:p>
            <w:pPr>
              <w:widowControl/>
              <w:jc w:val="center"/>
              <w:rPr>
                <w:color w:val="000000"/>
                <w:kern w:val="0"/>
                <w:sz w:val="20"/>
              </w:rPr>
            </w:pPr>
            <w:r>
              <w:rPr>
                <w:color w:val="000000"/>
                <w:kern w:val="0"/>
                <w:sz w:val="20"/>
              </w:rPr>
              <w:t>道路规划</w:t>
            </w:r>
          </w:p>
        </w:tc>
        <w:tc>
          <w:tcPr>
            <w:tcW w:w="1005" w:type="dxa"/>
            <w:vAlign w:val="center"/>
          </w:tcPr>
          <w:p>
            <w:pPr>
              <w:widowControl/>
              <w:jc w:val="center"/>
              <w:rPr>
                <w:color w:val="000000"/>
                <w:kern w:val="0"/>
                <w:sz w:val="20"/>
              </w:rPr>
            </w:pPr>
            <w:r>
              <w:rPr>
                <w:color w:val="000000"/>
                <w:kern w:val="0"/>
                <w:sz w:val="20"/>
              </w:rPr>
              <w:t>最佳用途</w:t>
            </w:r>
          </w:p>
        </w:tc>
        <w:tc>
          <w:tcPr>
            <w:tcW w:w="1327" w:type="dxa"/>
            <w:vAlign w:val="center"/>
          </w:tcPr>
          <w:p>
            <w:pPr>
              <w:widowControl/>
              <w:jc w:val="center"/>
              <w:rPr>
                <w:color w:val="000000"/>
                <w:kern w:val="0"/>
                <w:sz w:val="20"/>
              </w:rPr>
            </w:pPr>
            <w:r>
              <w:rPr>
                <w:color w:val="000000"/>
                <w:kern w:val="0"/>
                <w:sz w:val="20"/>
              </w:rPr>
              <w:t>较适用途</w:t>
            </w:r>
          </w:p>
        </w:tc>
        <w:tc>
          <w:tcPr>
            <w:tcW w:w="1275" w:type="dxa"/>
            <w:vAlign w:val="center"/>
          </w:tcPr>
          <w:p>
            <w:pPr>
              <w:widowControl/>
              <w:jc w:val="center"/>
              <w:rPr>
                <w:color w:val="000000"/>
                <w:kern w:val="0"/>
                <w:sz w:val="20"/>
              </w:rPr>
            </w:pPr>
            <w:r>
              <w:rPr>
                <w:color w:val="000000"/>
                <w:kern w:val="0"/>
                <w:sz w:val="20"/>
              </w:rPr>
              <w:t>一般用途</w:t>
            </w:r>
          </w:p>
        </w:tc>
        <w:tc>
          <w:tcPr>
            <w:tcW w:w="1276" w:type="dxa"/>
            <w:vAlign w:val="center"/>
          </w:tcPr>
          <w:p>
            <w:pPr>
              <w:widowControl/>
              <w:jc w:val="center"/>
              <w:rPr>
                <w:color w:val="000000"/>
                <w:kern w:val="0"/>
                <w:sz w:val="20"/>
              </w:rPr>
            </w:pPr>
            <w:r>
              <w:rPr>
                <w:color w:val="000000"/>
                <w:kern w:val="0"/>
                <w:sz w:val="20"/>
              </w:rPr>
              <w:t>不太适合用途</w:t>
            </w:r>
          </w:p>
        </w:tc>
        <w:tc>
          <w:tcPr>
            <w:tcW w:w="1005" w:type="dxa"/>
            <w:vAlign w:val="center"/>
          </w:tcPr>
          <w:p>
            <w:pPr>
              <w:widowControl/>
              <w:jc w:val="center"/>
              <w:rPr>
                <w:color w:val="000000"/>
                <w:kern w:val="0"/>
                <w:sz w:val="20"/>
              </w:rPr>
            </w:pPr>
            <w:r>
              <w:rPr>
                <w:color w:val="000000"/>
                <w:kern w:val="0"/>
                <w:sz w:val="20"/>
              </w:rPr>
              <w:t>不适合用途</w:t>
            </w:r>
          </w:p>
        </w:tc>
      </w:tr>
    </w:tbl>
    <w:p>
      <w:pPr>
        <w:widowControl/>
        <w:ind w:firstLine="480" w:firstLineChars="200"/>
        <w:jc w:val="left"/>
        <w:rPr>
          <w:b/>
          <w:sz w:val="24"/>
          <w:szCs w:val="24"/>
        </w:rPr>
      </w:pPr>
      <w:r>
        <w:rPr>
          <w:bCs/>
          <w:sz w:val="24"/>
          <w:szCs w:val="24"/>
        </w:rPr>
        <w:br w:type="page"/>
      </w:r>
    </w:p>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表4-4-3  长沙县Ⅱ级住宅用地宗地地价区域因素修正系数表（%）</w:t>
      </w:r>
    </w:p>
    <w:tbl>
      <w:tblPr>
        <w:tblW w:w="90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64"/>
        <w:gridCol w:w="1976"/>
        <w:gridCol w:w="954"/>
        <w:gridCol w:w="954"/>
        <w:gridCol w:w="954"/>
        <w:gridCol w:w="953"/>
        <w:gridCol w:w="953"/>
        <w:gridCol w:w="9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1976"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指标层</w:t>
            </w:r>
          </w:p>
        </w:tc>
        <w:tc>
          <w:tcPr>
            <w:tcW w:w="954" w:type="dxa"/>
            <w:tcBorders>
              <w:top w:val="single" w:color="auto" w:sz="4" w:space="0"/>
              <w:left w:val="nil"/>
              <w:bottom w:val="nil"/>
              <w:right w:val="single" w:color="auto" w:sz="4" w:space="0"/>
            </w:tcBorders>
            <w:vAlign w:val="center"/>
          </w:tcPr>
          <w:p>
            <w:pPr>
              <w:widowControl/>
              <w:jc w:val="center"/>
              <w:rPr>
                <w:b/>
                <w:bCs/>
                <w:kern w:val="0"/>
                <w:szCs w:val="21"/>
              </w:rPr>
            </w:pPr>
            <w:r>
              <w:rPr>
                <w:b/>
                <w:bCs/>
                <w:kern w:val="0"/>
                <w:szCs w:val="21"/>
              </w:rPr>
              <w:t>权重</w:t>
            </w:r>
          </w:p>
        </w:tc>
        <w:tc>
          <w:tcPr>
            <w:tcW w:w="954" w:type="dxa"/>
            <w:tcBorders>
              <w:top w:val="single" w:color="auto" w:sz="4" w:space="0"/>
              <w:left w:val="nil"/>
              <w:bottom w:val="single" w:color="auto" w:sz="4" w:space="0"/>
              <w:right w:val="single" w:color="auto" w:sz="4" w:space="0"/>
            </w:tcBorders>
            <w:vAlign w:val="center"/>
          </w:tcPr>
          <w:p>
            <w:pPr>
              <w:widowControl/>
              <w:jc w:val="center"/>
              <w:rPr>
                <w:b/>
                <w:bCs/>
                <w:kern w:val="0"/>
                <w:szCs w:val="21"/>
              </w:rPr>
            </w:pPr>
            <w:r>
              <w:rPr>
                <w:b/>
                <w:bCs/>
                <w:kern w:val="0"/>
                <w:szCs w:val="21"/>
              </w:rPr>
              <w:t>优</w:t>
            </w:r>
          </w:p>
        </w:tc>
        <w:tc>
          <w:tcPr>
            <w:tcW w:w="954" w:type="dxa"/>
            <w:tcBorders>
              <w:top w:val="single" w:color="auto" w:sz="4" w:space="0"/>
              <w:left w:val="nil"/>
              <w:bottom w:val="single" w:color="auto" w:sz="4" w:space="0"/>
              <w:right w:val="single" w:color="auto" w:sz="4" w:space="0"/>
            </w:tcBorders>
            <w:vAlign w:val="center"/>
          </w:tcPr>
          <w:p>
            <w:pPr>
              <w:widowControl/>
              <w:jc w:val="center"/>
              <w:rPr>
                <w:b/>
                <w:bCs/>
                <w:kern w:val="0"/>
                <w:szCs w:val="21"/>
              </w:rPr>
            </w:pPr>
            <w:r>
              <w:rPr>
                <w:b/>
                <w:bCs/>
                <w:kern w:val="0"/>
                <w:szCs w:val="21"/>
              </w:rPr>
              <w:t>较优</w:t>
            </w:r>
          </w:p>
        </w:tc>
        <w:tc>
          <w:tcPr>
            <w:tcW w:w="953" w:type="dxa"/>
            <w:tcBorders>
              <w:top w:val="single" w:color="auto" w:sz="4" w:space="0"/>
              <w:left w:val="nil"/>
              <w:bottom w:val="single" w:color="auto" w:sz="4" w:space="0"/>
              <w:right w:val="single" w:color="auto" w:sz="4" w:space="0"/>
            </w:tcBorders>
            <w:vAlign w:val="center"/>
          </w:tcPr>
          <w:p>
            <w:pPr>
              <w:widowControl/>
              <w:jc w:val="center"/>
              <w:rPr>
                <w:b/>
                <w:bCs/>
                <w:kern w:val="0"/>
                <w:szCs w:val="21"/>
              </w:rPr>
            </w:pPr>
            <w:r>
              <w:rPr>
                <w:b/>
                <w:bCs/>
                <w:kern w:val="0"/>
                <w:szCs w:val="21"/>
              </w:rPr>
              <w:t>一般</w:t>
            </w:r>
          </w:p>
        </w:tc>
        <w:tc>
          <w:tcPr>
            <w:tcW w:w="953" w:type="dxa"/>
            <w:tcBorders>
              <w:top w:val="single" w:color="auto" w:sz="4" w:space="0"/>
              <w:left w:val="nil"/>
              <w:bottom w:val="single" w:color="auto" w:sz="4" w:space="0"/>
              <w:right w:val="single" w:color="auto" w:sz="4" w:space="0"/>
            </w:tcBorders>
            <w:vAlign w:val="center"/>
          </w:tcPr>
          <w:p>
            <w:pPr>
              <w:widowControl/>
              <w:jc w:val="center"/>
              <w:rPr>
                <w:b/>
                <w:bCs/>
                <w:kern w:val="0"/>
                <w:szCs w:val="21"/>
              </w:rPr>
            </w:pPr>
            <w:r>
              <w:rPr>
                <w:b/>
                <w:bCs/>
                <w:kern w:val="0"/>
                <w:szCs w:val="21"/>
              </w:rPr>
              <w:t>较劣</w:t>
            </w:r>
          </w:p>
        </w:tc>
        <w:tc>
          <w:tcPr>
            <w:tcW w:w="953" w:type="dxa"/>
            <w:tcBorders>
              <w:top w:val="single" w:color="auto" w:sz="4" w:space="0"/>
              <w:left w:val="nil"/>
              <w:bottom w:val="single" w:color="auto" w:sz="4" w:space="0"/>
              <w:right w:val="single" w:color="auto" w:sz="4" w:space="0"/>
            </w:tcBorders>
            <w:vAlign w:val="center"/>
          </w:tcPr>
          <w:p>
            <w:pPr>
              <w:widowControl/>
              <w:jc w:val="center"/>
              <w:rPr>
                <w:b/>
                <w:bCs/>
                <w:kern w:val="0"/>
                <w:szCs w:val="21"/>
              </w:rPr>
            </w:pPr>
            <w:r>
              <w:rPr>
                <w:b/>
                <w:bCs/>
                <w:kern w:val="0"/>
                <w:szCs w:val="21"/>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364"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基础设施完善度</w:t>
            </w: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排水状况</w:t>
            </w:r>
          </w:p>
        </w:tc>
        <w:tc>
          <w:tcPr>
            <w:tcW w:w="954" w:type="dxa"/>
            <w:tcBorders>
              <w:top w:val="single" w:color="auto" w:sz="4" w:space="0"/>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0.0426</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0.5747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0.2873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-0.2637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-0.5274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jc w:val="center"/>
        </w:trPr>
        <w:tc>
          <w:tcPr>
            <w:tcW w:w="136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供水状况</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0.0426</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0.5747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0.2873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-0.2637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-0.5274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jc w:val="center"/>
        </w:trPr>
        <w:tc>
          <w:tcPr>
            <w:tcW w:w="136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供电状况</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0.0426</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0.5747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0.2873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-0.2637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-0.5274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jc w:val="center"/>
        </w:trPr>
        <w:tc>
          <w:tcPr>
            <w:tcW w:w="136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供气状况</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0.0426</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0.5747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0.2873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-0.2637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-0.5274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364"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公用设施完备度</w:t>
            </w: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距中小学距离</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0.0521</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0.7028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0.3514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-0.3225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-0.6450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36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距医院距离</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0.0312</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0.4209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0.2104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-0.1931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-0.3863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36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距大型超市距离</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0.0366</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0.4937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0.2469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-0.2266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-0.4531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36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距文体设施距离</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0.0257</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0.3467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0.1733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-0.1591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-0.3182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364"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道路通达度</w:t>
            </w: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临近道路状况</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0.1124</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1.5163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0.7581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-0.6958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-1.3915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1364"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公交便捷度</w:t>
            </w: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距最近公交站点（</w:t>
            </w:r>
            <w:r>
              <w:rPr>
                <w:rFonts w:hint="eastAsia"/>
                <w:color w:val="000000"/>
                <w:kern w:val="0"/>
                <w:szCs w:val="21"/>
              </w:rPr>
              <w:t>轨道交通</w:t>
            </w:r>
            <w:r>
              <w:rPr>
                <w:color w:val="000000"/>
                <w:kern w:val="0"/>
                <w:szCs w:val="21"/>
              </w:rPr>
              <w:t>站）距离</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0.0821</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1.1075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0.5538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-0.5082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-1.0164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1364"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对外交通便利度</w:t>
            </w: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距最近长途汽车站距离</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0.0188</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0.2536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0.1268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-0.1164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-0.2327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36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距火车站距离</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0.0121</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0.1632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0.0816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-0.0749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-0.1498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136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距高铁站长沙南站距离</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0.0124</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0.1673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0.0836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-0.0768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-0.1535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364"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环境优劣度</w:t>
            </w: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水污染情况</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0.0433</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0.5841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0.2921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-0.2680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-0.5361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36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大气污染情况</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0.0433</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0.5841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0.2921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-0.2680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-0.5361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36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噪声污染情况</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0.0433</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0.5841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0.2921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-0.2680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-0.5361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364"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自然条件优劣度</w:t>
            </w: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洪水淹没状况</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0.0668</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0.9011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0.4506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-0.4135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-0.8270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364"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商服繁华影响度</w:t>
            </w: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距商服中心距离</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0.1525</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2.0572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1.0286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-0.9440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-1.8880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364"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人口密度</w:t>
            </w: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人口密度</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0.0486</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0.6556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0.3278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-0.3008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-0.6017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364"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城市规划</w:t>
            </w: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用地规划</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0.0256</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0.3453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0.1727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-0.1585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-0.3169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364"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197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道路规划</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0.0228</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0.3076 </w:t>
            </w:r>
          </w:p>
        </w:tc>
        <w:tc>
          <w:tcPr>
            <w:tcW w:w="954"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0.1538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-0.1411 </w:t>
            </w:r>
          </w:p>
        </w:tc>
        <w:tc>
          <w:tcPr>
            <w:tcW w:w="953"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-0.2823 </w:t>
            </w:r>
          </w:p>
        </w:tc>
      </w:tr>
    </w:tbl>
    <w:p>
      <w:pPr>
        <w:widowControl/>
        <w:ind w:firstLine="480" w:firstLineChars="200"/>
        <w:jc w:val="left"/>
        <w:rPr>
          <w:b/>
          <w:sz w:val="24"/>
          <w:szCs w:val="24"/>
        </w:rPr>
      </w:pPr>
      <w:r>
        <w:rPr>
          <w:bCs/>
          <w:sz w:val="24"/>
          <w:szCs w:val="24"/>
        </w:rPr>
        <w:br w:type="page"/>
      </w:r>
    </w:p>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表4-4-4  长沙县Ⅱ级住宅用地宗地地价区域因素修正系数指标说明表</w:t>
      </w:r>
    </w:p>
    <w:tbl>
      <w:tblPr>
        <w:tblW w:w="894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55"/>
        <w:gridCol w:w="1409"/>
        <w:gridCol w:w="990"/>
        <w:gridCol w:w="1211"/>
        <w:gridCol w:w="1276"/>
        <w:gridCol w:w="141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Align w:val="center"/>
          </w:tcPr>
          <w:p>
            <w:pPr>
              <w:widowControl/>
              <w:jc w:val="center"/>
              <w:rPr>
                <w:b/>
                <w:bCs/>
                <w:color w:val="000000"/>
                <w:kern w:val="0"/>
                <w:sz w:val="20"/>
              </w:rPr>
            </w:pPr>
            <w:r>
              <w:rPr>
                <w:b/>
                <w:bCs/>
                <w:color w:val="000000"/>
                <w:kern w:val="0"/>
                <w:sz w:val="20"/>
              </w:rPr>
              <w:t>因素层</w:t>
            </w:r>
          </w:p>
        </w:tc>
        <w:tc>
          <w:tcPr>
            <w:tcW w:w="755" w:type="dxa"/>
            <w:vAlign w:val="center"/>
          </w:tcPr>
          <w:p>
            <w:pPr>
              <w:widowControl/>
              <w:jc w:val="center"/>
              <w:rPr>
                <w:b/>
                <w:bCs/>
                <w:color w:val="000000"/>
                <w:kern w:val="0"/>
                <w:sz w:val="20"/>
              </w:rPr>
            </w:pPr>
            <w:r>
              <w:rPr>
                <w:b/>
                <w:bCs/>
                <w:color w:val="000000"/>
                <w:kern w:val="0"/>
                <w:sz w:val="20"/>
              </w:rPr>
              <w:t>因子层</w:t>
            </w:r>
          </w:p>
        </w:tc>
        <w:tc>
          <w:tcPr>
            <w:tcW w:w="1409" w:type="dxa"/>
            <w:vAlign w:val="center"/>
          </w:tcPr>
          <w:p>
            <w:pPr>
              <w:widowControl/>
              <w:jc w:val="center"/>
              <w:rPr>
                <w:b/>
                <w:bCs/>
                <w:color w:val="000000"/>
                <w:kern w:val="0"/>
                <w:sz w:val="20"/>
              </w:rPr>
            </w:pPr>
            <w:r>
              <w:rPr>
                <w:b/>
                <w:bCs/>
                <w:color w:val="000000"/>
                <w:kern w:val="0"/>
                <w:sz w:val="20"/>
              </w:rPr>
              <w:t>指标层</w:t>
            </w:r>
          </w:p>
        </w:tc>
        <w:tc>
          <w:tcPr>
            <w:tcW w:w="990" w:type="dxa"/>
            <w:vAlign w:val="center"/>
          </w:tcPr>
          <w:p>
            <w:pPr>
              <w:widowControl/>
              <w:jc w:val="center"/>
              <w:rPr>
                <w:b/>
                <w:bCs/>
                <w:color w:val="000000"/>
                <w:kern w:val="0"/>
                <w:sz w:val="20"/>
              </w:rPr>
            </w:pPr>
            <w:r>
              <w:rPr>
                <w:b/>
                <w:bCs/>
                <w:color w:val="000000"/>
                <w:kern w:val="0"/>
                <w:sz w:val="20"/>
              </w:rPr>
              <w:t>优</w:t>
            </w:r>
          </w:p>
        </w:tc>
        <w:tc>
          <w:tcPr>
            <w:tcW w:w="1211" w:type="dxa"/>
            <w:vAlign w:val="center"/>
          </w:tcPr>
          <w:p>
            <w:pPr>
              <w:widowControl/>
              <w:jc w:val="center"/>
              <w:rPr>
                <w:b/>
                <w:bCs/>
                <w:color w:val="000000"/>
                <w:kern w:val="0"/>
                <w:sz w:val="20"/>
              </w:rPr>
            </w:pPr>
            <w:r>
              <w:rPr>
                <w:b/>
                <w:bCs/>
                <w:color w:val="000000"/>
                <w:kern w:val="0"/>
                <w:sz w:val="20"/>
              </w:rPr>
              <w:t>较优</w:t>
            </w:r>
          </w:p>
        </w:tc>
        <w:tc>
          <w:tcPr>
            <w:tcW w:w="1276" w:type="dxa"/>
            <w:vAlign w:val="center"/>
          </w:tcPr>
          <w:p>
            <w:pPr>
              <w:widowControl/>
              <w:jc w:val="center"/>
              <w:rPr>
                <w:b/>
                <w:bCs/>
                <w:color w:val="000000"/>
                <w:kern w:val="0"/>
                <w:sz w:val="20"/>
              </w:rPr>
            </w:pPr>
            <w:r>
              <w:rPr>
                <w:b/>
                <w:bCs/>
                <w:color w:val="000000"/>
                <w:kern w:val="0"/>
                <w:sz w:val="20"/>
              </w:rPr>
              <w:t>一般</w:t>
            </w:r>
          </w:p>
        </w:tc>
        <w:tc>
          <w:tcPr>
            <w:tcW w:w="1418" w:type="dxa"/>
            <w:vAlign w:val="center"/>
          </w:tcPr>
          <w:p>
            <w:pPr>
              <w:widowControl/>
              <w:jc w:val="center"/>
              <w:rPr>
                <w:b/>
                <w:bCs/>
                <w:color w:val="000000"/>
                <w:kern w:val="0"/>
                <w:sz w:val="20"/>
              </w:rPr>
            </w:pPr>
            <w:r>
              <w:rPr>
                <w:b/>
                <w:bCs/>
                <w:color w:val="000000"/>
                <w:kern w:val="0"/>
                <w:sz w:val="20"/>
              </w:rPr>
              <w:t>较劣</w:t>
            </w:r>
          </w:p>
        </w:tc>
        <w:tc>
          <w:tcPr>
            <w:tcW w:w="1134" w:type="dxa"/>
            <w:vAlign w:val="center"/>
          </w:tcPr>
          <w:p>
            <w:pPr>
              <w:widowControl/>
              <w:jc w:val="center"/>
              <w:rPr>
                <w:b/>
                <w:bCs/>
                <w:color w:val="000000"/>
                <w:kern w:val="0"/>
                <w:sz w:val="20"/>
              </w:rPr>
            </w:pPr>
            <w:r>
              <w:rPr>
                <w:b/>
                <w:bCs/>
                <w:color w:val="000000"/>
                <w:kern w:val="0"/>
                <w:sz w:val="20"/>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restart"/>
            <w:vAlign w:val="center"/>
          </w:tcPr>
          <w:p>
            <w:pPr>
              <w:widowControl/>
              <w:jc w:val="center"/>
              <w:rPr>
                <w:color w:val="000000"/>
                <w:kern w:val="0"/>
                <w:sz w:val="20"/>
              </w:rPr>
            </w:pPr>
            <w:r>
              <w:rPr>
                <w:color w:val="000000"/>
                <w:kern w:val="0"/>
                <w:sz w:val="20"/>
              </w:rPr>
              <w:t>基本设施状况</w:t>
            </w:r>
          </w:p>
        </w:tc>
        <w:tc>
          <w:tcPr>
            <w:tcW w:w="755" w:type="dxa"/>
            <w:vMerge w:val="restart"/>
            <w:vAlign w:val="center"/>
          </w:tcPr>
          <w:p>
            <w:pPr>
              <w:widowControl/>
              <w:jc w:val="center"/>
              <w:rPr>
                <w:color w:val="000000"/>
                <w:kern w:val="0"/>
                <w:sz w:val="20"/>
              </w:rPr>
            </w:pPr>
            <w:r>
              <w:rPr>
                <w:color w:val="000000"/>
                <w:kern w:val="0"/>
                <w:sz w:val="20"/>
              </w:rPr>
              <w:t>基础设施完善度</w:t>
            </w:r>
          </w:p>
        </w:tc>
        <w:tc>
          <w:tcPr>
            <w:tcW w:w="1409" w:type="dxa"/>
            <w:vAlign w:val="center"/>
          </w:tcPr>
          <w:p>
            <w:pPr>
              <w:widowControl/>
              <w:jc w:val="center"/>
              <w:rPr>
                <w:color w:val="000000"/>
                <w:kern w:val="0"/>
                <w:sz w:val="20"/>
              </w:rPr>
            </w:pPr>
            <w:r>
              <w:rPr>
                <w:color w:val="000000"/>
                <w:kern w:val="0"/>
                <w:sz w:val="20"/>
              </w:rPr>
              <w:t>排水状况</w:t>
            </w:r>
          </w:p>
        </w:tc>
        <w:tc>
          <w:tcPr>
            <w:tcW w:w="990" w:type="dxa"/>
            <w:vAlign w:val="center"/>
          </w:tcPr>
          <w:p>
            <w:pPr>
              <w:widowControl/>
              <w:jc w:val="center"/>
              <w:rPr>
                <w:color w:val="000000"/>
                <w:kern w:val="0"/>
                <w:sz w:val="20"/>
              </w:rPr>
            </w:pPr>
            <w:r>
              <w:rPr>
                <w:color w:val="000000"/>
                <w:kern w:val="0"/>
                <w:sz w:val="20"/>
              </w:rPr>
              <w:t>好</w:t>
            </w:r>
          </w:p>
        </w:tc>
        <w:tc>
          <w:tcPr>
            <w:tcW w:w="1211" w:type="dxa"/>
            <w:vAlign w:val="center"/>
          </w:tcPr>
          <w:p>
            <w:pPr>
              <w:widowControl/>
              <w:jc w:val="center"/>
              <w:rPr>
                <w:color w:val="000000"/>
                <w:kern w:val="0"/>
                <w:sz w:val="20"/>
              </w:rPr>
            </w:pPr>
            <w:r>
              <w:rPr>
                <w:color w:val="000000"/>
                <w:kern w:val="0"/>
                <w:sz w:val="20"/>
              </w:rPr>
              <w:t>较好</w:t>
            </w:r>
          </w:p>
        </w:tc>
        <w:tc>
          <w:tcPr>
            <w:tcW w:w="1276" w:type="dxa"/>
            <w:vAlign w:val="center"/>
          </w:tcPr>
          <w:p>
            <w:pPr>
              <w:widowControl/>
              <w:jc w:val="center"/>
              <w:rPr>
                <w:color w:val="000000"/>
                <w:kern w:val="0"/>
                <w:sz w:val="20"/>
              </w:rPr>
            </w:pPr>
            <w:r>
              <w:rPr>
                <w:color w:val="000000"/>
                <w:kern w:val="0"/>
                <w:sz w:val="20"/>
              </w:rPr>
              <w:t>一般</w:t>
            </w:r>
          </w:p>
        </w:tc>
        <w:tc>
          <w:tcPr>
            <w:tcW w:w="1418" w:type="dxa"/>
            <w:vAlign w:val="center"/>
          </w:tcPr>
          <w:p>
            <w:pPr>
              <w:widowControl/>
              <w:jc w:val="center"/>
              <w:rPr>
                <w:color w:val="000000"/>
                <w:kern w:val="0"/>
                <w:sz w:val="20"/>
              </w:rPr>
            </w:pPr>
            <w:r>
              <w:rPr>
                <w:color w:val="000000"/>
                <w:kern w:val="0"/>
                <w:sz w:val="20"/>
              </w:rPr>
              <w:t>较差</w:t>
            </w:r>
          </w:p>
        </w:tc>
        <w:tc>
          <w:tcPr>
            <w:tcW w:w="1134" w:type="dxa"/>
            <w:vAlign w:val="center"/>
          </w:tcPr>
          <w:p>
            <w:pPr>
              <w:widowControl/>
              <w:jc w:val="center"/>
              <w:rPr>
                <w:color w:val="000000"/>
                <w:kern w:val="0"/>
                <w:sz w:val="20"/>
              </w:rPr>
            </w:pPr>
            <w:r>
              <w:rPr>
                <w:color w:val="000000"/>
                <w:kern w:val="0"/>
                <w:sz w:val="20"/>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jc w:val="left"/>
              <w:rPr>
                <w:color w:val="000000"/>
                <w:kern w:val="0"/>
                <w:sz w:val="20"/>
              </w:rPr>
            </w:pPr>
          </w:p>
        </w:tc>
        <w:tc>
          <w:tcPr>
            <w:tcW w:w="755" w:type="dxa"/>
            <w:vMerge w:val="continue"/>
            <w:vAlign w:val="center"/>
          </w:tcPr>
          <w:p>
            <w:pPr>
              <w:widowControl/>
              <w:jc w:val="left"/>
              <w:rPr>
                <w:color w:val="000000"/>
                <w:kern w:val="0"/>
                <w:sz w:val="20"/>
              </w:rPr>
            </w:pPr>
          </w:p>
        </w:tc>
        <w:tc>
          <w:tcPr>
            <w:tcW w:w="1409" w:type="dxa"/>
            <w:vAlign w:val="center"/>
          </w:tcPr>
          <w:p>
            <w:pPr>
              <w:widowControl/>
              <w:jc w:val="center"/>
              <w:rPr>
                <w:color w:val="000000"/>
                <w:kern w:val="0"/>
                <w:sz w:val="20"/>
              </w:rPr>
            </w:pPr>
            <w:r>
              <w:rPr>
                <w:color w:val="000000"/>
                <w:kern w:val="0"/>
                <w:sz w:val="20"/>
              </w:rPr>
              <w:t>供水状况</w:t>
            </w:r>
          </w:p>
        </w:tc>
        <w:tc>
          <w:tcPr>
            <w:tcW w:w="990" w:type="dxa"/>
            <w:vAlign w:val="center"/>
          </w:tcPr>
          <w:p>
            <w:pPr>
              <w:widowControl/>
              <w:jc w:val="center"/>
              <w:rPr>
                <w:color w:val="000000"/>
                <w:kern w:val="0"/>
                <w:sz w:val="20"/>
              </w:rPr>
            </w:pPr>
            <w:r>
              <w:rPr>
                <w:color w:val="000000"/>
                <w:kern w:val="0"/>
                <w:sz w:val="20"/>
              </w:rPr>
              <w:t>100%</w:t>
            </w:r>
          </w:p>
        </w:tc>
        <w:tc>
          <w:tcPr>
            <w:tcW w:w="1211" w:type="dxa"/>
            <w:vAlign w:val="center"/>
          </w:tcPr>
          <w:p>
            <w:pPr>
              <w:widowControl/>
              <w:jc w:val="center"/>
              <w:rPr>
                <w:color w:val="000000"/>
                <w:kern w:val="0"/>
                <w:sz w:val="20"/>
              </w:rPr>
            </w:pPr>
            <w:r>
              <w:rPr>
                <w:color w:val="000000"/>
                <w:kern w:val="0"/>
                <w:sz w:val="20"/>
              </w:rPr>
              <w:t>90-99%</w:t>
            </w:r>
          </w:p>
        </w:tc>
        <w:tc>
          <w:tcPr>
            <w:tcW w:w="1276" w:type="dxa"/>
            <w:vAlign w:val="center"/>
          </w:tcPr>
          <w:p>
            <w:pPr>
              <w:widowControl/>
              <w:jc w:val="center"/>
              <w:rPr>
                <w:color w:val="000000"/>
                <w:kern w:val="0"/>
                <w:sz w:val="20"/>
              </w:rPr>
            </w:pPr>
            <w:r>
              <w:rPr>
                <w:color w:val="000000"/>
                <w:kern w:val="0"/>
                <w:sz w:val="20"/>
              </w:rPr>
              <w:t>80-89%</w:t>
            </w:r>
          </w:p>
        </w:tc>
        <w:tc>
          <w:tcPr>
            <w:tcW w:w="1418" w:type="dxa"/>
            <w:vAlign w:val="center"/>
          </w:tcPr>
          <w:p>
            <w:pPr>
              <w:widowControl/>
              <w:jc w:val="center"/>
              <w:rPr>
                <w:color w:val="000000"/>
                <w:kern w:val="0"/>
                <w:sz w:val="20"/>
              </w:rPr>
            </w:pPr>
            <w:r>
              <w:rPr>
                <w:color w:val="000000"/>
                <w:kern w:val="0"/>
                <w:sz w:val="20"/>
              </w:rPr>
              <w:t>60-79%</w:t>
            </w:r>
          </w:p>
        </w:tc>
        <w:tc>
          <w:tcPr>
            <w:tcW w:w="1134" w:type="dxa"/>
            <w:vAlign w:val="center"/>
          </w:tcPr>
          <w:p>
            <w:pPr>
              <w:widowControl/>
              <w:jc w:val="center"/>
              <w:rPr>
                <w:color w:val="000000"/>
                <w:kern w:val="0"/>
                <w:sz w:val="20"/>
              </w:rPr>
            </w:pPr>
            <w:r>
              <w:rPr>
                <w:color w:val="000000"/>
                <w:kern w:val="0"/>
                <w:sz w:val="20"/>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jc w:val="left"/>
              <w:rPr>
                <w:color w:val="000000"/>
                <w:kern w:val="0"/>
                <w:sz w:val="20"/>
              </w:rPr>
            </w:pPr>
          </w:p>
        </w:tc>
        <w:tc>
          <w:tcPr>
            <w:tcW w:w="755" w:type="dxa"/>
            <w:vMerge w:val="continue"/>
            <w:vAlign w:val="center"/>
          </w:tcPr>
          <w:p>
            <w:pPr>
              <w:widowControl/>
              <w:jc w:val="left"/>
              <w:rPr>
                <w:color w:val="000000"/>
                <w:kern w:val="0"/>
                <w:sz w:val="20"/>
              </w:rPr>
            </w:pPr>
          </w:p>
        </w:tc>
        <w:tc>
          <w:tcPr>
            <w:tcW w:w="1409" w:type="dxa"/>
            <w:vAlign w:val="center"/>
          </w:tcPr>
          <w:p>
            <w:pPr>
              <w:widowControl/>
              <w:jc w:val="center"/>
              <w:rPr>
                <w:color w:val="000000"/>
                <w:kern w:val="0"/>
                <w:sz w:val="20"/>
              </w:rPr>
            </w:pPr>
            <w:r>
              <w:rPr>
                <w:color w:val="000000"/>
                <w:kern w:val="0"/>
                <w:sz w:val="20"/>
              </w:rPr>
              <w:t>供电状况</w:t>
            </w:r>
          </w:p>
        </w:tc>
        <w:tc>
          <w:tcPr>
            <w:tcW w:w="990" w:type="dxa"/>
            <w:vAlign w:val="center"/>
          </w:tcPr>
          <w:p>
            <w:pPr>
              <w:widowControl/>
              <w:jc w:val="center"/>
              <w:rPr>
                <w:color w:val="000000"/>
                <w:kern w:val="0"/>
                <w:sz w:val="20"/>
              </w:rPr>
            </w:pPr>
            <w:r>
              <w:rPr>
                <w:color w:val="000000"/>
                <w:kern w:val="0"/>
                <w:sz w:val="20"/>
              </w:rPr>
              <w:t>100%</w:t>
            </w:r>
          </w:p>
        </w:tc>
        <w:tc>
          <w:tcPr>
            <w:tcW w:w="1211" w:type="dxa"/>
            <w:vAlign w:val="center"/>
          </w:tcPr>
          <w:p>
            <w:pPr>
              <w:widowControl/>
              <w:jc w:val="center"/>
              <w:rPr>
                <w:color w:val="000000"/>
                <w:kern w:val="0"/>
                <w:sz w:val="20"/>
              </w:rPr>
            </w:pPr>
            <w:r>
              <w:rPr>
                <w:color w:val="000000"/>
                <w:kern w:val="0"/>
                <w:sz w:val="20"/>
              </w:rPr>
              <w:t>90-99%</w:t>
            </w:r>
          </w:p>
        </w:tc>
        <w:tc>
          <w:tcPr>
            <w:tcW w:w="1276" w:type="dxa"/>
            <w:vAlign w:val="center"/>
          </w:tcPr>
          <w:p>
            <w:pPr>
              <w:widowControl/>
              <w:jc w:val="center"/>
              <w:rPr>
                <w:color w:val="000000"/>
                <w:kern w:val="0"/>
                <w:sz w:val="20"/>
              </w:rPr>
            </w:pPr>
            <w:r>
              <w:rPr>
                <w:color w:val="000000"/>
                <w:kern w:val="0"/>
                <w:sz w:val="20"/>
              </w:rPr>
              <w:t>80-89%</w:t>
            </w:r>
          </w:p>
        </w:tc>
        <w:tc>
          <w:tcPr>
            <w:tcW w:w="1418" w:type="dxa"/>
            <w:vAlign w:val="center"/>
          </w:tcPr>
          <w:p>
            <w:pPr>
              <w:widowControl/>
              <w:jc w:val="center"/>
              <w:rPr>
                <w:color w:val="000000"/>
                <w:kern w:val="0"/>
                <w:sz w:val="20"/>
              </w:rPr>
            </w:pPr>
            <w:r>
              <w:rPr>
                <w:color w:val="000000"/>
                <w:kern w:val="0"/>
                <w:sz w:val="20"/>
              </w:rPr>
              <w:t>60-79%</w:t>
            </w:r>
          </w:p>
        </w:tc>
        <w:tc>
          <w:tcPr>
            <w:tcW w:w="1134" w:type="dxa"/>
            <w:vAlign w:val="center"/>
          </w:tcPr>
          <w:p>
            <w:pPr>
              <w:widowControl/>
              <w:jc w:val="center"/>
              <w:rPr>
                <w:color w:val="000000"/>
                <w:kern w:val="0"/>
                <w:sz w:val="20"/>
              </w:rPr>
            </w:pPr>
            <w:r>
              <w:rPr>
                <w:color w:val="000000"/>
                <w:kern w:val="0"/>
                <w:sz w:val="20"/>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53" w:type="dxa"/>
            <w:vMerge w:val="continue"/>
            <w:vAlign w:val="center"/>
          </w:tcPr>
          <w:p>
            <w:pPr>
              <w:widowControl/>
              <w:jc w:val="left"/>
              <w:rPr>
                <w:color w:val="000000"/>
                <w:kern w:val="0"/>
                <w:sz w:val="20"/>
              </w:rPr>
            </w:pPr>
          </w:p>
        </w:tc>
        <w:tc>
          <w:tcPr>
            <w:tcW w:w="755" w:type="dxa"/>
            <w:vMerge w:val="continue"/>
            <w:vAlign w:val="center"/>
          </w:tcPr>
          <w:p>
            <w:pPr>
              <w:widowControl/>
              <w:jc w:val="left"/>
              <w:rPr>
                <w:color w:val="000000"/>
                <w:kern w:val="0"/>
                <w:sz w:val="20"/>
              </w:rPr>
            </w:pPr>
          </w:p>
        </w:tc>
        <w:tc>
          <w:tcPr>
            <w:tcW w:w="1409" w:type="dxa"/>
            <w:vAlign w:val="center"/>
          </w:tcPr>
          <w:p>
            <w:pPr>
              <w:widowControl/>
              <w:jc w:val="center"/>
              <w:rPr>
                <w:color w:val="000000"/>
                <w:kern w:val="0"/>
                <w:sz w:val="20"/>
              </w:rPr>
            </w:pPr>
            <w:r>
              <w:rPr>
                <w:color w:val="000000"/>
                <w:kern w:val="0"/>
                <w:sz w:val="20"/>
              </w:rPr>
              <w:t>供气状况</w:t>
            </w:r>
          </w:p>
        </w:tc>
        <w:tc>
          <w:tcPr>
            <w:tcW w:w="990" w:type="dxa"/>
            <w:vAlign w:val="center"/>
          </w:tcPr>
          <w:p>
            <w:pPr>
              <w:widowControl/>
              <w:jc w:val="center"/>
              <w:rPr>
                <w:color w:val="000000"/>
                <w:kern w:val="0"/>
                <w:sz w:val="20"/>
              </w:rPr>
            </w:pPr>
            <w:r>
              <w:rPr>
                <w:color w:val="000000"/>
                <w:kern w:val="0"/>
                <w:sz w:val="20"/>
              </w:rPr>
              <w:t>100%</w:t>
            </w:r>
          </w:p>
        </w:tc>
        <w:tc>
          <w:tcPr>
            <w:tcW w:w="1211" w:type="dxa"/>
            <w:vAlign w:val="center"/>
          </w:tcPr>
          <w:p>
            <w:pPr>
              <w:widowControl/>
              <w:jc w:val="center"/>
              <w:rPr>
                <w:color w:val="000000"/>
                <w:kern w:val="0"/>
                <w:sz w:val="20"/>
              </w:rPr>
            </w:pPr>
            <w:r>
              <w:rPr>
                <w:color w:val="000000"/>
                <w:kern w:val="0"/>
                <w:sz w:val="20"/>
              </w:rPr>
              <w:t>90-99%</w:t>
            </w:r>
          </w:p>
        </w:tc>
        <w:tc>
          <w:tcPr>
            <w:tcW w:w="1276" w:type="dxa"/>
            <w:vAlign w:val="center"/>
          </w:tcPr>
          <w:p>
            <w:pPr>
              <w:widowControl/>
              <w:jc w:val="center"/>
              <w:rPr>
                <w:color w:val="000000"/>
                <w:kern w:val="0"/>
                <w:sz w:val="20"/>
              </w:rPr>
            </w:pPr>
            <w:r>
              <w:rPr>
                <w:color w:val="000000"/>
                <w:kern w:val="0"/>
                <w:sz w:val="20"/>
              </w:rPr>
              <w:t>80-89%</w:t>
            </w:r>
          </w:p>
        </w:tc>
        <w:tc>
          <w:tcPr>
            <w:tcW w:w="1418" w:type="dxa"/>
            <w:vAlign w:val="center"/>
          </w:tcPr>
          <w:p>
            <w:pPr>
              <w:widowControl/>
              <w:jc w:val="center"/>
              <w:rPr>
                <w:color w:val="000000"/>
                <w:kern w:val="0"/>
                <w:sz w:val="20"/>
              </w:rPr>
            </w:pPr>
            <w:r>
              <w:rPr>
                <w:color w:val="000000"/>
                <w:kern w:val="0"/>
                <w:sz w:val="20"/>
              </w:rPr>
              <w:t>60-79%</w:t>
            </w:r>
          </w:p>
        </w:tc>
        <w:tc>
          <w:tcPr>
            <w:tcW w:w="1134" w:type="dxa"/>
            <w:vAlign w:val="center"/>
          </w:tcPr>
          <w:p>
            <w:pPr>
              <w:widowControl/>
              <w:jc w:val="center"/>
              <w:rPr>
                <w:color w:val="000000"/>
                <w:kern w:val="0"/>
                <w:sz w:val="20"/>
              </w:rPr>
            </w:pPr>
            <w:r>
              <w:rPr>
                <w:color w:val="000000"/>
                <w:kern w:val="0"/>
                <w:sz w:val="20"/>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jc w:val="left"/>
              <w:rPr>
                <w:color w:val="000000"/>
                <w:kern w:val="0"/>
                <w:sz w:val="20"/>
              </w:rPr>
            </w:pPr>
          </w:p>
        </w:tc>
        <w:tc>
          <w:tcPr>
            <w:tcW w:w="755" w:type="dxa"/>
            <w:vMerge w:val="restart"/>
            <w:vAlign w:val="center"/>
          </w:tcPr>
          <w:p>
            <w:pPr>
              <w:widowControl/>
              <w:jc w:val="center"/>
              <w:rPr>
                <w:color w:val="000000"/>
                <w:kern w:val="0"/>
                <w:sz w:val="20"/>
              </w:rPr>
            </w:pPr>
            <w:r>
              <w:rPr>
                <w:color w:val="000000"/>
                <w:kern w:val="0"/>
                <w:sz w:val="20"/>
              </w:rPr>
              <w:t>公用设施完备度</w:t>
            </w:r>
          </w:p>
        </w:tc>
        <w:tc>
          <w:tcPr>
            <w:tcW w:w="1409" w:type="dxa"/>
            <w:vAlign w:val="center"/>
          </w:tcPr>
          <w:p>
            <w:pPr>
              <w:widowControl/>
              <w:jc w:val="center"/>
              <w:rPr>
                <w:color w:val="000000"/>
                <w:kern w:val="0"/>
                <w:sz w:val="20"/>
              </w:rPr>
            </w:pPr>
            <w:r>
              <w:rPr>
                <w:color w:val="000000"/>
                <w:kern w:val="0"/>
                <w:sz w:val="20"/>
              </w:rPr>
              <w:t>距中小学距离</w:t>
            </w:r>
          </w:p>
        </w:tc>
        <w:tc>
          <w:tcPr>
            <w:tcW w:w="990" w:type="dxa"/>
            <w:vAlign w:val="center"/>
          </w:tcPr>
          <w:p>
            <w:pPr>
              <w:widowControl/>
              <w:jc w:val="center"/>
              <w:rPr>
                <w:color w:val="000000"/>
                <w:kern w:val="0"/>
                <w:sz w:val="20"/>
              </w:rPr>
            </w:pPr>
            <w:r>
              <w:rPr>
                <w:color w:val="000000"/>
                <w:kern w:val="0"/>
                <w:sz w:val="20"/>
              </w:rPr>
              <w:t>&lt;900</w:t>
            </w:r>
          </w:p>
        </w:tc>
        <w:tc>
          <w:tcPr>
            <w:tcW w:w="1211" w:type="dxa"/>
            <w:vAlign w:val="center"/>
          </w:tcPr>
          <w:p>
            <w:pPr>
              <w:widowControl/>
              <w:jc w:val="center"/>
              <w:rPr>
                <w:color w:val="000000"/>
                <w:kern w:val="0"/>
                <w:sz w:val="20"/>
              </w:rPr>
            </w:pPr>
            <w:r>
              <w:rPr>
                <w:color w:val="000000"/>
                <w:kern w:val="0"/>
                <w:sz w:val="20"/>
              </w:rPr>
              <w:t>900-2600</w:t>
            </w:r>
          </w:p>
        </w:tc>
        <w:tc>
          <w:tcPr>
            <w:tcW w:w="1276" w:type="dxa"/>
            <w:vAlign w:val="center"/>
          </w:tcPr>
          <w:p>
            <w:pPr>
              <w:widowControl/>
              <w:jc w:val="center"/>
              <w:rPr>
                <w:color w:val="000000"/>
                <w:kern w:val="0"/>
                <w:sz w:val="20"/>
              </w:rPr>
            </w:pPr>
            <w:r>
              <w:rPr>
                <w:color w:val="000000"/>
                <w:kern w:val="0"/>
                <w:sz w:val="20"/>
              </w:rPr>
              <w:t>2600-4300</w:t>
            </w:r>
          </w:p>
        </w:tc>
        <w:tc>
          <w:tcPr>
            <w:tcW w:w="1418" w:type="dxa"/>
            <w:vAlign w:val="center"/>
          </w:tcPr>
          <w:p>
            <w:pPr>
              <w:widowControl/>
              <w:jc w:val="center"/>
              <w:rPr>
                <w:color w:val="000000"/>
                <w:kern w:val="0"/>
                <w:sz w:val="20"/>
              </w:rPr>
            </w:pPr>
            <w:r>
              <w:rPr>
                <w:color w:val="000000"/>
                <w:kern w:val="0"/>
                <w:sz w:val="20"/>
              </w:rPr>
              <w:t>4300-6000</w:t>
            </w:r>
          </w:p>
        </w:tc>
        <w:tc>
          <w:tcPr>
            <w:tcW w:w="1134" w:type="dxa"/>
            <w:vAlign w:val="center"/>
          </w:tcPr>
          <w:p>
            <w:pPr>
              <w:widowControl/>
              <w:jc w:val="center"/>
              <w:rPr>
                <w:color w:val="000000"/>
                <w:kern w:val="0"/>
                <w:sz w:val="20"/>
              </w:rPr>
            </w:pPr>
            <w:r>
              <w:rPr>
                <w:color w:val="000000"/>
                <w:kern w:val="0"/>
                <w:sz w:val="20"/>
              </w:rPr>
              <w:t>&gt;6000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jc w:val="left"/>
              <w:rPr>
                <w:color w:val="000000"/>
                <w:kern w:val="0"/>
                <w:sz w:val="20"/>
              </w:rPr>
            </w:pPr>
          </w:p>
        </w:tc>
        <w:tc>
          <w:tcPr>
            <w:tcW w:w="755" w:type="dxa"/>
            <w:vMerge w:val="continue"/>
            <w:vAlign w:val="center"/>
          </w:tcPr>
          <w:p>
            <w:pPr>
              <w:widowControl/>
              <w:jc w:val="left"/>
              <w:rPr>
                <w:color w:val="000000"/>
                <w:kern w:val="0"/>
                <w:sz w:val="20"/>
              </w:rPr>
            </w:pPr>
          </w:p>
        </w:tc>
        <w:tc>
          <w:tcPr>
            <w:tcW w:w="1409" w:type="dxa"/>
            <w:vAlign w:val="center"/>
          </w:tcPr>
          <w:p>
            <w:pPr>
              <w:widowControl/>
              <w:jc w:val="center"/>
              <w:rPr>
                <w:color w:val="000000"/>
                <w:kern w:val="0"/>
                <w:sz w:val="20"/>
              </w:rPr>
            </w:pPr>
            <w:r>
              <w:rPr>
                <w:color w:val="000000"/>
                <w:kern w:val="0"/>
                <w:sz w:val="20"/>
              </w:rPr>
              <w:t>距医院距离</w:t>
            </w:r>
          </w:p>
        </w:tc>
        <w:tc>
          <w:tcPr>
            <w:tcW w:w="990" w:type="dxa"/>
            <w:vAlign w:val="center"/>
          </w:tcPr>
          <w:p>
            <w:pPr>
              <w:widowControl/>
              <w:jc w:val="center"/>
              <w:rPr>
                <w:color w:val="000000"/>
                <w:kern w:val="0"/>
                <w:sz w:val="20"/>
              </w:rPr>
            </w:pPr>
            <w:r>
              <w:rPr>
                <w:color w:val="000000"/>
                <w:kern w:val="0"/>
                <w:sz w:val="20"/>
              </w:rPr>
              <w:t>&lt;900</w:t>
            </w:r>
          </w:p>
        </w:tc>
        <w:tc>
          <w:tcPr>
            <w:tcW w:w="1211" w:type="dxa"/>
            <w:vAlign w:val="center"/>
          </w:tcPr>
          <w:p>
            <w:pPr>
              <w:widowControl/>
              <w:jc w:val="center"/>
              <w:rPr>
                <w:color w:val="000000"/>
                <w:kern w:val="0"/>
                <w:sz w:val="20"/>
              </w:rPr>
            </w:pPr>
            <w:r>
              <w:rPr>
                <w:color w:val="000000"/>
                <w:kern w:val="0"/>
                <w:sz w:val="20"/>
              </w:rPr>
              <w:t>900-2600</w:t>
            </w:r>
          </w:p>
        </w:tc>
        <w:tc>
          <w:tcPr>
            <w:tcW w:w="1276" w:type="dxa"/>
            <w:vAlign w:val="center"/>
          </w:tcPr>
          <w:p>
            <w:pPr>
              <w:widowControl/>
              <w:jc w:val="center"/>
              <w:rPr>
                <w:color w:val="000000"/>
                <w:kern w:val="0"/>
                <w:sz w:val="20"/>
              </w:rPr>
            </w:pPr>
            <w:r>
              <w:rPr>
                <w:color w:val="000000"/>
                <w:kern w:val="0"/>
                <w:sz w:val="20"/>
              </w:rPr>
              <w:t>2600-4300</w:t>
            </w:r>
          </w:p>
        </w:tc>
        <w:tc>
          <w:tcPr>
            <w:tcW w:w="1418" w:type="dxa"/>
            <w:vAlign w:val="center"/>
          </w:tcPr>
          <w:p>
            <w:pPr>
              <w:widowControl/>
              <w:jc w:val="center"/>
              <w:rPr>
                <w:color w:val="000000"/>
                <w:kern w:val="0"/>
                <w:sz w:val="20"/>
              </w:rPr>
            </w:pPr>
            <w:r>
              <w:rPr>
                <w:color w:val="000000"/>
                <w:kern w:val="0"/>
                <w:sz w:val="20"/>
              </w:rPr>
              <w:t>4300-6000</w:t>
            </w:r>
          </w:p>
        </w:tc>
        <w:tc>
          <w:tcPr>
            <w:tcW w:w="1134" w:type="dxa"/>
            <w:vAlign w:val="center"/>
          </w:tcPr>
          <w:p>
            <w:pPr>
              <w:widowControl/>
              <w:jc w:val="center"/>
              <w:rPr>
                <w:color w:val="000000"/>
                <w:kern w:val="0"/>
                <w:sz w:val="20"/>
              </w:rPr>
            </w:pPr>
            <w:r>
              <w:rPr>
                <w:color w:val="000000"/>
                <w:kern w:val="0"/>
                <w:sz w:val="20"/>
              </w:rPr>
              <w:t>&gt;6000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jc w:val="left"/>
              <w:rPr>
                <w:color w:val="000000"/>
                <w:kern w:val="0"/>
                <w:sz w:val="20"/>
              </w:rPr>
            </w:pPr>
          </w:p>
        </w:tc>
        <w:tc>
          <w:tcPr>
            <w:tcW w:w="755" w:type="dxa"/>
            <w:vMerge w:val="continue"/>
            <w:vAlign w:val="center"/>
          </w:tcPr>
          <w:p>
            <w:pPr>
              <w:widowControl/>
              <w:jc w:val="left"/>
              <w:rPr>
                <w:color w:val="000000"/>
                <w:kern w:val="0"/>
                <w:sz w:val="20"/>
              </w:rPr>
            </w:pPr>
          </w:p>
        </w:tc>
        <w:tc>
          <w:tcPr>
            <w:tcW w:w="1409" w:type="dxa"/>
            <w:vAlign w:val="center"/>
          </w:tcPr>
          <w:p>
            <w:pPr>
              <w:widowControl/>
              <w:jc w:val="center"/>
              <w:rPr>
                <w:color w:val="000000"/>
                <w:kern w:val="0"/>
                <w:sz w:val="20"/>
              </w:rPr>
            </w:pPr>
            <w:r>
              <w:rPr>
                <w:color w:val="000000"/>
                <w:kern w:val="0"/>
                <w:sz w:val="20"/>
              </w:rPr>
              <w:t>距大型超市距离</w:t>
            </w:r>
          </w:p>
        </w:tc>
        <w:tc>
          <w:tcPr>
            <w:tcW w:w="990" w:type="dxa"/>
            <w:vAlign w:val="center"/>
          </w:tcPr>
          <w:p>
            <w:pPr>
              <w:widowControl/>
              <w:jc w:val="center"/>
              <w:rPr>
                <w:color w:val="000000"/>
                <w:kern w:val="0"/>
                <w:sz w:val="20"/>
              </w:rPr>
            </w:pPr>
            <w:r>
              <w:rPr>
                <w:color w:val="000000"/>
                <w:kern w:val="0"/>
                <w:sz w:val="20"/>
              </w:rPr>
              <w:t>&lt;800</w:t>
            </w:r>
          </w:p>
        </w:tc>
        <w:tc>
          <w:tcPr>
            <w:tcW w:w="1211" w:type="dxa"/>
            <w:vAlign w:val="center"/>
          </w:tcPr>
          <w:p>
            <w:pPr>
              <w:widowControl/>
              <w:jc w:val="center"/>
              <w:rPr>
                <w:color w:val="000000"/>
                <w:kern w:val="0"/>
                <w:sz w:val="20"/>
              </w:rPr>
            </w:pPr>
            <w:r>
              <w:rPr>
                <w:color w:val="000000"/>
                <w:kern w:val="0"/>
                <w:sz w:val="20"/>
              </w:rPr>
              <w:t>800-3200</w:t>
            </w:r>
          </w:p>
        </w:tc>
        <w:tc>
          <w:tcPr>
            <w:tcW w:w="1276" w:type="dxa"/>
            <w:vAlign w:val="center"/>
          </w:tcPr>
          <w:p>
            <w:pPr>
              <w:widowControl/>
              <w:jc w:val="center"/>
              <w:rPr>
                <w:color w:val="000000"/>
                <w:kern w:val="0"/>
                <w:sz w:val="20"/>
              </w:rPr>
            </w:pPr>
            <w:r>
              <w:rPr>
                <w:color w:val="000000"/>
                <w:kern w:val="0"/>
                <w:sz w:val="20"/>
              </w:rPr>
              <w:t>3200-5600</w:t>
            </w:r>
          </w:p>
        </w:tc>
        <w:tc>
          <w:tcPr>
            <w:tcW w:w="1418" w:type="dxa"/>
            <w:vAlign w:val="center"/>
          </w:tcPr>
          <w:p>
            <w:pPr>
              <w:widowControl/>
              <w:jc w:val="center"/>
              <w:rPr>
                <w:color w:val="000000"/>
                <w:kern w:val="0"/>
                <w:sz w:val="20"/>
              </w:rPr>
            </w:pPr>
            <w:r>
              <w:rPr>
                <w:color w:val="000000"/>
                <w:kern w:val="0"/>
                <w:sz w:val="20"/>
              </w:rPr>
              <w:t>5600-8000</w:t>
            </w:r>
          </w:p>
        </w:tc>
        <w:tc>
          <w:tcPr>
            <w:tcW w:w="1134" w:type="dxa"/>
            <w:vAlign w:val="center"/>
          </w:tcPr>
          <w:p>
            <w:pPr>
              <w:widowControl/>
              <w:jc w:val="center"/>
              <w:rPr>
                <w:color w:val="000000"/>
                <w:kern w:val="0"/>
                <w:sz w:val="20"/>
              </w:rPr>
            </w:pPr>
            <w:r>
              <w:rPr>
                <w:color w:val="000000"/>
                <w:kern w:val="0"/>
                <w:sz w:val="20"/>
              </w:rPr>
              <w:t>&gt;8000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jc w:val="left"/>
              <w:rPr>
                <w:color w:val="000000"/>
                <w:kern w:val="0"/>
                <w:sz w:val="20"/>
              </w:rPr>
            </w:pPr>
          </w:p>
        </w:tc>
        <w:tc>
          <w:tcPr>
            <w:tcW w:w="755" w:type="dxa"/>
            <w:vMerge w:val="continue"/>
            <w:vAlign w:val="center"/>
          </w:tcPr>
          <w:p>
            <w:pPr>
              <w:widowControl/>
              <w:jc w:val="left"/>
              <w:rPr>
                <w:color w:val="000000"/>
                <w:kern w:val="0"/>
                <w:sz w:val="20"/>
              </w:rPr>
            </w:pPr>
          </w:p>
        </w:tc>
        <w:tc>
          <w:tcPr>
            <w:tcW w:w="1409" w:type="dxa"/>
            <w:vAlign w:val="center"/>
          </w:tcPr>
          <w:p>
            <w:pPr>
              <w:widowControl/>
              <w:jc w:val="center"/>
              <w:rPr>
                <w:color w:val="000000"/>
                <w:kern w:val="0"/>
                <w:sz w:val="20"/>
              </w:rPr>
            </w:pPr>
            <w:r>
              <w:rPr>
                <w:color w:val="000000"/>
                <w:kern w:val="0"/>
                <w:sz w:val="20"/>
              </w:rPr>
              <w:t>距文体设施距离</w:t>
            </w:r>
          </w:p>
        </w:tc>
        <w:tc>
          <w:tcPr>
            <w:tcW w:w="990" w:type="dxa"/>
            <w:vAlign w:val="center"/>
          </w:tcPr>
          <w:p>
            <w:pPr>
              <w:widowControl/>
              <w:jc w:val="center"/>
              <w:rPr>
                <w:color w:val="000000"/>
                <w:kern w:val="0"/>
                <w:sz w:val="20"/>
              </w:rPr>
            </w:pPr>
            <w:r>
              <w:rPr>
                <w:color w:val="000000"/>
                <w:kern w:val="0"/>
                <w:sz w:val="20"/>
              </w:rPr>
              <w:t>&lt;1200</w:t>
            </w:r>
          </w:p>
        </w:tc>
        <w:tc>
          <w:tcPr>
            <w:tcW w:w="1211" w:type="dxa"/>
            <w:vAlign w:val="center"/>
          </w:tcPr>
          <w:p>
            <w:pPr>
              <w:widowControl/>
              <w:jc w:val="center"/>
              <w:rPr>
                <w:color w:val="000000"/>
                <w:kern w:val="0"/>
                <w:sz w:val="20"/>
              </w:rPr>
            </w:pPr>
            <w:r>
              <w:rPr>
                <w:color w:val="000000"/>
                <w:kern w:val="0"/>
                <w:sz w:val="20"/>
              </w:rPr>
              <w:t>1200-3800</w:t>
            </w:r>
          </w:p>
        </w:tc>
        <w:tc>
          <w:tcPr>
            <w:tcW w:w="1276" w:type="dxa"/>
            <w:vAlign w:val="center"/>
          </w:tcPr>
          <w:p>
            <w:pPr>
              <w:widowControl/>
              <w:jc w:val="center"/>
              <w:rPr>
                <w:color w:val="000000"/>
                <w:kern w:val="0"/>
                <w:sz w:val="20"/>
              </w:rPr>
            </w:pPr>
            <w:r>
              <w:rPr>
                <w:color w:val="000000"/>
                <w:kern w:val="0"/>
                <w:sz w:val="20"/>
              </w:rPr>
              <w:t>3800-6400</w:t>
            </w:r>
          </w:p>
        </w:tc>
        <w:tc>
          <w:tcPr>
            <w:tcW w:w="1418" w:type="dxa"/>
            <w:vAlign w:val="center"/>
          </w:tcPr>
          <w:p>
            <w:pPr>
              <w:widowControl/>
              <w:jc w:val="center"/>
              <w:rPr>
                <w:color w:val="000000"/>
                <w:kern w:val="0"/>
                <w:sz w:val="20"/>
              </w:rPr>
            </w:pPr>
            <w:r>
              <w:rPr>
                <w:color w:val="000000"/>
                <w:kern w:val="0"/>
                <w:sz w:val="20"/>
              </w:rPr>
              <w:t>6400-9000</w:t>
            </w:r>
          </w:p>
        </w:tc>
        <w:tc>
          <w:tcPr>
            <w:tcW w:w="1134" w:type="dxa"/>
            <w:vAlign w:val="center"/>
          </w:tcPr>
          <w:p>
            <w:pPr>
              <w:widowControl/>
              <w:jc w:val="center"/>
              <w:rPr>
                <w:color w:val="000000"/>
                <w:kern w:val="0"/>
                <w:sz w:val="20"/>
              </w:rPr>
            </w:pPr>
            <w:r>
              <w:rPr>
                <w:color w:val="000000"/>
                <w:kern w:val="0"/>
                <w:sz w:val="20"/>
              </w:rPr>
              <w:t>&gt;9000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53" w:type="dxa"/>
            <w:vMerge w:val="restart"/>
            <w:vAlign w:val="center"/>
          </w:tcPr>
          <w:p>
            <w:pPr>
              <w:widowControl/>
              <w:jc w:val="center"/>
              <w:rPr>
                <w:color w:val="000000"/>
                <w:kern w:val="0"/>
                <w:sz w:val="20"/>
              </w:rPr>
            </w:pPr>
            <w:r>
              <w:rPr>
                <w:color w:val="000000"/>
                <w:kern w:val="0"/>
                <w:sz w:val="20"/>
              </w:rPr>
              <w:t>交通条件</w:t>
            </w:r>
          </w:p>
        </w:tc>
        <w:tc>
          <w:tcPr>
            <w:tcW w:w="755" w:type="dxa"/>
            <w:vAlign w:val="center"/>
          </w:tcPr>
          <w:p>
            <w:pPr>
              <w:widowControl/>
              <w:jc w:val="center"/>
              <w:rPr>
                <w:color w:val="000000"/>
                <w:kern w:val="0"/>
                <w:sz w:val="20"/>
              </w:rPr>
            </w:pPr>
            <w:r>
              <w:rPr>
                <w:color w:val="000000"/>
                <w:kern w:val="0"/>
                <w:sz w:val="20"/>
              </w:rPr>
              <w:t>道路通达度</w:t>
            </w:r>
          </w:p>
        </w:tc>
        <w:tc>
          <w:tcPr>
            <w:tcW w:w="1409" w:type="dxa"/>
            <w:vAlign w:val="center"/>
          </w:tcPr>
          <w:p>
            <w:pPr>
              <w:widowControl/>
              <w:jc w:val="center"/>
              <w:rPr>
                <w:color w:val="000000"/>
                <w:kern w:val="0"/>
                <w:sz w:val="20"/>
              </w:rPr>
            </w:pPr>
            <w:r>
              <w:rPr>
                <w:color w:val="000000"/>
                <w:kern w:val="0"/>
                <w:sz w:val="20"/>
              </w:rPr>
              <w:t>临近道路状况</w:t>
            </w:r>
          </w:p>
        </w:tc>
        <w:tc>
          <w:tcPr>
            <w:tcW w:w="990" w:type="dxa"/>
            <w:vAlign w:val="center"/>
          </w:tcPr>
          <w:p>
            <w:pPr>
              <w:widowControl/>
              <w:jc w:val="center"/>
              <w:rPr>
                <w:kern w:val="0"/>
                <w:sz w:val="20"/>
              </w:rPr>
            </w:pPr>
            <w:r>
              <w:rPr>
                <w:kern w:val="0"/>
                <w:sz w:val="20"/>
              </w:rPr>
              <w:t>临繁华主干道</w:t>
            </w:r>
          </w:p>
        </w:tc>
        <w:tc>
          <w:tcPr>
            <w:tcW w:w="1211" w:type="dxa"/>
            <w:vAlign w:val="center"/>
          </w:tcPr>
          <w:p>
            <w:pPr>
              <w:widowControl/>
              <w:jc w:val="center"/>
              <w:rPr>
                <w:kern w:val="0"/>
                <w:sz w:val="20"/>
              </w:rPr>
            </w:pPr>
            <w:r>
              <w:rPr>
                <w:kern w:val="0"/>
                <w:sz w:val="20"/>
              </w:rPr>
              <w:t>临主干道</w:t>
            </w:r>
          </w:p>
        </w:tc>
        <w:tc>
          <w:tcPr>
            <w:tcW w:w="1276" w:type="dxa"/>
            <w:vAlign w:val="center"/>
          </w:tcPr>
          <w:p>
            <w:pPr>
              <w:widowControl/>
              <w:jc w:val="center"/>
              <w:rPr>
                <w:kern w:val="0"/>
                <w:sz w:val="20"/>
              </w:rPr>
            </w:pPr>
            <w:r>
              <w:rPr>
                <w:kern w:val="0"/>
                <w:sz w:val="20"/>
              </w:rPr>
              <w:t>临繁华次干道</w:t>
            </w:r>
          </w:p>
        </w:tc>
        <w:tc>
          <w:tcPr>
            <w:tcW w:w="1418" w:type="dxa"/>
            <w:vAlign w:val="center"/>
          </w:tcPr>
          <w:p>
            <w:pPr>
              <w:widowControl/>
              <w:jc w:val="center"/>
              <w:rPr>
                <w:kern w:val="0"/>
                <w:sz w:val="20"/>
              </w:rPr>
            </w:pPr>
            <w:r>
              <w:rPr>
                <w:kern w:val="0"/>
                <w:sz w:val="20"/>
              </w:rPr>
              <w:t>临次干道</w:t>
            </w:r>
          </w:p>
        </w:tc>
        <w:tc>
          <w:tcPr>
            <w:tcW w:w="1134" w:type="dxa"/>
            <w:vAlign w:val="center"/>
          </w:tcPr>
          <w:p>
            <w:pPr>
              <w:widowControl/>
              <w:jc w:val="center"/>
              <w:rPr>
                <w:kern w:val="0"/>
                <w:sz w:val="20"/>
              </w:rPr>
            </w:pPr>
            <w:r>
              <w:rPr>
                <w:kern w:val="0"/>
                <w:sz w:val="20"/>
              </w:rPr>
              <w:t>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jc w:val="left"/>
              <w:rPr>
                <w:color w:val="000000"/>
                <w:kern w:val="0"/>
                <w:sz w:val="20"/>
              </w:rPr>
            </w:pPr>
          </w:p>
        </w:tc>
        <w:tc>
          <w:tcPr>
            <w:tcW w:w="755" w:type="dxa"/>
            <w:vAlign w:val="center"/>
          </w:tcPr>
          <w:p>
            <w:pPr>
              <w:widowControl/>
              <w:jc w:val="center"/>
              <w:rPr>
                <w:color w:val="000000"/>
                <w:kern w:val="0"/>
                <w:sz w:val="20"/>
              </w:rPr>
            </w:pPr>
            <w:r>
              <w:rPr>
                <w:color w:val="000000"/>
                <w:kern w:val="0"/>
                <w:sz w:val="20"/>
              </w:rPr>
              <w:t>公交便捷度</w:t>
            </w:r>
          </w:p>
        </w:tc>
        <w:tc>
          <w:tcPr>
            <w:tcW w:w="1409" w:type="dxa"/>
            <w:vAlign w:val="center"/>
          </w:tcPr>
          <w:p>
            <w:pPr>
              <w:widowControl/>
              <w:jc w:val="center"/>
              <w:rPr>
                <w:color w:val="000000"/>
                <w:kern w:val="0"/>
                <w:sz w:val="20"/>
              </w:rPr>
            </w:pPr>
            <w:r>
              <w:rPr>
                <w:color w:val="000000"/>
                <w:kern w:val="0"/>
                <w:sz w:val="20"/>
              </w:rPr>
              <w:t>距最近公交站（</w:t>
            </w:r>
            <w:r>
              <w:rPr>
                <w:rFonts w:hint="eastAsia"/>
                <w:color w:val="000000"/>
                <w:kern w:val="0"/>
                <w:sz w:val="20"/>
              </w:rPr>
              <w:t>轨道交通</w:t>
            </w:r>
            <w:r>
              <w:rPr>
                <w:color w:val="000000"/>
                <w:kern w:val="0"/>
                <w:sz w:val="20"/>
              </w:rPr>
              <w:t>站）距离</w:t>
            </w:r>
          </w:p>
        </w:tc>
        <w:tc>
          <w:tcPr>
            <w:tcW w:w="990" w:type="dxa"/>
            <w:vAlign w:val="center"/>
          </w:tcPr>
          <w:p>
            <w:pPr>
              <w:widowControl/>
              <w:jc w:val="center"/>
              <w:rPr>
                <w:color w:val="000000"/>
                <w:kern w:val="0"/>
                <w:sz w:val="20"/>
              </w:rPr>
            </w:pPr>
            <w:r>
              <w:rPr>
                <w:color w:val="000000"/>
                <w:kern w:val="0"/>
                <w:sz w:val="20"/>
              </w:rPr>
              <w:t>&lt;50</w:t>
            </w:r>
          </w:p>
        </w:tc>
        <w:tc>
          <w:tcPr>
            <w:tcW w:w="1211" w:type="dxa"/>
            <w:vAlign w:val="center"/>
          </w:tcPr>
          <w:p>
            <w:pPr>
              <w:widowControl/>
              <w:jc w:val="center"/>
              <w:rPr>
                <w:color w:val="000000"/>
                <w:kern w:val="0"/>
                <w:sz w:val="20"/>
              </w:rPr>
            </w:pPr>
            <w:r>
              <w:rPr>
                <w:color w:val="000000"/>
                <w:kern w:val="0"/>
                <w:sz w:val="20"/>
              </w:rPr>
              <w:t>50-100</w:t>
            </w:r>
          </w:p>
        </w:tc>
        <w:tc>
          <w:tcPr>
            <w:tcW w:w="1276" w:type="dxa"/>
            <w:vAlign w:val="center"/>
          </w:tcPr>
          <w:p>
            <w:pPr>
              <w:widowControl/>
              <w:jc w:val="center"/>
              <w:rPr>
                <w:color w:val="000000"/>
                <w:kern w:val="0"/>
                <w:sz w:val="20"/>
              </w:rPr>
            </w:pPr>
            <w:r>
              <w:rPr>
                <w:color w:val="000000"/>
                <w:kern w:val="0"/>
                <w:sz w:val="20"/>
              </w:rPr>
              <w:t>100-150</w:t>
            </w:r>
          </w:p>
        </w:tc>
        <w:tc>
          <w:tcPr>
            <w:tcW w:w="1418" w:type="dxa"/>
            <w:vAlign w:val="center"/>
          </w:tcPr>
          <w:p>
            <w:pPr>
              <w:widowControl/>
              <w:jc w:val="center"/>
              <w:rPr>
                <w:color w:val="000000"/>
                <w:kern w:val="0"/>
                <w:sz w:val="20"/>
              </w:rPr>
            </w:pPr>
            <w:r>
              <w:rPr>
                <w:color w:val="000000"/>
                <w:kern w:val="0"/>
                <w:sz w:val="20"/>
              </w:rPr>
              <w:t>150-200</w:t>
            </w:r>
          </w:p>
        </w:tc>
        <w:tc>
          <w:tcPr>
            <w:tcW w:w="1134" w:type="dxa"/>
            <w:vAlign w:val="center"/>
          </w:tcPr>
          <w:p>
            <w:pPr>
              <w:widowControl/>
              <w:jc w:val="center"/>
              <w:rPr>
                <w:color w:val="000000"/>
                <w:kern w:val="0"/>
                <w:sz w:val="20"/>
              </w:rPr>
            </w:pPr>
            <w:r>
              <w:rPr>
                <w:color w:val="000000"/>
                <w:kern w:val="0"/>
                <w:sz w:val="20"/>
              </w:rPr>
              <w:t>&gt;200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jc w:val="left"/>
              <w:rPr>
                <w:color w:val="000000"/>
                <w:kern w:val="0"/>
                <w:sz w:val="20"/>
              </w:rPr>
            </w:pPr>
          </w:p>
        </w:tc>
        <w:tc>
          <w:tcPr>
            <w:tcW w:w="755" w:type="dxa"/>
            <w:vMerge w:val="restart"/>
            <w:vAlign w:val="center"/>
          </w:tcPr>
          <w:p>
            <w:pPr>
              <w:widowControl/>
              <w:jc w:val="center"/>
              <w:rPr>
                <w:color w:val="000000"/>
                <w:kern w:val="0"/>
                <w:sz w:val="20"/>
              </w:rPr>
            </w:pPr>
            <w:r>
              <w:rPr>
                <w:color w:val="000000"/>
                <w:kern w:val="0"/>
                <w:sz w:val="20"/>
              </w:rPr>
              <w:t>对外交通便利度</w:t>
            </w:r>
          </w:p>
        </w:tc>
        <w:tc>
          <w:tcPr>
            <w:tcW w:w="1409" w:type="dxa"/>
            <w:vAlign w:val="center"/>
          </w:tcPr>
          <w:p>
            <w:pPr>
              <w:widowControl/>
              <w:jc w:val="center"/>
              <w:rPr>
                <w:color w:val="000000"/>
                <w:kern w:val="0"/>
                <w:sz w:val="20"/>
              </w:rPr>
            </w:pPr>
            <w:r>
              <w:rPr>
                <w:color w:val="000000"/>
                <w:kern w:val="0"/>
                <w:sz w:val="20"/>
              </w:rPr>
              <w:t>距最近长途汽车站距离</w:t>
            </w:r>
          </w:p>
        </w:tc>
        <w:tc>
          <w:tcPr>
            <w:tcW w:w="990" w:type="dxa"/>
            <w:vAlign w:val="center"/>
          </w:tcPr>
          <w:p>
            <w:pPr>
              <w:widowControl/>
              <w:jc w:val="center"/>
              <w:rPr>
                <w:color w:val="000000"/>
                <w:kern w:val="0"/>
                <w:sz w:val="20"/>
              </w:rPr>
            </w:pPr>
            <w:r>
              <w:rPr>
                <w:color w:val="000000"/>
                <w:kern w:val="0"/>
                <w:sz w:val="20"/>
              </w:rPr>
              <w:t>≤3000</w:t>
            </w:r>
          </w:p>
        </w:tc>
        <w:tc>
          <w:tcPr>
            <w:tcW w:w="1211" w:type="dxa"/>
            <w:vAlign w:val="center"/>
          </w:tcPr>
          <w:p>
            <w:pPr>
              <w:widowControl/>
              <w:jc w:val="center"/>
              <w:rPr>
                <w:color w:val="000000"/>
                <w:kern w:val="0"/>
                <w:sz w:val="20"/>
              </w:rPr>
            </w:pPr>
            <w:r>
              <w:rPr>
                <w:color w:val="000000"/>
                <w:kern w:val="0"/>
                <w:sz w:val="20"/>
              </w:rPr>
              <w:t>3000-3500</w:t>
            </w:r>
          </w:p>
        </w:tc>
        <w:tc>
          <w:tcPr>
            <w:tcW w:w="1276" w:type="dxa"/>
            <w:vAlign w:val="center"/>
          </w:tcPr>
          <w:p>
            <w:pPr>
              <w:widowControl/>
              <w:jc w:val="center"/>
              <w:rPr>
                <w:color w:val="000000"/>
                <w:kern w:val="0"/>
                <w:sz w:val="20"/>
              </w:rPr>
            </w:pPr>
            <w:r>
              <w:rPr>
                <w:color w:val="000000"/>
                <w:kern w:val="0"/>
                <w:sz w:val="20"/>
              </w:rPr>
              <w:t>3500-4000</w:t>
            </w:r>
          </w:p>
        </w:tc>
        <w:tc>
          <w:tcPr>
            <w:tcW w:w="1418" w:type="dxa"/>
            <w:vAlign w:val="center"/>
          </w:tcPr>
          <w:p>
            <w:pPr>
              <w:widowControl/>
              <w:jc w:val="center"/>
              <w:rPr>
                <w:color w:val="000000"/>
                <w:kern w:val="0"/>
                <w:sz w:val="20"/>
              </w:rPr>
            </w:pPr>
            <w:r>
              <w:rPr>
                <w:color w:val="000000"/>
                <w:kern w:val="0"/>
                <w:sz w:val="20"/>
              </w:rPr>
              <w:t>4000-5000</w:t>
            </w:r>
          </w:p>
        </w:tc>
        <w:tc>
          <w:tcPr>
            <w:tcW w:w="1134" w:type="dxa"/>
            <w:vAlign w:val="center"/>
          </w:tcPr>
          <w:p>
            <w:pPr>
              <w:widowControl/>
              <w:jc w:val="center"/>
              <w:rPr>
                <w:color w:val="000000"/>
                <w:kern w:val="0"/>
                <w:sz w:val="20"/>
              </w:rPr>
            </w:pPr>
            <w:r>
              <w:rPr>
                <w:color w:val="000000"/>
                <w:kern w:val="0"/>
                <w:sz w:val="20"/>
              </w:rPr>
              <w:t>&gt;5000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jc w:val="left"/>
              <w:rPr>
                <w:color w:val="000000"/>
                <w:kern w:val="0"/>
                <w:sz w:val="20"/>
              </w:rPr>
            </w:pPr>
          </w:p>
        </w:tc>
        <w:tc>
          <w:tcPr>
            <w:tcW w:w="755" w:type="dxa"/>
            <w:vMerge w:val="continue"/>
            <w:vAlign w:val="center"/>
          </w:tcPr>
          <w:p>
            <w:pPr>
              <w:widowControl/>
              <w:jc w:val="left"/>
              <w:rPr>
                <w:color w:val="000000"/>
                <w:kern w:val="0"/>
                <w:sz w:val="20"/>
              </w:rPr>
            </w:pPr>
          </w:p>
        </w:tc>
        <w:tc>
          <w:tcPr>
            <w:tcW w:w="1409" w:type="dxa"/>
            <w:vAlign w:val="center"/>
          </w:tcPr>
          <w:p>
            <w:pPr>
              <w:widowControl/>
              <w:jc w:val="center"/>
              <w:rPr>
                <w:color w:val="000000"/>
                <w:kern w:val="0"/>
                <w:sz w:val="20"/>
              </w:rPr>
            </w:pPr>
            <w:r>
              <w:rPr>
                <w:color w:val="000000"/>
                <w:kern w:val="0"/>
                <w:sz w:val="20"/>
              </w:rPr>
              <w:t>距火车站距离</w:t>
            </w:r>
          </w:p>
        </w:tc>
        <w:tc>
          <w:tcPr>
            <w:tcW w:w="990" w:type="dxa"/>
            <w:vAlign w:val="center"/>
          </w:tcPr>
          <w:p>
            <w:pPr>
              <w:widowControl/>
              <w:jc w:val="center"/>
              <w:rPr>
                <w:color w:val="000000"/>
                <w:kern w:val="0"/>
                <w:sz w:val="20"/>
              </w:rPr>
            </w:pPr>
            <w:r>
              <w:rPr>
                <w:color w:val="000000"/>
                <w:kern w:val="0"/>
                <w:sz w:val="20"/>
              </w:rPr>
              <w:t>&lt;1600</w:t>
            </w:r>
          </w:p>
        </w:tc>
        <w:tc>
          <w:tcPr>
            <w:tcW w:w="1211" w:type="dxa"/>
            <w:vAlign w:val="center"/>
          </w:tcPr>
          <w:p>
            <w:pPr>
              <w:widowControl/>
              <w:jc w:val="center"/>
              <w:rPr>
                <w:color w:val="000000"/>
                <w:kern w:val="0"/>
                <w:sz w:val="20"/>
              </w:rPr>
            </w:pPr>
            <w:r>
              <w:rPr>
                <w:color w:val="000000"/>
                <w:kern w:val="0"/>
                <w:sz w:val="20"/>
              </w:rPr>
              <w:t>1600-2400</w:t>
            </w:r>
          </w:p>
        </w:tc>
        <w:tc>
          <w:tcPr>
            <w:tcW w:w="1276" w:type="dxa"/>
            <w:vAlign w:val="center"/>
          </w:tcPr>
          <w:p>
            <w:pPr>
              <w:widowControl/>
              <w:jc w:val="center"/>
              <w:rPr>
                <w:color w:val="000000"/>
                <w:kern w:val="0"/>
                <w:sz w:val="20"/>
              </w:rPr>
            </w:pPr>
            <w:r>
              <w:rPr>
                <w:color w:val="000000"/>
                <w:kern w:val="0"/>
                <w:sz w:val="20"/>
              </w:rPr>
              <w:t>2400-3300</w:t>
            </w:r>
          </w:p>
        </w:tc>
        <w:tc>
          <w:tcPr>
            <w:tcW w:w="1418" w:type="dxa"/>
            <w:vAlign w:val="center"/>
          </w:tcPr>
          <w:p>
            <w:pPr>
              <w:widowControl/>
              <w:jc w:val="center"/>
              <w:rPr>
                <w:color w:val="000000"/>
                <w:kern w:val="0"/>
                <w:sz w:val="20"/>
              </w:rPr>
            </w:pPr>
            <w:r>
              <w:rPr>
                <w:color w:val="000000"/>
                <w:kern w:val="0"/>
                <w:sz w:val="20"/>
              </w:rPr>
              <w:t>3300-4500</w:t>
            </w:r>
          </w:p>
        </w:tc>
        <w:tc>
          <w:tcPr>
            <w:tcW w:w="1134" w:type="dxa"/>
            <w:vAlign w:val="center"/>
          </w:tcPr>
          <w:p>
            <w:pPr>
              <w:widowControl/>
              <w:jc w:val="center"/>
              <w:rPr>
                <w:color w:val="000000"/>
                <w:kern w:val="0"/>
                <w:sz w:val="20"/>
              </w:rPr>
            </w:pPr>
            <w:r>
              <w:rPr>
                <w:color w:val="000000"/>
                <w:kern w:val="0"/>
                <w:sz w:val="20"/>
              </w:rPr>
              <w:t>&gt;4500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jc w:val="left"/>
              <w:rPr>
                <w:color w:val="000000"/>
                <w:kern w:val="0"/>
                <w:sz w:val="20"/>
              </w:rPr>
            </w:pPr>
          </w:p>
        </w:tc>
        <w:tc>
          <w:tcPr>
            <w:tcW w:w="755" w:type="dxa"/>
            <w:vMerge w:val="continue"/>
            <w:vAlign w:val="center"/>
          </w:tcPr>
          <w:p>
            <w:pPr>
              <w:widowControl/>
              <w:jc w:val="left"/>
              <w:rPr>
                <w:color w:val="000000"/>
                <w:kern w:val="0"/>
                <w:sz w:val="20"/>
              </w:rPr>
            </w:pPr>
          </w:p>
        </w:tc>
        <w:tc>
          <w:tcPr>
            <w:tcW w:w="1409" w:type="dxa"/>
            <w:vAlign w:val="center"/>
          </w:tcPr>
          <w:p>
            <w:pPr>
              <w:widowControl/>
              <w:jc w:val="center"/>
              <w:rPr>
                <w:color w:val="000000"/>
                <w:kern w:val="0"/>
                <w:sz w:val="20"/>
              </w:rPr>
            </w:pPr>
            <w:r>
              <w:rPr>
                <w:color w:val="000000"/>
                <w:kern w:val="0"/>
                <w:sz w:val="20"/>
              </w:rPr>
              <w:t>距高铁站长沙南站距离</w:t>
            </w:r>
          </w:p>
        </w:tc>
        <w:tc>
          <w:tcPr>
            <w:tcW w:w="990" w:type="dxa"/>
            <w:vAlign w:val="center"/>
          </w:tcPr>
          <w:p>
            <w:pPr>
              <w:widowControl/>
              <w:jc w:val="center"/>
              <w:rPr>
                <w:color w:val="000000"/>
                <w:kern w:val="0"/>
                <w:sz w:val="20"/>
              </w:rPr>
            </w:pPr>
            <w:r>
              <w:rPr>
                <w:color w:val="000000"/>
                <w:kern w:val="0"/>
                <w:sz w:val="20"/>
              </w:rPr>
              <w:t>&lt;20000</w:t>
            </w:r>
          </w:p>
        </w:tc>
        <w:tc>
          <w:tcPr>
            <w:tcW w:w="1211" w:type="dxa"/>
            <w:vAlign w:val="center"/>
          </w:tcPr>
          <w:p>
            <w:pPr>
              <w:widowControl/>
              <w:jc w:val="center"/>
              <w:rPr>
                <w:color w:val="000000"/>
                <w:kern w:val="0"/>
                <w:sz w:val="20"/>
              </w:rPr>
            </w:pPr>
            <w:r>
              <w:rPr>
                <w:color w:val="000000"/>
                <w:kern w:val="0"/>
                <w:sz w:val="20"/>
              </w:rPr>
              <w:t>20000-23000</w:t>
            </w:r>
          </w:p>
        </w:tc>
        <w:tc>
          <w:tcPr>
            <w:tcW w:w="1276" w:type="dxa"/>
            <w:vAlign w:val="center"/>
          </w:tcPr>
          <w:p>
            <w:pPr>
              <w:widowControl/>
              <w:jc w:val="center"/>
              <w:rPr>
                <w:color w:val="000000"/>
                <w:kern w:val="0"/>
                <w:sz w:val="20"/>
              </w:rPr>
            </w:pPr>
            <w:r>
              <w:rPr>
                <w:color w:val="000000"/>
                <w:kern w:val="0"/>
                <w:sz w:val="20"/>
              </w:rPr>
              <w:t>23000-27000</w:t>
            </w:r>
          </w:p>
        </w:tc>
        <w:tc>
          <w:tcPr>
            <w:tcW w:w="1418" w:type="dxa"/>
            <w:vAlign w:val="center"/>
          </w:tcPr>
          <w:p>
            <w:pPr>
              <w:widowControl/>
              <w:jc w:val="center"/>
              <w:rPr>
                <w:color w:val="000000"/>
                <w:kern w:val="0"/>
                <w:sz w:val="20"/>
              </w:rPr>
            </w:pPr>
            <w:r>
              <w:rPr>
                <w:color w:val="000000"/>
                <w:kern w:val="0"/>
                <w:sz w:val="20"/>
              </w:rPr>
              <w:t>27000-30000</w:t>
            </w:r>
          </w:p>
        </w:tc>
        <w:tc>
          <w:tcPr>
            <w:tcW w:w="1134" w:type="dxa"/>
            <w:vAlign w:val="center"/>
          </w:tcPr>
          <w:p>
            <w:pPr>
              <w:widowControl/>
              <w:jc w:val="center"/>
              <w:rPr>
                <w:color w:val="000000"/>
                <w:kern w:val="0"/>
                <w:sz w:val="20"/>
              </w:rPr>
            </w:pPr>
            <w:r>
              <w:rPr>
                <w:color w:val="000000"/>
                <w:kern w:val="0"/>
                <w:sz w:val="20"/>
              </w:rPr>
              <w:t>&gt;30000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53" w:type="dxa"/>
            <w:vMerge w:val="restart"/>
            <w:vAlign w:val="center"/>
          </w:tcPr>
          <w:p>
            <w:pPr>
              <w:widowControl/>
              <w:jc w:val="center"/>
              <w:rPr>
                <w:color w:val="000000"/>
                <w:kern w:val="0"/>
                <w:sz w:val="20"/>
              </w:rPr>
            </w:pPr>
            <w:r>
              <w:rPr>
                <w:color w:val="000000"/>
                <w:kern w:val="0"/>
                <w:sz w:val="20"/>
              </w:rPr>
              <w:t>环境条件</w:t>
            </w:r>
          </w:p>
        </w:tc>
        <w:tc>
          <w:tcPr>
            <w:tcW w:w="755" w:type="dxa"/>
            <w:vMerge w:val="restart"/>
            <w:vAlign w:val="center"/>
          </w:tcPr>
          <w:p>
            <w:pPr>
              <w:widowControl/>
              <w:jc w:val="center"/>
              <w:rPr>
                <w:color w:val="000000"/>
                <w:kern w:val="0"/>
                <w:sz w:val="20"/>
              </w:rPr>
            </w:pPr>
            <w:r>
              <w:rPr>
                <w:color w:val="000000"/>
                <w:kern w:val="0"/>
                <w:sz w:val="20"/>
              </w:rPr>
              <w:t>环境优劣度</w:t>
            </w:r>
          </w:p>
        </w:tc>
        <w:tc>
          <w:tcPr>
            <w:tcW w:w="1409" w:type="dxa"/>
            <w:vAlign w:val="center"/>
          </w:tcPr>
          <w:p>
            <w:pPr>
              <w:widowControl/>
              <w:jc w:val="center"/>
              <w:rPr>
                <w:color w:val="000000"/>
                <w:kern w:val="0"/>
                <w:sz w:val="20"/>
              </w:rPr>
            </w:pPr>
            <w:r>
              <w:rPr>
                <w:color w:val="000000"/>
                <w:kern w:val="0"/>
                <w:sz w:val="20"/>
              </w:rPr>
              <w:t>水污染情况</w:t>
            </w:r>
          </w:p>
        </w:tc>
        <w:tc>
          <w:tcPr>
            <w:tcW w:w="990" w:type="dxa"/>
            <w:vAlign w:val="center"/>
          </w:tcPr>
          <w:p>
            <w:pPr>
              <w:widowControl/>
              <w:jc w:val="center"/>
              <w:rPr>
                <w:color w:val="000000"/>
                <w:kern w:val="0"/>
                <w:sz w:val="20"/>
              </w:rPr>
            </w:pPr>
            <w:r>
              <w:rPr>
                <w:color w:val="000000"/>
                <w:kern w:val="0"/>
                <w:sz w:val="20"/>
              </w:rPr>
              <w:t>低</w:t>
            </w:r>
          </w:p>
        </w:tc>
        <w:tc>
          <w:tcPr>
            <w:tcW w:w="1211" w:type="dxa"/>
            <w:vAlign w:val="center"/>
          </w:tcPr>
          <w:p>
            <w:pPr>
              <w:widowControl/>
              <w:jc w:val="center"/>
              <w:rPr>
                <w:color w:val="000000"/>
                <w:kern w:val="0"/>
                <w:sz w:val="20"/>
              </w:rPr>
            </w:pPr>
            <w:r>
              <w:rPr>
                <w:color w:val="000000"/>
                <w:kern w:val="0"/>
                <w:sz w:val="20"/>
              </w:rPr>
              <w:t>较低</w:t>
            </w:r>
          </w:p>
        </w:tc>
        <w:tc>
          <w:tcPr>
            <w:tcW w:w="1276" w:type="dxa"/>
            <w:vAlign w:val="center"/>
          </w:tcPr>
          <w:p>
            <w:pPr>
              <w:widowControl/>
              <w:jc w:val="center"/>
              <w:rPr>
                <w:color w:val="000000"/>
                <w:kern w:val="0"/>
                <w:sz w:val="20"/>
              </w:rPr>
            </w:pPr>
            <w:r>
              <w:rPr>
                <w:color w:val="000000"/>
                <w:kern w:val="0"/>
                <w:sz w:val="20"/>
              </w:rPr>
              <w:t>一般</w:t>
            </w:r>
          </w:p>
        </w:tc>
        <w:tc>
          <w:tcPr>
            <w:tcW w:w="1418" w:type="dxa"/>
            <w:vAlign w:val="center"/>
          </w:tcPr>
          <w:p>
            <w:pPr>
              <w:widowControl/>
              <w:jc w:val="center"/>
              <w:rPr>
                <w:color w:val="000000"/>
                <w:kern w:val="0"/>
                <w:sz w:val="20"/>
              </w:rPr>
            </w:pPr>
            <w:r>
              <w:rPr>
                <w:color w:val="000000"/>
                <w:kern w:val="0"/>
                <w:sz w:val="20"/>
              </w:rPr>
              <w:t>较高</w:t>
            </w:r>
          </w:p>
        </w:tc>
        <w:tc>
          <w:tcPr>
            <w:tcW w:w="1134" w:type="dxa"/>
            <w:vAlign w:val="center"/>
          </w:tcPr>
          <w:p>
            <w:pPr>
              <w:widowControl/>
              <w:jc w:val="center"/>
              <w:rPr>
                <w:color w:val="000000"/>
                <w:kern w:val="0"/>
                <w:sz w:val="20"/>
              </w:rPr>
            </w:pPr>
            <w:r>
              <w:rPr>
                <w:color w:val="000000"/>
                <w:kern w:val="0"/>
                <w:sz w:val="20"/>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jc w:val="left"/>
              <w:rPr>
                <w:color w:val="000000"/>
                <w:kern w:val="0"/>
                <w:sz w:val="20"/>
              </w:rPr>
            </w:pPr>
          </w:p>
        </w:tc>
        <w:tc>
          <w:tcPr>
            <w:tcW w:w="755" w:type="dxa"/>
            <w:vMerge w:val="continue"/>
            <w:vAlign w:val="center"/>
          </w:tcPr>
          <w:p>
            <w:pPr>
              <w:widowControl/>
              <w:jc w:val="left"/>
              <w:rPr>
                <w:color w:val="000000"/>
                <w:kern w:val="0"/>
                <w:sz w:val="20"/>
              </w:rPr>
            </w:pPr>
          </w:p>
        </w:tc>
        <w:tc>
          <w:tcPr>
            <w:tcW w:w="1409" w:type="dxa"/>
            <w:vAlign w:val="center"/>
          </w:tcPr>
          <w:p>
            <w:pPr>
              <w:widowControl/>
              <w:jc w:val="center"/>
              <w:rPr>
                <w:color w:val="000000"/>
                <w:kern w:val="0"/>
                <w:sz w:val="20"/>
              </w:rPr>
            </w:pPr>
            <w:r>
              <w:rPr>
                <w:color w:val="000000"/>
                <w:kern w:val="0"/>
                <w:sz w:val="20"/>
              </w:rPr>
              <w:t>大气污染情况</w:t>
            </w:r>
          </w:p>
        </w:tc>
        <w:tc>
          <w:tcPr>
            <w:tcW w:w="990" w:type="dxa"/>
            <w:vAlign w:val="center"/>
          </w:tcPr>
          <w:p>
            <w:pPr>
              <w:widowControl/>
              <w:jc w:val="center"/>
              <w:rPr>
                <w:color w:val="000000"/>
                <w:kern w:val="0"/>
                <w:sz w:val="20"/>
              </w:rPr>
            </w:pPr>
            <w:r>
              <w:rPr>
                <w:color w:val="000000"/>
                <w:kern w:val="0"/>
                <w:sz w:val="20"/>
              </w:rPr>
              <w:t>低</w:t>
            </w:r>
          </w:p>
        </w:tc>
        <w:tc>
          <w:tcPr>
            <w:tcW w:w="1211" w:type="dxa"/>
            <w:vAlign w:val="center"/>
          </w:tcPr>
          <w:p>
            <w:pPr>
              <w:widowControl/>
              <w:jc w:val="center"/>
              <w:rPr>
                <w:color w:val="000000"/>
                <w:kern w:val="0"/>
                <w:sz w:val="20"/>
              </w:rPr>
            </w:pPr>
            <w:r>
              <w:rPr>
                <w:color w:val="000000"/>
                <w:kern w:val="0"/>
                <w:sz w:val="20"/>
              </w:rPr>
              <w:t>较低</w:t>
            </w:r>
          </w:p>
        </w:tc>
        <w:tc>
          <w:tcPr>
            <w:tcW w:w="1276" w:type="dxa"/>
            <w:vAlign w:val="center"/>
          </w:tcPr>
          <w:p>
            <w:pPr>
              <w:widowControl/>
              <w:jc w:val="center"/>
              <w:rPr>
                <w:color w:val="000000"/>
                <w:kern w:val="0"/>
                <w:sz w:val="20"/>
              </w:rPr>
            </w:pPr>
            <w:r>
              <w:rPr>
                <w:color w:val="000000"/>
                <w:kern w:val="0"/>
                <w:sz w:val="20"/>
              </w:rPr>
              <w:t>一般</w:t>
            </w:r>
          </w:p>
        </w:tc>
        <w:tc>
          <w:tcPr>
            <w:tcW w:w="1418" w:type="dxa"/>
            <w:vAlign w:val="center"/>
          </w:tcPr>
          <w:p>
            <w:pPr>
              <w:widowControl/>
              <w:jc w:val="center"/>
              <w:rPr>
                <w:color w:val="000000"/>
                <w:kern w:val="0"/>
                <w:sz w:val="20"/>
              </w:rPr>
            </w:pPr>
            <w:r>
              <w:rPr>
                <w:color w:val="000000"/>
                <w:kern w:val="0"/>
                <w:sz w:val="20"/>
              </w:rPr>
              <w:t>较高</w:t>
            </w:r>
          </w:p>
        </w:tc>
        <w:tc>
          <w:tcPr>
            <w:tcW w:w="1134" w:type="dxa"/>
            <w:vAlign w:val="center"/>
          </w:tcPr>
          <w:p>
            <w:pPr>
              <w:widowControl/>
              <w:jc w:val="center"/>
              <w:rPr>
                <w:color w:val="000000"/>
                <w:kern w:val="0"/>
                <w:sz w:val="20"/>
              </w:rPr>
            </w:pPr>
            <w:r>
              <w:rPr>
                <w:color w:val="000000"/>
                <w:kern w:val="0"/>
                <w:sz w:val="20"/>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jc w:val="left"/>
              <w:rPr>
                <w:color w:val="000000"/>
                <w:kern w:val="0"/>
                <w:sz w:val="20"/>
              </w:rPr>
            </w:pPr>
          </w:p>
        </w:tc>
        <w:tc>
          <w:tcPr>
            <w:tcW w:w="755" w:type="dxa"/>
            <w:vMerge w:val="continue"/>
            <w:vAlign w:val="center"/>
          </w:tcPr>
          <w:p>
            <w:pPr>
              <w:widowControl/>
              <w:jc w:val="left"/>
              <w:rPr>
                <w:color w:val="000000"/>
                <w:kern w:val="0"/>
                <w:sz w:val="20"/>
              </w:rPr>
            </w:pPr>
          </w:p>
        </w:tc>
        <w:tc>
          <w:tcPr>
            <w:tcW w:w="1409" w:type="dxa"/>
            <w:vAlign w:val="center"/>
          </w:tcPr>
          <w:p>
            <w:pPr>
              <w:widowControl/>
              <w:jc w:val="center"/>
              <w:rPr>
                <w:color w:val="000000"/>
                <w:kern w:val="0"/>
                <w:sz w:val="20"/>
              </w:rPr>
            </w:pPr>
            <w:r>
              <w:rPr>
                <w:color w:val="000000"/>
                <w:kern w:val="0"/>
                <w:sz w:val="20"/>
              </w:rPr>
              <w:t>噪声污染情况</w:t>
            </w:r>
          </w:p>
        </w:tc>
        <w:tc>
          <w:tcPr>
            <w:tcW w:w="990" w:type="dxa"/>
            <w:vAlign w:val="center"/>
          </w:tcPr>
          <w:p>
            <w:pPr>
              <w:widowControl/>
              <w:jc w:val="center"/>
              <w:rPr>
                <w:color w:val="000000"/>
                <w:kern w:val="0"/>
                <w:sz w:val="20"/>
              </w:rPr>
            </w:pPr>
            <w:r>
              <w:rPr>
                <w:color w:val="000000"/>
                <w:kern w:val="0"/>
                <w:sz w:val="20"/>
              </w:rPr>
              <w:t>低</w:t>
            </w:r>
          </w:p>
        </w:tc>
        <w:tc>
          <w:tcPr>
            <w:tcW w:w="1211" w:type="dxa"/>
            <w:vAlign w:val="center"/>
          </w:tcPr>
          <w:p>
            <w:pPr>
              <w:widowControl/>
              <w:jc w:val="center"/>
              <w:rPr>
                <w:color w:val="000000"/>
                <w:kern w:val="0"/>
                <w:sz w:val="20"/>
              </w:rPr>
            </w:pPr>
            <w:r>
              <w:rPr>
                <w:color w:val="000000"/>
                <w:kern w:val="0"/>
                <w:sz w:val="20"/>
              </w:rPr>
              <w:t>较低</w:t>
            </w:r>
          </w:p>
        </w:tc>
        <w:tc>
          <w:tcPr>
            <w:tcW w:w="1276" w:type="dxa"/>
            <w:vAlign w:val="center"/>
          </w:tcPr>
          <w:p>
            <w:pPr>
              <w:widowControl/>
              <w:jc w:val="center"/>
              <w:rPr>
                <w:color w:val="000000"/>
                <w:kern w:val="0"/>
                <w:sz w:val="20"/>
              </w:rPr>
            </w:pPr>
            <w:r>
              <w:rPr>
                <w:color w:val="000000"/>
                <w:kern w:val="0"/>
                <w:sz w:val="20"/>
              </w:rPr>
              <w:t>一般</w:t>
            </w:r>
          </w:p>
        </w:tc>
        <w:tc>
          <w:tcPr>
            <w:tcW w:w="1418" w:type="dxa"/>
            <w:vAlign w:val="center"/>
          </w:tcPr>
          <w:p>
            <w:pPr>
              <w:widowControl/>
              <w:jc w:val="center"/>
              <w:rPr>
                <w:color w:val="000000"/>
                <w:kern w:val="0"/>
                <w:sz w:val="20"/>
              </w:rPr>
            </w:pPr>
            <w:r>
              <w:rPr>
                <w:color w:val="000000"/>
                <w:kern w:val="0"/>
                <w:sz w:val="20"/>
              </w:rPr>
              <w:t>较高</w:t>
            </w:r>
          </w:p>
        </w:tc>
        <w:tc>
          <w:tcPr>
            <w:tcW w:w="1134" w:type="dxa"/>
            <w:vAlign w:val="center"/>
          </w:tcPr>
          <w:p>
            <w:pPr>
              <w:widowControl/>
              <w:jc w:val="center"/>
              <w:rPr>
                <w:color w:val="000000"/>
                <w:kern w:val="0"/>
                <w:sz w:val="20"/>
              </w:rPr>
            </w:pPr>
            <w:r>
              <w:rPr>
                <w:color w:val="000000"/>
                <w:kern w:val="0"/>
                <w:sz w:val="20"/>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jc w:val="left"/>
              <w:rPr>
                <w:color w:val="000000"/>
                <w:kern w:val="0"/>
                <w:sz w:val="20"/>
              </w:rPr>
            </w:pPr>
          </w:p>
        </w:tc>
        <w:tc>
          <w:tcPr>
            <w:tcW w:w="755" w:type="dxa"/>
            <w:vAlign w:val="center"/>
          </w:tcPr>
          <w:p>
            <w:pPr>
              <w:widowControl/>
              <w:jc w:val="center"/>
              <w:rPr>
                <w:color w:val="000000"/>
                <w:kern w:val="0"/>
                <w:sz w:val="20"/>
              </w:rPr>
            </w:pPr>
            <w:r>
              <w:rPr>
                <w:color w:val="000000"/>
                <w:kern w:val="0"/>
                <w:sz w:val="20"/>
              </w:rPr>
              <w:t>自然条件优劣度</w:t>
            </w:r>
          </w:p>
        </w:tc>
        <w:tc>
          <w:tcPr>
            <w:tcW w:w="1409" w:type="dxa"/>
            <w:vAlign w:val="center"/>
          </w:tcPr>
          <w:p>
            <w:pPr>
              <w:widowControl/>
              <w:jc w:val="center"/>
              <w:rPr>
                <w:color w:val="000000"/>
                <w:kern w:val="0"/>
                <w:sz w:val="20"/>
              </w:rPr>
            </w:pPr>
            <w:r>
              <w:rPr>
                <w:color w:val="000000"/>
                <w:kern w:val="0"/>
                <w:sz w:val="20"/>
              </w:rPr>
              <w:t>洪水淹没状况</w:t>
            </w:r>
          </w:p>
        </w:tc>
        <w:tc>
          <w:tcPr>
            <w:tcW w:w="990" w:type="dxa"/>
            <w:vAlign w:val="center"/>
          </w:tcPr>
          <w:p>
            <w:pPr>
              <w:widowControl/>
              <w:jc w:val="center"/>
              <w:rPr>
                <w:color w:val="000000"/>
                <w:kern w:val="0"/>
                <w:sz w:val="20"/>
              </w:rPr>
            </w:pPr>
            <w:r>
              <w:rPr>
                <w:color w:val="000000"/>
                <w:kern w:val="0"/>
                <w:sz w:val="20"/>
              </w:rPr>
              <w:t>低</w:t>
            </w:r>
          </w:p>
        </w:tc>
        <w:tc>
          <w:tcPr>
            <w:tcW w:w="1211" w:type="dxa"/>
            <w:vAlign w:val="center"/>
          </w:tcPr>
          <w:p>
            <w:pPr>
              <w:widowControl/>
              <w:jc w:val="center"/>
              <w:rPr>
                <w:color w:val="000000"/>
                <w:kern w:val="0"/>
                <w:sz w:val="20"/>
              </w:rPr>
            </w:pPr>
            <w:r>
              <w:rPr>
                <w:color w:val="000000"/>
                <w:kern w:val="0"/>
                <w:sz w:val="20"/>
              </w:rPr>
              <w:t>较低</w:t>
            </w:r>
          </w:p>
        </w:tc>
        <w:tc>
          <w:tcPr>
            <w:tcW w:w="1276" w:type="dxa"/>
            <w:vAlign w:val="center"/>
          </w:tcPr>
          <w:p>
            <w:pPr>
              <w:widowControl/>
              <w:jc w:val="center"/>
              <w:rPr>
                <w:color w:val="000000"/>
                <w:kern w:val="0"/>
                <w:sz w:val="20"/>
              </w:rPr>
            </w:pPr>
            <w:r>
              <w:rPr>
                <w:color w:val="000000"/>
                <w:kern w:val="0"/>
                <w:sz w:val="20"/>
              </w:rPr>
              <w:t>一般</w:t>
            </w:r>
          </w:p>
        </w:tc>
        <w:tc>
          <w:tcPr>
            <w:tcW w:w="1418" w:type="dxa"/>
            <w:vAlign w:val="center"/>
          </w:tcPr>
          <w:p>
            <w:pPr>
              <w:widowControl/>
              <w:jc w:val="center"/>
              <w:rPr>
                <w:color w:val="000000"/>
                <w:kern w:val="0"/>
                <w:sz w:val="20"/>
              </w:rPr>
            </w:pPr>
            <w:r>
              <w:rPr>
                <w:color w:val="000000"/>
                <w:kern w:val="0"/>
                <w:sz w:val="20"/>
              </w:rPr>
              <w:t>较高</w:t>
            </w:r>
          </w:p>
        </w:tc>
        <w:tc>
          <w:tcPr>
            <w:tcW w:w="1134" w:type="dxa"/>
            <w:vAlign w:val="center"/>
          </w:tcPr>
          <w:p>
            <w:pPr>
              <w:widowControl/>
              <w:jc w:val="center"/>
              <w:rPr>
                <w:color w:val="000000"/>
                <w:kern w:val="0"/>
                <w:sz w:val="20"/>
              </w:rPr>
            </w:pPr>
            <w:r>
              <w:rPr>
                <w:color w:val="000000"/>
                <w:kern w:val="0"/>
                <w:sz w:val="20"/>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Align w:val="center"/>
          </w:tcPr>
          <w:p>
            <w:pPr>
              <w:widowControl/>
              <w:jc w:val="center"/>
              <w:rPr>
                <w:color w:val="000000"/>
                <w:kern w:val="0"/>
                <w:sz w:val="20"/>
              </w:rPr>
            </w:pPr>
            <w:r>
              <w:rPr>
                <w:color w:val="000000"/>
                <w:kern w:val="0"/>
                <w:sz w:val="20"/>
              </w:rPr>
              <w:t>繁华程度</w:t>
            </w:r>
          </w:p>
        </w:tc>
        <w:tc>
          <w:tcPr>
            <w:tcW w:w="755" w:type="dxa"/>
            <w:vAlign w:val="center"/>
          </w:tcPr>
          <w:p>
            <w:pPr>
              <w:widowControl/>
              <w:jc w:val="center"/>
              <w:rPr>
                <w:color w:val="000000"/>
                <w:kern w:val="0"/>
                <w:sz w:val="20"/>
              </w:rPr>
            </w:pPr>
            <w:r>
              <w:rPr>
                <w:color w:val="000000"/>
                <w:kern w:val="0"/>
                <w:sz w:val="20"/>
              </w:rPr>
              <w:t>商服繁华影响度</w:t>
            </w:r>
          </w:p>
        </w:tc>
        <w:tc>
          <w:tcPr>
            <w:tcW w:w="1409" w:type="dxa"/>
            <w:vAlign w:val="center"/>
          </w:tcPr>
          <w:p>
            <w:pPr>
              <w:widowControl/>
              <w:jc w:val="center"/>
              <w:rPr>
                <w:color w:val="000000"/>
                <w:kern w:val="0"/>
                <w:sz w:val="20"/>
              </w:rPr>
            </w:pPr>
            <w:r>
              <w:rPr>
                <w:color w:val="000000"/>
                <w:kern w:val="0"/>
                <w:sz w:val="20"/>
              </w:rPr>
              <w:t>距商服中心距离</w:t>
            </w:r>
          </w:p>
        </w:tc>
        <w:tc>
          <w:tcPr>
            <w:tcW w:w="990" w:type="dxa"/>
            <w:vAlign w:val="center"/>
          </w:tcPr>
          <w:p>
            <w:pPr>
              <w:widowControl/>
              <w:jc w:val="center"/>
              <w:rPr>
                <w:color w:val="000000"/>
                <w:kern w:val="0"/>
                <w:sz w:val="20"/>
              </w:rPr>
            </w:pPr>
            <w:r>
              <w:rPr>
                <w:color w:val="000000"/>
                <w:kern w:val="0"/>
                <w:sz w:val="20"/>
              </w:rPr>
              <w:t>≤280</w:t>
            </w:r>
          </w:p>
        </w:tc>
        <w:tc>
          <w:tcPr>
            <w:tcW w:w="1211" w:type="dxa"/>
            <w:vAlign w:val="center"/>
          </w:tcPr>
          <w:p>
            <w:pPr>
              <w:widowControl/>
              <w:jc w:val="center"/>
              <w:rPr>
                <w:color w:val="000000"/>
                <w:kern w:val="0"/>
                <w:sz w:val="20"/>
              </w:rPr>
            </w:pPr>
            <w:r>
              <w:rPr>
                <w:color w:val="000000"/>
                <w:kern w:val="0"/>
                <w:sz w:val="20"/>
              </w:rPr>
              <w:t>280-550</w:t>
            </w:r>
          </w:p>
        </w:tc>
        <w:tc>
          <w:tcPr>
            <w:tcW w:w="1276" w:type="dxa"/>
            <w:vAlign w:val="center"/>
          </w:tcPr>
          <w:p>
            <w:pPr>
              <w:widowControl/>
              <w:jc w:val="center"/>
              <w:rPr>
                <w:color w:val="000000"/>
                <w:kern w:val="0"/>
                <w:sz w:val="20"/>
              </w:rPr>
            </w:pPr>
            <w:r>
              <w:rPr>
                <w:color w:val="000000"/>
                <w:kern w:val="0"/>
                <w:sz w:val="20"/>
              </w:rPr>
              <w:t>550-950</w:t>
            </w:r>
          </w:p>
        </w:tc>
        <w:tc>
          <w:tcPr>
            <w:tcW w:w="1418" w:type="dxa"/>
            <w:vAlign w:val="center"/>
          </w:tcPr>
          <w:p>
            <w:pPr>
              <w:widowControl/>
              <w:jc w:val="center"/>
              <w:rPr>
                <w:color w:val="000000"/>
                <w:kern w:val="0"/>
                <w:sz w:val="20"/>
              </w:rPr>
            </w:pPr>
            <w:r>
              <w:rPr>
                <w:color w:val="000000"/>
                <w:kern w:val="0"/>
                <w:sz w:val="20"/>
              </w:rPr>
              <w:t>950-1500</w:t>
            </w:r>
          </w:p>
        </w:tc>
        <w:tc>
          <w:tcPr>
            <w:tcW w:w="1134" w:type="dxa"/>
            <w:vAlign w:val="center"/>
          </w:tcPr>
          <w:p>
            <w:pPr>
              <w:widowControl/>
              <w:jc w:val="center"/>
              <w:rPr>
                <w:color w:val="000000"/>
                <w:kern w:val="0"/>
                <w:sz w:val="20"/>
              </w:rPr>
            </w:pPr>
            <w:r>
              <w:rPr>
                <w:color w:val="000000"/>
                <w:kern w:val="0"/>
                <w:sz w:val="20"/>
              </w:rPr>
              <w:t>&gt;1500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53" w:type="dxa"/>
            <w:vAlign w:val="center"/>
          </w:tcPr>
          <w:p>
            <w:pPr>
              <w:widowControl/>
              <w:jc w:val="center"/>
              <w:rPr>
                <w:color w:val="000000"/>
                <w:kern w:val="0"/>
                <w:sz w:val="20"/>
              </w:rPr>
            </w:pPr>
            <w:r>
              <w:rPr>
                <w:color w:val="000000"/>
                <w:kern w:val="0"/>
                <w:sz w:val="20"/>
              </w:rPr>
              <w:t>人口状况</w:t>
            </w:r>
          </w:p>
        </w:tc>
        <w:tc>
          <w:tcPr>
            <w:tcW w:w="755" w:type="dxa"/>
            <w:vAlign w:val="center"/>
          </w:tcPr>
          <w:p>
            <w:pPr>
              <w:widowControl/>
              <w:jc w:val="center"/>
              <w:rPr>
                <w:color w:val="000000"/>
                <w:kern w:val="0"/>
                <w:sz w:val="20"/>
              </w:rPr>
            </w:pPr>
            <w:r>
              <w:rPr>
                <w:color w:val="000000"/>
                <w:kern w:val="0"/>
                <w:sz w:val="20"/>
              </w:rPr>
              <w:t>人口密度</w:t>
            </w:r>
          </w:p>
        </w:tc>
        <w:tc>
          <w:tcPr>
            <w:tcW w:w="1409" w:type="dxa"/>
            <w:vAlign w:val="center"/>
          </w:tcPr>
          <w:p>
            <w:pPr>
              <w:widowControl/>
              <w:jc w:val="center"/>
              <w:rPr>
                <w:color w:val="000000"/>
                <w:kern w:val="0"/>
                <w:sz w:val="20"/>
              </w:rPr>
            </w:pPr>
            <w:r>
              <w:rPr>
                <w:color w:val="000000"/>
                <w:kern w:val="0"/>
                <w:sz w:val="20"/>
              </w:rPr>
              <w:t>人口密度</w:t>
            </w:r>
          </w:p>
        </w:tc>
        <w:tc>
          <w:tcPr>
            <w:tcW w:w="990" w:type="dxa"/>
            <w:vAlign w:val="center"/>
          </w:tcPr>
          <w:p>
            <w:pPr>
              <w:widowControl/>
              <w:jc w:val="center"/>
              <w:rPr>
                <w:color w:val="000000"/>
                <w:kern w:val="0"/>
                <w:sz w:val="20"/>
              </w:rPr>
            </w:pPr>
            <w:r>
              <w:rPr>
                <w:color w:val="000000"/>
                <w:kern w:val="0"/>
                <w:sz w:val="20"/>
              </w:rPr>
              <w:t>人口稠密</w:t>
            </w:r>
          </w:p>
        </w:tc>
        <w:tc>
          <w:tcPr>
            <w:tcW w:w="1211" w:type="dxa"/>
            <w:vAlign w:val="center"/>
          </w:tcPr>
          <w:p>
            <w:pPr>
              <w:widowControl/>
              <w:jc w:val="center"/>
              <w:rPr>
                <w:color w:val="000000"/>
                <w:kern w:val="0"/>
                <w:sz w:val="20"/>
              </w:rPr>
            </w:pPr>
            <w:r>
              <w:rPr>
                <w:color w:val="000000"/>
                <w:kern w:val="0"/>
                <w:sz w:val="20"/>
              </w:rPr>
              <w:t>人口较稠密</w:t>
            </w:r>
          </w:p>
        </w:tc>
        <w:tc>
          <w:tcPr>
            <w:tcW w:w="1276" w:type="dxa"/>
            <w:vAlign w:val="center"/>
          </w:tcPr>
          <w:p>
            <w:pPr>
              <w:widowControl/>
              <w:jc w:val="center"/>
              <w:rPr>
                <w:color w:val="000000"/>
                <w:kern w:val="0"/>
                <w:sz w:val="20"/>
              </w:rPr>
            </w:pPr>
            <w:r>
              <w:rPr>
                <w:color w:val="000000"/>
                <w:kern w:val="0"/>
                <w:sz w:val="20"/>
              </w:rPr>
              <w:t>一般</w:t>
            </w:r>
          </w:p>
        </w:tc>
        <w:tc>
          <w:tcPr>
            <w:tcW w:w="1418" w:type="dxa"/>
            <w:vAlign w:val="center"/>
          </w:tcPr>
          <w:p>
            <w:pPr>
              <w:widowControl/>
              <w:jc w:val="center"/>
              <w:rPr>
                <w:color w:val="000000"/>
                <w:kern w:val="0"/>
                <w:sz w:val="20"/>
              </w:rPr>
            </w:pPr>
            <w:r>
              <w:rPr>
                <w:color w:val="000000"/>
                <w:kern w:val="0"/>
                <w:sz w:val="20"/>
              </w:rPr>
              <w:t>人口较稀疏</w:t>
            </w:r>
          </w:p>
        </w:tc>
        <w:tc>
          <w:tcPr>
            <w:tcW w:w="1134" w:type="dxa"/>
            <w:vAlign w:val="center"/>
          </w:tcPr>
          <w:p>
            <w:pPr>
              <w:widowControl/>
              <w:jc w:val="center"/>
              <w:rPr>
                <w:color w:val="000000"/>
                <w:kern w:val="0"/>
                <w:sz w:val="20"/>
              </w:rPr>
            </w:pPr>
            <w:r>
              <w:rPr>
                <w:color w:val="000000"/>
                <w:kern w:val="0"/>
                <w:sz w:val="20"/>
              </w:rPr>
              <w:t>人口稀疏区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restart"/>
            <w:vAlign w:val="center"/>
          </w:tcPr>
          <w:p>
            <w:pPr>
              <w:widowControl/>
              <w:jc w:val="center"/>
              <w:rPr>
                <w:color w:val="000000"/>
                <w:kern w:val="0"/>
                <w:sz w:val="20"/>
              </w:rPr>
            </w:pPr>
            <w:r>
              <w:rPr>
                <w:color w:val="000000"/>
                <w:kern w:val="0"/>
                <w:sz w:val="20"/>
              </w:rPr>
              <w:t>城市规划</w:t>
            </w:r>
          </w:p>
        </w:tc>
        <w:tc>
          <w:tcPr>
            <w:tcW w:w="755" w:type="dxa"/>
            <w:vMerge w:val="restart"/>
            <w:vAlign w:val="center"/>
          </w:tcPr>
          <w:p>
            <w:pPr>
              <w:widowControl/>
              <w:jc w:val="center"/>
              <w:rPr>
                <w:color w:val="000000"/>
                <w:kern w:val="0"/>
                <w:sz w:val="20"/>
              </w:rPr>
            </w:pPr>
            <w:r>
              <w:rPr>
                <w:color w:val="000000"/>
                <w:kern w:val="0"/>
                <w:sz w:val="20"/>
              </w:rPr>
              <w:t>城市规划</w:t>
            </w:r>
          </w:p>
        </w:tc>
        <w:tc>
          <w:tcPr>
            <w:tcW w:w="1409" w:type="dxa"/>
            <w:vAlign w:val="center"/>
          </w:tcPr>
          <w:p>
            <w:pPr>
              <w:widowControl/>
              <w:jc w:val="center"/>
              <w:rPr>
                <w:color w:val="000000"/>
                <w:kern w:val="0"/>
                <w:sz w:val="20"/>
              </w:rPr>
            </w:pPr>
            <w:r>
              <w:rPr>
                <w:color w:val="000000"/>
                <w:kern w:val="0"/>
                <w:sz w:val="20"/>
              </w:rPr>
              <w:t>用地规划</w:t>
            </w:r>
          </w:p>
        </w:tc>
        <w:tc>
          <w:tcPr>
            <w:tcW w:w="990" w:type="dxa"/>
            <w:vAlign w:val="center"/>
          </w:tcPr>
          <w:p>
            <w:pPr>
              <w:widowControl/>
              <w:jc w:val="center"/>
              <w:rPr>
                <w:color w:val="000000"/>
                <w:kern w:val="0"/>
                <w:sz w:val="20"/>
              </w:rPr>
            </w:pPr>
            <w:r>
              <w:rPr>
                <w:color w:val="000000"/>
                <w:kern w:val="0"/>
                <w:sz w:val="20"/>
              </w:rPr>
              <w:t>主干道</w:t>
            </w:r>
          </w:p>
        </w:tc>
        <w:tc>
          <w:tcPr>
            <w:tcW w:w="1211" w:type="dxa"/>
            <w:vAlign w:val="center"/>
          </w:tcPr>
          <w:p>
            <w:pPr>
              <w:widowControl/>
              <w:jc w:val="center"/>
              <w:rPr>
                <w:color w:val="000000"/>
                <w:kern w:val="0"/>
                <w:sz w:val="20"/>
              </w:rPr>
            </w:pPr>
            <w:r>
              <w:rPr>
                <w:color w:val="000000"/>
                <w:kern w:val="0"/>
                <w:sz w:val="20"/>
              </w:rPr>
              <w:t>次干道</w:t>
            </w:r>
          </w:p>
        </w:tc>
        <w:tc>
          <w:tcPr>
            <w:tcW w:w="1276" w:type="dxa"/>
            <w:vAlign w:val="center"/>
          </w:tcPr>
          <w:p>
            <w:pPr>
              <w:widowControl/>
              <w:jc w:val="center"/>
              <w:rPr>
                <w:color w:val="000000"/>
                <w:kern w:val="0"/>
                <w:sz w:val="20"/>
              </w:rPr>
            </w:pPr>
            <w:r>
              <w:rPr>
                <w:color w:val="000000"/>
                <w:kern w:val="0"/>
                <w:sz w:val="20"/>
              </w:rPr>
              <w:t>快速路</w:t>
            </w:r>
          </w:p>
        </w:tc>
        <w:tc>
          <w:tcPr>
            <w:tcW w:w="1418" w:type="dxa"/>
            <w:vAlign w:val="center"/>
          </w:tcPr>
          <w:p>
            <w:pPr>
              <w:widowControl/>
              <w:jc w:val="center"/>
              <w:rPr>
                <w:color w:val="000000"/>
                <w:kern w:val="0"/>
                <w:sz w:val="20"/>
              </w:rPr>
            </w:pPr>
            <w:r>
              <w:rPr>
                <w:color w:val="000000"/>
                <w:kern w:val="0"/>
                <w:sz w:val="20"/>
              </w:rPr>
              <w:t>支路</w:t>
            </w:r>
          </w:p>
        </w:tc>
        <w:tc>
          <w:tcPr>
            <w:tcW w:w="1134" w:type="dxa"/>
            <w:vAlign w:val="center"/>
          </w:tcPr>
          <w:p>
            <w:pPr>
              <w:widowControl/>
              <w:jc w:val="center"/>
              <w:rPr>
                <w:color w:val="000000"/>
                <w:kern w:val="0"/>
                <w:sz w:val="20"/>
              </w:rPr>
            </w:pPr>
            <w:r>
              <w:rPr>
                <w:color w:val="000000"/>
                <w:kern w:val="0"/>
                <w:sz w:val="20"/>
              </w:rPr>
              <w:t>街坊间支路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jc w:val="left"/>
              <w:rPr>
                <w:color w:val="000000"/>
                <w:kern w:val="0"/>
                <w:sz w:val="20"/>
              </w:rPr>
            </w:pPr>
          </w:p>
        </w:tc>
        <w:tc>
          <w:tcPr>
            <w:tcW w:w="755" w:type="dxa"/>
            <w:vMerge w:val="continue"/>
            <w:vAlign w:val="center"/>
          </w:tcPr>
          <w:p>
            <w:pPr>
              <w:widowControl/>
              <w:jc w:val="left"/>
              <w:rPr>
                <w:color w:val="000000"/>
                <w:kern w:val="0"/>
                <w:sz w:val="20"/>
              </w:rPr>
            </w:pPr>
          </w:p>
        </w:tc>
        <w:tc>
          <w:tcPr>
            <w:tcW w:w="1409" w:type="dxa"/>
            <w:vAlign w:val="center"/>
          </w:tcPr>
          <w:p>
            <w:pPr>
              <w:widowControl/>
              <w:jc w:val="center"/>
              <w:rPr>
                <w:color w:val="000000"/>
                <w:kern w:val="0"/>
                <w:sz w:val="20"/>
              </w:rPr>
            </w:pPr>
            <w:r>
              <w:rPr>
                <w:color w:val="000000"/>
                <w:kern w:val="0"/>
                <w:sz w:val="20"/>
              </w:rPr>
              <w:t>道路规划</w:t>
            </w:r>
          </w:p>
        </w:tc>
        <w:tc>
          <w:tcPr>
            <w:tcW w:w="990" w:type="dxa"/>
            <w:vAlign w:val="center"/>
          </w:tcPr>
          <w:p>
            <w:pPr>
              <w:widowControl/>
              <w:jc w:val="center"/>
              <w:rPr>
                <w:color w:val="000000"/>
                <w:kern w:val="0"/>
                <w:sz w:val="20"/>
              </w:rPr>
            </w:pPr>
            <w:r>
              <w:rPr>
                <w:color w:val="000000"/>
                <w:kern w:val="0"/>
                <w:sz w:val="20"/>
              </w:rPr>
              <w:t>最佳用途</w:t>
            </w:r>
          </w:p>
        </w:tc>
        <w:tc>
          <w:tcPr>
            <w:tcW w:w="1211" w:type="dxa"/>
            <w:vAlign w:val="center"/>
          </w:tcPr>
          <w:p>
            <w:pPr>
              <w:widowControl/>
              <w:jc w:val="center"/>
              <w:rPr>
                <w:color w:val="000000"/>
                <w:kern w:val="0"/>
                <w:sz w:val="20"/>
              </w:rPr>
            </w:pPr>
            <w:r>
              <w:rPr>
                <w:color w:val="000000"/>
                <w:kern w:val="0"/>
                <w:sz w:val="20"/>
              </w:rPr>
              <w:t>较适用途</w:t>
            </w:r>
          </w:p>
        </w:tc>
        <w:tc>
          <w:tcPr>
            <w:tcW w:w="1276" w:type="dxa"/>
            <w:vAlign w:val="center"/>
          </w:tcPr>
          <w:p>
            <w:pPr>
              <w:widowControl/>
              <w:jc w:val="center"/>
              <w:rPr>
                <w:color w:val="000000"/>
                <w:kern w:val="0"/>
                <w:sz w:val="20"/>
              </w:rPr>
            </w:pPr>
            <w:r>
              <w:rPr>
                <w:color w:val="000000"/>
                <w:kern w:val="0"/>
                <w:sz w:val="20"/>
              </w:rPr>
              <w:t>一般用途</w:t>
            </w:r>
          </w:p>
        </w:tc>
        <w:tc>
          <w:tcPr>
            <w:tcW w:w="1418" w:type="dxa"/>
            <w:vAlign w:val="center"/>
          </w:tcPr>
          <w:p>
            <w:pPr>
              <w:widowControl/>
              <w:jc w:val="center"/>
              <w:rPr>
                <w:color w:val="000000"/>
                <w:kern w:val="0"/>
                <w:sz w:val="20"/>
              </w:rPr>
            </w:pPr>
            <w:r>
              <w:rPr>
                <w:color w:val="000000"/>
                <w:kern w:val="0"/>
                <w:sz w:val="20"/>
              </w:rPr>
              <w:t>不太适合用途</w:t>
            </w:r>
          </w:p>
        </w:tc>
        <w:tc>
          <w:tcPr>
            <w:tcW w:w="1134" w:type="dxa"/>
            <w:vAlign w:val="center"/>
          </w:tcPr>
          <w:p>
            <w:pPr>
              <w:widowControl/>
              <w:jc w:val="center"/>
              <w:rPr>
                <w:color w:val="000000"/>
                <w:kern w:val="0"/>
                <w:sz w:val="20"/>
              </w:rPr>
            </w:pPr>
            <w:r>
              <w:rPr>
                <w:color w:val="000000"/>
                <w:kern w:val="0"/>
                <w:sz w:val="20"/>
              </w:rPr>
              <w:t>不适合用途</w:t>
            </w:r>
          </w:p>
        </w:tc>
      </w:tr>
    </w:tbl>
    <w:p>
      <w:pPr>
        <w:widowControl/>
        <w:ind w:firstLine="480" w:firstLineChars="200"/>
        <w:jc w:val="left"/>
        <w:rPr>
          <w:b/>
          <w:sz w:val="24"/>
          <w:szCs w:val="24"/>
        </w:rPr>
      </w:pPr>
      <w:r>
        <w:rPr>
          <w:bCs/>
          <w:sz w:val="24"/>
          <w:szCs w:val="24"/>
        </w:rPr>
        <w:br w:type="page"/>
      </w:r>
    </w:p>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表4-4-5  长沙县Ⅲ级住宅用地宗地地价区域因素修正系数表（%）</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8"/>
        <w:gridCol w:w="2093"/>
        <w:gridCol w:w="935"/>
        <w:gridCol w:w="935"/>
        <w:gridCol w:w="935"/>
        <w:gridCol w:w="935"/>
        <w:gridCol w:w="935"/>
        <w:gridCol w:w="9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58"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2093"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指标层</w:t>
            </w:r>
          </w:p>
        </w:tc>
        <w:tc>
          <w:tcPr>
            <w:tcW w:w="935"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权重</w:t>
            </w:r>
          </w:p>
        </w:tc>
        <w:tc>
          <w:tcPr>
            <w:tcW w:w="935"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优</w:t>
            </w:r>
          </w:p>
        </w:tc>
        <w:tc>
          <w:tcPr>
            <w:tcW w:w="935"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较优</w:t>
            </w:r>
          </w:p>
        </w:tc>
        <w:tc>
          <w:tcPr>
            <w:tcW w:w="935"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一般</w:t>
            </w:r>
          </w:p>
        </w:tc>
        <w:tc>
          <w:tcPr>
            <w:tcW w:w="935"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较劣</w:t>
            </w:r>
          </w:p>
        </w:tc>
        <w:tc>
          <w:tcPr>
            <w:tcW w:w="935"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5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基础设施完善度</w:t>
            </w: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排水状况</w:t>
            </w:r>
          </w:p>
        </w:tc>
        <w:tc>
          <w:tcPr>
            <w:tcW w:w="935" w:type="dxa"/>
            <w:tcBorders>
              <w:top w:val="single" w:color="auto" w:sz="4" w:space="0"/>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0.0426</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0.5389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0.2694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-0.2594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-0.5189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495"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供水状况</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0.0426</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0.5389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0.2694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-0.2594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-0.5189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供电状况</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0.0426</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0.5389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0.2694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-0.2594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-0.5189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495"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供气状况</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0.0426</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0.5389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0.2694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-0.2594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-0.5189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5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公用设施完备度</w:t>
            </w: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距中小学距离</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0.0521</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0.6591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0.3295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-0.3173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-0.6346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距医院距离</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0.0312</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0.3947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0.1973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-0.1900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-0.3800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距大型超市距离</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0.0366</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0.4630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0.2315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-0.2229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-0.4458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85"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距文体设施距离</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0.0257</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0.3251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0.1626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-0.1565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-0.3130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5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道路通达度</w:t>
            </w: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临近道路状况</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0.1124</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1.4219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0.7109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-0.6845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-1.3690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540" w:hRule="atLeast"/>
        </w:trPr>
        <w:tc>
          <w:tcPr>
            <w:tcW w:w="135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公交便捷度</w:t>
            </w: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距最近公交站点（</w:t>
            </w:r>
            <w:r>
              <w:rPr>
                <w:rFonts w:hint="eastAsia"/>
                <w:color w:val="000000"/>
                <w:kern w:val="0"/>
                <w:szCs w:val="21"/>
              </w:rPr>
              <w:t>轨道交通</w:t>
            </w:r>
            <w:r>
              <w:rPr>
                <w:color w:val="000000"/>
                <w:kern w:val="0"/>
                <w:szCs w:val="21"/>
              </w:rPr>
              <w:t>站）距离</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0.0821</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1.0386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0.5193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-0.5000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-1.0000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35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对外交通便利度</w:t>
            </w: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距最近长途汽车站距离</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0.0188</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0.2378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0.1189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-0.1145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-0.2290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85"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距火车站距离</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0.0121</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0.1531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0.0765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-0.0737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-0.1474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距高铁站长沙南站距离</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0.0124</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0.1569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0.0784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-0.0755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-0.1510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135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环境优劣度</w:t>
            </w: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水污染情况</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0.0433</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0.5477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0.2739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-0.2637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-0.5274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大气污染情况</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0.0433</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0.5477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0.2739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-0.2637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-0.5274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噪声污染情况</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0.0433</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0.5477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0.2739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-0.2637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-0.5274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5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自然条件优劣度</w:t>
            </w: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洪水淹没状况</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0.0668</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0.8450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0.4225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-0.4068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-0.8136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510" w:hRule="atLeast"/>
        </w:trPr>
        <w:tc>
          <w:tcPr>
            <w:tcW w:w="135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商服繁华影响度</w:t>
            </w: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距商服中心距离</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0.1525</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1.9291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0.9646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-0.9287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-1.8575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5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人口密度</w:t>
            </w: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人口密度</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0.0486</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0.6148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0.3074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-0.2960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-0.5919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trPr>
        <w:tc>
          <w:tcPr>
            <w:tcW w:w="135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城市规划</w:t>
            </w: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用地规划</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0.0256</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0.3238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0.1619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-0.1559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-0.3118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道路规划</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0.0228</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0.2884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0.1442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-0.1389 </w:t>
            </w:r>
          </w:p>
        </w:tc>
        <w:tc>
          <w:tcPr>
            <w:tcW w:w="935"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-0.2777 </w:t>
            </w:r>
          </w:p>
        </w:tc>
      </w:tr>
    </w:tbl>
    <w:p>
      <w:pPr>
        <w:widowControl/>
        <w:ind w:firstLine="480" w:firstLineChars="200"/>
        <w:jc w:val="left"/>
        <w:rPr>
          <w:b/>
          <w:sz w:val="24"/>
          <w:szCs w:val="24"/>
        </w:rPr>
      </w:pPr>
      <w:r>
        <w:rPr>
          <w:bCs/>
          <w:sz w:val="24"/>
          <w:szCs w:val="24"/>
        </w:rPr>
        <w:br w:type="page"/>
      </w:r>
    </w:p>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表4-4-6  长沙县Ⅲ级住宅用地宗地地价区域因素修正系数指标说明表</w:t>
      </w:r>
    </w:p>
    <w:tbl>
      <w:tblPr>
        <w:tblW w:w="922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105"/>
        <w:gridCol w:w="1409"/>
        <w:gridCol w:w="990"/>
        <w:gridCol w:w="1287"/>
        <w:gridCol w:w="1275"/>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Align w:val="center"/>
          </w:tcPr>
          <w:p>
            <w:pPr>
              <w:widowControl/>
              <w:jc w:val="center"/>
              <w:rPr>
                <w:b/>
                <w:bCs/>
                <w:color w:val="000000"/>
                <w:kern w:val="0"/>
                <w:szCs w:val="21"/>
              </w:rPr>
            </w:pPr>
            <w:r>
              <w:rPr>
                <w:b/>
                <w:bCs/>
                <w:color w:val="000000"/>
                <w:kern w:val="0"/>
                <w:szCs w:val="21"/>
              </w:rPr>
              <w:t>因素层</w:t>
            </w:r>
          </w:p>
        </w:tc>
        <w:tc>
          <w:tcPr>
            <w:tcW w:w="1105" w:type="dxa"/>
            <w:vAlign w:val="center"/>
          </w:tcPr>
          <w:p>
            <w:pPr>
              <w:widowControl/>
              <w:ind w:left="-250" w:leftChars="-119" w:firstLine="249" w:firstLineChars="118"/>
              <w:jc w:val="center"/>
              <w:rPr>
                <w:b/>
                <w:bCs/>
                <w:color w:val="000000"/>
                <w:kern w:val="0"/>
                <w:szCs w:val="21"/>
              </w:rPr>
            </w:pPr>
            <w:r>
              <w:rPr>
                <w:b/>
                <w:bCs/>
                <w:color w:val="000000"/>
                <w:kern w:val="0"/>
                <w:szCs w:val="21"/>
              </w:rPr>
              <w:t>因子层</w:t>
            </w:r>
          </w:p>
        </w:tc>
        <w:tc>
          <w:tcPr>
            <w:tcW w:w="1409" w:type="dxa"/>
            <w:vAlign w:val="center"/>
          </w:tcPr>
          <w:p>
            <w:pPr>
              <w:widowControl/>
              <w:ind w:left="-250" w:leftChars="-119" w:firstLine="249" w:firstLineChars="118"/>
              <w:jc w:val="center"/>
              <w:rPr>
                <w:b/>
                <w:bCs/>
                <w:color w:val="000000"/>
                <w:kern w:val="0"/>
                <w:szCs w:val="21"/>
              </w:rPr>
            </w:pPr>
            <w:r>
              <w:rPr>
                <w:b/>
                <w:bCs/>
                <w:color w:val="000000"/>
                <w:kern w:val="0"/>
                <w:szCs w:val="21"/>
              </w:rPr>
              <w:t>指标层</w:t>
            </w:r>
          </w:p>
        </w:tc>
        <w:tc>
          <w:tcPr>
            <w:tcW w:w="990" w:type="dxa"/>
            <w:vAlign w:val="center"/>
          </w:tcPr>
          <w:p>
            <w:pPr>
              <w:widowControl/>
              <w:ind w:left="-250" w:leftChars="-119" w:firstLine="249" w:firstLineChars="118"/>
              <w:jc w:val="center"/>
              <w:rPr>
                <w:b/>
                <w:bCs/>
                <w:color w:val="000000"/>
                <w:kern w:val="0"/>
                <w:szCs w:val="21"/>
              </w:rPr>
            </w:pPr>
            <w:r>
              <w:rPr>
                <w:b/>
                <w:bCs/>
                <w:color w:val="000000"/>
                <w:kern w:val="0"/>
                <w:szCs w:val="21"/>
              </w:rPr>
              <w:t>优</w:t>
            </w:r>
          </w:p>
        </w:tc>
        <w:tc>
          <w:tcPr>
            <w:tcW w:w="1287" w:type="dxa"/>
            <w:vAlign w:val="center"/>
          </w:tcPr>
          <w:p>
            <w:pPr>
              <w:widowControl/>
              <w:ind w:left="-250" w:leftChars="-119" w:firstLine="249" w:firstLineChars="118"/>
              <w:jc w:val="center"/>
              <w:rPr>
                <w:b/>
                <w:bCs/>
                <w:color w:val="000000"/>
                <w:kern w:val="0"/>
                <w:szCs w:val="21"/>
              </w:rPr>
            </w:pPr>
            <w:r>
              <w:rPr>
                <w:b/>
                <w:bCs/>
                <w:color w:val="000000"/>
                <w:kern w:val="0"/>
                <w:szCs w:val="21"/>
              </w:rPr>
              <w:t>较优</w:t>
            </w:r>
          </w:p>
        </w:tc>
        <w:tc>
          <w:tcPr>
            <w:tcW w:w="1275" w:type="dxa"/>
            <w:vAlign w:val="center"/>
          </w:tcPr>
          <w:p>
            <w:pPr>
              <w:widowControl/>
              <w:ind w:left="-250" w:leftChars="-119" w:firstLine="249" w:firstLineChars="118"/>
              <w:jc w:val="center"/>
              <w:rPr>
                <w:b/>
                <w:bCs/>
                <w:color w:val="000000"/>
                <w:kern w:val="0"/>
                <w:szCs w:val="21"/>
              </w:rPr>
            </w:pPr>
            <w:r>
              <w:rPr>
                <w:b/>
                <w:bCs/>
                <w:color w:val="000000"/>
                <w:kern w:val="0"/>
                <w:szCs w:val="21"/>
              </w:rPr>
              <w:t>一般</w:t>
            </w:r>
          </w:p>
        </w:tc>
        <w:tc>
          <w:tcPr>
            <w:tcW w:w="1276" w:type="dxa"/>
            <w:vAlign w:val="center"/>
          </w:tcPr>
          <w:p>
            <w:pPr>
              <w:widowControl/>
              <w:ind w:left="-250" w:leftChars="-119" w:firstLine="249" w:firstLineChars="118"/>
              <w:jc w:val="center"/>
              <w:rPr>
                <w:b/>
                <w:bCs/>
                <w:color w:val="000000"/>
                <w:kern w:val="0"/>
                <w:szCs w:val="21"/>
              </w:rPr>
            </w:pPr>
            <w:r>
              <w:rPr>
                <w:b/>
                <w:bCs/>
                <w:color w:val="000000"/>
                <w:kern w:val="0"/>
                <w:szCs w:val="21"/>
              </w:rPr>
              <w:t>较劣</w:t>
            </w:r>
          </w:p>
        </w:tc>
        <w:tc>
          <w:tcPr>
            <w:tcW w:w="1134" w:type="dxa"/>
            <w:vAlign w:val="center"/>
          </w:tcPr>
          <w:p>
            <w:pPr>
              <w:widowControl/>
              <w:ind w:left="-250" w:leftChars="-119" w:firstLine="249" w:firstLineChars="118"/>
              <w:jc w:val="center"/>
              <w:rPr>
                <w:b/>
                <w:bCs/>
                <w:color w:val="000000"/>
                <w:kern w:val="0"/>
                <w:szCs w:val="21"/>
              </w:rPr>
            </w:pPr>
            <w:r>
              <w:rPr>
                <w:b/>
                <w:bCs/>
                <w:color w:val="000000"/>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restart"/>
            <w:vAlign w:val="center"/>
          </w:tcPr>
          <w:p>
            <w:pPr>
              <w:widowControl/>
              <w:jc w:val="center"/>
              <w:rPr>
                <w:color w:val="000000"/>
                <w:kern w:val="0"/>
                <w:szCs w:val="21"/>
              </w:rPr>
            </w:pPr>
            <w:r>
              <w:rPr>
                <w:color w:val="000000"/>
                <w:kern w:val="0"/>
                <w:szCs w:val="21"/>
              </w:rPr>
              <w:t>基本设施状况</w:t>
            </w:r>
          </w:p>
        </w:tc>
        <w:tc>
          <w:tcPr>
            <w:tcW w:w="1105" w:type="dxa"/>
            <w:vMerge w:val="restart"/>
            <w:vAlign w:val="center"/>
          </w:tcPr>
          <w:p>
            <w:pPr>
              <w:widowControl/>
              <w:jc w:val="center"/>
              <w:rPr>
                <w:color w:val="000000"/>
                <w:kern w:val="0"/>
                <w:szCs w:val="21"/>
              </w:rPr>
            </w:pPr>
            <w:r>
              <w:rPr>
                <w:color w:val="000000"/>
                <w:kern w:val="0"/>
                <w:szCs w:val="21"/>
              </w:rPr>
              <w:t>基础设施完善度</w:t>
            </w:r>
          </w:p>
        </w:tc>
        <w:tc>
          <w:tcPr>
            <w:tcW w:w="1409" w:type="dxa"/>
            <w:vAlign w:val="center"/>
          </w:tcPr>
          <w:p>
            <w:pPr>
              <w:widowControl/>
              <w:ind w:left="-250" w:leftChars="-119" w:firstLine="247" w:firstLineChars="118"/>
              <w:jc w:val="center"/>
              <w:rPr>
                <w:color w:val="000000"/>
                <w:kern w:val="0"/>
                <w:szCs w:val="21"/>
              </w:rPr>
            </w:pPr>
            <w:r>
              <w:rPr>
                <w:color w:val="000000"/>
                <w:kern w:val="0"/>
                <w:szCs w:val="21"/>
              </w:rPr>
              <w:t>排水状况</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好</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较好</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一般</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较差</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ind w:left="-250" w:leftChars="-119" w:firstLine="247" w:firstLineChars="118"/>
              <w:jc w:val="center"/>
              <w:rPr>
                <w:color w:val="000000"/>
                <w:kern w:val="0"/>
                <w:szCs w:val="21"/>
              </w:rPr>
            </w:pPr>
          </w:p>
        </w:tc>
        <w:tc>
          <w:tcPr>
            <w:tcW w:w="1105" w:type="dxa"/>
            <w:vMerge w:val="continue"/>
            <w:vAlign w:val="center"/>
          </w:tcPr>
          <w:p>
            <w:pPr>
              <w:widowControl/>
              <w:ind w:left="-250" w:leftChars="-119" w:firstLine="247" w:firstLineChars="118"/>
              <w:jc w:val="center"/>
              <w:rPr>
                <w:color w:val="000000"/>
                <w:kern w:val="0"/>
                <w:szCs w:val="21"/>
              </w:rPr>
            </w:pPr>
          </w:p>
        </w:tc>
        <w:tc>
          <w:tcPr>
            <w:tcW w:w="1409" w:type="dxa"/>
            <w:vAlign w:val="center"/>
          </w:tcPr>
          <w:p>
            <w:pPr>
              <w:widowControl/>
              <w:ind w:left="-250" w:leftChars="-119" w:firstLine="247" w:firstLineChars="118"/>
              <w:jc w:val="center"/>
              <w:rPr>
                <w:color w:val="000000"/>
                <w:kern w:val="0"/>
                <w:szCs w:val="21"/>
              </w:rPr>
            </w:pPr>
            <w:r>
              <w:rPr>
                <w:color w:val="000000"/>
                <w:kern w:val="0"/>
                <w:szCs w:val="21"/>
              </w:rPr>
              <w:t>供水状况</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100%</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90-99%</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80-89%</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60-79%</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ind w:left="-250" w:leftChars="-119" w:firstLine="247" w:firstLineChars="118"/>
              <w:jc w:val="center"/>
              <w:rPr>
                <w:color w:val="000000"/>
                <w:kern w:val="0"/>
                <w:szCs w:val="21"/>
              </w:rPr>
            </w:pPr>
          </w:p>
        </w:tc>
        <w:tc>
          <w:tcPr>
            <w:tcW w:w="1105" w:type="dxa"/>
            <w:vMerge w:val="continue"/>
            <w:vAlign w:val="center"/>
          </w:tcPr>
          <w:p>
            <w:pPr>
              <w:widowControl/>
              <w:ind w:left="-250" w:leftChars="-119" w:firstLine="247" w:firstLineChars="118"/>
              <w:jc w:val="center"/>
              <w:rPr>
                <w:color w:val="000000"/>
                <w:kern w:val="0"/>
                <w:szCs w:val="21"/>
              </w:rPr>
            </w:pPr>
          </w:p>
        </w:tc>
        <w:tc>
          <w:tcPr>
            <w:tcW w:w="1409" w:type="dxa"/>
            <w:vAlign w:val="center"/>
          </w:tcPr>
          <w:p>
            <w:pPr>
              <w:widowControl/>
              <w:ind w:left="-250" w:leftChars="-119" w:firstLine="247" w:firstLineChars="118"/>
              <w:jc w:val="center"/>
              <w:rPr>
                <w:color w:val="000000"/>
                <w:kern w:val="0"/>
                <w:szCs w:val="21"/>
              </w:rPr>
            </w:pPr>
            <w:r>
              <w:rPr>
                <w:color w:val="000000"/>
                <w:kern w:val="0"/>
                <w:szCs w:val="21"/>
              </w:rPr>
              <w:t>供电状况</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100%</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90-99%</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80-89%</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60-79%</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ind w:left="-250" w:leftChars="-119" w:firstLine="247" w:firstLineChars="118"/>
              <w:jc w:val="center"/>
              <w:rPr>
                <w:color w:val="000000"/>
                <w:kern w:val="0"/>
                <w:szCs w:val="21"/>
              </w:rPr>
            </w:pPr>
          </w:p>
        </w:tc>
        <w:tc>
          <w:tcPr>
            <w:tcW w:w="1105" w:type="dxa"/>
            <w:vMerge w:val="continue"/>
            <w:vAlign w:val="center"/>
          </w:tcPr>
          <w:p>
            <w:pPr>
              <w:widowControl/>
              <w:ind w:left="-250" w:leftChars="-119" w:firstLine="247" w:firstLineChars="118"/>
              <w:jc w:val="center"/>
              <w:rPr>
                <w:color w:val="000000"/>
                <w:kern w:val="0"/>
                <w:szCs w:val="21"/>
              </w:rPr>
            </w:pPr>
          </w:p>
        </w:tc>
        <w:tc>
          <w:tcPr>
            <w:tcW w:w="1409" w:type="dxa"/>
            <w:vAlign w:val="center"/>
          </w:tcPr>
          <w:p>
            <w:pPr>
              <w:widowControl/>
              <w:ind w:left="-250" w:leftChars="-119" w:firstLine="247" w:firstLineChars="118"/>
              <w:jc w:val="center"/>
              <w:rPr>
                <w:color w:val="000000"/>
                <w:kern w:val="0"/>
                <w:szCs w:val="21"/>
              </w:rPr>
            </w:pPr>
            <w:r>
              <w:rPr>
                <w:color w:val="000000"/>
                <w:kern w:val="0"/>
                <w:szCs w:val="21"/>
              </w:rPr>
              <w:t>供气状况</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100%</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90-99%</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80-89%</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60-79%</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ind w:left="-250" w:leftChars="-119" w:firstLine="247" w:firstLineChars="118"/>
              <w:jc w:val="center"/>
              <w:rPr>
                <w:color w:val="000000"/>
                <w:kern w:val="0"/>
                <w:szCs w:val="21"/>
              </w:rPr>
            </w:pPr>
          </w:p>
        </w:tc>
        <w:tc>
          <w:tcPr>
            <w:tcW w:w="1105" w:type="dxa"/>
            <w:vMerge w:val="restart"/>
            <w:vAlign w:val="center"/>
          </w:tcPr>
          <w:p>
            <w:pPr>
              <w:widowControl/>
              <w:jc w:val="center"/>
              <w:rPr>
                <w:color w:val="000000"/>
                <w:kern w:val="0"/>
                <w:szCs w:val="21"/>
              </w:rPr>
            </w:pPr>
            <w:r>
              <w:rPr>
                <w:color w:val="000000"/>
                <w:kern w:val="0"/>
                <w:szCs w:val="21"/>
              </w:rPr>
              <w:t>公用设施完备度</w:t>
            </w:r>
          </w:p>
        </w:tc>
        <w:tc>
          <w:tcPr>
            <w:tcW w:w="1409" w:type="dxa"/>
            <w:vAlign w:val="center"/>
          </w:tcPr>
          <w:p>
            <w:pPr>
              <w:widowControl/>
              <w:ind w:left="-250" w:leftChars="-119" w:firstLine="247" w:firstLineChars="118"/>
              <w:jc w:val="center"/>
              <w:rPr>
                <w:color w:val="000000"/>
                <w:kern w:val="0"/>
                <w:szCs w:val="21"/>
              </w:rPr>
            </w:pPr>
            <w:r>
              <w:rPr>
                <w:color w:val="000000"/>
                <w:kern w:val="0"/>
                <w:szCs w:val="21"/>
              </w:rPr>
              <w:t>距中小学距离</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&lt;1200</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1200-3800</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3800-6400</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6400-9000</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&gt;9000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ind w:left="-250" w:leftChars="-119" w:firstLine="247" w:firstLineChars="118"/>
              <w:jc w:val="center"/>
              <w:rPr>
                <w:color w:val="000000"/>
                <w:kern w:val="0"/>
                <w:szCs w:val="21"/>
              </w:rPr>
            </w:pPr>
          </w:p>
        </w:tc>
        <w:tc>
          <w:tcPr>
            <w:tcW w:w="1105" w:type="dxa"/>
            <w:vMerge w:val="continue"/>
            <w:vAlign w:val="center"/>
          </w:tcPr>
          <w:p>
            <w:pPr>
              <w:widowControl/>
              <w:ind w:left="-250" w:leftChars="-119" w:firstLine="247" w:firstLineChars="118"/>
              <w:jc w:val="center"/>
              <w:rPr>
                <w:color w:val="000000"/>
                <w:kern w:val="0"/>
                <w:szCs w:val="21"/>
              </w:rPr>
            </w:pPr>
          </w:p>
        </w:tc>
        <w:tc>
          <w:tcPr>
            <w:tcW w:w="1409" w:type="dxa"/>
            <w:vAlign w:val="center"/>
          </w:tcPr>
          <w:p>
            <w:pPr>
              <w:widowControl/>
              <w:ind w:left="-250" w:leftChars="-119" w:firstLine="247" w:firstLineChars="118"/>
              <w:jc w:val="center"/>
              <w:rPr>
                <w:color w:val="000000"/>
                <w:kern w:val="0"/>
                <w:szCs w:val="21"/>
              </w:rPr>
            </w:pPr>
            <w:r>
              <w:rPr>
                <w:color w:val="000000"/>
                <w:kern w:val="0"/>
                <w:szCs w:val="21"/>
              </w:rPr>
              <w:t>距医院距离</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&lt;1200</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1200-3800</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3800-6400</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6400-9000</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&gt;9000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ind w:left="-250" w:leftChars="-119" w:firstLine="247" w:firstLineChars="118"/>
              <w:jc w:val="center"/>
              <w:rPr>
                <w:color w:val="000000"/>
                <w:kern w:val="0"/>
                <w:szCs w:val="21"/>
              </w:rPr>
            </w:pPr>
          </w:p>
        </w:tc>
        <w:tc>
          <w:tcPr>
            <w:tcW w:w="1105" w:type="dxa"/>
            <w:vMerge w:val="continue"/>
            <w:vAlign w:val="center"/>
          </w:tcPr>
          <w:p>
            <w:pPr>
              <w:widowControl/>
              <w:ind w:left="-250" w:leftChars="-119" w:firstLine="247" w:firstLineChars="118"/>
              <w:jc w:val="center"/>
              <w:rPr>
                <w:color w:val="000000"/>
                <w:kern w:val="0"/>
                <w:szCs w:val="21"/>
              </w:rPr>
            </w:pPr>
          </w:p>
        </w:tc>
        <w:tc>
          <w:tcPr>
            <w:tcW w:w="1409" w:type="dxa"/>
            <w:vAlign w:val="center"/>
          </w:tcPr>
          <w:p>
            <w:pPr>
              <w:widowControl/>
              <w:ind w:left="-250" w:leftChars="-119" w:firstLine="247" w:firstLineChars="118"/>
              <w:jc w:val="center"/>
              <w:rPr>
                <w:color w:val="000000"/>
                <w:kern w:val="0"/>
                <w:szCs w:val="21"/>
              </w:rPr>
            </w:pPr>
            <w:r>
              <w:rPr>
                <w:color w:val="000000"/>
                <w:kern w:val="0"/>
                <w:szCs w:val="21"/>
              </w:rPr>
              <w:t>距大型超市距离</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&lt;2000</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2000-4000</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4000-6000</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6000-8000</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&gt;8000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ind w:left="-250" w:leftChars="-119" w:firstLine="247" w:firstLineChars="118"/>
              <w:jc w:val="center"/>
              <w:rPr>
                <w:color w:val="000000"/>
                <w:kern w:val="0"/>
                <w:szCs w:val="21"/>
              </w:rPr>
            </w:pPr>
          </w:p>
        </w:tc>
        <w:tc>
          <w:tcPr>
            <w:tcW w:w="1105" w:type="dxa"/>
            <w:vMerge w:val="continue"/>
            <w:vAlign w:val="center"/>
          </w:tcPr>
          <w:p>
            <w:pPr>
              <w:widowControl/>
              <w:ind w:left="-250" w:leftChars="-119" w:firstLine="247" w:firstLineChars="118"/>
              <w:jc w:val="center"/>
              <w:rPr>
                <w:color w:val="000000"/>
                <w:kern w:val="0"/>
                <w:szCs w:val="21"/>
              </w:rPr>
            </w:pPr>
          </w:p>
        </w:tc>
        <w:tc>
          <w:tcPr>
            <w:tcW w:w="1409" w:type="dxa"/>
            <w:vAlign w:val="center"/>
          </w:tcPr>
          <w:p>
            <w:pPr>
              <w:widowControl/>
              <w:ind w:left="-250" w:leftChars="-119" w:firstLine="247" w:firstLineChars="118"/>
              <w:jc w:val="center"/>
              <w:rPr>
                <w:color w:val="000000"/>
                <w:kern w:val="0"/>
                <w:szCs w:val="21"/>
              </w:rPr>
            </w:pPr>
            <w:r>
              <w:rPr>
                <w:color w:val="000000"/>
                <w:kern w:val="0"/>
                <w:szCs w:val="21"/>
              </w:rPr>
              <w:t>距文体设施距离</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&lt;2800</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2800-5200</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5200-7600</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7600-10000</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&gt;10000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restart"/>
            <w:vAlign w:val="center"/>
          </w:tcPr>
          <w:p>
            <w:pPr>
              <w:widowControl/>
              <w:jc w:val="center"/>
              <w:rPr>
                <w:color w:val="000000"/>
                <w:kern w:val="0"/>
                <w:szCs w:val="21"/>
              </w:rPr>
            </w:pPr>
            <w:r>
              <w:rPr>
                <w:color w:val="000000"/>
                <w:kern w:val="0"/>
                <w:szCs w:val="21"/>
              </w:rPr>
              <w:t>交通条件</w:t>
            </w:r>
          </w:p>
        </w:tc>
        <w:tc>
          <w:tcPr>
            <w:tcW w:w="1105" w:type="dxa"/>
            <w:vAlign w:val="center"/>
          </w:tcPr>
          <w:p>
            <w:pPr>
              <w:widowControl/>
              <w:jc w:val="center"/>
              <w:rPr>
                <w:color w:val="000000"/>
                <w:kern w:val="0"/>
                <w:szCs w:val="21"/>
              </w:rPr>
            </w:pPr>
            <w:r>
              <w:rPr>
                <w:color w:val="000000"/>
                <w:kern w:val="0"/>
                <w:szCs w:val="21"/>
              </w:rPr>
              <w:t>道路通达度</w:t>
            </w:r>
          </w:p>
        </w:tc>
        <w:tc>
          <w:tcPr>
            <w:tcW w:w="1409" w:type="dxa"/>
            <w:vAlign w:val="center"/>
          </w:tcPr>
          <w:p>
            <w:pPr>
              <w:widowControl/>
              <w:ind w:left="-250" w:leftChars="-119" w:firstLine="247" w:firstLineChars="118"/>
              <w:jc w:val="center"/>
              <w:rPr>
                <w:color w:val="000000"/>
                <w:kern w:val="0"/>
                <w:szCs w:val="21"/>
              </w:rPr>
            </w:pPr>
            <w:r>
              <w:rPr>
                <w:color w:val="000000"/>
                <w:kern w:val="0"/>
                <w:szCs w:val="21"/>
              </w:rPr>
              <w:t>临近道路状况</w:t>
            </w:r>
          </w:p>
        </w:tc>
        <w:tc>
          <w:tcPr>
            <w:tcW w:w="990" w:type="dxa"/>
            <w:vAlign w:val="center"/>
          </w:tcPr>
          <w:p>
            <w:pPr>
              <w:widowControl/>
              <w:ind w:left="-250" w:leftChars="-119" w:firstLine="247" w:firstLineChars="118"/>
              <w:jc w:val="center"/>
              <w:rPr>
                <w:kern w:val="0"/>
                <w:szCs w:val="21"/>
              </w:rPr>
            </w:pPr>
            <w:r>
              <w:rPr>
                <w:kern w:val="0"/>
                <w:szCs w:val="21"/>
              </w:rPr>
              <w:t>临繁华主干道</w:t>
            </w:r>
          </w:p>
        </w:tc>
        <w:tc>
          <w:tcPr>
            <w:tcW w:w="1287" w:type="dxa"/>
            <w:vAlign w:val="center"/>
          </w:tcPr>
          <w:p>
            <w:pPr>
              <w:widowControl/>
              <w:ind w:left="-250" w:leftChars="-119" w:firstLine="247" w:firstLineChars="118"/>
              <w:jc w:val="center"/>
              <w:rPr>
                <w:kern w:val="0"/>
                <w:szCs w:val="21"/>
              </w:rPr>
            </w:pPr>
            <w:r>
              <w:rPr>
                <w:kern w:val="0"/>
                <w:szCs w:val="21"/>
              </w:rPr>
              <w:t>临主干道</w:t>
            </w:r>
          </w:p>
        </w:tc>
        <w:tc>
          <w:tcPr>
            <w:tcW w:w="1275" w:type="dxa"/>
            <w:vAlign w:val="center"/>
          </w:tcPr>
          <w:p>
            <w:pPr>
              <w:widowControl/>
              <w:ind w:left="-250" w:leftChars="-119" w:firstLine="247" w:firstLineChars="118"/>
              <w:jc w:val="center"/>
              <w:rPr>
                <w:kern w:val="0"/>
                <w:szCs w:val="21"/>
              </w:rPr>
            </w:pPr>
            <w:r>
              <w:rPr>
                <w:kern w:val="0"/>
                <w:szCs w:val="21"/>
              </w:rPr>
              <w:t>临繁华次干道</w:t>
            </w:r>
          </w:p>
        </w:tc>
        <w:tc>
          <w:tcPr>
            <w:tcW w:w="1276" w:type="dxa"/>
            <w:vAlign w:val="center"/>
          </w:tcPr>
          <w:p>
            <w:pPr>
              <w:widowControl/>
              <w:ind w:left="-250" w:leftChars="-119" w:firstLine="247" w:firstLineChars="118"/>
              <w:jc w:val="center"/>
              <w:rPr>
                <w:kern w:val="0"/>
                <w:szCs w:val="21"/>
              </w:rPr>
            </w:pPr>
            <w:r>
              <w:rPr>
                <w:kern w:val="0"/>
                <w:szCs w:val="21"/>
              </w:rPr>
              <w:t>临次干道</w:t>
            </w:r>
          </w:p>
        </w:tc>
        <w:tc>
          <w:tcPr>
            <w:tcW w:w="1134" w:type="dxa"/>
            <w:vAlign w:val="center"/>
          </w:tcPr>
          <w:p>
            <w:pPr>
              <w:widowControl/>
              <w:ind w:left="-250" w:leftChars="-119" w:firstLine="247" w:firstLineChars="118"/>
              <w:jc w:val="center"/>
              <w:rPr>
                <w:kern w:val="0"/>
                <w:szCs w:val="21"/>
              </w:rPr>
            </w:pPr>
            <w:r>
              <w:rPr>
                <w:kern w:val="0"/>
                <w:szCs w:val="21"/>
              </w:rPr>
              <w:t>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ind w:left="-250" w:leftChars="-119" w:firstLine="247" w:firstLineChars="118"/>
              <w:jc w:val="center"/>
              <w:rPr>
                <w:color w:val="000000"/>
                <w:kern w:val="0"/>
                <w:szCs w:val="21"/>
              </w:rPr>
            </w:pPr>
          </w:p>
        </w:tc>
        <w:tc>
          <w:tcPr>
            <w:tcW w:w="1105" w:type="dxa"/>
            <w:vAlign w:val="center"/>
          </w:tcPr>
          <w:p>
            <w:pPr>
              <w:widowControl/>
              <w:jc w:val="center"/>
              <w:rPr>
                <w:color w:val="000000"/>
                <w:kern w:val="0"/>
                <w:szCs w:val="21"/>
              </w:rPr>
            </w:pPr>
            <w:r>
              <w:rPr>
                <w:color w:val="000000"/>
                <w:kern w:val="0"/>
                <w:szCs w:val="21"/>
              </w:rPr>
              <w:t>公交便捷度</w:t>
            </w:r>
          </w:p>
        </w:tc>
        <w:tc>
          <w:tcPr>
            <w:tcW w:w="1409" w:type="dxa"/>
            <w:vAlign w:val="center"/>
          </w:tcPr>
          <w:p>
            <w:pPr>
              <w:widowControl/>
              <w:jc w:val="center"/>
              <w:textAlignment w:val="center"/>
              <w:rPr>
                <w:color w:val="000000"/>
                <w:kern w:val="0"/>
                <w:szCs w:val="21"/>
                <w:lang/>
              </w:rPr>
            </w:pPr>
            <w:r>
              <w:rPr>
                <w:color w:val="000000"/>
                <w:kern w:val="0"/>
                <w:szCs w:val="21"/>
                <w:lang/>
              </w:rPr>
              <w:t>距最近公交站（</w:t>
            </w:r>
            <w:r>
              <w:rPr>
                <w:rFonts w:hint="eastAsia"/>
                <w:color w:val="000000"/>
                <w:kern w:val="0"/>
                <w:szCs w:val="21"/>
                <w:lang/>
              </w:rPr>
              <w:t>轨道交通</w:t>
            </w:r>
            <w:r>
              <w:rPr>
                <w:color w:val="000000"/>
                <w:kern w:val="0"/>
                <w:szCs w:val="21"/>
                <w:lang/>
              </w:rPr>
              <w:t>站）距离</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&lt;80</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80-165</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165-250</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250-340</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&gt;340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ind w:left="-250" w:leftChars="-119" w:firstLine="247" w:firstLineChars="118"/>
              <w:jc w:val="center"/>
              <w:rPr>
                <w:color w:val="000000"/>
                <w:kern w:val="0"/>
                <w:szCs w:val="21"/>
              </w:rPr>
            </w:pPr>
          </w:p>
        </w:tc>
        <w:tc>
          <w:tcPr>
            <w:tcW w:w="1105" w:type="dxa"/>
            <w:vMerge w:val="restart"/>
            <w:vAlign w:val="center"/>
          </w:tcPr>
          <w:p>
            <w:pPr>
              <w:widowControl/>
              <w:jc w:val="center"/>
              <w:rPr>
                <w:color w:val="000000"/>
                <w:kern w:val="0"/>
                <w:szCs w:val="21"/>
              </w:rPr>
            </w:pPr>
            <w:r>
              <w:rPr>
                <w:color w:val="000000"/>
                <w:kern w:val="0"/>
                <w:szCs w:val="21"/>
              </w:rPr>
              <w:t>对外交通便利度</w:t>
            </w:r>
          </w:p>
        </w:tc>
        <w:tc>
          <w:tcPr>
            <w:tcW w:w="1409" w:type="dxa"/>
            <w:vAlign w:val="center"/>
          </w:tcPr>
          <w:p>
            <w:pPr>
              <w:widowControl/>
              <w:jc w:val="center"/>
              <w:textAlignment w:val="center"/>
              <w:rPr>
                <w:color w:val="000000"/>
                <w:kern w:val="0"/>
                <w:szCs w:val="21"/>
                <w:lang/>
              </w:rPr>
            </w:pPr>
            <w:r>
              <w:rPr>
                <w:color w:val="000000"/>
                <w:kern w:val="0"/>
                <w:szCs w:val="21"/>
                <w:lang/>
              </w:rPr>
              <w:t>距最近长途汽车站距离</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≤4000</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4000-5000</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5000-6000</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6000-8000</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&gt;8000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ind w:left="-250" w:leftChars="-119" w:firstLine="247" w:firstLineChars="118"/>
              <w:jc w:val="center"/>
              <w:rPr>
                <w:color w:val="000000"/>
                <w:kern w:val="0"/>
                <w:szCs w:val="21"/>
              </w:rPr>
            </w:pPr>
          </w:p>
        </w:tc>
        <w:tc>
          <w:tcPr>
            <w:tcW w:w="1105" w:type="dxa"/>
            <w:vMerge w:val="continue"/>
            <w:vAlign w:val="center"/>
          </w:tcPr>
          <w:p>
            <w:pPr>
              <w:widowControl/>
              <w:ind w:left="-250" w:leftChars="-119" w:firstLine="247" w:firstLineChars="118"/>
              <w:jc w:val="center"/>
              <w:rPr>
                <w:color w:val="000000"/>
                <w:kern w:val="0"/>
                <w:szCs w:val="21"/>
              </w:rPr>
            </w:pPr>
          </w:p>
        </w:tc>
        <w:tc>
          <w:tcPr>
            <w:tcW w:w="1409" w:type="dxa"/>
            <w:vAlign w:val="center"/>
          </w:tcPr>
          <w:p>
            <w:pPr>
              <w:widowControl/>
              <w:jc w:val="center"/>
              <w:textAlignment w:val="center"/>
              <w:rPr>
                <w:color w:val="000000"/>
                <w:kern w:val="0"/>
                <w:szCs w:val="21"/>
                <w:lang/>
              </w:rPr>
            </w:pPr>
            <w:r>
              <w:rPr>
                <w:color w:val="000000"/>
                <w:kern w:val="0"/>
                <w:szCs w:val="21"/>
                <w:lang/>
              </w:rPr>
              <w:t>距火车站距离</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&lt;2000</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2000-3000</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3000-5400</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5400-7000</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&gt;7000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ind w:left="-250" w:leftChars="-119" w:firstLine="247" w:firstLineChars="118"/>
              <w:jc w:val="center"/>
              <w:rPr>
                <w:color w:val="000000"/>
                <w:kern w:val="0"/>
                <w:szCs w:val="21"/>
              </w:rPr>
            </w:pPr>
          </w:p>
        </w:tc>
        <w:tc>
          <w:tcPr>
            <w:tcW w:w="1105" w:type="dxa"/>
            <w:vMerge w:val="continue"/>
            <w:vAlign w:val="center"/>
          </w:tcPr>
          <w:p>
            <w:pPr>
              <w:widowControl/>
              <w:ind w:left="-250" w:leftChars="-119" w:firstLine="247" w:firstLineChars="118"/>
              <w:jc w:val="center"/>
              <w:rPr>
                <w:color w:val="000000"/>
                <w:kern w:val="0"/>
                <w:szCs w:val="21"/>
              </w:rPr>
            </w:pPr>
          </w:p>
        </w:tc>
        <w:tc>
          <w:tcPr>
            <w:tcW w:w="1409" w:type="dxa"/>
            <w:vAlign w:val="center"/>
          </w:tcPr>
          <w:p>
            <w:pPr>
              <w:widowControl/>
              <w:jc w:val="center"/>
              <w:textAlignment w:val="center"/>
              <w:rPr>
                <w:color w:val="000000"/>
                <w:kern w:val="0"/>
                <w:szCs w:val="21"/>
                <w:lang/>
              </w:rPr>
            </w:pPr>
            <w:r>
              <w:rPr>
                <w:color w:val="000000"/>
                <w:kern w:val="0"/>
                <w:szCs w:val="21"/>
                <w:lang/>
              </w:rPr>
              <w:t>距高铁站长沙南站距离</w:t>
            </w:r>
          </w:p>
        </w:tc>
        <w:tc>
          <w:tcPr>
            <w:tcW w:w="990" w:type="dxa"/>
            <w:vAlign w:val="center"/>
          </w:tcPr>
          <w:p>
            <w:pPr>
              <w:widowControl/>
              <w:jc w:val="center"/>
              <w:rPr>
                <w:color w:val="000000"/>
                <w:kern w:val="0"/>
                <w:szCs w:val="21"/>
              </w:rPr>
            </w:pPr>
            <w:r>
              <w:rPr>
                <w:color w:val="000000"/>
                <w:kern w:val="0"/>
                <w:szCs w:val="21"/>
              </w:rPr>
              <w:t>&lt;20000</w:t>
            </w:r>
          </w:p>
        </w:tc>
        <w:tc>
          <w:tcPr>
            <w:tcW w:w="1287" w:type="dxa"/>
            <w:vAlign w:val="center"/>
          </w:tcPr>
          <w:p>
            <w:pPr>
              <w:widowControl/>
              <w:jc w:val="center"/>
              <w:rPr>
                <w:color w:val="000000"/>
                <w:kern w:val="0"/>
                <w:szCs w:val="21"/>
              </w:rPr>
            </w:pPr>
            <w:r>
              <w:rPr>
                <w:color w:val="000000"/>
                <w:kern w:val="0"/>
                <w:szCs w:val="21"/>
              </w:rPr>
              <w:t>20000-23000</w:t>
            </w:r>
          </w:p>
        </w:tc>
        <w:tc>
          <w:tcPr>
            <w:tcW w:w="1275" w:type="dxa"/>
            <w:vAlign w:val="center"/>
          </w:tcPr>
          <w:p>
            <w:pPr>
              <w:widowControl/>
              <w:jc w:val="center"/>
              <w:rPr>
                <w:color w:val="000000"/>
                <w:kern w:val="0"/>
                <w:szCs w:val="21"/>
              </w:rPr>
            </w:pPr>
            <w:r>
              <w:rPr>
                <w:color w:val="000000"/>
                <w:kern w:val="0"/>
                <w:szCs w:val="21"/>
              </w:rPr>
              <w:t>23000-27000</w:t>
            </w:r>
          </w:p>
        </w:tc>
        <w:tc>
          <w:tcPr>
            <w:tcW w:w="1276" w:type="dxa"/>
            <w:vAlign w:val="center"/>
          </w:tcPr>
          <w:p>
            <w:pPr>
              <w:widowControl/>
              <w:jc w:val="center"/>
              <w:rPr>
                <w:color w:val="000000"/>
                <w:kern w:val="0"/>
                <w:szCs w:val="21"/>
              </w:rPr>
            </w:pPr>
            <w:r>
              <w:rPr>
                <w:color w:val="000000"/>
                <w:kern w:val="0"/>
                <w:szCs w:val="21"/>
              </w:rPr>
              <w:t>27000-30000</w:t>
            </w:r>
          </w:p>
        </w:tc>
        <w:tc>
          <w:tcPr>
            <w:tcW w:w="1134" w:type="dxa"/>
            <w:vAlign w:val="center"/>
          </w:tcPr>
          <w:p>
            <w:pPr>
              <w:widowControl/>
              <w:jc w:val="center"/>
              <w:rPr>
                <w:color w:val="000000"/>
                <w:kern w:val="0"/>
                <w:szCs w:val="21"/>
              </w:rPr>
            </w:pPr>
            <w:r>
              <w:rPr>
                <w:color w:val="000000"/>
                <w:kern w:val="0"/>
                <w:szCs w:val="21"/>
              </w:rPr>
              <w:t>&gt;30000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restart"/>
            <w:vAlign w:val="center"/>
          </w:tcPr>
          <w:p>
            <w:pPr>
              <w:widowControl/>
              <w:jc w:val="center"/>
              <w:rPr>
                <w:color w:val="000000"/>
                <w:kern w:val="0"/>
                <w:szCs w:val="21"/>
              </w:rPr>
            </w:pPr>
            <w:r>
              <w:rPr>
                <w:color w:val="000000"/>
                <w:kern w:val="0"/>
                <w:szCs w:val="21"/>
              </w:rPr>
              <w:t>环境条件</w:t>
            </w:r>
          </w:p>
        </w:tc>
        <w:tc>
          <w:tcPr>
            <w:tcW w:w="1105" w:type="dxa"/>
            <w:vMerge w:val="restart"/>
            <w:vAlign w:val="center"/>
          </w:tcPr>
          <w:p>
            <w:pPr>
              <w:widowControl/>
              <w:jc w:val="center"/>
              <w:rPr>
                <w:color w:val="000000"/>
                <w:kern w:val="0"/>
                <w:szCs w:val="21"/>
              </w:rPr>
            </w:pPr>
            <w:r>
              <w:rPr>
                <w:color w:val="000000"/>
                <w:kern w:val="0"/>
                <w:szCs w:val="21"/>
              </w:rPr>
              <w:t>环境优劣度</w:t>
            </w:r>
          </w:p>
        </w:tc>
        <w:tc>
          <w:tcPr>
            <w:tcW w:w="1409" w:type="dxa"/>
            <w:vAlign w:val="center"/>
          </w:tcPr>
          <w:p>
            <w:pPr>
              <w:widowControl/>
              <w:ind w:left="-250" w:leftChars="-119" w:firstLine="247" w:firstLineChars="118"/>
              <w:jc w:val="center"/>
              <w:rPr>
                <w:color w:val="000000"/>
                <w:kern w:val="0"/>
                <w:szCs w:val="21"/>
              </w:rPr>
            </w:pPr>
            <w:r>
              <w:rPr>
                <w:color w:val="000000"/>
                <w:kern w:val="0"/>
                <w:szCs w:val="21"/>
              </w:rPr>
              <w:t>水污染情况</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低</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较低</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一般</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较高</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ind w:left="-250" w:leftChars="-119" w:firstLine="247" w:firstLineChars="118"/>
              <w:jc w:val="center"/>
              <w:rPr>
                <w:color w:val="000000"/>
                <w:kern w:val="0"/>
                <w:szCs w:val="21"/>
              </w:rPr>
            </w:pPr>
          </w:p>
        </w:tc>
        <w:tc>
          <w:tcPr>
            <w:tcW w:w="1105" w:type="dxa"/>
            <w:vMerge w:val="continue"/>
            <w:vAlign w:val="center"/>
          </w:tcPr>
          <w:p>
            <w:pPr>
              <w:widowControl/>
              <w:ind w:left="-250" w:leftChars="-119" w:firstLine="247" w:firstLineChars="118"/>
              <w:jc w:val="center"/>
              <w:rPr>
                <w:color w:val="000000"/>
                <w:kern w:val="0"/>
                <w:szCs w:val="21"/>
              </w:rPr>
            </w:pPr>
          </w:p>
        </w:tc>
        <w:tc>
          <w:tcPr>
            <w:tcW w:w="1409" w:type="dxa"/>
            <w:vAlign w:val="center"/>
          </w:tcPr>
          <w:p>
            <w:pPr>
              <w:widowControl/>
              <w:ind w:left="-250" w:leftChars="-119" w:firstLine="247" w:firstLineChars="118"/>
              <w:jc w:val="center"/>
              <w:rPr>
                <w:color w:val="000000"/>
                <w:kern w:val="0"/>
                <w:szCs w:val="21"/>
              </w:rPr>
            </w:pPr>
            <w:r>
              <w:rPr>
                <w:color w:val="000000"/>
                <w:kern w:val="0"/>
                <w:szCs w:val="21"/>
              </w:rPr>
              <w:t>大气污染情况</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低</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较低</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一般</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较高</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ind w:left="-250" w:leftChars="-119" w:firstLine="247" w:firstLineChars="118"/>
              <w:jc w:val="center"/>
              <w:rPr>
                <w:color w:val="000000"/>
                <w:kern w:val="0"/>
                <w:szCs w:val="21"/>
              </w:rPr>
            </w:pPr>
          </w:p>
        </w:tc>
        <w:tc>
          <w:tcPr>
            <w:tcW w:w="1105" w:type="dxa"/>
            <w:vMerge w:val="continue"/>
            <w:vAlign w:val="center"/>
          </w:tcPr>
          <w:p>
            <w:pPr>
              <w:widowControl/>
              <w:ind w:left="-250" w:leftChars="-119" w:firstLine="247" w:firstLineChars="118"/>
              <w:jc w:val="center"/>
              <w:rPr>
                <w:color w:val="000000"/>
                <w:kern w:val="0"/>
                <w:szCs w:val="21"/>
              </w:rPr>
            </w:pPr>
          </w:p>
        </w:tc>
        <w:tc>
          <w:tcPr>
            <w:tcW w:w="1409" w:type="dxa"/>
            <w:vAlign w:val="center"/>
          </w:tcPr>
          <w:p>
            <w:pPr>
              <w:widowControl/>
              <w:ind w:left="-250" w:leftChars="-119" w:firstLine="247" w:firstLineChars="118"/>
              <w:jc w:val="center"/>
              <w:rPr>
                <w:color w:val="000000"/>
                <w:kern w:val="0"/>
                <w:szCs w:val="21"/>
              </w:rPr>
            </w:pPr>
            <w:r>
              <w:rPr>
                <w:color w:val="000000"/>
                <w:kern w:val="0"/>
                <w:szCs w:val="21"/>
              </w:rPr>
              <w:t>噪声污染情况</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低</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较低</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一般</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较高</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ind w:left="-250" w:leftChars="-119" w:firstLine="247" w:firstLineChars="118"/>
              <w:jc w:val="center"/>
              <w:rPr>
                <w:color w:val="000000"/>
                <w:kern w:val="0"/>
                <w:szCs w:val="21"/>
              </w:rPr>
            </w:pPr>
          </w:p>
        </w:tc>
        <w:tc>
          <w:tcPr>
            <w:tcW w:w="1105" w:type="dxa"/>
            <w:vAlign w:val="center"/>
          </w:tcPr>
          <w:p>
            <w:pPr>
              <w:widowControl/>
              <w:jc w:val="center"/>
              <w:rPr>
                <w:color w:val="000000"/>
                <w:kern w:val="0"/>
                <w:szCs w:val="21"/>
              </w:rPr>
            </w:pPr>
            <w:r>
              <w:rPr>
                <w:color w:val="000000"/>
                <w:kern w:val="0"/>
                <w:szCs w:val="21"/>
              </w:rPr>
              <w:t>自然条件优劣度</w:t>
            </w:r>
          </w:p>
        </w:tc>
        <w:tc>
          <w:tcPr>
            <w:tcW w:w="1409" w:type="dxa"/>
            <w:vAlign w:val="center"/>
          </w:tcPr>
          <w:p>
            <w:pPr>
              <w:widowControl/>
              <w:ind w:left="-250" w:leftChars="-119" w:firstLine="247" w:firstLineChars="118"/>
              <w:jc w:val="center"/>
              <w:rPr>
                <w:color w:val="000000"/>
                <w:kern w:val="0"/>
                <w:szCs w:val="21"/>
              </w:rPr>
            </w:pPr>
            <w:r>
              <w:rPr>
                <w:color w:val="000000"/>
                <w:kern w:val="0"/>
                <w:szCs w:val="21"/>
              </w:rPr>
              <w:t>洪水淹没状况</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低</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较低</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一般</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较高</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Align w:val="center"/>
          </w:tcPr>
          <w:p>
            <w:pPr>
              <w:widowControl/>
              <w:jc w:val="center"/>
              <w:rPr>
                <w:color w:val="000000"/>
                <w:kern w:val="0"/>
                <w:szCs w:val="21"/>
              </w:rPr>
            </w:pPr>
            <w:r>
              <w:rPr>
                <w:color w:val="000000"/>
                <w:kern w:val="0"/>
                <w:szCs w:val="21"/>
              </w:rPr>
              <w:t>繁华程度</w:t>
            </w:r>
          </w:p>
        </w:tc>
        <w:tc>
          <w:tcPr>
            <w:tcW w:w="1105" w:type="dxa"/>
            <w:vAlign w:val="center"/>
          </w:tcPr>
          <w:p>
            <w:pPr>
              <w:widowControl/>
              <w:jc w:val="center"/>
              <w:rPr>
                <w:color w:val="000000"/>
                <w:kern w:val="0"/>
                <w:szCs w:val="21"/>
              </w:rPr>
            </w:pPr>
            <w:r>
              <w:rPr>
                <w:color w:val="000000"/>
                <w:kern w:val="0"/>
                <w:szCs w:val="21"/>
              </w:rPr>
              <w:t>商服繁华影响度</w:t>
            </w:r>
          </w:p>
        </w:tc>
        <w:tc>
          <w:tcPr>
            <w:tcW w:w="1409" w:type="dxa"/>
            <w:vAlign w:val="center"/>
          </w:tcPr>
          <w:p>
            <w:pPr>
              <w:widowControl/>
              <w:ind w:left="-250" w:leftChars="-119" w:firstLine="247" w:firstLineChars="118"/>
              <w:jc w:val="center"/>
              <w:rPr>
                <w:color w:val="000000"/>
                <w:kern w:val="0"/>
                <w:szCs w:val="21"/>
              </w:rPr>
            </w:pPr>
            <w:r>
              <w:rPr>
                <w:color w:val="000000"/>
                <w:kern w:val="0"/>
                <w:szCs w:val="21"/>
              </w:rPr>
              <w:t>距商服中心距离</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≤320</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320-500</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500-1000</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1000-1800</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&gt;1800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Align w:val="center"/>
          </w:tcPr>
          <w:p>
            <w:pPr>
              <w:widowControl/>
              <w:jc w:val="center"/>
              <w:rPr>
                <w:color w:val="000000"/>
                <w:kern w:val="0"/>
                <w:szCs w:val="21"/>
              </w:rPr>
            </w:pPr>
            <w:r>
              <w:rPr>
                <w:color w:val="000000"/>
                <w:kern w:val="0"/>
                <w:szCs w:val="21"/>
              </w:rPr>
              <w:t>人口状况</w:t>
            </w:r>
          </w:p>
        </w:tc>
        <w:tc>
          <w:tcPr>
            <w:tcW w:w="1105" w:type="dxa"/>
            <w:vAlign w:val="center"/>
          </w:tcPr>
          <w:p>
            <w:pPr>
              <w:widowControl/>
              <w:jc w:val="center"/>
              <w:rPr>
                <w:color w:val="000000"/>
                <w:kern w:val="0"/>
                <w:szCs w:val="21"/>
              </w:rPr>
            </w:pPr>
            <w:r>
              <w:rPr>
                <w:color w:val="000000"/>
                <w:kern w:val="0"/>
                <w:szCs w:val="21"/>
              </w:rPr>
              <w:t>人口密度</w:t>
            </w:r>
          </w:p>
        </w:tc>
        <w:tc>
          <w:tcPr>
            <w:tcW w:w="1409" w:type="dxa"/>
            <w:vAlign w:val="center"/>
          </w:tcPr>
          <w:p>
            <w:pPr>
              <w:widowControl/>
              <w:ind w:left="-250" w:leftChars="-119" w:firstLine="247" w:firstLineChars="118"/>
              <w:jc w:val="center"/>
              <w:rPr>
                <w:color w:val="000000"/>
                <w:kern w:val="0"/>
                <w:szCs w:val="21"/>
              </w:rPr>
            </w:pPr>
            <w:r>
              <w:rPr>
                <w:color w:val="000000"/>
                <w:kern w:val="0"/>
                <w:szCs w:val="21"/>
              </w:rPr>
              <w:t>人口密度</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人口稠密</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人口较稠密</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一般</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人口较稀疏</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人口稀疏区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restart"/>
            <w:vAlign w:val="center"/>
          </w:tcPr>
          <w:p>
            <w:pPr>
              <w:widowControl/>
              <w:jc w:val="center"/>
              <w:rPr>
                <w:color w:val="000000"/>
                <w:kern w:val="0"/>
                <w:szCs w:val="21"/>
              </w:rPr>
            </w:pPr>
            <w:r>
              <w:rPr>
                <w:color w:val="000000"/>
                <w:kern w:val="0"/>
                <w:szCs w:val="21"/>
              </w:rPr>
              <w:t>城市规划</w:t>
            </w:r>
          </w:p>
        </w:tc>
        <w:tc>
          <w:tcPr>
            <w:tcW w:w="1105" w:type="dxa"/>
            <w:vMerge w:val="restart"/>
            <w:vAlign w:val="center"/>
          </w:tcPr>
          <w:p>
            <w:pPr>
              <w:widowControl/>
              <w:jc w:val="center"/>
              <w:rPr>
                <w:color w:val="000000"/>
                <w:kern w:val="0"/>
                <w:szCs w:val="21"/>
              </w:rPr>
            </w:pPr>
            <w:r>
              <w:rPr>
                <w:color w:val="000000"/>
                <w:kern w:val="0"/>
                <w:szCs w:val="21"/>
              </w:rPr>
              <w:t>城市规划</w:t>
            </w:r>
          </w:p>
        </w:tc>
        <w:tc>
          <w:tcPr>
            <w:tcW w:w="1409" w:type="dxa"/>
            <w:vAlign w:val="center"/>
          </w:tcPr>
          <w:p>
            <w:pPr>
              <w:widowControl/>
              <w:ind w:left="-250" w:leftChars="-119" w:firstLine="247" w:firstLineChars="118"/>
              <w:jc w:val="center"/>
              <w:rPr>
                <w:color w:val="000000"/>
                <w:kern w:val="0"/>
                <w:szCs w:val="21"/>
              </w:rPr>
            </w:pPr>
            <w:r>
              <w:rPr>
                <w:color w:val="000000"/>
                <w:kern w:val="0"/>
                <w:szCs w:val="21"/>
              </w:rPr>
              <w:t>用地规划</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主干道</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次干道</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快速路</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支路</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街坊间支路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53" w:type="dxa"/>
            <w:vMerge w:val="continue"/>
            <w:vAlign w:val="center"/>
          </w:tcPr>
          <w:p>
            <w:pPr>
              <w:widowControl/>
              <w:ind w:left="-250" w:leftChars="-119" w:firstLine="247" w:firstLineChars="118"/>
              <w:jc w:val="center"/>
              <w:rPr>
                <w:color w:val="000000"/>
                <w:kern w:val="0"/>
                <w:szCs w:val="21"/>
              </w:rPr>
            </w:pPr>
          </w:p>
        </w:tc>
        <w:tc>
          <w:tcPr>
            <w:tcW w:w="1105" w:type="dxa"/>
            <w:vMerge w:val="continue"/>
            <w:vAlign w:val="center"/>
          </w:tcPr>
          <w:p>
            <w:pPr>
              <w:widowControl/>
              <w:ind w:left="-250" w:leftChars="-119" w:firstLine="247" w:firstLineChars="118"/>
              <w:jc w:val="center"/>
              <w:rPr>
                <w:color w:val="000000"/>
                <w:kern w:val="0"/>
                <w:szCs w:val="21"/>
              </w:rPr>
            </w:pPr>
          </w:p>
        </w:tc>
        <w:tc>
          <w:tcPr>
            <w:tcW w:w="1409" w:type="dxa"/>
            <w:vAlign w:val="center"/>
          </w:tcPr>
          <w:p>
            <w:pPr>
              <w:widowControl/>
              <w:ind w:left="-250" w:leftChars="-119" w:firstLine="247" w:firstLineChars="118"/>
              <w:jc w:val="center"/>
              <w:rPr>
                <w:color w:val="000000"/>
                <w:kern w:val="0"/>
                <w:szCs w:val="21"/>
              </w:rPr>
            </w:pPr>
            <w:r>
              <w:rPr>
                <w:color w:val="000000"/>
                <w:kern w:val="0"/>
                <w:szCs w:val="21"/>
              </w:rPr>
              <w:t>道路规划</w:t>
            </w:r>
          </w:p>
        </w:tc>
        <w:tc>
          <w:tcPr>
            <w:tcW w:w="990" w:type="dxa"/>
            <w:vAlign w:val="center"/>
          </w:tcPr>
          <w:p>
            <w:pPr>
              <w:widowControl/>
              <w:ind w:left="-250" w:leftChars="-119" w:firstLine="247" w:firstLineChars="118"/>
              <w:jc w:val="center"/>
              <w:rPr>
                <w:color w:val="000000"/>
                <w:kern w:val="0"/>
                <w:szCs w:val="21"/>
              </w:rPr>
            </w:pPr>
            <w:r>
              <w:rPr>
                <w:color w:val="000000"/>
                <w:kern w:val="0"/>
                <w:szCs w:val="21"/>
              </w:rPr>
              <w:t>最佳用途</w:t>
            </w:r>
          </w:p>
        </w:tc>
        <w:tc>
          <w:tcPr>
            <w:tcW w:w="1287" w:type="dxa"/>
            <w:vAlign w:val="center"/>
          </w:tcPr>
          <w:p>
            <w:pPr>
              <w:widowControl/>
              <w:ind w:left="-250" w:leftChars="-119" w:firstLine="247" w:firstLineChars="118"/>
              <w:jc w:val="center"/>
              <w:rPr>
                <w:color w:val="000000"/>
                <w:kern w:val="0"/>
                <w:szCs w:val="21"/>
              </w:rPr>
            </w:pPr>
            <w:r>
              <w:rPr>
                <w:color w:val="000000"/>
                <w:kern w:val="0"/>
                <w:szCs w:val="21"/>
              </w:rPr>
              <w:t>较适用途</w:t>
            </w:r>
          </w:p>
        </w:tc>
        <w:tc>
          <w:tcPr>
            <w:tcW w:w="1275" w:type="dxa"/>
            <w:vAlign w:val="center"/>
          </w:tcPr>
          <w:p>
            <w:pPr>
              <w:widowControl/>
              <w:ind w:left="-250" w:leftChars="-119" w:firstLine="247" w:firstLineChars="118"/>
              <w:jc w:val="center"/>
              <w:rPr>
                <w:color w:val="000000"/>
                <w:kern w:val="0"/>
                <w:szCs w:val="21"/>
              </w:rPr>
            </w:pPr>
            <w:r>
              <w:rPr>
                <w:color w:val="000000"/>
                <w:kern w:val="0"/>
                <w:szCs w:val="21"/>
              </w:rPr>
              <w:t>一般用途</w:t>
            </w:r>
          </w:p>
        </w:tc>
        <w:tc>
          <w:tcPr>
            <w:tcW w:w="1276" w:type="dxa"/>
            <w:vAlign w:val="center"/>
          </w:tcPr>
          <w:p>
            <w:pPr>
              <w:widowControl/>
              <w:ind w:left="-250" w:leftChars="-119" w:firstLine="247" w:firstLineChars="118"/>
              <w:jc w:val="center"/>
              <w:rPr>
                <w:color w:val="000000"/>
                <w:kern w:val="0"/>
                <w:szCs w:val="21"/>
              </w:rPr>
            </w:pPr>
            <w:r>
              <w:rPr>
                <w:color w:val="000000"/>
                <w:kern w:val="0"/>
                <w:szCs w:val="21"/>
              </w:rPr>
              <w:t>不太适合用途</w:t>
            </w:r>
          </w:p>
        </w:tc>
        <w:tc>
          <w:tcPr>
            <w:tcW w:w="1134" w:type="dxa"/>
            <w:vAlign w:val="center"/>
          </w:tcPr>
          <w:p>
            <w:pPr>
              <w:widowControl/>
              <w:ind w:left="-250" w:leftChars="-119" w:firstLine="247" w:firstLineChars="118"/>
              <w:jc w:val="center"/>
              <w:rPr>
                <w:color w:val="000000"/>
                <w:kern w:val="0"/>
                <w:szCs w:val="21"/>
              </w:rPr>
            </w:pPr>
            <w:r>
              <w:rPr>
                <w:color w:val="000000"/>
                <w:kern w:val="0"/>
                <w:szCs w:val="21"/>
              </w:rPr>
              <w:t>不适合用途</w:t>
            </w:r>
          </w:p>
        </w:tc>
      </w:tr>
    </w:tbl>
    <w:p>
      <w:pPr>
        <w:widowControl/>
        <w:ind w:firstLine="480" w:firstLineChars="200"/>
        <w:jc w:val="left"/>
        <w:rPr>
          <w:b/>
          <w:sz w:val="24"/>
          <w:szCs w:val="24"/>
        </w:rPr>
      </w:pPr>
      <w:r>
        <w:rPr>
          <w:bCs/>
          <w:sz w:val="24"/>
          <w:szCs w:val="24"/>
        </w:rPr>
        <w:br w:type="page"/>
      </w:r>
    </w:p>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表4-4-7  长沙县Ⅳ级住宅用地宗地地价区域因素修正系数表（%）</w:t>
      </w:r>
    </w:p>
    <w:tbl>
      <w:tblPr>
        <w:tblW w:w="9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2088"/>
        <w:gridCol w:w="933"/>
        <w:gridCol w:w="933"/>
        <w:gridCol w:w="933"/>
        <w:gridCol w:w="933"/>
        <w:gridCol w:w="933"/>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378" w:type="dxa"/>
            <w:vAlign w:val="center"/>
          </w:tcPr>
          <w:p>
            <w:pPr>
              <w:widowControl/>
              <w:jc w:val="center"/>
              <w:rPr>
                <w:b/>
                <w:bCs/>
                <w:color w:val="000000"/>
                <w:kern w:val="0"/>
                <w:sz w:val="20"/>
              </w:rPr>
            </w:pPr>
            <w:r>
              <w:rPr>
                <w:b/>
                <w:bCs/>
                <w:color w:val="000000"/>
                <w:kern w:val="0"/>
                <w:sz w:val="20"/>
              </w:rPr>
              <w:t>因子层</w:t>
            </w:r>
          </w:p>
        </w:tc>
        <w:tc>
          <w:tcPr>
            <w:tcW w:w="2088" w:type="dxa"/>
            <w:vAlign w:val="center"/>
          </w:tcPr>
          <w:p>
            <w:pPr>
              <w:widowControl/>
              <w:jc w:val="center"/>
              <w:rPr>
                <w:b/>
                <w:bCs/>
                <w:color w:val="000000"/>
                <w:kern w:val="0"/>
                <w:sz w:val="20"/>
              </w:rPr>
            </w:pPr>
            <w:r>
              <w:rPr>
                <w:b/>
                <w:bCs/>
                <w:color w:val="000000"/>
                <w:kern w:val="0"/>
                <w:sz w:val="20"/>
              </w:rPr>
              <w:t>指标层</w:t>
            </w:r>
          </w:p>
        </w:tc>
        <w:tc>
          <w:tcPr>
            <w:tcW w:w="933" w:type="dxa"/>
            <w:vAlign w:val="center"/>
          </w:tcPr>
          <w:p>
            <w:pPr>
              <w:widowControl/>
              <w:jc w:val="center"/>
              <w:rPr>
                <w:b/>
                <w:bCs/>
                <w:kern w:val="0"/>
                <w:sz w:val="20"/>
              </w:rPr>
            </w:pPr>
            <w:r>
              <w:rPr>
                <w:b/>
                <w:bCs/>
                <w:kern w:val="0"/>
                <w:sz w:val="20"/>
              </w:rPr>
              <w:t>权重</w:t>
            </w:r>
          </w:p>
        </w:tc>
        <w:tc>
          <w:tcPr>
            <w:tcW w:w="933" w:type="dxa"/>
            <w:vAlign w:val="center"/>
          </w:tcPr>
          <w:p>
            <w:pPr>
              <w:widowControl/>
              <w:jc w:val="center"/>
              <w:rPr>
                <w:b/>
                <w:bCs/>
                <w:kern w:val="0"/>
                <w:sz w:val="20"/>
              </w:rPr>
            </w:pPr>
            <w:r>
              <w:rPr>
                <w:b/>
                <w:bCs/>
                <w:kern w:val="0"/>
                <w:sz w:val="20"/>
              </w:rPr>
              <w:t>优</w:t>
            </w:r>
          </w:p>
        </w:tc>
        <w:tc>
          <w:tcPr>
            <w:tcW w:w="933" w:type="dxa"/>
            <w:vAlign w:val="center"/>
          </w:tcPr>
          <w:p>
            <w:pPr>
              <w:widowControl/>
              <w:jc w:val="center"/>
              <w:rPr>
                <w:b/>
                <w:bCs/>
                <w:kern w:val="0"/>
                <w:sz w:val="20"/>
              </w:rPr>
            </w:pPr>
            <w:r>
              <w:rPr>
                <w:b/>
                <w:bCs/>
                <w:kern w:val="0"/>
                <w:sz w:val="20"/>
              </w:rPr>
              <w:t>较优</w:t>
            </w:r>
          </w:p>
        </w:tc>
        <w:tc>
          <w:tcPr>
            <w:tcW w:w="933" w:type="dxa"/>
            <w:vAlign w:val="center"/>
          </w:tcPr>
          <w:p>
            <w:pPr>
              <w:widowControl/>
              <w:jc w:val="center"/>
              <w:rPr>
                <w:b/>
                <w:bCs/>
                <w:kern w:val="0"/>
                <w:sz w:val="20"/>
              </w:rPr>
            </w:pPr>
            <w:r>
              <w:rPr>
                <w:b/>
                <w:bCs/>
                <w:kern w:val="0"/>
                <w:sz w:val="20"/>
              </w:rPr>
              <w:t>一般</w:t>
            </w:r>
          </w:p>
        </w:tc>
        <w:tc>
          <w:tcPr>
            <w:tcW w:w="933" w:type="dxa"/>
            <w:vAlign w:val="center"/>
          </w:tcPr>
          <w:p>
            <w:pPr>
              <w:widowControl/>
              <w:jc w:val="center"/>
              <w:rPr>
                <w:b/>
                <w:bCs/>
                <w:kern w:val="0"/>
                <w:sz w:val="20"/>
              </w:rPr>
            </w:pPr>
            <w:r>
              <w:rPr>
                <w:b/>
                <w:bCs/>
                <w:kern w:val="0"/>
                <w:sz w:val="20"/>
              </w:rPr>
              <w:t>较劣</w:t>
            </w:r>
          </w:p>
        </w:tc>
        <w:tc>
          <w:tcPr>
            <w:tcW w:w="930" w:type="dxa"/>
            <w:vAlign w:val="center"/>
          </w:tcPr>
          <w:p>
            <w:pPr>
              <w:widowControl/>
              <w:jc w:val="center"/>
              <w:rPr>
                <w:b/>
                <w:bCs/>
                <w:kern w:val="0"/>
                <w:sz w:val="20"/>
              </w:rPr>
            </w:pPr>
            <w:r>
              <w:rPr>
                <w:b/>
                <w:bCs/>
                <w:kern w:val="0"/>
                <w:sz w:val="20"/>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378" w:type="dxa"/>
            <w:vMerge w:val="restart"/>
            <w:vAlign w:val="center"/>
          </w:tcPr>
          <w:p>
            <w:pPr>
              <w:widowControl/>
              <w:jc w:val="center"/>
              <w:rPr>
                <w:color w:val="000000"/>
                <w:kern w:val="0"/>
                <w:sz w:val="20"/>
              </w:rPr>
            </w:pPr>
            <w:r>
              <w:rPr>
                <w:color w:val="000000"/>
                <w:kern w:val="0"/>
                <w:sz w:val="20"/>
              </w:rPr>
              <w:t>基础设施完善度</w:t>
            </w:r>
          </w:p>
        </w:tc>
        <w:tc>
          <w:tcPr>
            <w:tcW w:w="2088" w:type="dxa"/>
            <w:vAlign w:val="center"/>
          </w:tcPr>
          <w:p>
            <w:pPr>
              <w:widowControl/>
              <w:jc w:val="center"/>
              <w:rPr>
                <w:color w:val="000000"/>
                <w:kern w:val="0"/>
                <w:sz w:val="20"/>
              </w:rPr>
            </w:pPr>
            <w:r>
              <w:rPr>
                <w:color w:val="000000"/>
                <w:kern w:val="0"/>
                <w:sz w:val="20"/>
              </w:rPr>
              <w:t>排水状况</w:t>
            </w:r>
          </w:p>
        </w:tc>
        <w:tc>
          <w:tcPr>
            <w:tcW w:w="933" w:type="dxa"/>
            <w:vAlign w:val="center"/>
          </w:tcPr>
          <w:p>
            <w:pPr>
              <w:widowControl/>
              <w:jc w:val="center"/>
              <w:textAlignment w:val="center"/>
              <w:rPr>
                <w:kern w:val="0"/>
                <w:sz w:val="20"/>
              </w:rPr>
            </w:pPr>
            <w:r>
              <w:rPr>
                <w:rFonts w:eastAsia="Tahoma"/>
                <w:color w:val="000000"/>
                <w:kern w:val="0"/>
                <w:sz w:val="20"/>
                <w:lang/>
              </w:rPr>
              <w:t>0.0426</w:t>
            </w:r>
          </w:p>
        </w:tc>
        <w:tc>
          <w:tcPr>
            <w:tcW w:w="933" w:type="dxa"/>
            <w:vAlign w:val="center"/>
          </w:tcPr>
          <w:p>
            <w:pPr>
              <w:widowControl/>
              <w:jc w:val="center"/>
              <w:textAlignment w:val="center"/>
              <w:rPr>
                <w:kern w:val="0"/>
                <w:sz w:val="20"/>
              </w:rPr>
            </w:pPr>
            <w:r>
              <w:rPr>
                <w:rFonts w:eastAsia="Tahoma"/>
                <w:color w:val="000000"/>
                <w:kern w:val="0"/>
                <w:sz w:val="20"/>
                <w:lang/>
              </w:rPr>
              <w:t xml:space="preserve">0.5453 </w:t>
            </w:r>
          </w:p>
        </w:tc>
        <w:tc>
          <w:tcPr>
            <w:tcW w:w="933" w:type="dxa"/>
            <w:vAlign w:val="center"/>
          </w:tcPr>
          <w:p>
            <w:pPr>
              <w:widowControl/>
              <w:jc w:val="center"/>
              <w:textAlignment w:val="center"/>
              <w:rPr>
                <w:kern w:val="0"/>
                <w:sz w:val="20"/>
              </w:rPr>
            </w:pPr>
            <w:r>
              <w:rPr>
                <w:rFonts w:eastAsia="Tahoma"/>
                <w:color w:val="000000"/>
                <w:kern w:val="0"/>
                <w:sz w:val="20"/>
                <w:lang/>
              </w:rPr>
              <w:t xml:space="preserve">0.2726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-0.2624 </w:t>
            </w:r>
          </w:p>
        </w:tc>
        <w:tc>
          <w:tcPr>
            <w:tcW w:w="930" w:type="dxa"/>
            <w:vAlign w:val="center"/>
          </w:tcPr>
          <w:p>
            <w:pPr>
              <w:widowControl/>
              <w:jc w:val="center"/>
              <w:textAlignment w:val="center"/>
              <w:rPr>
                <w:kern w:val="0"/>
                <w:sz w:val="20"/>
              </w:rPr>
            </w:pPr>
            <w:r>
              <w:rPr>
                <w:rFonts w:eastAsia="Tahoma"/>
                <w:color w:val="000000"/>
                <w:kern w:val="0"/>
                <w:sz w:val="20"/>
                <w:lang/>
              </w:rPr>
              <w:t xml:space="preserve">-0.5248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378" w:type="dxa"/>
            <w:vMerge w:val="continue"/>
            <w:vAlign w:val="center"/>
          </w:tcPr>
          <w:p>
            <w:pPr>
              <w:widowControl/>
              <w:jc w:val="left"/>
              <w:rPr>
                <w:color w:val="000000"/>
                <w:kern w:val="0"/>
                <w:sz w:val="20"/>
              </w:rPr>
            </w:pPr>
          </w:p>
        </w:tc>
        <w:tc>
          <w:tcPr>
            <w:tcW w:w="2088" w:type="dxa"/>
            <w:vAlign w:val="center"/>
          </w:tcPr>
          <w:p>
            <w:pPr>
              <w:widowControl/>
              <w:jc w:val="center"/>
              <w:rPr>
                <w:color w:val="000000"/>
                <w:kern w:val="0"/>
                <w:sz w:val="20"/>
              </w:rPr>
            </w:pPr>
            <w:r>
              <w:rPr>
                <w:color w:val="000000"/>
                <w:kern w:val="0"/>
                <w:sz w:val="20"/>
              </w:rPr>
              <w:t>供水状况</w:t>
            </w:r>
          </w:p>
        </w:tc>
        <w:tc>
          <w:tcPr>
            <w:tcW w:w="933" w:type="dxa"/>
            <w:vAlign w:val="center"/>
          </w:tcPr>
          <w:p>
            <w:pPr>
              <w:widowControl/>
              <w:jc w:val="center"/>
              <w:textAlignment w:val="center"/>
              <w:rPr>
                <w:kern w:val="0"/>
                <w:sz w:val="20"/>
              </w:rPr>
            </w:pPr>
            <w:r>
              <w:rPr>
                <w:rFonts w:eastAsia="Tahoma"/>
                <w:color w:val="000000"/>
                <w:kern w:val="0"/>
                <w:sz w:val="20"/>
                <w:lang/>
              </w:rPr>
              <w:t>0.0426</w:t>
            </w:r>
          </w:p>
        </w:tc>
        <w:tc>
          <w:tcPr>
            <w:tcW w:w="933" w:type="dxa"/>
            <w:vAlign w:val="center"/>
          </w:tcPr>
          <w:p>
            <w:pPr>
              <w:widowControl/>
              <w:jc w:val="center"/>
              <w:textAlignment w:val="center"/>
              <w:rPr>
                <w:kern w:val="0"/>
                <w:sz w:val="20"/>
              </w:rPr>
            </w:pPr>
            <w:r>
              <w:rPr>
                <w:rFonts w:eastAsia="Tahoma"/>
                <w:color w:val="000000"/>
                <w:kern w:val="0"/>
                <w:sz w:val="20"/>
                <w:lang/>
              </w:rPr>
              <w:t xml:space="preserve">0.5453 </w:t>
            </w:r>
          </w:p>
        </w:tc>
        <w:tc>
          <w:tcPr>
            <w:tcW w:w="933" w:type="dxa"/>
            <w:vAlign w:val="center"/>
          </w:tcPr>
          <w:p>
            <w:pPr>
              <w:widowControl/>
              <w:jc w:val="center"/>
              <w:textAlignment w:val="center"/>
              <w:rPr>
                <w:kern w:val="0"/>
                <w:sz w:val="20"/>
              </w:rPr>
            </w:pPr>
            <w:r>
              <w:rPr>
                <w:rFonts w:eastAsia="Tahoma"/>
                <w:color w:val="000000"/>
                <w:kern w:val="0"/>
                <w:sz w:val="20"/>
                <w:lang/>
              </w:rPr>
              <w:t xml:space="preserve">0.2726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-0.2624 </w:t>
            </w:r>
          </w:p>
        </w:tc>
        <w:tc>
          <w:tcPr>
            <w:tcW w:w="930" w:type="dxa"/>
            <w:vAlign w:val="center"/>
          </w:tcPr>
          <w:p>
            <w:pPr>
              <w:widowControl/>
              <w:jc w:val="center"/>
              <w:textAlignment w:val="center"/>
              <w:rPr>
                <w:kern w:val="0"/>
                <w:sz w:val="20"/>
              </w:rPr>
            </w:pPr>
            <w:r>
              <w:rPr>
                <w:rFonts w:eastAsia="Tahoma"/>
                <w:color w:val="000000"/>
                <w:kern w:val="0"/>
                <w:sz w:val="20"/>
                <w:lang/>
              </w:rPr>
              <w:t xml:space="preserve">-0.5248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378" w:type="dxa"/>
            <w:vMerge w:val="continue"/>
            <w:vAlign w:val="center"/>
          </w:tcPr>
          <w:p>
            <w:pPr>
              <w:widowControl/>
              <w:jc w:val="left"/>
              <w:rPr>
                <w:color w:val="000000"/>
                <w:kern w:val="0"/>
                <w:sz w:val="20"/>
              </w:rPr>
            </w:pPr>
          </w:p>
        </w:tc>
        <w:tc>
          <w:tcPr>
            <w:tcW w:w="2088" w:type="dxa"/>
            <w:vAlign w:val="center"/>
          </w:tcPr>
          <w:p>
            <w:pPr>
              <w:widowControl/>
              <w:jc w:val="center"/>
              <w:rPr>
                <w:color w:val="000000"/>
                <w:kern w:val="0"/>
                <w:sz w:val="20"/>
              </w:rPr>
            </w:pPr>
            <w:r>
              <w:rPr>
                <w:color w:val="000000"/>
                <w:kern w:val="0"/>
                <w:sz w:val="20"/>
              </w:rPr>
              <w:t>供电状况</w:t>
            </w:r>
          </w:p>
        </w:tc>
        <w:tc>
          <w:tcPr>
            <w:tcW w:w="933" w:type="dxa"/>
            <w:vAlign w:val="center"/>
          </w:tcPr>
          <w:p>
            <w:pPr>
              <w:widowControl/>
              <w:jc w:val="center"/>
              <w:textAlignment w:val="center"/>
              <w:rPr>
                <w:kern w:val="0"/>
                <w:sz w:val="20"/>
              </w:rPr>
            </w:pPr>
            <w:r>
              <w:rPr>
                <w:rFonts w:eastAsia="Tahoma"/>
                <w:color w:val="000000"/>
                <w:kern w:val="0"/>
                <w:sz w:val="20"/>
                <w:lang/>
              </w:rPr>
              <w:t>0.0426</w:t>
            </w:r>
          </w:p>
        </w:tc>
        <w:tc>
          <w:tcPr>
            <w:tcW w:w="933" w:type="dxa"/>
            <w:vAlign w:val="center"/>
          </w:tcPr>
          <w:p>
            <w:pPr>
              <w:widowControl/>
              <w:jc w:val="center"/>
              <w:textAlignment w:val="center"/>
              <w:rPr>
                <w:kern w:val="0"/>
                <w:sz w:val="20"/>
              </w:rPr>
            </w:pPr>
            <w:r>
              <w:rPr>
                <w:rFonts w:eastAsia="Tahoma"/>
                <w:color w:val="000000"/>
                <w:kern w:val="0"/>
                <w:sz w:val="20"/>
                <w:lang/>
              </w:rPr>
              <w:t xml:space="preserve">0.5453 </w:t>
            </w:r>
          </w:p>
        </w:tc>
        <w:tc>
          <w:tcPr>
            <w:tcW w:w="933" w:type="dxa"/>
            <w:vAlign w:val="center"/>
          </w:tcPr>
          <w:p>
            <w:pPr>
              <w:widowControl/>
              <w:jc w:val="center"/>
              <w:textAlignment w:val="center"/>
              <w:rPr>
                <w:kern w:val="0"/>
                <w:sz w:val="20"/>
              </w:rPr>
            </w:pPr>
            <w:r>
              <w:rPr>
                <w:rFonts w:eastAsia="Tahoma"/>
                <w:color w:val="000000"/>
                <w:kern w:val="0"/>
                <w:sz w:val="20"/>
                <w:lang/>
              </w:rPr>
              <w:t xml:space="preserve">0.2726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-0.2624 </w:t>
            </w:r>
          </w:p>
        </w:tc>
        <w:tc>
          <w:tcPr>
            <w:tcW w:w="930" w:type="dxa"/>
            <w:vAlign w:val="center"/>
          </w:tcPr>
          <w:p>
            <w:pPr>
              <w:widowControl/>
              <w:jc w:val="center"/>
              <w:textAlignment w:val="center"/>
              <w:rPr>
                <w:kern w:val="0"/>
                <w:sz w:val="20"/>
              </w:rPr>
            </w:pPr>
            <w:r>
              <w:rPr>
                <w:rFonts w:eastAsia="Tahoma"/>
                <w:color w:val="000000"/>
                <w:kern w:val="0"/>
                <w:sz w:val="20"/>
                <w:lang/>
              </w:rPr>
              <w:t xml:space="preserve">-0.5248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378" w:type="dxa"/>
            <w:vMerge w:val="continue"/>
            <w:vAlign w:val="center"/>
          </w:tcPr>
          <w:p>
            <w:pPr>
              <w:widowControl/>
              <w:jc w:val="left"/>
              <w:rPr>
                <w:color w:val="000000"/>
                <w:kern w:val="0"/>
                <w:sz w:val="20"/>
              </w:rPr>
            </w:pPr>
          </w:p>
        </w:tc>
        <w:tc>
          <w:tcPr>
            <w:tcW w:w="2088" w:type="dxa"/>
            <w:vAlign w:val="center"/>
          </w:tcPr>
          <w:p>
            <w:pPr>
              <w:widowControl/>
              <w:jc w:val="center"/>
              <w:rPr>
                <w:color w:val="000000"/>
                <w:kern w:val="0"/>
                <w:sz w:val="20"/>
              </w:rPr>
            </w:pPr>
            <w:r>
              <w:rPr>
                <w:color w:val="000000"/>
                <w:kern w:val="0"/>
                <w:sz w:val="20"/>
              </w:rPr>
              <w:t>供气状况</w:t>
            </w:r>
          </w:p>
        </w:tc>
        <w:tc>
          <w:tcPr>
            <w:tcW w:w="933" w:type="dxa"/>
            <w:vAlign w:val="center"/>
          </w:tcPr>
          <w:p>
            <w:pPr>
              <w:widowControl/>
              <w:jc w:val="center"/>
              <w:textAlignment w:val="center"/>
              <w:rPr>
                <w:kern w:val="0"/>
                <w:sz w:val="20"/>
              </w:rPr>
            </w:pPr>
            <w:r>
              <w:rPr>
                <w:rFonts w:eastAsia="Tahoma"/>
                <w:color w:val="000000"/>
                <w:kern w:val="0"/>
                <w:sz w:val="20"/>
                <w:lang/>
              </w:rPr>
              <w:t>0.0426</w:t>
            </w:r>
          </w:p>
        </w:tc>
        <w:tc>
          <w:tcPr>
            <w:tcW w:w="933" w:type="dxa"/>
            <w:vAlign w:val="center"/>
          </w:tcPr>
          <w:p>
            <w:pPr>
              <w:widowControl/>
              <w:jc w:val="center"/>
              <w:textAlignment w:val="center"/>
              <w:rPr>
                <w:kern w:val="0"/>
                <w:sz w:val="20"/>
              </w:rPr>
            </w:pPr>
            <w:r>
              <w:rPr>
                <w:rFonts w:eastAsia="Tahoma"/>
                <w:color w:val="000000"/>
                <w:kern w:val="0"/>
                <w:sz w:val="20"/>
                <w:lang/>
              </w:rPr>
              <w:t xml:space="preserve">0.5453 </w:t>
            </w:r>
          </w:p>
        </w:tc>
        <w:tc>
          <w:tcPr>
            <w:tcW w:w="933" w:type="dxa"/>
            <w:vAlign w:val="center"/>
          </w:tcPr>
          <w:p>
            <w:pPr>
              <w:widowControl/>
              <w:jc w:val="center"/>
              <w:textAlignment w:val="center"/>
              <w:rPr>
                <w:kern w:val="0"/>
                <w:sz w:val="20"/>
              </w:rPr>
            </w:pPr>
            <w:r>
              <w:rPr>
                <w:rFonts w:eastAsia="Tahoma"/>
                <w:color w:val="000000"/>
                <w:kern w:val="0"/>
                <w:sz w:val="20"/>
                <w:lang/>
              </w:rPr>
              <w:t xml:space="preserve">0.2726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-0.2624 </w:t>
            </w:r>
          </w:p>
        </w:tc>
        <w:tc>
          <w:tcPr>
            <w:tcW w:w="930" w:type="dxa"/>
            <w:vAlign w:val="center"/>
          </w:tcPr>
          <w:p>
            <w:pPr>
              <w:widowControl/>
              <w:jc w:val="center"/>
              <w:textAlignment w:val="center"/>
              <w:rPr>
                <w:kern w:val="0"/>
                <w:sz w:val="20"/>
              </w:rPr>
            </w:pPr>
            <w:r>
              <w:rPr>
                <w:rFonts w:eastAsia="Tahoma"/>
                <w:color w:val="000000"/>
                <w:kern w:val="0"/>
                <w:sz w:val="20"/>
                <w:lang/>
              </w:rPr>
              <w:t xml:space="preserve">-0.5248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78" w:type="dxa"/>
            <w:vMerge w:val="restart"/>
            <w:vAlign w:val="center"/>
          </w:tcPr>
          <w:p>
            <w:pPr>
              <w:widowControl/>
              <w:jc w:val="center"/>
              <w:rPr>
                <w:color w:val="000000"/>
                <w:kern w:val="0"/>
                <w:sz w:val="20"/>
              </w:rPr>
            </w:pPr>
            <w:r>
              <w:rPr>
                <w:color w:val="000000"/>
                <w:kern w:val="0"/>
                <w:sz w:val="20"/>
              </w:rPr>
              <w:t>公用设施完备度</w:t>
            </w:r>
          </w:p>
        </w:tc>
        <w:tc>
          <w:tcPr>
            <w:tcW w:w="2088" w:type="dxa"/>
            <w:vAlign w:val="center"/>
          </w:tcPr>
          <w:p>
            <w:pPr>
              <w:widowControl/>
              <w:jc w:val="center"/>
              <w:rPr>
                <w:color w:val="000000"/>
                <w:kern w:val="0"/>
                <w:sz w:val="20"/>
              </w:rPr>
            </w:pPr>
            <w:r>
              <w:rPr>
                <w:color w:val="000000"/>
                <w:kern w:val="0"/>
                <w:sz w:val="20"/>
              </w:rPr>
              <w:t>距中小学距离</w:t>
            </w:r>
          </w:p>
        </w:tc>
        <w:tc>
          <w:tcPr>
            <w:tcW w:w="933" w:type="dxa"/>
            <w:vAlign w:val="center"/>
          </w:tcPr>
          <w:p>
            <w:pPr>
              <w:widowControl/>
              <w:jc w:val="center"/>
              <w:textAlignment w:val="center"/>
              <w:rPr>
                <w:kern w:val="0"/>
                <w:sz w:val="20"/>
              </w:rPr>
            </w:pPr>
            <w:r>
              <w:rPr>
                <w:rFonts w:eastAsia="Tahoma"/>
                <w:color w:val="000000"/>
                <w:kern w:val="0"/>
                <w:sz w:val="20"/>
                <w:lang/>
              </w:rPr>
              <w:t>0.0521</w:t>
            </w:r>
          </w:p>
        </w:tc>
        <w:tc>
          <w:tcPr>
            <w:tcW w:w="933" w:type="dxa"/>
            <w:vAlign w:val="center"/>
          </w:tcPr>
          <w:p>
            <w:pPr>
              <w:widowControl/>
              <w:jc w:val="center"/>
              <w:textAlignment w:val="center"/>
              <w:rPr>
                <w:kern w:val="0"/>
                <w:sz w:val="20"/>
              </w:rPr>
            </w:pPr>
            <w:r>
              <w:rPr>
                <w:rFonts w:eastAsia="Tahoma"/>
                <w:color w:val="000000"/>
                <w:kern w:val="0"/>
                <w:sz w:val="20"/>
                <w:lang/>
              </w:rPr>
              <w:t xml:space="preserve">0.6669 </w:t>
            </w:r>
          </w:p>
        </w:tc>
        <w:tc>
          <w:tcPr>
            <w:tcW w:w="933" w:type="dxa"/>
            <w:vAlign w:val="center"/>
          </w:tcPr>
          <w:p>
            <w:pPr>
              <w:widowControl/>
              <w:jc w:val="center"/>
              <w:textAlignment w:val="center"/>
              <w:rPr>
                <w:kern w:val="0"/>
                <w:sz w:val="20"/>
              </w:rPr>
            </w:pPr>
            <w:r>
              <w:rPr>
                <w:rFonts w:eastAsia="Tahoma"/>
                <w:color w:val="000000"/>
                <w:kern w:val="0"/>
                <w:sz w:val="20"/>
                <w:lang/>
              </w:rPr>
              <w:t xml:space="preserve">0.3334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-0.3209 </w:t>
            </w:r>
          </w:p>
        </w:tc>
        <w:tc>
          <w:tcPr>
            <w:tcW w:w="930" w:type="dxa"/>
            <w:vAlign w:val="center"/>
          </w:tcPr>
          <w:p>
            <w:pPr>
              <w:widowControl/>
              <w:jc w:val="center"/>
              <w:textAlignment w:val="center"/>
              <w:rPr>
                <w:kern w:val="0"/>
                <w:sz w:val="20"/>
              </w:rPr>
            </w:pPr>
            <w:r>
              <w:rPr>
                <w:rFonts w:eastAsia="Tahoma"/>
                <w:color w:val="000000"/>
                <w:kern w:val="0"/>
                <w:sz w:val="20"/>
                <w:lang/>
              </w:rPr>
              <w:t xml:space="preserve">-0.6419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378" w:type="dxa"/>
            <w:vMerge w:val="continue"/>
            <w:vAlign w:val="center"/>
          </w:tcPr>
          <w:p>
            <w:pPr>
              <w:widowControl/>
              <w:jc w:val="left"/>
              <w:rPr>
                <w:color w:val="000000"/>
                <w:kern w:val="0"/>
                <w:sz w:val="20"/>
              </w:rPr>
            </w:pPr>
          </w:p>
        </w:tc>
        <w:tc>
          <w:tcPr>
            <w:tcW w:w="2088" w:type="dxa"/>
            <w:vAlign w:val="center"/>
          </w:tcPr>
          <w:p>
            <w:pPr>
              <w:widowControl/>
              <w:jc w:val="center"/>
              <w:rPr>
                <w:color w:val="000000"/>
                <w:kern w:val="0"/>
                <w:sz w:val="20"/>
              </w:rPr>
            </w:pPr>
            <w:r>
              <w:rPr>
                <w:color w:val="000000"/>
                <w:kern w:val="0"/>
                <w:sz w:val="20"/>
              </w:rPr>
              <w:t>距医院距离</w:t>
            </w:r>
          </w:p>
        </w:tc>
        <w:tc>
          <w:tcPr>
            <w:tcW w:w="933" w:type="dxa"/>
            <w:vAlign w:val="center"/>
          </w:tcPr>
          <w:p>
            <w:pPr>
              <w:widowControl/>
              <w:jc w:val="center"/>
              <w:textAlignment w:val="center"/>
              <w:rPr>
                <w:kern w:val="0"/>
                <w:sz w:val="20"/>
              </w:rPr>
            </w:pPr>
            <w:r>
              <w:rPr>
                <w:rFonts w:eastAsia="Tahoma"/>
                <w:color w:val="000000"/>
                <w:kern w:val="0"/>
                <w:sz w:val="20"/>
                <w:lang/>
              </w:rPr>
              <w:t>0.0312</w:t>
            </w:r>
          </w:p>
        </w:tc>
        <w:tc>
          <w:tcPr>
            <w:tcW w:w="933" w:type="dxa"/>
            <w:vAlign w:val="center"/>
          </w:tcPr>
          <w:p>
            <w:pPr>
              <w:widowControl/>
              <w:jc w:val="center"/>
              <w:textAlignment w:val="center"/>
              <w:rPr>
                <w:kern w:val="0"/>
                <w:sz w:val="20"/>
              </w:rPr>
            </w:pPr>
            <w:r>
              <w:rPr>
                <w:rFonts w:eastAsia="Tahoma"/>
                <w:color w:val="000000"/>
                <w:kern w:val="0"/>
                <w:sz w:val="20"/>
                <w:lang/>
              </w:rPr>
              <w:t xml:space="preserve">0.3994 </w:t>
            </w:r>
          </w:p>
        </w:tc>
        <w:tc>
          <w:tcPr>
            <w:tcW w:w="933" w:type="dxa"/>
            <w:vAlign w:val="center"/>
          </w:tcPr>
          <w:p>
            <w:pPr>
              <w:widowControl/>
              <w:jc w:val="center"/>
              <w:textAlignment w:val="center"/>
              <w:rPr>
                <w:kern w:val="0"/>
                <w:sz w:val="20"/>
              </w:rPr>
            </w:pPr>
            <w:r>
              <w:rPr>
                <w:rFonts w:eastAsia="Tahoma"/>
                <w:color w:val="000000"/>
                <w:kern w:val="0"/>
                <w:sz w:val="20"/>
                <w:lang/>
              </w:rPr>
              <w:t xml:space="preserve">0.1997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-0.1922 </w:t>
            </w:r>
          </w:p>
        </w:tc>
        <w:tc>
          <w:tcPr>
            <w:tcW w:w="930" w:type="dxa"/>
            <w:vAlign w:val="center"/>
          </w:tcPr>
          <w:p>
            <w:pPr>
              <w:widowControl/>
              <w:jc w:val="center"/>
              <w:textAlignment w:val="center"/>
              <w:rPr>
                <w:kern w:val="0"/>
                <w:sz w:val="20"/>
              </w:rPr>
            </w:pPr>
            <w:r>
              <w:rPr>
                <w:rFonts w:eastAsia="Tahoma"/>
                <w:color w:val="000000"/>
                <w:kern w:val="0"/>
                <w:sz w:val="20"/>
                <w:lang/>
              </w:rPr>
              <w:t xml:space="preserve">-0.3844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378" w:type="dxa"/>
            <w:vMerge w:val="continue"/>
            <w:vAlign w:val="center"/>
          </w:tcPr>
          <w:p>
            <w:pPr>
              <w:widowControl/>
              <w:jc w:val="left"/>
              <w:rPr>
                <w:color w:val="000000"/>
                <w:kern w:val="0"/>
                <w:sz w:val="20"/>
              </w:rPr>
            </w:pPr>
          </w:p>
        </w:tc>
        <w:tc>
          <w:tcPr>
            <w:tcW w:w="2088" w:type="dxa"/>
            <w:vAlign w:val="center"/>
          </w:tcPr>
          <w:p>
            <w:pPr>
              <w:widowControl/>
              <w:jc w:val="center"/>
              <w:rPr>
                <w:color w:val="000000"/>
                <w:kern w:val="0"/>
                <w:sz w:val="20"/>
              </w:rPr>
            </w:pPr>
            <w:r>
              <w:rPr>
                <w:color w:val="000000"/>
                <w:kern w:val="0"/>
                <w:sz w:val="20"/>
              </w:rPr>
              <w:t>距大型超市距离</w:t>
            </w:r>
          </w:p>
        </w:tc>
        <w:tc>
          <w:tcPr>
            <w:tcW w:w="933" w:type="dxa"/>
            <w:vAlign w:val="center"/>
          </w:tcPr>
          <w:p>
            <w:pPr>
              <w:widowControl/>
              <w:jc w:val="center"/>
              <w:textAlignment w:val="center"/>
              <w:rPr>
                <w:kern w:val="0"/>
                <w:sz w:val="20"/>
              </w:rPr>
            </w:pPr>
            <w:r>
              <w:rPr>
                <w:rFonts w:eastAsia="Tahoma"/>
                <w:color w:val="000000"/>
                <w:kern w:val="0"/>
                <w:sz w:val="20"/>
                <w:lang/>
              </w:rPr>
              <w:t>0.0366</w:t>
            </w:r>
          </w:p>
        </w:tc>
        <w:tc>
          <w:tcPr>
            <w:tcW w:w="933" w:type="dxa"/>
            <w:vAlign w:val="center"/>
          </w:tcPr>
          <w:p>
            <w:pPr>
              <w:widowControl/>
              <w:jc w:val="center"/>
              <w:textAlignment w:val="center"/>
              <w:rPr>
                <w:kern w:val="0"/>
                <w:sz w:val="20"/>
              </w:rPr>
            </w:pPr>
            <w:r>
              <w:rPr>
                <w:rFonts w:eastAsia="Tahoma"/>
                <w:color w:val="000000"/>
                <w:kern w:val="0"/>
                <w:sz w:val="20"/>
                <w:lang/>
              </w:rPr>
              <w:t xml:space="preserve">0.4685 </w:t>
            </w:r>
          </w:p>
        </w:tc>
        <w:tc>
          <w:tcPr>
            <w:tcW w:w="933" w:type="dxa"/>
            <w:vAlign w:val="center"/>
          </w:tcPr>
          <w:p>
            <w:pPr>
              <w:widowControl/>
              <w:jc w:val="center"/>
              <w:textAlignment w:val="center"/>
              <w:rPr>
                <w:kern w:val="0"/>
                <w:sz w:val="20"/>
              </w:rPr>
            </w:pPr>
            <w:r>
              <w:rPr>
                <w:rFonts w:eastAsia="Tahoma"/>
                <w:color w:val="000000"/>
                <w:kern w:val="0"/>
                <w:sz w:val="20"/>
                <w:lang/>
              </w:rPr>
              <w:t xml:space="preserve">0.2342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-0.2255 </w:t>
            </w:r>
          </w:p>
        </w:tc>
        <w:tc>
          <w:tcPr>
            <w:tcW w:w="930" w:type="dxa"/>
            <w:vAlign w:val="center"/>
          </w:tcPr>
          <w:p>
            <w:pPr>
              <w:widowControl/>
              <w:jc w:val="center"/>
              <w:textAlignment w:val="center"/>
              <w:rPr>
                <w:kern w:val="0"/>
                <w:sz w:val="20"/>
              </w:rPr>
            </w:pPr>
            <w:r>
              <w:rPr>
                <w:rFonts w:eastAsia="Tahoma"/>
                <w:color w:val="000000"/>
                <w:kern w:val="0"/>
                <w:sz w:val="20"/>
                <w:lang/>
              </w:rPr>
              <w:t xml:space="preserve">-0.4509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78" w:type="dxa"/>
            <w:vMerge w:val="continue"/>
            <w:vAlign w:val="center"/>
          </w:tcPr>
          <w:p>
            <w:pPr>
              <w:widowControl/>
              <w:jc w:val="left"/>
              <w:rPr>
                <w:color w:val="000000"/>
                <w:kern w:val="0"/>
                <w:sz w:val="20"/>
              </w:rPr>
            </w:pPr>
          </w:p>
        </w:tc>
        <w:tc>
          <w:tcPr>
            <w:tcW w:w="2088" w:type="dxa"/>
            <w:vAlign w:val="center"/>
          </w:tcPr>
          <w:p>
            <w:pPr>
              <w:widowControl/>
              <w:jc w:val="center"/>
              <w:rPr>
                <w:color w:val="000000"/>
                <w:kern w:val="0"/>
                <w:sz w:val="20"/>
              </w:rPr>
            </w:pPr>
            <w:r>
              <w:rPr>
                <w:color w:val="000000"/>
                <w:kern w:val="0"/>
                <w:sz w:val="20"/>
              </w:rPr>
              <w:t>距文体设施距离</w:t>
            </w:r>
          </w:p>
        </w:tc>
        <w:tc>
          <w:tcPr>
            <w:tcW w:w="933" w:type="dxa"/>
            <w:vAlign w:val="center"/>
          </w:tcPr>
          <w:p>
            <w:pPr>
              <w:widowControl/>
              <w:jc w:val="center"/>
              <w:textAlignment w:val="center"/>
              <w:rPr>
                <w:kern w:val="0"/>
                <w:sz w:val="20"/>
              </w:rPr>
            </w:pPr>
            <w:r>
              <w:rPr>
                <w:rFonts w:eastAsia="Tahoma"/>
                <w:color w:val="000000"/>
                <w:kern w:val="0"/>
                <w:sz w:val="20"/>
                <w:lang/>
              </w:rPr>
              <w:t>0.0257</w:t>
            </w:r>
          </w:p>
        </w:tc>
        <w:tc>
          <w:tcPr>
            <w:tcW w:w="933" w:type="dxa"/>
            <w:vAlign w:val="center"/>
          </w:tcPr>
          <w:p>
            <w:pPr>
              <w:widowControl/>
              <w:jc w:val="center"/>
              <w:textAlignment w:val="center"/>
              <w:rPr>
                <w:kern w:val="0"/>
                <w:sz w:val="20"/>
              </w:rPr>
            </w:pPr>
            <w:r>
              <w:rPr>
                <w:rFonts w:eastAsia="Tahoma"/>
                <w:color w:val="000000"/>
                <w:kern w:val="0"/>
                <w:sz w:val="20"/>
                <w:lang/>
              </w:rPr>
              <w:t xml:space="preserve">0.3290 </w:t>
            </w:r>
          </w:p>
        </w:tc>
        <w:tc>
          <w:tcPr>
            <w:tcW w:w="933" w:type="dxa"/>
            <w:vAlign w:val="center"/>
          </w:tcPr>
          <w:p>
            <w:pPr>
              <w:widowControl/>
              <w:jc w:val="center"/>
              <w:textAlignment w:val="center"/>
              <w:rPr>
                <w:kern w:val="0"/>
                <w:sz w:val="20"/>
              </w:rPr>
            </w:pPr>
            <w:r>
              <w:rPr>
                <w:rFonts w:eastAsia="Tahoma"/>
                <w:color w:val="000000"/>
                <w:kern w:val="0"/>
                <w:sz w:val="20"/>
                <w:lang/>
              </w:rPr>
              <w:t xml:space="preserve">0.1645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-0.1583 </w:t>
            </w:r>
          </w:p>
        </w:tc>
        <w:tc>
          <w:tcPr>
            <w:tcW w:w="930" w:type="dxa"/>
            <w:vAlign w:val="center"/>
          </w:tcPr>
          <w:p>
            <w:pPr>
              <w:widowControl/>
              <w:jc w:val="center"/>
              <w:textAlignment w:val="center"/>
              <w:rPr>
                <w:kern w:val="0"/>
                <w:sz w:val="20"/>
              </w:rPr>
            </w:pPr>
            <w:r>
              <w:rPr>
                <w:rFonts w:eastAsia="Tahoma"/>
                <w:color w:val="000000"/>
                <w:kern w:val="0"/>
                <w:sz w:val="20"/>
                <w:lang/>
              </w:rPr>
              <w:t xml:space="preserve">-0.3166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378" w:type="dxa"/>
            <w:vAlign w:val="center"/>
          </w:tcPr>
          <w:p>
            <w:pPr>
              <w:widowControl/>
              <w:jc w:val="center"/>
              <w:rPr>
                <w:color w:val="000000"/>
                <w:kern w:val="0"/>
                <w:sz w:val="20"/>
              </w:rPr>
            </w:pPr>
            <w:r>
              <w:rPr>
                <w:color w:val="000000"/>
                <w:kern w:val="0"/>
                <w:sz w:val="20"/>
              </w:rPr>
              <w:t>道路通达度</w:t>
            </w:r>
          </w:p>
        </w:tc>
        <w:tc>
          <w:tcPr>
            <w:tcW w:w="2088" w:type="dxa"/>
            <w:vAlign w:val="center"/>
          </w:tcPr>
          <w:p>
            <w:pPr>
              <w:widowControl/>
              <w:jc w:val="center"/>
              <w:rPr>
                <w:color w:val="000000"/>
                <w:kern w:val="0"/>
                <w:sz w:val="20"/>
              </w:rPr>
            </w:pPr>
            <w:r>
              <w:rPr>
                <w:color w:val="000000"/>
                <w:kern w:val="0"/>
                <w:sz w:val="20"/>
              </w:rPr>
              <w:t>临近道路状况</w:t>
            </w:r>
          </w:p>
        </w:tc>
        <w:tc>
          <w:tcPr>
            <w:tcW w:w="933" w:type="dxa"/>
            <w:vAlign w:val="center"/>
          </w:tcPr>
          <w:p>
            <w:pPr>
              <w:widowControl/>
              <w:jc w:val="center"/>
              <w:textAlignment w:val="center"/>
              <w:rPr>
                <w:kern w:val="0"/>
                <w:sz w:val="20"/>
              </w:rPr>
            </w:pPr>
            <w:r>
              <w:rPr>
                <w:rFonts w:eastAsia="Tahoma"/>
                <w:color w:val="000000"/>
                <w:kern w:val="0"/>
                <w:sz w:val="20"/>
                <w:lang/>
              </w:rPr>
              <w:t>0.1124</w:t>
            </w:r>
          </w:p>
        </w:tc>
        <w:tc>
          <w:tcPr>
            <w:tcW w:w="933" w:type="dxa"/>
            <w:vAlign w:val="center"/>
          </w:tcPr>
          <w:p>
            <w:pPr>
              <w:widowControl/>
              <w:jc w:val="center"/>
              <w:textAlignment w:val="center"/>
              <w:rPr>
                <w:kern w:val="0"/>
                <w:sz w:val="20"/>
              </w:rPr>
            </w:pPr>
            <w:r>
              <w:rPr>
                <w:rFonts w:eastAsia="Tahoma"/>
                <w:color w:val="000000"/>
                <w:kern w:val="0"/>
                <w:sz w:val="20"/>
                <w:lang/>
              </w:rPr>
              <w:t xml:space="preserve">1.4387 </w:t>
            </w:r>
          </w:p>
        </w:tc>
        <w:tc>
          <w:tcPr>
            <w:tcW w:w="933" w:type="dxa"/>
            <w:vAlign w:val="center"/>
          </w:tcPr>
          <w:p>
            <w:pPr>
              <w:widowControl/>
              <w:jc w:val="center"/>
              <w:textAlignment w:val="center"/>
              <w:rPr>
                <w:kern w:val="0"/>
                <w:sz w:val="20"/>
              </w:rPr>
            </w:pPr>
            <w:r>
              <w:rPr>
                <w:rFonts w:eastAsia="Tahoma"/>
                <w:color w:val="000000"/>
                <w:kern w:val="0"/>
                <w:sz w:val="20"/>
                <w:lang/>
              </w:rPr>
              <w:t xml:space="preserve">0.7194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-0.6924 </w:t>
            </w:r>
          </w:p>
        </w:tc>
        <w:tc>
          <w:tcPr>
            <w:tcW w:w="930" w:type="dxa"/>
            <w:vAlign w:val="center"/>
          </w:tcPr>
          <w:p>
            <w:pPr>
              <w:widowControl/>
              <w:jc w:val="center"/>
              <w:textAlignment w:val="center"/>
              <w:rPr>
                <w:kern w:val="0"/>
                <w:sz w:val="20"/>
              </w:rPr>
            </w:pPr>
            <w:r>
              <w:rPr>
                <w:rFonts w:eastAsia="Tahoma"/>
                <w:color w:val="000000"/>
                <w:kern w:val="0"/>
                <w:sz w:val="20"/>
                <w:lang/>
              </w:rPr>
              <w:t xml:space="preserve">-1.3848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378" w:type="dxa"/>
            <w:vAlign w:val="center"/>
          </w:tcPr>
          <w:p>
            <w:pPr>
              <w:widowControl/>
              <w:jc w:val="center"/>
              <w:rPr>
                <w:color w:val="000000"/>
                <w:kern w:val="0"/>
                <w:sz w:val="20"/>
              </w:rPr>
            </w:pPr>
            <w:r>
              <w:rPr>
                <w:color w:val="000000"/>
                <w:kern w:val="0"/>
                <w:sz w:val="20"/>
              </w:rPr>
              <w:t>公交便捷度</w:t>
            </w:r>
          </w:p>
        </w:tc>
        <w:tc>
          <w:tcPr>
            <w:tcW w:w="2088" w:type="dxa"/>
            <w:vAlign w:val="center"/>
          </w:tcPr>
          <w:p>
            <w:pPr>
              <w:widowControl/>
              <w:jc w:val="center"/>
              <w:rPr>
                <w:color w:val="000000"/>
                <w:kern w:val="0"/>
                <w:sz w:val="20"/>
              </w:rPr>
            </w:pPr>
            <w:r>
              <w:rPr>
                <w:color w:val="000000"/>
                <w:kern w:val="0"/>
                <w:sz w:val="20"/>
              </w:rPr>
              <w:t>距最近公交站点（</w:t>
            </w:r>
            <w:r>
              <w:rPr>
                <w:rFonts w:hint="eastAsia"/>
                <w:color w:val="000000"/>
                <w:kern w:val="0"/>
                <w:sz w:val="20"/>
              </w:rPr>
              <w:t>轨道交通</w:t>
            </w:r>
            <w:r>
              <w:rPr>
                <w:color w:val="000000"/>
                <w:kern w:val="0"/>
                <w:sz w:val="20"/>
              </w:rPr>
              <w:t>站）距离</w:t>
            </w:r>
          </w:p>
        </w:tc>
        <w:tc>
          <w:tcPr>
            <w:tcW w:w="933" w:type="dxa"/>
            <w:vAlign w:val="center"/>
          </w:tcPr>
          <w:p>
            <w:pPr>
              <w:widowControl/>
              <w:jc w:val="center"/>
              <w:textAlignment w:val="center"/>
              <w:rPr>
                <w:kern w:val="0"/>
                <w:sz w:val="20"/>
              </w:rPr>
            </w:pPr>
            <w:r>
              <w:rPr>
                <w:rFonts w:eastAsia="Tahoma"/>
                <w:color w:val="000000"/>
                <w:kern w:val="0"/>
                <w:sz w:val="20"/>
                <w:lang/>
              </w:rPr>
              <w:t>0.0821</w:t>
            </w:r>
          </w:p>
        </w:tc>
        <w:tc>
          <w:tcPr>
            <w:tcW w:w="933" w:type="dxa"/>
            <w:vAlign w:val="center"/>
          </w:tcPr>
          <w:p>
            <w:pPr>
              <w:widowControl/>
              <w:jc w:val="center"/>
              <w:textAlignment w:val="center"/>
              <w:rPr>
                <w:kern w:val="0"/>
                <w:sz w:val="20"/>
              </w:rPr>
            </w:pPr>
            <w:r>
              <w:rPr>
                <w:rFonts w:eastAsia="Tahoma"/>
                <w:color w:val="000000"/>
                <w:kern w:val="0"/>
                <w:sz w:val="20"/>
                <w:lang/>
              </w:rPr>
              <w:t xml:space="preserve">1.0509 </w:t>
            </w:r>
          </w:p>
        </w:tc>
        <w:tc>
          <w:tcPr>
            <w:tcW w:w="933" w:type="dxa"/>
            <w:vAlign w:val="center"/>
          </w:tcPr>
          <w:p>
            <w:pPr>
              <w:widowControl/>
              <w:jc w:val="center"/>
              <w:textAlignment w:val="center"/>
              <w:rPr>
                <w:kern w:val="0"/>
                <w:sz w:val="20"/>
              </w:rPr>
            </w:pPr>
            <w:r>
              <w:rPr>
                <w:rFonts w:eastAsia="Tahoma"/>
                <w:color w:val="000000"/>
                <w:kern w:val="0"/>
                <w:sz w:val="20"/>
                <w:lang/>
              </w:rPr>
              <w:t xml:space="preserve">0.5254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-0.5057 </w:t>
            </w:r>
          </w:p>
        </w:tc>
        <w:tc>
          <w:tcPr>
            <w:tcW w:w="930" w:type="dxa"/>
            <w:vAlign w:val="center"/>
          </w:tcPr>
          <w:p>
            <w:pPr>
              <w:widowControl/>
              <w:jc w:val="center"/>
              <w:textAlignment w:val="center"/>
              <w:rPr>
                <w:kern w:val="0"/>
                <w:sz w:val="20"/>
              </w:rPr>
            </w:pPr>
            <w:r>
              <w:rPr>
                <w:rFonts w:eastAsia="Tahoma"/>
                <w:color w:val="000000"/>
                <w:kern w:val="0"/>
                <w:sz w:val="20"/>
                <w:lang/>
              </w:rPr>
              <w:t xml:space="preserve">-1.0115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378" w:type="dxa"/>
            <w:vMerge w:val="restart"/>
            <w:vAlign w:val="center"/>
          </w:tcPr>
          <w:p>
            <w:pPr>
              <w:widowControl/>
              <w:jc w:val="center"/>
              <w:rPr>
                <w:color w:val="000000"/>
                <w:kern w:val="0"/>
                <w:sz w:val="20"/>
              </w:rPr>
            </w:pPr>
            <w:r>
              <w:rPr>
                <w:color w:val="000000"/>
                <w:kern w:val="0"/>
                <w:sz w:val="20"/>
              </w:rPr>
              <w:t>对外交通便利度</w:t>
            </w:r>
          </w:p>
        </w:tc>
        <w:tc>
          <w:tcPr>
            <w:tcW w:w="2088" w:type="dxa"/>
            <w:vAlign w:val="center"/>
          </w:tcPr>
          <w:p>
            <w:pPr>
              <w:widowControl/>
              <w:jc w:val="center"/>
              <w:rPr>
                <w:color w:val="000000"/>
                <w:kern w:val="0"/>
                <w:sz w:val="20"/>
              </w:rPr>
            </w:pPr>
            <w:r>
              <w:rPr>
                <w:color w:val="000000"/>
                <w:kern w:val="0"/>
                <w:sz w:val="20"/>
              </w:rPr>
              <w:t>距最近长途汽车站距离</w:t>
            </w:r>
          </w:p>
        </w:tc>
        <w:tc>
          <w:tcPr>
            <w:tcW w:w="933" w:type="dxa"/>
            <w:vAlign w:val="center"/>
          </w:tcPr>
          <w:p>
            <w:pPr>
              <w:widowControl/>
              <w:jc w:val="center"/>
              <w:textAlignment w:val="center"/>
              <w:rPr>
                <w:kern w:val="0"/>
                <w:sz w:val="20"/>
              </w:rPr>
            </w:pPr>
            <w:r>
              <w:rPr>
                <w:rFonts w:eastAsia="Tahoma"/>
                <w:color w:val="000000"/>
                <w:kern w:val="0"/>
                <w:sz w:val="20"/>
                <w:lang/>
              </w:rPr>
              <w:t>0.0188</w:t>
            </w:r>
          </w:p>
        </w:tc>
        <w:tc>
          <w:tcPr>
            <w:tcW w:w="933" w:type="dxa"/>
            <w:vAlign w:val="center"/>
          </w:tcPr>
          <w:p>
            <w:pPr>
              <w:widowControl/>
              <w:jc w:val="center"/>
              <w:textAlignment w:val="center"/>
              <w:rPr>
                <w:kern w:val="0"/>
                <w:sz w:val="20"/>
              </w:rPr>
            </w:pPr>
            <w:r>
              <w:rPr>
                <w:rFonts w:eastAsia="Tahoma"/>
                <w:color w:val="000000"/>
                <w:kern w:val="0"/>
                <w:sz w:val="20"/>
                <w:lang/>
              </w:rPr>
              <w:t xml:space="preserve">0.2406 </w:t>
            </w:r>
          </w:p>
        </w:tc>
        <w:tc>
          <w:tcPr>
            <w:tcW w:w="933" w:type="dxa"/>
            <w:vAlign w:val="center"/>
          </w:tcPr>
          <w:p>
            <w:pPr>
              <w:widowControl/>
              <w:jc w:val="center"/>
              <w:textAlignment w:val="center"/>
              <w:rPr>
                <w:kern w:val="0"/>
                <w:sz w:val="20"/>
              </w:rPr>
            </w:pPr>
            <w:r>
              <w:rPr>
                <w:rFonts w:eastAsia="Tahoma"/>
                <w:color w:val="000000"/>
                <w:kern w:val="0"/>
                <w:sz w:val="20"/>
                <w:lang/>
              </w:rPr>
              <w:t xml:space="preserve">0.1203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-0.1158 </w:t>
            </w:r>
          </w:p>
        </w:tc>
        <w:tc>
          <w:tcPr>
            <w:tcW w:w="930" w:type="dxa"/>
            <w:vAlign w:val="center"/>
          </w:tcPr>
          <w:p>
            <w:pPr>
              <w:widowControl/>
              <w:jc w:val="center"/>
              <w:textAlignment w:val="center"/>
              <w:rPr>
                <w:kern w:val="0"/>
                <w:sz w:val="20"/>
              </w:rPr>
            </w:pPr>
            <w:r>
              <w:rPr>
                <w:rFonts w:eastAsia="Tahoma"/>
                <w:color w:val="000000"/>
                <w:kern w:val="0"/>
                <w:sz w:val="20"/>
                <w:lang/>
              </w:rPr>
              <w:t xml:space="preserve">-0.2316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78" w:type="dxa"/>
            <w:vMerge w:val="continue"/>
            <w:vAlign w:val="center"/>
          </w:tcPr>
          <w:p>
            <w:pPr>
              <w:widowControl/>
              <w:jc w:val="left"/>
              <w:rPr>
                <w:color w:val="000000"/>
                <w:kern w:val="0"/>
                <w:sz w:val="20"/>
              </w:rPr>
            </w:pPr>
          </w:p>
        </w:tc>
        <w:tc>
          <w:tcPr>
            <w:tcW w:w="2088" w:type="dxa"/>
            <w:vAlign w:val="center"/>
          </w:tcPr>
          <w:p>
            <w:pPr>
              <w:widowControl/>
              <w:jc w:val="center"/>
              <w:rPr>
                <w:color w:val="000000"/>
                <w:kern w:val="0"/>
                <w:sz w:val="20"/>
              </w:rPr>
            </w:pPr>
            <w:r>
              <w:rPr>
                <w:color w:val="000000"/>
                <w:kern w:val="0"/>
                <w:sz w:val="20"/>
              </w:rPr>
              <w:t>距火车站距离</w:t>
            </w:r>
          </w:p>
        </w:tc>
        <w:tc>
          <w:tcPr>
            <w:tcW w:w="933" w:type="dxa"/>
            <w:vAlign w:val="center"/>
          </w:tcPr>
          <w:p>
            <w:pPr>
              <w:widowControl/>
              <w:jc w:val="center"/>
              <w:textAlignment w:val="center"/>
              <w:rPr>
                <w:kern w:val="0"/>
                <w:sz w:val="20"/>
              </w:rPr>
            </w:pPr>
            <w:r>
              <w:rPr>
                <w:rFonts w:eastAsia="Tahoma"/>
                <w:color w:val="000000"/>
                <w:kern w:val="0"/>
                <w:sz w:val="20"/>
                <w:lang/>
              </w:rPr>
              <w:t>0.0121</w:t>
            </w:r>
          </w:p>
        </w:tc>
        <w:tc>
          <w:tcPr>
            <w:tcW w:w="933" w:type="dxa"/>
            <w:vAlign w:val="center"/>
          </w:tcPr>
          <w:p>
            <w:pPr>
              <w:widowControl/>
              <w:jc w:val="center"/>
              <w:textAlignment w:val="center"/>
              <w:rPr>
                <w:kern w:val="0"/>
                <w:sz w:val="20"/>
              </w:rPr>
            </w:pPr>
            <w:r>
              <w:rPr>
                <w:rFonts w:eastAsia="Tahoma"/>
                <w:color w:val="000000"/>
                <w:kern w:val="0"/>
                <w:sz w:val="20"/>
                <w:lang/>
              </w:rPr>
              <w:t xml:space="preserve">0.1549 </w:t>
            </w:r>
          </w:p>
        </w:tc>
        <w:tc>
          <w:tcPr>
            <w:tcW w:w="933" w:type="dxa"/>
            <w:vAlign w:val="center"/>
          </w:tcPr>
          <w:p>
            <w:pPr>
              <w:widowControl/>
              <w:jc w:val="center"/>
              <w:textAlignment w:val="center"/>
              <w:rPr>
                <w:kern w:val="0"/>
                <w:sz w:val="20"/>
              </w:rPr>
            </w:pPr>
            <w:r>
              <w:rPr>
                <w:rFonts w:eastAsia="Tahoma"/>
                <w:color w:val="000000"/>
                <w:kern w:val="0"/>
                <w:sz w:val="20"/>
                <w:lang/>
              </w:rPr>
              <w:t xml:space="preserve">0.0774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-0.0745 </w:t>
            </w:r>
          </w:p>
        </w:tc>
        <w:tc>
          <w:tcPr>
            <w:tcW w:w="930" w:type="dxa"/>
            <w:vAlign w:val="center"/>
          </w:tcPr>
          <w:p>
            <w:pPr>
              <w:widowControl/>
              <w:jc w:val="center"/>
              <w:textAlignment w:val="center"/>
              <w:rPr>
                <w:kern w:val="0"/>
                <w:sz w:val="20"/>
              </w:rPr>
            </w:pPr>
            <w:r>
              <w:rPr>
                <w:rFonts w:eastAsia="Tahoma"/>
                <w:color w:val="000000"/>
                <w:kern w:val="0"/>
                <w:sz w:val="20"/>
                <w:lang/>
              </w:rPr>
              <w:t xml:space="preserve">-0.1491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378" w:type="dxa"/>
            <w:vMerge w:val="continue"/>
            <w:vAlign w:val="center"/>
          </w:tcPr>
          <w:p>
            <w:pPr>
              <w:widowControl/>
              <w:jc w:val="left"/>
              <w:rPr>
                <w:color w:val="000000"/>
                <w:kern w:val="0"/>
                <w:sz w:val="20"/>
              </w:rPr>
            </w:pPr>
          </w:p>
        </w:tc>
        <w:tc>
          <w:tcPr>
            <w:tcW w:w="2088" w:type="dxa"/>
            <w:vAlign w:val="center"/>
          </w:tcPr>
          <w:p>
            <w:pPr>
              <w:widowControl/>
              <w:jc w:val="center"/>
              <w:rPr>
                <w:color w:val="000000"/>
                <w:kern w:val="0"/>
                <w:sz w:val="20"/>
              </w:rPr>
            </w:pPr>
            <w:r>
              <w:rPr>
                <w:color w:val="000000"/>
                <w:kern w:val="0"/>
                <w:sz w:val="20"/>
              </w:rPr>
              <w:t>距高铁站长沙南站距离</w:t>
            </w:r>
          </w:p>
        </w:tc>
        <w:tc>
          <w:tcPr>
            <w:tcW w:w="933" w:type="dxa"/>
            <w:vAlign w:val="center"/>
          </w:tcPr>
          <w:p>
            <w:pPr>
              <w:widowControl/>
              <w:jc w:val="center"/>
              <w:textAlignment w:val="center"/>
              <w:rPr>
                <w:kern w:val="0"/>
                <w:sz w:val="20"/>
              </w:rPr>
            </w:pPr>
            <w:r>
              <w:rPr>
                <w:rFonts w:eastAsia="Tahoma"/>
                <w:color w:val="000000"/>
                <w:kern w:val="0"/>
                <w:sz w:val="20"/>
                <w:lang/>
              </w:rPr>
              <w:t>0.0124</w:t>
            </w:r>
          </w:p>
        </w:tc>
        <w:tc>
          <w:tcPr>
            <w:tcW w:w="933" w:type="dxa"/>
            <w:vAlign w:val="center"/>
          </w:tcPr>
          <w:p>
            <w:pPr>
              <w:widowControl/>
              <w:jc w:val="center"/>
              <w:textAlignment w:val="center"/>
              <w:rPr>
                <w:kern w:val="0"/>
                <w:sz w:val="20"/>
              </w:rPr>
            </w:pPr>
            <w:r>
              <w:rPr>
                <w:rFonts w:eastAsia="Tahoma"/>
                <w:color w:val="000000"/>
                <w:kern w:val="0"/>
                <w:sz w:val="20"/>
                <w:lang/>
              </w:rPr>
              <w:t xml:space="preserve">0.1587 </w:t>
            </w:r>
          </w:p>
        </w:tc>
        <w:tc>
          <w:tcPr>
            <w:tcW w:w="933" w:type="dxa"/>
            <w:vAlign w:val="center"/>
          </w:tcPr>
          <w:p>
            <w:pPr>
              <w:widowControl/>
              <w:jc w:val="center"/>
              <w:textAlignment w:val="center"/>
              <w:rPr>
                <w:kern w:val="0"/>
                <w:sz w:val="20"/>
              </w:rPr>
            </w:pPr>
            <w:r>
              <w:rPr>
                <w:rFonts w:eastAsia="Tahoma"/>
                <w:color w:val="000000"/>
                <w:kern w:val="0"/>
                <w:sz w:val="20"/>
                <w:lang/>
              </w:rPr>
              <w:t xml:space="preserve">0.0794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-0.0764 </w:t>
            </w:r>
          </w:p>
        </w:tc>
        <w:tc>
          <w:tcPr>
            <w:tcW w:w="930" w:type="dxa"/>
            <w:vAlign w:val="center"/>
          </w:tcPr>
          <w:p>
            <w:pPr>
              <w:widowControl/>
              <w:jc w:val="center"/>
              <w:textAlignment w:val="center"/>
              <w:rPr>
                <w:kern w:val="0"/>
                <w:sz w:val="20"/>
              </w:rPr>
            </w:pPr>
            <w:r>
              <w:rPr>
                <w:rFonts w:eastAsia="Tahoma"/>
                <w:color w:val="000000"/>
                <w:kern w:val="0"/>
                <w:sz w:val="20"/>
                <w:lang/>
              </w:rPr>
              <w:t xml:space="preserve">-0.1528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378" w:type="dxa"/>
            <w:vMerge w:val="restart"/>
            <w:vAlign w:val="center"/>
          </w:tcPr>
          <w:p>
            <w:pPr>
              <w:widowControl/>
              <w:jc w:val="center"/>
              <w:rPr>
                <w:color w:val="000000"/>
                <w:kern w:val="0"/>
                <w:sz w:val="20"/>
              </w:rPr>
            </w:pPr>
            <w:r>
              <w:rPr>
                <w:color w:val="000000"/>
                <w:kern w:val="0"/>
                <w:sz w:val="20"/>
              </w:rPr>
              <w:t>环境优劣度</w:t>
            </w:r>
          </w:p>
        </w:tc>
        <w:tc>
          <w:tcPr>
            <w:tcW w:w="2088" w:type="dxa"/>
            <w:vAlign w:val="center"/>
          </w:tcPr>
          <w:p>
            <w:pPr>
              <w:widowControl/>
              <w:jc w:val="center"/>
              <w:rPr>
                <w:color w:val="000000"/>
                <w:kern w:val="0"/>
                <w:sz w:val="20"/>
              </w:rPr>
            </w:pPr>
            <w:r>
              <w:rPr>
                <w:color w:val="000000"/>
                <w:kern w:val="0"/>
                <w:sz w:val="20"/>
              </w:rPr>
              <w:t>水污染情况</w:t>
            </w:r>
          </w:p>
        </w:tc>
        <w:tc>
          <w:tcPr>
            <w:tcW w:w="933" w:type="dxa"/>
            <w:vAlign w:val="center"/>
          </w:tcPr>
          <w:p>
            <w:pPr>
              <w:widowControl/>
              <w:jc w:val="center"/>
              <w:textAlignment w:val="center"/>
              <w:rPr>
                <w:kern w:val="0"/>
                <w:sz w:val="20"/>
              </w:rPr>
            </w:pPr>
            <w:r>
              <w:rPr>
                <w:rFonts w:eastAsia="Tahoma"/>
                <w:color w:val="000000"/>
                <w:kern w:val="0"/>
                <w:sz w:val="20"/>
                <w:lang/>
              </w:rPr>
              <w:t>0.0433</w:t>
            </w:r>
          </w:p>
        </w:tc>
        <w:tc>
          <w:tcPr>
            <w:tcW w:w="933" w:type="dxa"/>
            <w:vAlign w:val="center"/>
          </w:tcPr>
          <w:p>
            <w:pPr>
              <w:widowControl/>
              <w:jc w:val="center"/>
              <w:textAlignment w:val="center"/>
              <w:rPr>
                <w:kern w:val="0"/>
                <w:sz w:val="20"/>
              </w:rPr>
            </w:pPr>
            <w:r>
              <w:rPr>
                <w:rFonts w:eastAsia="Tahoma"/>
                <w:color w:val="000000"/>
                <w:kern w:val="0"/>
                <w:sz w:val="20"/>
                <w:lang/>
              </w:rPr>
              <w:t xml:space="preserve">0.5542 </w:t>
            </w:r>
          </w:p>
        </w:tc>
        <w:tc>
          <w:tcPr>
            <w:tcW w:w="933" w:type="dxa"/>
            <w:vAlign w:val="center"/>
          </w:tcPr>
          <w:p>
            <w:pPr>
              <w:widowControl/>
              <w:jc w:val="center"/>
              <w:textAlignment w:val="center"/>
              <w:rPr>
                <w:kern w:val="0"/>
                <w:sz w:val="20"/>
              </w:rPr>
            </w:pPr>
            <w:r>
              <w:rPr>
                <w:rFonts w:eastAsia="Tahoma"/>
                <w:color w:val="000000"/>
                <w:kern w:val="0"/>
                <w:sz w:val="20"/>
                <w:lang/>
              </w:rPr>
              <w:t xml:space="preserve">0.2771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-0.2667 </w:t>
            </w:r>
          </w:p>
        </w:tc>
        <w:tc>
          <w:tcPr>
            <w:tcW w:w="930" w:type="dxa"/>
            <w:vAlign w:val="center"/>
          </w:tcPr>
          <w:p>
            <w:pPr>
              <w:widowControl/>
              <w:jc w:val="center"/>
              <w:textAlignment w:val="center"/>
              <w:rPr>
                <w:kern w:val="0"/>
                <w:sz w:val="20"/>
              </w:rPr>
            </w:pPr>
            <w:r>
              <w:rPr>
                <w:rFonts w:eastAsia="Tahoma"/>
                <w:color w:val="000000"/>
                <w:kern w:val="0"/>
                <w:sz w:val="20"/>
                <w:lang/>
              </w:rPr>
              <w:t xml:space="preserve">-0.5335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378" w:type="dxa"/>
            <w:vMerge w:val="continue"/>
            <w:vAlign w:val="center"/>
          </w:tcPr>
          <w:p>
            <w:pPr>
              <w:widowControl/>
              <w:jc w:val="left"/>
              <w:rPr>
                <w:color w:val="000000"/>
                <w:kern w:val="0"/>
                <w:sz w:val="20"/>
              </w:rPr>
            </w:pPr>
          </w:p>
        </w:tc>
        <w:tc>
          <w:tcPr>
            <w:tcW w:w="2088" w:type="dxa"/>
            <w:vAlign w:val="center"/>
          </w:tcPr>
          <w:p>
            <w:pPr>
              <w:widowControl/>
              <w:jc w:val="center"/>
              <w:rPr>
                <w:color w:val="000000"/>
                <w:kern w:val="0"/>
                <w:sz w:val="20"/>
              </w:rPr>
            </w:pPr>
            <w:r>
              <w:rPr>
                <w:color w:val="000000"/>
                <w:kern w:val="0"/>
                <w:sz w:val="20"/>
              </w:rPr>
              <w:t>大气污染情况</w:t>
            </w:r>
          </w:p>
        </w:tc>
        <w:tc>
          <w:tcPr>
            <w:tcW w:w="933" w:type="dxa"/>
            <w:vAlign w:val="center"/>
          </w:tcPr>
          <w:p>
            <w:pPr>
              <w:widowControl/>
              <w:jc w:val="center"/>
              <w:textAlignment w:val="center"/>
              <w:rPr>
                <w:kern w:val="0"/>
                <w:sz w:val="20"/>
              </w:rPr>
            </w:pPr>
            <w:r>
              <w:rPr>
                <w:rFonts w:eastAsia="Tahoma"/>
                <w:color w:val="000000"/>
                <w:kern w:val="0"/>
                <w:sz w:val="20"/>
                <w:lang/>
              </w:rPr>
              <w:t>0.0433</w:t>
            </w:r>
          </w:p>
        </w:tc>
        <w:tc>
          <w:tcPr>
            <w:tcW w:w="933" w:type="dxa"/>
            <w:vAlign w:val="center"/>
          </w:tcPr>
          <w:p>
            <w:pPr>
              <w:widowControl/>
              <w:jc w:val="center"/>
              <w:textAlignment w:val="center"/>
              <w:rPr>
                <w:kern w:val="0"/>
                <w:sz w:val="20"/>
              </w:rPr>
            </w:pPr>
            <w:r>
              <w:rPr>
                <w:rFonts w:eastAsia="Tahoma"/>
                <w:color w:val="000000"/>
                <w:kern w:val="0"/>
                <w:sz w:val="20"/>
                <w:lang/>
              </w:rPr>
              <w:t xml:space="preserve">0.5542 </w:t>
            </w:r>
          </w:p>
        </w:tc>
        <w:tc>
          <w:tcPr>
            <w:tcW w:w="933" w:type="dxa"/>
            <w:vAlign w:val="center"/>
          </w:tcPr>
          <w:p>
            <w:pPr>
              <w:widowControl/>
              <w:jc w:val="center"/>
              <w:textAlignment w:val="center"/>
              <w:rPr>
                <w:kern w:val="0"/>
                <w:sz w:val="20"/>
              </w:rPr>
            </w:pPr>
            <w:r>
              <w:rPr>
                <w:rFonts w:eastAsia="Tahoma"/>
                <w:color w:val="000000"/>
                <w:kern w:val="0"/>
                <w:sz w:val="20"/>
                <w:lang/>
              </w:rPr>
              <w:t xml:space="preserve">0.2771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-0.2667 </w:t>
            </w:r>
          </w:p>
        </w:tc>
        <w:tc>
          <w:tcPr>
            <w:tcW w:w="930" w:type="dxa"/>
            <w:vAlign w:val="center"/>
          </w:tcPr>
          <w:p>
            <w:pPr>
              <w:widowControl/>
              <w:jc w:val="center"/>
              <w:textAlignment w:val="center"/>
              <w:rPr>
                <w:kern w:val="0"/>
                <w:sz w:val="20"/>
              </w:rPr>
            </w:pPr>
            <w:r>
              <w:rPr>
                <w:rFonts w:eastAsia="Tahoma"/>
                <w:color w:val="000000"/>
                <w:kern w:val="0"/>
                <w:sz w:val="20"/>
                <w:lang/>
              </w:rPr>
              <w:t xml:space="preserve">-0.5335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378" w:type="dxa"/>
            <w:vMerge w:val="continue"/>
            <w:vAlign w:val="center"/>
          </w:tcPr>
          <w:p>
            <w:pPr>
              <w:widowControl/>
              <w:jc w:val="left"/>
              <w:rPr>
                <w:color w:val="000000"/>
                <w:kern w:val="0"/>
                <w:sz w:val="20"/>
              </w:rPr>
            </w:pPr>
          </w:p>
        </w:tc>
        <w:tc>
          <w:tcPr>
            <w:tcW w:w="2088" w:type="dxa"/>
            <w:vAlign w:val="center"/>
          </w:tcPr>
          <w:p>
            <w:pPr>
              <w:widowControl/>
              <w:jc w:val="center"/>
              <w:rPr>
                <w:color w:val="000000"/>
                <w:kern w:val="0"/>
                <w:sz w:val="20"/>
              </w:rPr>
            </w:pPr>
            <w:r>
              <w:rPr>
                <w:color w:val="000000"/>
                <w:kern w:val="0"/>
                <w:sz w:val="20"/>
              </w:rPr>
              <w:t>噪声污染情况</w:t>
            </w:r>
          </w:p>
        </w:tc>
        <w:tc>
          <w:tcPr>
            <w:tcW w:w="933" w:type="dxa"/>
            <w:vAlign w:val="center"/>
          </w:tcPr>
          <w:p>
            <w:pPr>
              <w:widowControl/>
              <w:jc w:val="center"/>
              <w:textAlignment w:val="center"/>
              <w:rPr>
                <w:kern w:val="0"/>
                <w:sz w:val="20"/>
              </w:rPr>
            </w:pPr>
            <w:r>
              <w:rPr>
                <w:rFonts w:eastAsia="Tahoma"/>
                <w:color w:val="000000"/>
                <w:kern w:val="0"/>
                <w:sz w:val="20"/>
                <w:lang/>
              </w:rPr>
              <w:t>0.0433</w:t>
            </w:r>
          </w:p>
        </w:tc>
        <w:tc>
          <w:tcPr>
            <w:tcW w:w="933" w:type="dxa"/>
            <w:vAlign w:val="center"/>
          </w:tcPr>
          <w:p>
            <w:pPr>
              <w:widowControl/>
              <w:jc w:val="center"/>
              <w:textAlignment w:val="center"/>
              <w:rPr>
                <w:kern w:val="0"/>
                <w:sz w:val="20"/>
              </w:rPr>
            </w:pPr>
            <w:r>
              <w:rPr>
                <w:rFonts w:eastAsia="Tahoma"/>
                <w:color w:val="000000"/>
                <w:kern w:val="0"/>
                <w:sz w:val="20"/>
                <w:lang/>
              </w:rPr>
              <w:t xml:space="preserve">0.5542 </w:t>
            </w:r>
          </w:p>
        </w:tc>
        <w:tc>
          <w:tcPr>
            <w:tcW w:w="933" w:type="dxa"/>
            <w:vAlign w:val="center"/>
          </w:tcPr>
          <w:p>
            <w:pPr>
              <w:widowControl/>
              <w:jc w:val="center"/>
              <w:textAlignment w:val="center"/>
              <w:rPr>
                <w:kern w:val="0"/>
                <w:sz w:val="20"/>
              </w:rPr>
            </w:pPr>
            <w:r>
              <w:rPr>
                <w:rFonts w:eastAsia="Tahoma"/>
                <w:color w:val="000000"/>
                <w:kern w:val="0"/>
                <w:sz w:val="20"/>
                <w:lang/>
              </w:rPr>
              <w:t xml:space="preserve">0.2771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-0.2667 </w:t>
            </w:r>
          </w:p>
        </w:tc>
        <w:tc>
          <w:tcPr>
            <w:tcW w:w="930" w:type="dxa"/>
            <w:vAlign w:val="center"/>
          </w:tcPr>
          <w:p>
            <w:pPr>
              <w:widowControl/>
              <w:jc w:val="center"/>
              <w:textAlignment w:val="center"/>
              <w:rPr>
                <w:kern w:val="0"/>
                <w:sz w:val="20"/>
              </w:rPr>
            </w:pPr>
            <w:r>
              <w:rPr>
                <w:rFonts w:eastAsia="Tahoma"/>
                <w:color w:val="000000"/>
                <w:kern w:val="0"/>
                <w:sz w:val="20"/>
                <w:lang/>
              </w:rPr>
              <w:t xml:space="preserve">-0.5335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378" w:type="dxa"/>
            <w:vAlign w:val="center"/>
          </w:tcPr>
          <w:p>
            <w:pPr>
              <w:widowControl/>
              <w:jc w:val="center"/>
              <w:rPr>
                <w:color w:val="000000"/>
                <w:kern w:val="0"/>
                <w:sz w:val="20"/>
              </w:rPr>
            </w:pPr>
            <w:r>
              <w:rPr>
                <w:color w:val="000000"/>
                <w:kern w:val="0"/>
                <w:sz w:val="20"/>
              </w:rPr>
              <w:t>自然条件优劣度</w:t>
            </w:r>
          </w:p>
        </w:tc>
        <w:tc>
          <w:tcPr>
            <w:tcW w:w="2088" w:type="dxa"/>
            <w:vAlign w:val="center"/>
          </w:tcPr>
          <w:p>
            <w:pPr>
              <w:widowControl/>
              <w:jc w:val="center"/>
              <w:rPr>
                <w:color w:val="000000"/>
                <w:kern w:val="0"/>
                <w:sz w:val="20"/>
              </w:rPr>
            </w:pPr>
            <w:r>
              <w:rPr>
                <w:color w:val="000000"/>
                <w:kern w:val="0"/>
                <w:sz w:val="20"/>
              </w:rPr>
              <w:t>洪水淹没状况</w:t>
            </w:r>
          </w:p>
        </w:tc>
        <w:tc>
          <w:tcPr>
            <w:tcW w:w="933" w:type="dxa"/>
            <w:vAlign w:val="center"/>
          </w:tcPr>
          <w:p>
            <w:pPr>
              <w:widowControl/>
              <w:jc w:val="center"/>
              <w:textAlignment w:val="center"/>
              <w:rPr>
                <w:kern w:val="0"/>
                <w:sz w:val="20"/>
              </w:rPr>
            </w:pPr>
            <w:r>
              <w:rPr>
                <w:rFonts w:eastAsia="Tahoma"/>
                <w:color w:val="000000"/>
                <w:kern w:val="0"/>
                <w:sz w:val="20"/>
                <w:lang/>
              </w:rPr>
              <w:t>0.0668</w:t>
            </w:r>
          </w:p>
        </w:tc>
        <w:tc>
          <w:tcPr>
            <w:tcW w:w="933" w:type="dxa"/>
            <w:vAlign w:val="center"/>
          </w:tcPr>
          <w:p>
            <w:pPr>
              <w:widowControl/>
              <w:jc w:val="center"/>
              <w:textAlignment w:val="center"/>
              <w:rPr>
                <w:kern w:val="0"/>
                <w:sz w:val="20"/>
              </w:rPr>
            </w:pPr>
            <w:r>
              <w:rPr>
                <w:rFonts w:eastAsia="Tahoma"/>
                <w:color w:val="000000"/>
                <w:kern w:val="0"/>
                <w:sz w:val="20"/>
                <w:lang/>
              </w:rPr>
              <w:t xml:space="preserve">0.8550 </w:t>
            </w:r>
          </w:p>
        </w:tc>
        <w:tc>
          <w:tcPr>
            <w:tcW w:w="933" w:type="dxa"/>
            <w:vAlign w:val="center"/>
          </w:tcPr>
          <w:p>
            <w:pPr>
              <w:widowControl/>
              <w:jc w:val="center"/>
              <w:textAlignment w:val="center"/>
              <w:rPr>
                <w:kern w:val="0"/>
                <w:sz w:val="20"/>
              </w:rPr>
            </w:pPr>
            <w:r>
              <w:rPr>
                <w:rFonts w:eastAsia="Tahoma"/>
                <w:color w:val="000000"/>
                <w:kern w:val="0"/>
                <w:sz w:val="20"/>
                <w:lang/>
              </w:rPr>
              <w:t xml:space="preserve">0.4275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-0.4115 </w:t>
            </w:r>
          </w:p>
        </w:tc>
        <w:tc>
          <w:tcPr>
            <w:tcW w:w="930" w:type="dxa"/>
            <w:vAlign w:val="center"/>
          </w:tcPr>
          <w:p>
            <w:pPr>
              <w:widowControl/>
              <w:jc w:val="center"/>
              <w:textAlignment w:val="center"/>
              <w:rPr>
                <w:kern w:val="0"/>
                <w:sz w:val="20"/>
              </w:rPr>
            </w:pPr>
            <w:r>
              <w:rPr>
                <w:rFonts w:eastAsia="Tahoma"/>
                <w:color w:val="000000"/>
                <w:kern w:val="0"/>
                <w:sz w:val="20"/>
                <w:lang/>
              </w:rPr>
              <w:t xml:space="preserve">-0.8230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378" w:type="dxa"/>
            <w:vAlign w:val="center"/>
          </w:tcPr>
          <w:p>
            <w:pPr>
              <w:widowControl/>
              <w:jc w:val="center"/>
              <w:rPr>
                <w:color w:val="000000"/>
                <w:kern w:val="0"/>
                <w:sz w:val="20"/>
              </w:rPr>
            </w:pPr>
            <w:r>
              <w:rPr>
                <w:color w:val="000000"/>
                <w:kern w:val="0"/>
                <w:sz w:val="20"/>
              </w:rPr>
              <w:t>商服繁华影响度</w:t>
            </w:r>
          </w:p>
        </w:tc>
        <w:tc>
          <w:tcPr>
            <w:tcW w:w="2088" w:type="dxa"/>
            <w:vAlign w:val="center"/>
          </w:tcPr>
          <w:p>
            <w:pPr>
              <w:widowControl/>
              <w:jc w:val="center"/>
              <w:rPr>
                <w:color w:val="000000"/>
                <w:kern w:val="0"/>
                <w:sz w:val="20"/>
              </w:rPr>
            </w:pPr>
            <w:r>
              <w:rPr>
                <w:color w:val="000000"/>
                <w:kern w:val="0"/>
                <w:sz w:val="20"/>
              </w:rPr>
              <w:t>距商服中心距离</w:t>
            </w:r>
          </w:p>
        </w:tc>
        <w:tc>
          <w:tcPr>
            <w:tcW w:w="933" w:type="dxa"/>
            <w:vAlign w:val="center"/>
          </w:tcPr>
          <w:p>
            <w:pPr>
              <w:widowControl/>
              <w:jc w:val="center"/>
              <w:textAlignment w:val="center"/>
              <w:rPr>
                <w:kern w:val="0"/>
                <w:sz w:val="20"/>
              </w:rPr>
            </w:pPr>
            <w:r>
              <w:rPr>
                <w:rFonts w:eastAsia="Tahoma"/>
                <w:color w:val="000000"/>
                <w:kern w:val="0"/>
                <w:sz w:val="20"/>
                <w:lang/>
              </w:rPr>
              <w:t>0.1525</w:t>
            </w:r>
          </w:p>
        </w:tc>
        <w:tc>
          <w:tcPr>
            <w:tcW w:w="933" w:type="dxa"/>
            <w:vAlign w:val="center"/>
          </w:tcPr>
          <w:p>
            <w:pPr>
              <w:widowControl/>
              <w:jc w:val="center"/>
              <w:textAlignment w:val="center"/>
              <w:rPr>
                <w:kern w:val="0"/>
                <w:sz w:val="20"/>
              </w:rPr>
            </w:pPr>
            <w:r>
              <w:rPr>
                <w:rFonts w:eastAsia="Tahoma"/>
                <w:color w:val="000000"/>
                <w:kern w:val="0"/>
                <w:sz w:val="20"/>
                <w:lang/>
              </w:rPr>
              <w:t xml:space="preserve">1.9520 </w:t>
            </w:r>
          </w:p>
        </w:tc>
        <w:tc>
          <w:tcPr>
            <w:tcW w:w="933" w:type="dxa"/>
            <w:vAlign w:val="center"/>
          </w:tcPr>
          <w:p>
            <w:pPr>
              <w:widowControl/>
              <w:jc w:val="center"/>
              <w:textAlignment w:val="center"/>
              <w:rPr>
                <w:kern w:val="0"/>
                <w:sz w:val="20"/>
              </w:rPr>
            </w:pPr>
            <w:r>
              <w:rPr>
                <w:rFonts w:eastAsia="Tahoma"/>
                <w:color w:val="000000"/>
                <w:kern w:val="0"/>
                <w:sz w:val="20"/>
                <w:lang/>
              </w:rPr>
              <w:t xml:space="preserve">0.9760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-0.9394 </w:t>
            </w:r>
          </w:p>
        </w:tc>
        <w:tc>
          <w:tcPr>
            <w:tcW w:w="930" w:type="dxa"/>
            <w:vAlign w:val="center"/>
          </w:tcPr>
          <w:p>
            <w:pPr>
              <w:widowControl/>
              <w:jc w:val="center"/>
              <w:textAlignment w:val="center"/>
              <w:rPr>
                <w:kern w:val="0"/>
                <w:sz w:val="20"/>
              </w:rPr>
            </w:pPr>
            <w:r>
              <w:rPr>
                <w:rFonts w:eastAsia="Tahoma"/>
                <w:color w:val="000000"/>
                <w:kern w:val="0"/>
                <w:sz w:val="20"/>
                <w:lang/>
              </w:rPr>
              <w:t xml:space="preserve">-1.8788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378" w:type="dxa"/>
            <w:vAlign w:val="center"/>
          </w:tcPr>
          <w:p>
            <w:pPr>
              <w:widowControl/>
              <w:jc w:val="center"/>
              <w:rPr>
                <w:color w:val="000000"/>
                <w:kern w:val="0"/>
                <w:sz w:val="20"/>
              </w:rPr>
            </w:pPr>
            <w:r>
              <w:rPr>
                <w:color w:val="000000"/>
                <w:kern w:val="0"/>
                <w:sz w:val="20"/>
              </w:rPr>
              <w:t>人口密度</w:t>
            </w:r>
          </w:p>
        </w:tc>
        <w:tc>
          <w:tcPr>
            <w:tcW w:w="2088" w:type="dxa"/>
            <w:vAlign w:val="center"/>
          </w:tcPr>
          <w:p>
            <w:pPr>
              <w:widowControl/>
              <w:jc w:val="center"/>
              <w:rPr>
                <w:color w:val="000000"/>
                <w:kern w:val="0"/>
                <w:sz w:val="20"/>
              </w:rPr>
            </w:pPr>
            <w:r>
              <w:rPr>
                <w:color w:val="000000"/>
                <w:kern w:val="0"/>
                <w:sz w:val="20"/>
              </w:rPr>
              <w:t>人口密度</w:t>
            </w:r>
          </w:p>
        </w:tc>
        <w:tc>
          <w:tcPr>
            <w:tcW w:w="933" w:type="dxa"/>
            <w:vAlign w:val="center"/>
          </w:tcPr>
          <w:p>
            <w:pPr>
              <w:widowControl/>
              <w:jc w:val="center"/>
              <w:textAlignment w:val="center"/>
              <w:rPr>
                <w:kern w:val="0"/>
                <w:sz w:val="20"/>
              </w:rPr>
            </w:pPr>
            <w:r>
              <w:rPr>
                <w:rFonts w:eastAsia="Tahoma"/>
                <w:color w:val="000000"/>
                <w:kern w:val="0"/>
                <w:sz w:val="20"/>
                <w:lang/>
              </w:rPr>
              <w:t>0.0486</w:t>
            </w:r>
          </w:p>
        </w:tc>
        <w:tc>
          <w:tcPr>
            <w:tcW w:w="933" w:type="dxa"/>
            <w:vAlign w:val="center"/>
          </w:tcPr>
          <w:p>
            <w:pPr>
              <w:widowControl/>
              <w:jc w:val="center"/>
              <w:textAlignment w:val="center"/>
              <w:rPr>
                <w:kern w:val="0"/>
                <w:sz w:val="20"/>
              </w:rPr>
            </w:pPr>
            <w:r>
              <w:rPr>
                <w:rFonts w:eastAsia="Tahoma"/>
                <w:color w:val="000000"/>
                <w:kern w:val="0"/>
                <w:sz w:val="20"/>
                <w:lang/>
              </w:rPr>
              <w:t xml:space="preserve">0.6221 </w:t>
            </w:r>
          </w:p>
        </w:tc>
        <w:tc>
          <w:tcPr>
            <w:tcW w:w="933" w:type="dxa"/>
            <w:vAlign w:val="center"/>
          </w:tcPr>
          <w:p>
            <w:pPr>
              <w:widowControl/>
              <w:jc w:val="center"/>
              <w:textAlignment w:val="center"/>
              <w:rPr>
                <w:kern w:val="0"/>
                <w:sz w:val="20"/>
              </w:rPr>
            </w:pPr>
            <w:r>
              <w:rPr>
                <w:rFonts w:eastAsia="Tahoma"/>
                <w:color w:val="000000"/>
                <w:kern w:val="0"/>
                <w:sz w:val="20"/>
                <w:lang/>
              </w:rPr>
              <w:t xml:space="preserve">0.3110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-0.2994 </w:t>
            </w:r>
          </w:p>
        </w:tc>
        <w:tc>
          <w:tcPr>
            <w:tcW w:w="930" w:type="dxa"/>
            <w:vAlign w:val="center"/>
          </w:tcPr>
          <w:p>
            <w:pPr>
              <w:widowControl/>
              <w:jc w:val="center"/>
              <w:textAlignment w:val="center"/>
              <w:rPr>
                <w:kern w:val="0"/>
                <w:sz w:val="20"/>
              </w:rPr>
            </w:pPr>
            <w:r>
              <w:rPr>
                <w:rFonts w:eastAsia="Tahoma"/>
                <w:color w:val="000000"/>
                <w:kern w:val="0"/>
                <w:sz w:val="20"/>
                <w:lang/>
              </w:rPr>
              <w:t xml:space="preserve">-0.5988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378" w:type="dxa"/>
            <w:vMerge w:val="restart"/>
            <w:vAlign w:val="center"/>
          </w:tcPr>
          <w:p>
            <w:pPr>
              <w:widowControl/>
              <w:jc w:val="center"/>
              <w:rPr>
                <w:color w:val="000000"/>
                <w:kern w:val="0"/>
                <w:sz w:val="20"/>
              </w:rPr>
            </w:pPr>
            <w:r>
              <w:rPr>
                <w:color w:val="000000"/>
                <w:kern w:val="0"/>
                <w:sz w:val="20"/>
              </w:rPr>
              <w:t>城市规划</w:t>
            </w:r>
          </w:p>
        </w:tc>
        <w:tc>
          <w:tcPr>
            <w:tcW w:w="2088" w:type="dxa"/>
            <w:vAlign w:val="center"/>
          </w:tcPr>
          <w:p>
            <w:pPr>
              <w:widowControl/>
              <w:jc w:val="center"/>
              <w:rPr>
                <w:color w:val="000000"/>
                <w:kern w:val="0"/>
                <w:sz w:val="20"/>
              </w:rPr>
            </w:pPr>
            <w:r>
              <w:rPr>
                <w:color w:val="000000"/>
                <w:kern w:val="0"/>
                <w:sz w:val="20"/>
              </w:rPr>
              <w:t>用地规划</w:t>
            </w:r>
          </w:p>
        </w:tc>
        <w:tc>
          <w:tcPr>
            <w:tcW w:w="933" w:type="dxa"/>
            <w:vAlign w:val="center"/>
          </w:tcPr>
          <w:p>
            <w:pPr>
              <w:widowControl/>
              <w:jc w:val="center"/>
              <w:textAlignment w:val="center"/>
              <w:rPr>
                <w:kern w:val="0"/>
                <w:sz w:val="20"/>
              </w:rPr>
            </w:pPr>
            <w:r>
              <w:rPr>
                <w:rFonts w:eastAsia="Tahoma"/>
                <w:color w:val="000000"/>
                <w:kern w:val="0"/>
                <w:sz w:val="20"/>
                <w:lang/>
              </w:rPr>
              <w:t>0.0256</w:t>
            </w:r>
          </w:p>
        </w:tc>
        <w:tc>
          <w:tcPr>
            <w:tcW w:w="933" w:type="dxa"/>
            <w:vAlign w:val="center"/>
          </w:tcPr>
          <w:p>
            <w:pPr>
              <w:widowControl/>
              <w:jc w:val="center"/>
              <w:textAlignment w:val="center"/>
              <w:rPr>
                <w:kern w:val="0"/>
                <w:sz w:val="20"/>
              </w:rPr>
            </w:pPr>
            <w:r>
              <w:rPr>
                <w:rFonts w:eastAsia="Tahoma"/>
                <w:color w:val="000000"/>
                <w:kern w:val="0"/>
                <w:sz w:val="20"/>
                <w:lang/>
              </w:rPr>
              <w:t xml:space="preserve">0.3277 </w:t>
            </w:r>
          </w:p>
        </w:tc>
        <w:tc>
          <w:tcPr>
            <w:tcW w:w="933" w:type="dxa"/>
            <w:vAlign w:val="center"/>
          </w:tcPr>
          <w:p>
            <w:pPr>
              <w:widowControl/>
              <w:jc w:val="center"/>
              <w:textAlignment w:val="center"/>
              <w:rPr>
                <w:kern w:val="0"/>
                <w:sz w:val="20"/>
              </w:rPr>
            </w:pPr>
            <w:r>
              <w:rPr>
                <w:rFonts w:eastAsia="Tahoma"/>
                <w:color w:val="000000"/>
                <w:kern w:val="0"/>
                <w:sz w:val="20"/>
                <w:lang/>
              </w:rPr>
              <w:t xml:space="preserve">0.1638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-0.1577 </w:t>
            </w:r>
          </w:p>
        </w:tc>
        <w:tc>
          <w:tcPr>
            <w:tcW w:w="930" w:type="dxa"/>
            <w:vAlign w:val="center"/>
          </w:tcPr>
          <w:p>
            <w:pPr>
              <w:widowControl/>
              <w:jc w:val="center"/>
              <w:textAlignment w:val="center"/>
              <w:rPr>
                <w:kern w:val="0"/>
                <w:sz w:val="20"/>
              </w:rPr>
            </w:pPr>
            <w:r>
              <w:rPr>
                <w:rFonts w:eastAsia="Tahoma"/>
                <w:color w:val="000000"/>
                <w:kern w:val="0"/>
                <w:sz w:val="20"/>
                <w:lang/>
              </w:rPr>
              <w:t xml:space="preserve">-0.3154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378" w:type="dxa"/>
            <w:vMerge w:val="continue"/>
            <w:vAlign w:val="center"/>
          </w:tcPr>
          <w:p>
            <w:pPr>
              <w:widowControl/>
              <w:jc w:val="left"/>
              <w:rPr>
                <w:color w:val="000000"/>
                <w:kern w:val="0"/>
                <w:sz w:val="20"/>
              </w:rPr>
            </w:pPr>
          </w:p>
        </w:tc>
        <w:tc>
          <w:tcPr>
            <w:tcW w:w="2088" w:type="dxa"/>
            <w:vAlign w:val="center"/>
          </w:tcPr>
          <w:p>
            <w:pPr>
              <w:widowControl/>
              <w:jc w:val="center"/>
              <w:rPr>
                <w:color w:val="000000"/>
                <w:kern w:val="0"/>
                <w:sz w:val="20"/>
              </w:rPr>
            </w:pPr>
            <w:r>
              <w:rPr>
                <w:color w:val="000000"/>
                <w:kern w:val="0"/>
                <w:sz w:val="20"/>
              </w:rPr>
              <w:t>道路规划</w:t>
            </w:r>
          </w:p>
        </w:tc>
        <w:tc>
          <w:tcPr>
            <w:tcW w:w="933" w:type="dxa"/>
            <w:vAlign w:val="center"/>
          </w:tcPr>
          <w:p>
            <w:pPr>
              <w:widowControl/>
              <w:jc w:val="center"/>
              <w:textAlignment w:val="center"/>
              <w:rPr>
                <w:kern w:val="0"/>
                <w:sz w:val="20"/>
              </w:rPr>
            </w:pPr>
            <w:r>
              <w:rPr>
                <w:rFonts w:eastAsia="Tahoma"/>
                <w:color w:val="000000"/>
                <w:kern w:val="0"/>
                <w:sz w:val="20"/>
                <w:lang/>
              </w:rPr>
              <w:t>0.0228</w:t>
            </w:r>
          </w:p>
        </w:tc>
        <w:tc>
          <w:tcPr>
            <w:tcW w:w="933" w:type="dxa"/>
            <w:vAlign w:val="center"/>
          </w:tcPr>
          <w:p>
            <w:pPr>
              <w:widowControl/>
              <w:jc w:val="center"/>
              <w:textAlignment w:val="center"/>
              <w:rPr>
                <w:kern w:val="0"/>
                <w:sz w:val="20"/>
              </w:rPr>
            </w:pPr>
            <w:r>
              <w:rPr>
                <w:rFonts w:eastAsia="Tahoma"/>
                <w:color w:val="000000"/>
                <w:kern w:val="0"/>
                <w:sz w:val="20"/>
                <w:lang/>
              </w:rPr>
              <w:t xml:space="preserve">0.2918 </w:t>
            </w:r>
          </w:p>
        </w:tc>
        <w:tc>
          <w:tcPr>
            <w:tcW w:w="933" w:type="dxa"/>
            <w:vAlign w:val="center"/>
          </w:tcPr>
          <w:p>
            <w:pPr>
              <w:widowControl/>
              <w:jc w:val="center"/>
              <w:textAlignment w:val="center"/>
              <w:rPr>
                <w:kern w:val="0"/>
                <w:sz w:val="20"/>
              </w:rPr>
            </w:pPr>
            <w:r>
              <w:rPr>
                <w:rFonts w:eastAsia="Tahoma"/>
                <w:color w:val="000000"/>
                <w:kern w:val="0"/>
                <w:sz w:val="20"/>
                <w:lang/>
              </w:rPr>
              <w:t xml:space="preserve">0.1459 </w:t>
            </w:r>
          </w:p>
        </w:tc>
        <w:tc>
          <w:tcPr>
            <w:tcW w:w="933" w:type="dxa"/>
            <w:vAlign w:val="center"/>
          </w:tcPr>
          <w:p>
            <w:pPr>
              <w:widowControl/>
              <w:jc w:val="center"/>
              <w:textAlignment w:val="center"/>
              <w:rPr>
                <w:kern w:val="0"/>
                <w:sz w:val="20"/>
              </w:rPr>
            </w:pPr>
            <w:r>
              <w:rPr>
                <w:rFonts w:eastAsia="Tahoma"/>
                <w:color w:val="000000"/>
                <w:kern w:val="0"/>
                <w:sz w:val="20"/>
                <w:lang/>
              </w:rPr>
              <w:t>0</w:t>
            </w:r>
          </w:p>
        </w:tc>
        <w:tc>
          <w:tcPr>
            <w:tcW w:w="933" w:type="dxa"/>
            <w:vAlign w:val="center"/>
          </w:tcPr>
          <w:p>
            <w:pPr>
              <w:widowControl/>
              <w:jc w:val="center"/>
              <w:textAlignment w:val="center"/>
              <w:rPr>
                <w:kern w:val="0"/>
                <w:sz w:val="20"/>
              </w:rPr>
            </w:pPr>
            <w:r>
              <w:rPr>
                <w:rFonts w:eastAsia="Tahoma"/>
                <w:color w:val="000000"/>
                <w:kern w:val="0"/>
                <w:sz w:val="20"/>
                <w:lang/>
              </w:rPr>
              <w:t xml:space="preserve">-0.1404 </w:t>
            </w:r>
          </w:p>
        </w:tc>
        <w:tc>
          <w:tcPr>
            <w:tcW w:w="930" w:type="dxa"/>
            <w:vAlign w:val="center"/>
          </w:tcPr>
          <w:p>
            <w:pPr>
              <w:widowControl/>
              <w:jc w:val="center"/>
              <w:textAlignment w:val="center"/>
              <w:rPr>
                <w:kern w:val="0"/>
                <w:sz w:val="20"/>
              </w:rPr>
            </w:pPr>
            <w:r>
              <w:rPr>
                <w:rFonts w:eastAsia="Tahoma"/>
                <w:color w:val="000000"/>
                <w:kern w:val="0"/>
                <w:sz w:val="20"/>
                <w:lang/>
              </w:rPr>
              <w:t xml:space="preserve">-0.2809 </w:t>
            </w:r>
          </w:p>
        </w:tc>
      </w:tr>
    </w:tbl>
    <w:p>
      <w:pPr>
        <w:widowControl/>
        <w:ind w:firstLine="480" w:firstLineChars="200"/>
        <w:jc w:val="left"/>
        <w:rPr>
          <w:b/>
          <w:sz w:val="24"/>
          <w:szCs w:val="24"/>
        </w:rPr>
      </w:pPr>
      <w:r>
        <w:rPr>
          <w:bCs/>
          <w:sz w:val="24"/>
          <w:szCs w:val="24"/>
        </w:rPr>
        <w:br w:type="page"/>
      </w:r>
    </w:p>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表4-4-8  长沙县Ⅳ级住宅用地宗地地价区域因素修正系数指标说明表</w:t>
      </w:r>
    </w:p>
    <w:tbl>
      <w:tblPr>
        <w:tblW w:w="910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75"/>
        <w:gridCol w:w="1449"/>
        <w:gridCol w:w="1002"/>
        <w:gridCol w:w="1260"/>
        <w:gridCol w:w="1415"/>
        <w:gridCol w:w="1428"/>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Align w:val="center"/>
          </w:tcPr>
          <w:p>
            <w:pPr>
              <w:widowControl/>
              <w:jc w:val="center"/>
              <w:rPr>
                <w:b/>
                <w:bCs/>
                <w:color w:val="000000"/>
                <w:kern w:val="0"/>
                <w:szCs w:val="21"/>
              </w:rPr>
            </w:pPr>
            <w:r>
              <w:rPr>
                <w:b/>
                <w:bCs/>
                <w:color w:val="000000"/>
                <w:kern w:val="0"/>
                <w:szCs w:val="21"/>
              </w:rPr>
              <w:t>因素层</w:t>
            </w:r>
          </w:p>
        </w:tc>
        <w:tc>
          <w:tcPr>
            <w:tcW w:w="775" w:type="dxa"/>
            <w:vAlign w:val="center"/>
          </w:tcPr>
          <w:p>
            <w:pPr>
              <w:widowControl/>
              <w:jc w:val="center"/>
              <w:rPr>
                <w:b/>
                <w:bCs/>
                <w:color w:val="000000"/>
                <w:kern w:val="0"/>
                <w:szCs w:val="21"/>
              </w:rPr>
            </w:pPr>
            <w:r>
              <w:rPr>
                <w:b/>
                <w:bCs/>
                <w:color w:val="000000"/>
                <w:kern w:val="0"/>
                <w:szCs w:val="21"/>
              </w:rPr>
              <w:t>因子层</w:t>
            </w:r>
          </w:p>
        </w:tc>
        <w:tc>
          <w:tcPr>
            <w:tcW w:w="1449" w:type="dxa"/>
            <w:vAlign w:val="center"/>
          </w:tcPr>
          <w:p>
            <w:pPr>
              <w:widowControl/>
              <w:jc w:val="center"/>
              <w:rPr>
                <w:b/>
                <w:bCs/>
                <w:color w:val="000000"/>
                <w:kern w:val="0"/>
                <w:szCs w:val="21"/>
              </w:rPr>
            </w:pPr>
            <w:r>
              <w:rPr>
                <w:b/>
                <w:bCs/>
                <w:color w:val="000000"/>
                <w:kern w:val="0"/>
                <w:szCs w:val="21"/>
              </w:rPr>
              <w:t>指标层</w:t>
            </w:r>
          </w:p>
        </w:tc>
        <w:tc>
          <w:tcPr>
            <w:tcW w:w="1002" w:type="dxa"/>
            <w:vAlign w:val="center"/>
          </w:tcPr>
          <w:p>
            <w:pPr>
              <w:widowControl/>
              <w:jc w:val="center"/>
              <w:rPr>
                <w:b/>
                <w:bCs/>
                <w:color w:val="000000"/>
                <w:kern w:val="0"/>
                <w:szCs w:val="21"/>
              </w:rPr>
            </w:pPr>
            <w:r>
              <w:rPr>
                <w:b/>
                <w:bCs/>
                <w:color w:val="000000"/>
                <w:kern w:val="0"/>
                <w:szCs w:val="21"/>
              </w:rPr>
              <w:t>优</w:t>
            </w:r>
          </w:p>
        </w:tc>
        <w:tc>
          <w:tcPr>
            <w:tcW w:w="1260" w:type="dxa"/>
            <w:vAlign w:val="center"/>
          </w:tcPr>
          <w:p>
            <w:pPr>
              <w:widowControl/>
              <w:jc w:val="center"/>
              <w:rPr>
                <w:b/>
                <w:bCs/>
                <w:color w:val="000000"/>
                <w:kern w:val="0"/>
                <w:szCs w:val="21"/>
              </w:rPr>
            </w:pPr>
            <w:r>
              <w:rPr>
                <w:b/>
                <w:bCs/>
                <w:color w:val="000000"/>
                <w:kern w:val="0"/>
                <w:szCs w:val="21"/>
              </w:rPr>
              <w:t>较优</w:t>
            </w:r>
          </w:p>
        </w:tc>
        <w:tc>
          <w:tcPr>
            <w:tcW w:w="1415" w:type="dxa"/>
            <w:vAlign w:val="center"/>
          </w:tcPr>
          <w:p>
            <w:pPr>
              <w:widowControl/>
              <w:jc w:val="center"/>
              <w:rPr>
                <w:b/>
                <w:bCs/>
                <w:color w:val="000000"/>
                <w:kern w:val="0"/>
                <w:szCs w:val="21"/>
              </w:rPr>
            </w:pPr>
            <w:r>
              <w:rPr>
                <w:b/>
                <w:bCs/>
                <w:color w:val="000000"/>
                <w:kern w:val="0"/>
                <w:szCs w:val="21"/>
              </w:rPr>
              <w:t>一般</w:t>
            </w:r>
          </w:p>
        </w:tc>
        <w:tc>
          <w:tcPr>
            <w:tcW w:w="1428" w:type="dxa"/>
            <w:vAlign w:val="center"/>
          </w:tcPr>
          <w:p>
            <w:pPr>
              <w:widowControl/>
              <w:jc w:val="center"/>
              <w:rPr>
                <w:b/>
                <w:bCs/>
                <w:color w:val="000000"/>
                <w:kern w:val="0"/>
                <w:szCs w:val="21"/>
              </w:rPr>
            </w:pPr>
            <w:r>
              <w:rPr>
                <w:b/>
                <w:bCs/>
                <w:color w:val="000000"/>
                <w:kern w:val="0"/>
                <w:szCs w:val="21"/>
              </w:rPr>
              <w:t>较劣</w:t>
            </w:r>
          </w:p>
        </w:tc>
        <w:tc>
          <w:tcPr>
            <w:tcW w:w="1002" w:type="dxa"/>
            <w:vAlign w:val="center"/>
          </w:tcPr>
          <w:p>
            <w:pPr>
              <w:widowControl/>
              <w:jc w:val="center"/>
              <w:rPr>
                <w:b/>
                <w:bCs/>
                <w:color w:val="000000"/>
                <w:kern w:val="0"/>
                <w:szCs w:val="21"/>
              </w:rPr>
            </w:pPr>
            <w:r>
              <w:rPr>
                <w:b/>
                <w:bCs/>
                <w:color w:val="000000"/>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restart"/>
            <w:vAlign w:val="center"/>
          </w:tcPr>
          <w:p>
            <w:pPr>
              <w:widowControl/>
              <w:jc w:val="center"/>
              <w:rPr>
                <w:color w:val="000000"/>
                <w:kern w:val="0"/>
                <w:szCs w:val="21"/>
              </w:rPr>
            </w:pPr>
            <w:r>
              <w:rPr>
                <w:color w:val="000000"/>
                <w:kern w:val="0"/>
                <w:szCs w:val="21"/>
              </w:rPr>
              <w:t>基本设施状况</w:t>
            </w:r>
          </w:p>
        </w:tc>
        <w:tc>
          <w:tcPr>
            <w:tcW w:w="775" w:type="dxa"/>
            <w:vMerge w:val="restart"/>
            <w:vAlign w:val="center"/>
          </w:tcPr>
          <w:p>
            <w:pPr>
              <w:widowControl/>
              <w:jc w:val="center"/>
              <w:rPr>
                <w:color w:val="000000"/>
                <w:kern w:val="0"/>
                <w:szCs w:val="21"/>
              </w:rPr>
            </w:pPr>
            <w:r>
              <w:rPr>
                <w:color w:val="000000"/>
                <w:kern w:val="0"/>
                <w:szCs w:val="21"/>
              </w:rPr>
              <w:t>基础设施完善度</w:t>
            </w:r>
          </w:p>
        </w:tc>
        <w:tc>
          <w:tcPr>
            <w:tcW w:w="1449" w:type="dxa"/>
            <w:vAlign w:val="center"/>
          </w:tcPr>
          <w:p>
            <w:pPr>
              <w:widowControl/>
              <w:jc w:val="center"/>
              <w:rPr>
                <w:color w:val="000000"/>
                <w:kern w:val="0"/>
                <w:szCs w:val="21"/>
              </w:rPr>
            </w:pPr>
            <w:r>
              <w:rPr>
                <w:color w:val="000000"/>
                <w:kern w:val="0"/>
                <w:szCs w:val="21"/>
              </w:rPr>
              <w:t>排水状况</w:t>
            </w:r>
          </w:p>
        </w:tc>
        <w:tc>
          <w:tcPr>
            <w:tcW w:w="1002" w:type="dxa"/>
            <w:vAlign w:val="center"/>
          </w:tcPr>
          <w:p>
            <w:pPr>
              <w:widowControl/>
              <w:jc w:val="center"/>
              <w:rPr>
                <w:color w:val="000000"/>
                <w:kern w:val="0"/>
                <w:szCs w:val="21"/>
              </w:rPr>
            </w:pPr>
            <w:r>
              <w:rPr>
                <w:color w:val="000000"/>
                <w:kern w:val="0"/>
                <w:szCs w:val="21"/>
              </w:rPr>
              <w:t>好</w:t>
            </w:r>
          </w:p>
        </w:tc>
        <w:tc>
          <w:tcPr>
            <w:tcW w:w="1260" w:type="dxa"/>
            <w:vAlign w:val="center"/>
          </w:tcPr>
          <w:p>
            <w:pPr>
              <w:widowControl/>
              <w:jc w:val="center"/>
              <w:rPr>
                <w:color w:val="000000"/>
                <w:kern w:val="0"/>
                <w:szCs w:val="21"/>
              </w:rPr>
            </w:pPr>
            <w:r>
              <w:rPr>
                <w:color w:val="000000"/>
                <w:kern w:val="0"/>
                <w:szCs w:val="21"/>
              </w:rPr>
              <w:t>较好</w:t>
            </w:r>
          </w:p>
        </w:tc>
        <w:tc>
          <w:tcPr>
            <w:tcW w:w="1415" w:type="dxa"/>
            <w:vAlign w:val="center"/>
          </w:tcPr>
          <w:p>
            <w:pPr>
              <w:widowControl/>
              <w:jc w:val="center"/>
              <w:rPr>
                <w:color w:val="000000"/>
                <w:kern w:val="0"/>
                <w:szCs w:val="21"/>
              </w:rPr>
            </w:pPr>
            <w:r>
              <w:rPr>
                <w:color w:val="000000"/>
                <w:kern w:val="0"/>
                <w:szCs w:val="21"/>
              </w:rPr>
              <w:t>一般</w:t>
            </w:r>
          </w:p>
        </w:tc>
        <w:tc>
          <w:tcPr>
            <w:tcW w:w="1428" w:type="dxa"/>
            <w:vAlign w:val="center"/>
          </w:tcPr>
          <w:p>
            <w:pPr>
              <w:widowControl/>
              <w:jc w:val="center"/>
              <w:rPr>
                <w:color w:val="000000"/>
                <w:kern w:val="0"/>
                <w:szCs w:val="21"/>
              </w:rPr>
            </w:pPr>
            <w:r>
              <w:rPr>
                <w:color w:val="000000"/>
                <w:kern w:val="0"/>
                <w:szCs w:val="21"/>
              </w:rPr>
              <w:t>较差</w:t>
            </w:r>
          </w:p>
        </w:tc>
        <w:tc>
          <w:tcPr>
            <w:tcW w:w="1002" w:type="dxa"/>
            <w:vAlign w:val="center"/>
          </w:tcPr>
          <w:p>
            <w:pPr>
              <w:widowControl/>
              <w:jc w:val="center"/>
              <w:rPr>
                <w:color w:val="000000"/>
                <w:kern w:val="0"/>
                <w:szCs w:val="21"/>
              </w:rPr>
            </w:pPr>
            <w:r>
              <w:rPr>
                <w:color w:val="000000"/>
                <w:kern w:val="0"/>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供水状况</w:t>
            </w:r>
          </w:p>
        </w:tc>
        <w:tc>
          <w:tcPr>
            <w:tcW w:w="1002" w:type="dxa"/>
            <w:vAlign w:val="center"/>
          </w:tcPr>
          <w:p>
            <w:pPr>
              <w:widowControl/>
              <w:jc w:val="center"/>
              <w:rPr>
                <w:color w:val="000000"/>
                <w:kern w:val="0"/>
                <w:szCs w:val="21"/>
              </w:rPr>
            </w:pPr>
            <w:r>
              <w:rPr>
                <w:color w:val="000000"/>
                <w:kern w:val="0"/>
                <w:szCs w:val="21"/>
              </w:rPr>
              <w:t>100%</w:t>
            </w:r>
          </w:p>
        </w:tc>
        <w:tc>
          <w:tcPr>
            <w:tcW w:w="1260" w:type="dxa"/>
            <w:vAlign w:val="center"/>
          </w:tcPr>
          <w:p>
            <w:pPr>
              <w:widowControl/>
              <w:jc w:val="center"/>
              <w:rPr>
                <w:color w:val="000000"/>
                <w:kern w:val="0"/>
                <w:szCs w:val="21"/>
              </w:rPr>
            </w:pPr>
            <w:r>
              <w:rPr>
                <w:color w:val="000000"/>
                <w:kern w:val="0"/>
                <w:szCs w:val="21"/>
              </w:rPr>
              <w:t>90-99%</w:t>
            </w:r>
          </w:p>
        </w:tc>
        <w:tc>
          <w:tcPr>
            <w:tcW w:w="1415" w:type="dxa"/>
            <w:vAlign w:val="center"/>
          </w:tcPr>
          <w:p>
            <w:pPr>
              <w:widowControl/>
              <w:jc w:val="center"/>
              <w:rPr>
                <w:color w:val="000000"/>
                <w:kern w:val="0"/>
                <w:szCs w:val="21"/>
              </w:rPr>
            </w:pPr>
            <w:r>
              <w:rPr>
                <w:color w:val="000000"/>
                <w:kern w:val="0"/>
                <w:szCs w:val="21"/>
              </w:rPr>
              <w:t>80-89%</w:t>
            </w:r>
          </w:p>
        </w:tc>
        <w:tc>
          <w:tcPr>
            <w:tcW w:w="1428" w:type="dxa"/>
            <w:vAlign w:val="center"/>
          </w:tcPr>
          <w:p>
            <w:pPr>
              <w:widowControl/>
              <w:jc w:val="center"/>
              <w:rPr>
                <w:color w:val="000000"/>
                <w:kern w:val="0"/>
                <w:szCs w:val="21"/>
              </w:rPr>
            </w:pPr>
            <w:r>
              <w:rPr>
                <w:color w:val="000000"/>
                <w:kern w:val="0"/>
                <w:szCs w:val="21"/>
              </w:rPr>
              <w:t>60-79%</w:t>
            </w:r>
          </w:p>
        </w:tc>
        <w:tc>
          <w:tcPr>
            <w:tcW w:w="1002"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供电状况</w:t>
            </w:r>
          </w:p>
        </w:tc>
        <w:tc>
          <w:tcPr>
            <w:tcW w:w="1002" w:type="dxa"/>
            <w:vAlign w:val="center"/>
          </w:tcPr>
          <w:p>
            <w:pPr>
              <w:widowControl/>
              <w:jc w:val="center"/>
              <w:rPr>
                <w:color w:val="000000"/>
                <w:kern w:val="0"/>
                <w:szCs w:val="21"/>
              </w:rPr>
            </w:pPr>
            <w:r>
              <w:rPr>
                <w:color w:val="000000"/>
                <w:kern w:val="0"/>
                <w:szCs w:val="21"/>
              </w:rPr>
              <w:t>100%</w:t>
            </w:r>
          </w:p>
        </w:tc>
        <w:tc>
          <w:tcPr>
            <w:tcW w:w="1260" w:type="dxa"/>
            <w:vAlign w:val="center"/>
          </w:tcPr>
          <w:p>
            <w:pPr>
              <w:widowControl/>
              <w:jc w:val="center"/>
              <w:rPr>
                <w:color w:val="000000"/>
                <w:kern w:val="0"/>
                <w:szCs w:val="21"/>
              </w:rPr>
            </w:pPr>
            <w:r>
              <w:rPr>
                <w:color w:val="000000"/>
                <w:kern w:val="0"/>
                <w:szCs w:val="21"/>
              </w:rPr>
              <w:t>90-99%</w:t>
            </w:r>
          </w:p>
        </w:tc>
        <w:tc>
          <w:tcPr>
            <w:tcW w:w="1415" w:type="dxa"/>
            <w:vAlign w:val="center"/>
          </w:tcPr>
          <w:p>
            <w:pPr>
              <w:widowControl/>
              <w:jc w:val="center"/>
              <w:rPr>
                <w:color w:val="000000"/>
                <w:kern w:val="0"/>
                <w:szCs w:val="21"/>
              </w:rPr>
            </w:pPr>
            <w:r>
              <w:rPr>
                <w:color w:val="000000"/>
                <w:kern w:val="0"/>
                <w:szCs w:val="21"/>
              </w:rPr>
              <w:t>80-89%</w:t>
            </w:r>
          </w:p>
        </w:tc>
        <w:tc>
          <w:tcPr>
            <w:tcW w:w="1428" w:type="dxa"/>
            <w:vAlign w:val="center"/>
          </w:tcPr>
          <w:p>
            <w:pPr>
              <w:widowControl/>
              <w:jc w:val="center"/>
              <w:rPr>
                <w:color w:val="000000"/>
                <w:kern w:val="0"/>
                <w:szCs w:val="21"/>
              </w:rPr>
            </w:pPr>
            <w:r>
              <w:rPr>
                <w:color w:val="000000"/>
                <w:kern w:val="0"/>
                <w:szCs w:val="21"/>
              </w:rPr>
              <w:t>60-79%</w:t>
            </w:r>
          </w:p>
        </w:tc>
        <w:tc>
          <w:tcPr>
            <w:tcW w:w="1002"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供气状况</w:t>
            </w:r>
          </w:p>
        </w:tc>
        <w:tc>
          <w:tcPr>
            <w:tcW w:w="1002" w:type="dxa"/>
            <w:vAlign w:val="center"/>
          </w:tcPr>
          <w:p>
            <w:pPr>
              <w:widowControl/>
              <w:jc w:val="center"/>
              <w:rPr>
                <w:color w:val="000000"/>
                <w:kern w:val="0"/>
                <w:szCs w:val="21"/>
              </w:rPr>
            </w:pPr>
            <w:r>
              <w:rPr>
                <w:color w:val="000000"/>
                <w:kern w:val="0"/>
                <w:szCs w:val="21"/>
              </w:rPr>
              <w:t>100%</w:t>
            </w:r>
          </w:p>
        </w:tc>
        <w:tc>
          <w:tcPr>
            <w:tcW w:w="1260" w:type="dxa"/>
            <w:vAlign w:val="center"/>
          </w:tcPr>
          <w:p>
            <w:pPr>
              <w:widowControl/>
              <w:jc w:val="center"/>
              <w:rPr>
                <w:color w:val="000000"/>
                <w:kern w:val="0"/>
                <w:szCs w:val="21"/>
              </w:rPr>
            </w:pPr>
            <w:r>
              <w:rPr>
                <w:color w:val="000000"/>
                <w:kern w:val="0"/>
                <w:szCs w:val="21"/>
              </w:rPr>
              <w:t>90-99%</w:t>
            </w:r>
          </w:p>
        </w:tc>
        <w:tc>
          <w:tcPr>
            <w:tcW w:w="1415" w:type="dxa"/>
            <w:vAlign w:val="center"/>
          </w:tcPr>
          <w:p>
            <w:pPr>
              <w:widowControl/>
              <w:jc w:val="center"/>
              <w:rPr>
                <w:color w:val="000000"/>
                <w:kern w:val="0"/>
                <w:szCs w:val="21"/>
              </w:rPr>
            </w:pPr>
            <w:r>
              <w:rPr>
                <w:color w:val="000000"/>
                <w:kern w:val="0"/>
                <w:szCs w:val="21"/>
              </w:rPr>
              <w:t>80-89%</w:t>
            </w:r>
          </w:p>
        </w:tc>
        <w:tc>
          <w:tcPr>
            <w:tcW w:w="1428" w:type="dxa"/>
            <w:vAlign w:val="center"/>
          </w:tcPr>
          <w:p>
            <w:pPr>
              <w:widowControl/>
              <w:jc w:val="center"/>
              <w:rPr>
                <w:color w:val="000000"/>
                <w:kern w:val="0"/>
                <w:szCs w:val="21"/>
              </w:rPr>
            </w:pPr>
            <w:r>
              <w:rPr>
                <w:color w:val="000000"/>
                <w:kern w:val="0"/>
                <w:szCs w:val="21"/>
              </w:rPr>
              <w:t>60-79%</w:t>
            </w:r>
          </w:p>
        </w:tc>
        <w:tc>
          <w:tcPr>
            <w:tcW w:w="1002"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restart"/>
            <w:vAlign w:val="center"/>
          </w:tcPr>
          <w:p>
            <w:pPr>
              <w:widowControl/>
              <w:jc w:val="center"/>
              <w:rPr>
                <w:color w:val="000000"/>
                <w:kern w:val="0"/>
                <w:szCs w:val="21"/>
              </w:rPr>
            </w:pPr>
            <w:r>
              <w:rPr>
                <w:color w:val="000000"/>
                <w:kern w:val="0"/>
                <w:szCs w:val="21"/>
              </w:rPr>
              <w:t>公用设施完备度</w:t>
            </w:r>
          </w:p>
        </w:tc>
        <w:tc>
          <w:tcPr>
            <w:tcW w:w="1449" w:type="dxa"/>
            <w:vAlign w:val="center"/>
          </w:tcPr>
          <w:p>
            <w:pPr>
              <w:widowControl/>
              <w:jc w:val="center"/>
              <w:rPr>
                <w:color w:val="000000"/>
                <w:kern w:val="0"/>
                <w:szCs w:val="21"/>
              </w:rPr>
            </w:pPr>
            <w:r>
              <w:rPr>
                <w:color w:val="000000"/>
                <w:kern w:val="0"/>
                <w:szCs w:val="21"/>
              </w:rPr>
              <w:t>距中小学距离</w:t>
            </w:r>
          </w:p>
        </w:tc>
        <w:tc>
          <w:tcPr>
            <w:tcW w:w="1002" w:type="dxa"/>
            <w:vAlign w:val="center"/>
          </w:tcPr>
          <w:p>
            <w:pPr>
              <w:widowControl/>
              <w:jc w:val="center"/>
              <w:rPr>
                <w:color w:val="000000"/>
                <w:kern w:val="0"/>
                <w:szCs w:val="21"/>
              </w:rPr>
            </w:pPr>
            <w:r>
              <w:rPr>
                <w:color w:val="000000"/>
                <w:kern w:val="0"/>
                <w:szCs w:val="21"/>
              </w:rPr>
              <w:t>&lt;2000</w:t>
            </w:r>
          </w:p>
        </w:tc>
        <w:tc>
          <w:tcPr>
            <w:tcW w:w="1260" w:type="dxa"/>
            <w:vAlign w:val="center"/>
          </w:tcPr>
          <w:p>
            <w:pPr>
              <w:widowControl/>
              <w:jc w:val="center"/>
              <w:rPr>
                <w:color w:val="000000"/>
                <w:kern w:val="0"/>
                <w:szCs w:val="21"/>
              </w:rPr>
            </w:pPr>
            <w:r>
              <w:rPr>
                <w:color w:val="000000"/>
                <w:kern w:val="0"/>
                <w:szCs w:val="21"/>
              </w:rPr>
              <w:t>2000-6000</w:t>
            </w:r>
          </w:p>
        </w:tc>
        <w:tc>
          <w:tcPr>
            <w:tcW w:w="1415" w:type="dxa"/>
            <w:vAlign w:val="center"/>
          </w:tcPr>
          <w:p>
            <w:pPr>
              <w:widowControl/>
              <w:jc w:val="center"/>
              <w:rPr>
                <w:color w:val="000000"/>
                <w:kern w:val="0"/>
                <w:szCs w:val="21"/>
              </w:rPr>
            </w:pPr>
            <w:r>
              <w:rPr>
                <w:color w:val="000000"/>
                <w:kern w:val="0"/>
                <w:szCs w:val="21"/>
              </w:rPr>
              <w:t>6000-10000</w:t>
            </w:r>
          </w:p>
        </w:tc>
        <w:tc>
          <w:tcPr>
            <w:tcW w:w="1428" w:type="dxa"/>
            <w:vAlign w:val="center"/>
          </w:tcPr>
          <w:p>
            <w:pPr>
              <w:widowControl/>
              <w:jc w:val="center"/>
              <w:rPr>
                <w:color w:val="000000"/>
                <w:kern w:val="0"/>
                <w:szCs w:val="21"/>
              </w:rPr>
            </w:pPr>
            <w:r>
              <w:rPr>
                <w:color w:val="000000"/>
                <w:kern w:val="0"/>
                <w:szCs w:val="21"/>
              </w:rPr>
              <w:t>10000-14000</w:t>
            </w:r>
          </w:p>
        </w:tc>
        <w:tc>
          <w:tcPr>
            <w:tcW w:w="1002" w:type="dxa"/>
            <w:vAlign w:val="center"/>
          </w:tcPr>
          <w:p>
            <w:pPr>
              <w:widowControl/>
              <w:jc w:val="center"/>
              <w:rPr>
                <w:color w:val="000000"/>
                <w:kern w:val="0"/>
                <w:szCs w:val="21"/>
              </w:rPr>
            </w:pPr>
            <w:r>
              <w:rPr>
                <w:color w:val="000000"/>
                <w:kern w:val="0"/>
                <w:szCs w:val="21"/>
              </w:rPr>
              <w:t>&gt;14000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距医院距离</w:t>
            </w:r>
          </w:p>
        </w:tc>
        <w:tc>
          <w:tcPr>
            <w:tcW w:w="1002" w:type="dxa"/>
            <w:vAlign w:val="center"/>
          </w:tcPr>
          <w:p>
            <w:pPr>
              <w:widowControl/>
              <w:jc w:val="center"/>
              <w:rPr>
                <w:color w:val="000000"/>
                <w:kern w:val="0"/>
                <w:szCs w:val="21"/>
              </w:rPr>
            </w:pPr>
            <w:r>
              <w:rPr>
                <w:color w:val="000000"/>
                <w:kern w:val="0"/>
                <w:szCs w:val="21"/>
              </w:rPr>
              <w:t>&lt;2500</w:t>
            </w:r>
          </w:p>
        </w:tc>
        <w:tc>
          <w:tcPr>
            <w:tcW w:w="1260" w:type="dxa"/>
            <w:vAlign w:val="center"/>
          </w:tcPr>
          <w:p>
            <w:pPr>
              <w:widowControl/>
              <w:jc w:val="center"/>
              <w:rPr>
                <w:color w:val="000000"/>
                <w:kern w:val="0"/>
                <w:szCs w:val="21"/>
              </w:rPr>
            </w:pPr>
            <w:r>
              <w:rPr>
                <w:color w:val="000000"/>
                <w:kern w:val="0"/>
                <w:szCs w:val="21"/>
              </w:rPr>
              <w:t>2500-7000</w:t>
            </w:r>
          </w:p>
        </w:tc>
        <w:tc>
          <w:tcPr>
            <w:tcW w:w="1415" w:type="dxa"/>
            <w:vAlign w:val="center"/>
          </w:tcPr>
          <w:p>
            <w:pPr>
              <w:widowControl/>
              <w:jc w:val="center"/>
              <w:rPr>
                <w:color w:val="000000"/>
                <w:kern w:val="0"/>
                <w:szCs w:val="21"/>
              </w:rPr>
            </w:pPr>
            <w:r>
              <w:rPr>
                <w:color w:val="000000"/>
                <w:kern w:val="0"/>
                <w:szCs w:val="21"/>
              </w:rPr>
              <w:t>7000-11500</w:t>
            </w:r>
          </w:p>
        </w:tc>
        <w:tc>
          <w:tcPr>
            <w:tcW w:w="1428" w:type="dxa"/>
            <w:vAlign w:val="center"/>
          </w:tcPr>
          <w:p>
            <w:pPr>
              <w:widowControl/>
              <w:jc w:val="center"/>
              <w:rPr>
                <w:color w:val="000000"/>
                <w:kern w:val="0"/>
                <w:szCs w:val="21"/>
              </w:rPr>
            </w:pPr>
            <w:r>
              <w:rPr>
                <w:color w:val="000000"/>
                <w:kern w:val="0"/>
                <w:szCs w:val="21"/>
              </w:rPr>
              <w:t>11500-16000</w:t>
            </w:r>
          </w:p>
        </w:tc>
        <w:tc>
          <w:tcPr>
            <w:tcW w:w="1002" w:type="dxa"/>
            <w:vAlign w:val="center"/>
          </w:tcPr>
          <w:p>
            <w:pPr>
              <w:widowControl/>
              <w:jc w:val="center"/>
              <w:rPr>
                <w:color w:val="000000"/>
                <w:kern w:val="0"/>
                <w:szCs w:val="21"/>
              </w:rPr>
            </w:pPr>
            <w:r>
              <w:rPr>
                <w:color w:val="000000"/>
                <w:kern w:val="0"/>
                <w:szCs w:val="21"/>
              </w:rPr>
              <w:t>&gt;16000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距大型超市距离</w:t>
            </w:r>
          </w:p>
        </w:tc>
        <w:tc>
          <w:tcPr>
            <w:tcW w:w="1002" w:type="dxa"/>
            <w:vAlign w:val="center"/>
          </w:tcPr>
          <w:p>
            <w:pPr>
              <w:widowControl/>
              <w:jc w:val="center"/>
              <w:rPr>
                <w:color w:val="000000"/>
                <w:kern w:val="0"/>
                <w:szCs w:val="21"/>
              </w:rPr>
            </w:pPr>
            <w:r>
              <w:rPr>
                <w:color w:val="000000"/>
                <w:kern w:val="0"/>
                <w:szCs w:val="21"/>
              </w:rPr>
              <w:t>&lt;2100</w:t>
            </w:r>
          </w:p>
        </w:tc>
        <w:tc>
          <w:tcPr>
            <w:tcW w:w="1260" w:type="dxa"/>
            <w:vAlign w:val="center"/>
          </w:tcPr>
          <w:p>
            <w:pPr>
              <w:widowControl/>
              <w:jc w:val="center"/>
              <w:rPr>
                <w:color w:val="000000"/>
                <w:kern w:val="0"/>
                <w:szCs w:val="21"/>
              </w:rPr>
            </w:pPr>
            <w:r>
              <w:rPr>
                <w:color w:val="000000"/>
                <w:kern w:val="0"/>
                <w:szCs w:val="21"/>
              </w:rPr>
              <w:t>2100-6400</w:t>
            </w:r>
          </w:p>
        </w:tc>
        <w:tc>
          <w:tcPr>
            <w:tcW w:w="1415" w:type="dxa"/>
            <w:vAlign w:val="center"/>
          </w:tcPr>
          <w:p>
            <w:pPr>
              <w:widowControl/>
              <w:jc w:val="center"/>
              <w:rPr>
                <w:color w:val="000000"/>
                <w:kern w:val="0"/>
                <w:szCs w:val="21"/>
              </w:rPr>
            </w:pPr>
            <w:r>
              <w:rPr>
                <w:color w:val="000000"/>
                <w:kern w:val="0"/>
                <w:szCs w:val="21"/>
              </w:rPr>
              <w:t>6400-10700</w:t>
            </w:r>
          </w:p>
        </w:tc>
        <w:tc>
          <w:tcPr>
            <w:tcW w:w="1428" w:type="dxa"/>
            <w:vAlign w:val="center"/>
          </w:tcPr>
          <w:p>
            <w:pPr>
              <w:widowControl/>
              <w:jc w:val="center"/>
              <w:rPr>
                <w:color w:val="000000"/>
                <w:kern w:val="0"/>
                <w:szCs w:val="21"/>
              </w:rPr>
            </w:pPr>
            <w:r>
              <w:rPr>
                <w:color w:val="000000"/>
                <w:kern w:val="0"/>
                <w:szCs w:val="21"/>
              </w:rPr>
              <w:t>10700-15000</w:t>
            </w:r>
          </w:p>
        </w:tc>
        <w:tc>
          <w:tcPr>
            <w:tcW w:w="1002" w:type="dxa"/>
            <w:vAlign w:val="center"/>
          </w:tcPr>
          <w:p>
            <w:pPr>
              <w:widowControl/>
              <w:jc w:val="center"/>
              <w:rPr>
                <w:color w:val="000000"/>
                <w:kern w:val="0"/>
                <w:szCs w:val="21"/>
              </w:rPr>
            </w:pPr>
            <w:r>
              <w:rPr>
                <w:color w:val="000000"/>
                <w:kern w:val="0"/>
                <w:szCs w:val="21"/>
              </w:rPr>
              <w:t>&gt;15000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距文体设施距离</w:t>
            </w:r>
          </w:p>
        </w:tc>
        <w:tc>
          <w:tcPr>
            <w:tcW w:w="1002" w:type="dxa"/>
            <w:vAlign w:val="center"/>
          </w:tcPr>
          <w:p>
            <w:pPr>
              <w:widowControl/>
              <w:jc w:val="center"/>
              <w:rPr>
                <w:color w:val="000000"/>
                <w:kern w:val="0"/>
                <w:szCs w:val="21"/>
              </w:rPr>
            </w:pPr>
            <w:r>
              <w:rPr>
                <w:color w:val="000000"/>
                <w:kern w:val="0"/>
                <w:szCs w:val="21"/>
              </w:rPr>
              <w:t>&lt;2200</w:t>
            </w:r>
          </w:p>
        </w:tc>
        <w:tc>
          <w:tcPr>
            <w:tcW w:w="1260" w:type="dxa"/>
            <w:vAlign w:val="center"/>
          </w:tcPr>
          <w:p>
            <w:pPr>
              <w:widowControl/>
              <w:jc w:val="center"/>
              <w:rPr>
                <w:color w:val="000000"/>
                <w:kern w:val="0"/>
                <w:szCs w:val="21"/>
              </w:rPr>
            </w:pPr>
            <w:r>
              <w:rPr>
                <w:color w:val="000000"/>
                <w:kern w:val="0"/>
                <w:szCs w:val="21"/>
              </w:rPr>
              <w:t>2200-6800</w:t>
            </w:r>
          </w:p>
        </w:tc>
        <w:tc>
          <w:tcPr>
            <w:tcW w:w="1415" w:type="dxa"/>
            <w:vAlign w:val="center"/>
          </w:tcPr>
          <w:p>
            <w:pPr>
              <w:widowControl/>
              <w:jc w:val="center"/>
              <w:rPr>
                <w:color w:val="000000"/>
                <w:kern w:val="0"/>
                <w:szCs w:val="21"/>
              </w:rPr>
            </w:pPr>
            <w:r>
              <w:rPr>
                <w:color w:val="000000"/>
                <w:kern w:val="0"/>
                <w:szCs w:val="21"/>
              </w:rPr>
              <w:t>6800-11400</w:t>
            </w:r>
          </w:p>
        </w:tc>
        <w:tc>
          <w:tcPr>
            <w:tcW w:w="1428" w:type="dxa"/>
            <w:vAlign w:val="center"/>
          </w:tcPr>
          <w:p>
            <w:pPr>
              <w:widowControl/>
              <w:jc w:val="center"/>
              <w:rPr>
                <w:color w:val="000000"/>
                <w:kern w:val="0"/>
                <w:szCs w:val="21"/>
              </w:rPr>
            </w:pPr>
            <w:r>
              <w:rPr>
                <w:color w:val="000000"/>
                <w:kern w:val="0"/>
                <w:szCs w:val="21"/>
              </w:rPr>
              <w:t>11400-16000</w:t>
            </w:r>
          </w:p>
        </w:tc>
        <w:tc>
          <w:tcPr>
            <w:tcW w:w="1002" w:type="dxa"/>
            <w:vAlign w:val="center"/>
          </w:tcPr>
          <w:p>
            <w:pPr>
              <w:widowControl/>
              <w:jc w:val="center"/>
              <w:rPr>
                <w:color w:val="000000"/>
                <w:kern w:val="0"/>
                <w:szCs w:val="21"/>
              </w:rPr>
            </w:pPr>
            <w:r>
              <w:rPr>
                <w:color w:val="000000"/>
                <w:kern w:val="0"/>
                <w:szCs w:val="21"/>
              </w:rPr>
              <w:t>&gt;16000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restart"/>
            <w:vAlign w:val="center"/>
          </w:tcPr>
          <w:p>
            <w:pPr>
              <w:widowControl/>
              <w:jc w:val="center"/>
              <w:rPr>
                <w:color w:val="000000"/>
                <w:kern w:val="0"/>
                <w:szCs w:val="21"/>
              </w:rPr>
            </w:pPr>
            <w:r>
              <w:rPr>
                <w:color w:val="000000"/>
                <w:kern w:val="0"/>
                <w:szCs w:val="21"/>
              </w:rPr>
              <w:t>交通条件</w:t>
            </w:r>
          </w:p>
        </w:tc>
        <w:tc>
          <w:tcPr>
            <w:tcW w:w="775" w:type="dxa"/>
            <w:vAlign w:val="center"/>
          </w:tcPr>
          <w:p>
            <w:pPr>
              <w:widowControl/>
              <w:jc w:val="center"/>
              <w:rPr>
                <w:color w:val="000000"/>
                <w:kern w:val="0"/>
                <w:szCs w:val="21"/>
              </w:rPr>
            </w:pPr>
            <w:r>
              <w:rPr>
                <w:color w:val="000000"/>
                <w:kern w:val="0"/>
                <w:szCs w:val="21"/>
              </w:rPr>
              <w:t>道路通达度</w:t>
            </w:r>
          </w:p>
        </w:tc>
        <w:tc>
          <w:tcPr>
            <w:tcW w:w="1449" w:type="dxa"/>
            <w:vAlign w:val="center"/>
          </w:tcPr>
          <w:p>
            <w:pPr>
              <w:widowControl/>
              <w:jc w:val="center"/>
              <w:rPr>
                <w:color w:val="000000"/>
                <w:kern w:val="0"/>
                <w:szCs w:val="21"/>
              </w:rPr>
            </w:pPr>
            <w:r>
              <w:rPr>
                <w:color w:val="000000"/>
                <w:kern w:val="0"/>
                <w:szCs w:val="21"/>
              </w:rPr>
              <w:t>临近道路状况</w:t>
            </w:r>
          </w:p>
        </w:tc>
        <w:tc>
          <w:tcPr>
            <w:tcW w:w="1002" w:type="dxa"/>
            <w:vAlign w:val="center"/>
          </w:tcPr>
          <w:p>
            <w:pPr>
              <w:widowControl/>
              <w:jc w:val="center"/>
              <w:rPr>
                <w:kern w:val="0"/>
                <w:szCs w:val="21"/>
              </w:rPr>
            </w:pPr>
            <w:r>
              <w:rPr>
                <w:kern w:val="0"/>
                <w:szCs w:val="21"/>
              </w:rPr>
              <w:t>临繁华主干道</w:t>
            </w:r>
          </w:p>
        </w:tc>
        <w:tc>
          <w:tcPr>
            <w:tcW w:w="1260" w:type="dxa"/>
            <w:vAlign w:val="center"/>
          </w:tcPr>
          <w:p>
            <w:pPr>
              <w:widowControl/>
              <w:jc w:val="center"/>
              <w:rPr>
                <w:kern w:val="0"/>
                <w:szCs w:val="21"/>
              </w:rPr>
            </w:pPr>
            <w:r>
              <w:rPr>
                <w:kern w:val="0"/>
                <w:szCs w:val="21"/>
              </w:rPr>
              <w:t>临主干道</w:t>
            </w:r>
          </w:p>
        </w:tc>
        <w:tc>
          <w:tcPr>
            <w:tcW w:w="1415" w:type="dxa"/>
            <w:vAlign w:val="center"/>
          </w:tcPr>
          <w:p>
            <w:pPr>
              <w:widowControl/>
              <w:jc w:val="center"/>
              <w:rPr>
                <w:kern w:val="0"/>
                <w:szCs w:val="21"/>
              </w:rPr>
            </w:pPr>
            <w:r>
              <w:rPr>
                <w:kern w:val="0"/>
                <w:szCs w:val="21"/>
              </w:rPr>
              <w:t>临繁华次干道</w:t>
            </w:r>
          </w:p>
        </w:tc>
        <w:tc>
          <w:tcPr>
            <w:tcW w:w="1428" w:type="dxa"/>
            <w:vAlign w:val="center"/>
          </w:tcPr>
          <w:p>
            <w:pPr>
              <w:widowControl/>
              <w:jc w:val="center"/>
              <w:rPr>
                <w:kern w:val="0"/>
                <w:szCs w:val="21"/>
              </w:rPr>
            </w:pPr>
            <w:r>
              <w:rPr>
                <w:kern w:val="0"/>
                <w:szCs w:val="21"/>
              </w:rPr>
              <w:t>临次干道</w:t>
            </w:r>
          </w:p>
        </w:tc>
        <w:tc>
          <w:tcPr>
            <w:tcW w:w="1002" w:type="dxa"/>
            <w:vAlign w:val="center"/>
          </w:tcPr>
          <w:p>
            <w:pPr>
              <w:widowControl/>
              <w:jc w:val="center"/>
              <w:rPr>
                <w:kern w:val="0"/>
                <w:szCs w:val="21"/>
              </w:rPr>
            </w:pPr>
            <w:r>
              <w:rPr>
                <w:kern w:val="0"/>
                <w:szCs w:val="21"/>
              </w:rPr>
              <w:t>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Align w:val="center"/>
          </w:tcPr>
          <w:p>
            <w:pPr>
              <w:widowControl/>
              <w:jc w:val="center"/>
              <w:rPr>
                <w:color w:val="000000"/>
                <w:kern w:val="0"/>
                <w:szCs w:val="21"/>
              </w:rPr>
            </w:pPr>
            <w:r>
              <w:rPr>
                <w:color w:val="000000"/>
                <w:kern w:val="0"/>
                <w:szCs w:val="21"/>
              </w:rPr>
              <w:t>公交便捷度</w:t>
            </w:r>
          </w:p>
        </w:tc>
        <w:tc>
          <w:tcPr>
            <w:tcW w:w="1449" w:type="dxa"/>
            <w:vAlign w:val="center"/>
          </w:tcPr>
          <w:p>
            <w:pPr>
              <w:widowControl/>
              <w:jc w:val="center"/>
              <w:rPr>
                <w:color w:val="000000"/>
                <w:kern w:val="0"/>
                <w:szCs w:val="21"/>
              </w:rPr>
            </w:pPr>
            <w:r>
              <w:rPr>
                <w:color w:val="000000"/>
                <w:kern w:val="0"/>
                <w:szCs w:val="21"/>
              </w:rPr>
              <w:t>距最近公交站（</w:t>
            </w:r>
            <w:r>
              <w:rPr>
                <w:rFonts w:hint="eastAsia"/>
                <w:color w:val="000000"/>
                <w:kern w:val="0"/>
                <w:szCs w:val="21"/>
              </w:rPr>
              <w:t>轨道交通</w:t>
            </w:r>
            <w:r>
              <w:rPr>
                <w:color w:val="000000"/>
                <w:kern w:val="0"/>
                <w:szCs w:val="21"/>
              </w:rPr>
              <w:t>站）距离</w:t>
            </w:r>
          </w:p>
        </w:tc>
        <w:tc>
          <w:tcPr>
            <w:tcW w:w="1002" w:type="dxa"/>
            <w:vAlign w:val="center"/>
          </w:tcPr>
          <w:p>
            <w:pPr>
              <w:widowControl/>
              <w:jc w:val="center"/>
              <w:rPr>
                <w:color w:val="000000"/>
                <w:kern w:val="0"/>
                <w:szCs w:val="21"/>
              </w:rPr>
            </w:pPr>
            <w:r>
              <w:rPr>
                <w:color w:val="000000"/>
                <w:kern w:val="0"/>
                <w:szCs w:val="21"/>
              </w:rPr>
              <w:t>&lt;110</w:t>
            </w:r>
          </w:p>
        </w:tc>
        <w:tc>
          <w:tcPr>
            <w:tcW w:w="1260" w:type="dxa"/>
            <w:vAlign w:val="center"/>
          </w:tcPr>
          <w:p>
            <w:pPr>
              <w:widowControl/>
              <w:jc w:val="center"/>
              <w:rPr>
                <w:color w:val="000000"/>
                <w:kern w:val="0"/>
                <w:szCs w:val="21"/>
              </w:rPr>
            </w:pPr>
            <w:r>
              <w:rPr>
                <w:color w:val="000000"/>
                <w:kern w:val="0"/>
                <w:szCs w:val="21"/>
              </w:rPr>
              <w:t>110-220</w:t>
            </w:r>
          </w:p>
        </w:tc>
        <w:tc>
          <w:tcPr>
            <w:tcW w:w="1415" w:type="dxa"/>
            <w:vAlign w:val="center"/>
          </w:tcPr>
          <w:p>
            <w:pPr>
              <w:widowControl/>
              <w:jc w:val="center"/>
              <w:rPr>
                <w:color w:val="000000"/>
                <w:kern w:val="0"/>
                <w:szCs w:val="21"/>
              </w:rPr>
            </w:pPr>
            <w:r>
              <w:rPr>
                <w:color w:val="000000"/>
                <w:kern w:val="0"/>
                <w:szCs w:val="21"/>
              </w:rPr>
              <w:t>220-330</w:t>
            </w:r>
          </w:p>
        </w:tc>
        <w:tc>
          <w:tcPr>
            <w:tcW w:w="1428" w:type="dxa"/>
            <w:vAlign w:val="center"/>
          </w:tcPr>
          <w:p>
            <w:pPr>
              <w:widowControl/>
              <w:jc w:val="center"/>
              <w:rPr>
                <w:color w:val="000000"/>
                <w:kern w:val="0"/>
                <w:szCs w:val="21"/>
              </w:rPr>
            </w:pPr>
            <w:r>
              <w:rPr>
                <w:color w:val="000000"/>
                <w:kern w:val="0"/>
                <w:szCs w:val="21"/>
              </w:rPr>
              <w:t>330-450</w:t>
            </w:r>
          </w:p>
        </w:tc>
        <w:tc>
          <w:tcPr>
            <w:tcW w:w="1002" w:type="dxa"/>
            <w:vAlign w:val="center"/>
          </w:tcPr>
          <w:p>
            <w:pPr>
              <w:widowControl/>
              <w:jc w:val="center"/>
              <w:rPr>
                <w:color w:val="000000"/>
                <w:kern w:val="0"/>
                <w:szCs w:val="21"/>
              </w:rPr>
            </w:pPr>
            <w:r>
              <w:rPr>
                <w:color w:val="000000"/>
                <w:kern w:val="0"/>
                <w:szCs w:val="21"/>
              </w:rPr>
              <w:t>&gt;450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restart"/>
            <w:vAlign w:val="center"/>
          </w:tcPr>
          <w:p>
            <w:pPr>
              <w:widowControl/>
              <w:jc w:val="center"/>
              <w:rPr>
                <w:color w:val="000000"/>
                <w:kern w:val="0"/>
                <w:szCs w:val="21"/>
              </w:rPr>
            </w:pPr>
            <w:r>
              <w:rPr>
                <w:color w:val="000000"/>
                <w:kern w:val="0"/>
                <w:szCs w:val="21"/>
              </w:rPr>
              <w:t>对外交通便利度</w:t>
            </w:r>
          </w:p>
        </w:tc>
        <w:tc>
          <w:tcPr>
            <w:tcW w:w="1449" w:type="dxa"/>
            <w:vAlign w:val="center"/>
          </w:tcPr>
          <w:p>
            <w:pPr>
              <w:widowControl/>
              <w:jc w:val="center"/>
              <w:rPr>
                <w:color w:val="000000"/>
                <w:kern w:val="0"/>
                <w:szCs w:val="21"/>
              </w:rPr>
            </w:pPr>
            <w:r>
              <w:rPr>
                <w:color w:val="000000"/>
                <w:kern w:val="0"/>
                <w:szCs w:val="21"/>
              </w:rPr>
              <w:t>距最近长途汽车站距离</w:t>
            </w:r>
          </w:p>
        </w:tc>
        <w:tc>
          <w:tcPr>
            <w:tcW w:w="1002" w:type="dxa"/>
            <w:vAlign w:val="center"/>
          </w:tcPr>
          <w:p>
            <w:pPr>
              <w:widowControl/>
              <w:jc w:val="center"/>
              <w:rPr>
                <w:color w:val="000000"/>
                <w:kern w:val="0"/>
                <w:szCs w:val="21"/>
              </w:rPr>
            </w:pPr>
            <w:r>
              <w:rPr>
                <w:color w:val="000000"/>
                <w:kern w:val="0"/>
                <w:szCs w:val="21"/>
              </w:rPr>
              <w:t>≤5000</w:t>
            </w:r>
          </w:p>
        </w:tc>
        <w:tc>
          <w:tcPr>
            <w:tcW w:w="1260" w:type="dxa"/>
            <w:vAlign w:val="center"/>
          </w:tcPr>
          <w:p>
            <w:pPr>
              <w:widowControl/>
              <w:jc w:val="center"/>
              <w:rPr>
                <w:color w:val="000000"/>
                <w:kern w:val="0"/>
                <w:szCs w:val="21"/>
              </w:rPr>
            </w:pPr>
            <w:r>
              <w:rPr>
                <w:color w:val="000000"/>
                <w:kern w:val="0"/>
                <w:szCs w:val="21"/>
              </w:rPr>
              <w:t>5000-6000</w:t>
            </w:r>
          </w:p>
        </w:tc>
        <w:tc>
          <w:tcPr>
            <w:tcW w:w="1415" w:type="dxa"/>
            <w:vAlign w:val="center"/>
          </w:tcPr>
          <w:p>
            <w:pPr>
              <w:widowControl/>
              <w:jc w:val="center"/>
              <w:rPr>
                <w:color w:val="000000"/>
                <w:kern w:val="0"/>
                <w:szCs w:val="21"/>
              </w:rPr>
            </w:pPr>
            <w:r>
              <w:rPr>
                <w:color w:val="000000"/>
                <w:kern w:val="0"/>
                <w:szCs w:val="21"/>
              </w:rPr>
              <w:t>6000-7500</w:t>
            </w:r>
          </w:p>
        </w:tc>
        <w:tc>
          <w:tcPr>
            <w:tcW w:w="1428" w:type="dxa"/>
            <w:vAlign w:val="center"/>
          </w:tcPr>
          <w:p>
            <w:pPr>
              <w:widowControl/>
              <w:jc w:val="center"/>
              <w:rPr>
                <w:color w:val="000000"/>
                <w:kern w:val="0"/>
                <w:szCs w:val="21"/>
              </w:rPr>
            </w:pPr>
            <w:r>
              <w:rPr>
                <w:color w:val="000000"/>
                <w:kern w:val="0"/>
                <w:szCs w:val="21"/>
              </w:rPr>
              <w:t>7500-9000</w:t>
            </w:r>
          </w:p>
        </w:tc>
        <w:tc>
          <w:tcPr>
            <w:tcW w:w="1002" w:type="dxa"/>
            <w:vAlign w:val="center"/>
          </w:tcPr>
          <w:p>
            <w:pPr>
              <w:widowControl/>
              <w:jc w:val="center"/>
              <w:rPr>
                <w:color w:val="000000"/>
                <w:kern w:val="0"/>
                <w:szCs w:val="21"/>
              </w:rPr>
            </w:pPr>
            <w:r>
              <w:rPr>
                <w:color w:val="000000"/>
                <w:kern w:val="0"/>
                <w:szCs w:val="21"/>
              </w:rPr>
              <w:t>&gt;9000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距火车站距离</w:t>
            </w:r>
          </w:p>
        </w:tc>
        <w:tc>
          <w:tcPr>
            <w:tcW w:w="1002" w:type="dxa"/>
            <w:vAlign w:val="center"/>
          </w:tcPr>
          <w:p>
            <w:pPr>
              <w:widowControl/>
              <w:jc w:val="center"/>
              <w:rPr>
                <w:color w:val="000000"/>
                <w:kern w:val="0"/>
                <w:szCs w:val="21"/>
              </w:rPr>
            </w:pPr>
            <w:r>
              <w:rPr>
                <w:color w:val="000000"/>
                <w:kern w:val="0"/>
                <w:szCs w:val="21"/>
              </w:rPr>
              <w:t>&lt;3000</w:t>
            </w:r>
          </w:p>
        </w:tc>
        <w:tc>
          <w:tcPr>
            <w:tcW w:w="1260" w:type="dxa"/>
            <w:vAlign w:val="center"/>
          </w:tcPr>
          <w:p>
            <w:pPr>
              <w:widowControl/>
              <w:jc w:val="center"/>
              <w:rPr>
                <w:color w:val="000000"/>
                <w:kern w:val="0"/>
                <w:szCs w:val="21"/>
              </w:rPr>
            </w:pPr>
            <w:r>
              <w:rPr>
                <w:color w:val="000000"/>
                <w:kern w:val="0"/>
                <w:szCs w:val="21"/>
              </w:rPr>
              <w:t>3000-4500</w:t>
            </w:r>
          </w:p>
        </w:tc>
        <w:tc>
          <w:tcPr>
            <w:tcW w:w="1415" w:type="dxa"/>
            <w:vAlign w:val="center"/>
          </w:tcPr>
          <w:p>
            <w:pPr>
              <w:widowControl/>
              <w:jc w:val="center"/>
              <w:rPr>
                <w:color w:val="000000"/>
                <w:kern w:val="0"/>
                <w:szCs w:val="21"/>
              </w:rPr>
            </w:pPr>
            <w:r>
              <w:rPr>
                <w:color w:val="000000"/>
                <w:kern w:val="0"/>
                <w:szCs w:val="21"/>
              </w:rPr>
              <w:t>4500-7000</w:t>
            </w:r>
          </w:p>
        </w:tc>
        <w:tc>
          <w:tcPr>
            <w:tcW w:w="1428" w:type="dxa"/>
            <w:vAlign w:val="center"/>
          </w:tcPr>
          <w:p>
            <w:pPr>
              <w:widowControl/>
              <w:jc w:val="center"/>
              <w:rPr>
                <w:color w:val="000000"/>
                <w:kern w:val="0"/>
                <w:szCs w:val="21"/>
              </w:rPr>
            </w:pPr>
            <w:r>
              <w:rPr>
                <w:color w:val="000000"/>
                <w:kern w:val="0"/>
                <w:szCs w:val="21"/>
              </w:rPr>
              <w:t>7000-9000</w:t>
            </w:r>
          </w:p>
        </w:tc>
        <w:tc>
          <w:tcPr>
            <w:tcW w:w="1002" w:type="dxa"/>
            <w:vAlign w:val="center"/>
          </w:tcPr>
          <w:p>
            <w:pPr>
              <w:widowControl/>
              <w:jc w:val="center"/>
              <w:rPr>
                <w:color w:val="000000"/>
                <w:kern w:val="0"/>
                <w:szCs w:val="21"/>
              </w:rPr>
            </w:pPr>
            <w:r>
              <w:rPr>
                <w:color w:val="000000"/>
                <w:kern w:val="0"/>
                <w:szCs w:val="21"/>
              </w:rPr>
              <w:t>&gt;9000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距高铁站长沙南站距离</w:t>
            </w:r>
          </w:p>
        </w:tc>
        <w:tc>
          <w:tcPr>
            <w:tcW w:w="1002" w:type="dxa"/>
            <w:vAlign w:val="center"/>
          </w:tcPr>
          <w:p>
            <w:pPr>
              <w:widowControl/>
              <w:jc w:val="center"/>
              <w:rPr>
                <w:color w:val="000000"/>
                <w:kern w:val="0"/>
                <w:szCs w:val="21"/>
              </w:rPr>
            </w:pPr>
            <w:r>
              <w:rPr>
                <w:color w:val="000000"/>
                <w:kern w:val="0"/>
                <w:szCs w:val="21"/>
              </w:rPr>
              <w:t>&lt;20000</w:t>
            </w:r>
          </w:p>
        </w:tc>
        <w:tc>
          <w:tcPr>
            <w:tcW w:w="1260" w:type="dxa"/>
            <w:vAlign w:val="center"/>
          </w:tcPr>
          <w:p>
            <w:pPr>
              <w:widowControl/>
              <w:jc w:val="center"/>
              <w:rPr>
                <w:color w:val="000000"/>
                <w:kern w:val="0"/>
                <w:szCs w:val="21"/>
              </w:rPr>
            </w:pPr>
            <w:r>
              <w:rPr>
                <w:color w:val="000000"/>
                <w:kern w:val="0"/>
                <w:szCs w:val="21"/>
              </w:rPr>
              <w:t>20000-23000</w:t>
            </w:r>
          </w:p>
        </w:tc>
        <w:tc>
          <w:tcPr>
            <w:tcW w:w="1415" w:type="dxa"/>
            <w:vAlign w:val="center"/>
          </w:tcPr>
          <w:p>
            <w:pPr>
              <w:widowControl/>
              <w:jc w:val="center"/>
              <w:rPr>
                <w:color w:val="000000"/>
                <w:kern w:val="0"/>
                <w:szCs w:val="21"/>
              </w:rPr>
            </w:pPr>
            <w:r>
              <w:rPr>
                <w:color w:val="000000"/>
                <w:kern w:val="0"/>
                <w:szCs w:val="21"/>
              </w:rPr>
              <w:t>23000-27000</w:t>
            </w:r>
          </w:p>
        </w:tc>
        <w:tc>
          <w:tcPr>
            <w:tcW w:w="1428" w:type="dxa"/>
            <w:vAlign w:val="center"/>
          </w:tcPr>
          <w:p>
            <w:pPr>
              <w:widowControl/>
              <w:jc w:val="center"/>
              <w:rPr>
                <w:color w:val="000000"/>
                <w:kern w:val="0"/>
                <w:szCs w:val="21"/>
              </w:rPr>
            </w:pPr>
            <w:r>
              <w:rPr>
                <w:color w:val="000000"/>
                <w:kern w:val="0"/>
                <w:szCs w:val="21"/>
              </w:rPr>
              <w:t>27000-30000</w:t>
            </w:r>
          </w:p>
        </w:tc>
        <w:tc>
          <w:tcPr>
            <w:tcW w:w="1002" w:type="dxa"/>
            <w:vAlign w:val="center"/>
          </w:tcPr>
          <w:p>
            <w:pPr>
              <w:widowControl/>
              <w:jc w:val="center"/>
              <w:rPr>
                <w:color w:val="000000"/>
                <w:kern w:val="0"/>
                <w:szCs w:val="21"/>
              </w:rPr>
            </w:pPr>
            <w:r>
              <w:rPr>
                <w:color w:val="000000"/>
                <w:kern w:val="0"/>
                <w:szCs w:val="21"/>
              </w:rPr>
              <w:t>&gt;30000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restart"/>
            <w:vAlign w:val="center"/>
          </w:tcPr>
          <w:p>
            <w:pPr>
              <w:widowControl/>
              <w:jc w:val="center"/>
              <w:rPr>
                <w:color w:val="000000"/>
                <w:kern w:val="0"/>
                <w:szCs w:val="21"/>
              </w:rPr>
            </w:pPr>
            <w:r>
              <w:rPr>
                <w:color w:val="000000"/>
                <w:kern w:val="0"/>
                <w:szCs w:val="21"/>
              </w:rPr>
              <w:t>环境条件</w:t>
            </w:r>
          </w:p>
        </w:tc>
        <w:tc>
          <w:tcPr>
            <w:tcW w:w="775" w:type="dxa"/>
            <w:vMerge w:val="restart"/>
            <w:vAlign w:val="center"/>
          </w:tcPr>
          <w:p>
            <w:pPr>
              <w:widowControl/>
              <w:jc w:val="center"/>
              <w:rPr>
                <w:color w:val="000000"/>
                <w:kern w:val="0"/>
                <w:szCs w:val="21"/>
              </w:rPr>
            </w:pPr>
            <w:r>
              <w:rPr>
                <w:color w:val="000000"/>
                <w:kern w:val="0"/>
                <w:szCs w:val="21"/>
              </w:rPr>
              <w:t>环境优劣度</w:t>
            </w:r>
          </w:p>
        </w:tc>
        <w:tc>
          <w:tcPr>
            <w:tcW w:w="1449" w:type="dxa"/>
            <w:vAlign w:val="center"/>
          </w:tcPr>
          <w:p>
            <w:pPr>
              <w:widowControl/>
              <w:jc w:val="center"/>
              <w:rPr>
                <w:color w:val="000000"/>
                <w:kern w:val="0"/>
                <w:szCs w:val="21"/>
              </w:rPr>
            </w:pPr>
            <w:r>
              <w:rPr>
                <w:color w:val="000000"/>
                <w:kern w:val="0"/>
                <w:szCs w:val="21"/>
              </w:rPr>
              <w:t>水污染情况</w:t>
            </w:r>
          </w:p>
        </w:tc>
        <w:tc>
          <w:tcPr>
            <w:tcW w:w="1002" w:type="dxa"/>
            <w:vAlign w:val="center"/>
          </w:tcPr>
          <w:p>
            <w:pPr>
              <w:widowControl/>
              <w:jc w:val="center"/>
              <w:rPr>
                <w:color w:val="000000"/>
                <w:kern w:val="0"/>
                <w:szCs w:val="21"/>
              </w:rPr>
            </w:pPr>
            <w:r>
              <w:rPr>
                <w:color w:val="000000"/>
                <w:kern w:val="0"/>
                <w:szCs w:val="21"/>
              </w:rPr>
              <w:t>低</w:t>
            </w:r>
          </w:p>
        </w:tc>
        <w:tc>
          <w:tcPr>
            <w:tcW w:w="1260" w:type="dxa"/>
            <w:vAlign w:val="center"/>
          </w:tcPr>
          <w:p>
            <w:pPr>
              <w:widowControl/>
              <w:jc w:val="center"/>
              <w:rPr>
                <w:color w:val="000000"/>
                <w:kern w:val="0"/>
                <w:szCs w:val="21"/>
              </w:rPr>
            </w:pPr>
            <w:r>
              <w:rPr>
                <w:color w:val="000000"/>
                <w:kern w:val="0"/>
                <w:szCs w:val="21"/>
              </w:rPr>
              <w:t>较低</w:t>
            </w:r>
          </w:p>
        </w:tc>
        <w:tc>
          <w:tcPr>
            <w:tcW w:w="1415" w:type="dxa"/>
            <w:vAlign w:val="center"/>
          </w:tcPr>
          <w:p>
            <w:pPr>
              <w:widowControl/>
              <w:jc w:val="center"/>
              <w:rPr>
                <w:color w:val="000000"/>
                <w:kern w:val="0"/>
                <w:szCs w:val="21"/>
              </w:rPr>
            </w:pPr>
            <w:r>
              <w:rPr>
                <w:color w:val="000000"/>
                <w:kern w:val="0"/>
                <w:szCs w:val="21"/>
              </w:rPr>
              <w:t>一般</w:t>
            </w:r>
          </w:p>
        </w:tc>
        <w:tc>
          <w:tcPr>
            <w:tcW w:w="1428" w:type="dxa"/>
            <w:vAlign w:val="center"/>
          </w:tcPr>
          <w:p>
            <w:pPr>
              <w:widowControl/>
              <w:jc w:val="center"/>
              <w:rPr>
                <w:color w:val="000000"/>
                <w:kern w:val="0"/>
                <w:szCs w:val="21"/>
              </w:rPr>
            </w:pPr>
            <w:r>
              <w:rPr>
                <w:color w:val="000000"/>
                <w:kern w:val="0"/>
                <w:szCs w:val="21"/>
              </w:rPr>
              <w:t>较高</w:t>
            </w:r>
          </w:p>
        </w:tc>
        <w:tc>
          <w:tcPr>
            <w:tcW w:w="1002" w:type="dxa"/>
            <w:vAlign w:val="center"/>
          </w:tcPr>
          <w:p>
            <w:pPr>
              <w:widowControl/>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大气污染情况</w:t>
            </w:r>
          </w:p>
        </w:tc>
        <w:tc>
          <w:tcPr>
            <w:tcW w:w="1002" w:type="dxa"/>
            <w:vAlign w:val="center"/>
          </w:tcPr>
          <w:p>
            <w:pPr>
              <w:widowControl/>
              <w:jc w:val="center"/>
              <w:rPr>
                <w:color w:val="000000"/>
                <w:kern w:val="0"/>
                <w:szCs w:val="21"/>
              </w:rPr>
            </w:pPr>
            <w:r>
              <w:rPr>
                <w:color w:val="000000"/>
                <w:kern w:val="0"/>
                <w:szCs w:val="21"/>
              </w:rPr>
              <w:t>低</w:t>
            </w:r>
          </w:p>
        </w:tc>
        <w:tc>
          <w:tcPr>
            <w:tcW w:w="1260" w:type="dxa"/>
            <w:vAlign w:val="center"/>
          </w:tcPr>
          <w:p>
            <w:pPr>
              <w:widowControl/>
              <w:jc w:val="center"/>
              <w:rPr>
                <w:color w:val="000000"/>
                <w:kern w:val="0"/>
                <w:szCs w:val="21"/>
              </w:rPr>
            </w:pPr>
            <w:r>
              <w:rPr>
                <w:color w:val="000000"/>
                <w:kern w:val="0"/>
                <w:szCs w:val="21"/>
              </w:rPr>
              <w:t>较低</w:t>
            </w:r>
          </w:p>
        </w:tc>
        <w:tc>
          <w:tcPr>
            <w:tcW w:w="1415" w:type="dxa"/>
            <w:vAlign w:val="center"/>
          </w:tcPr>
          <w:p>
            <w:pPr>
              <w:widowControl/>
              <w:jc w:val="center"/>
              <w:rPr>
                <w:color w:val="000000"/>
                <w:kern w:val="0"/>
                <w:szCs w:val="21"/>
              </w:rPr>
            </w:pPr>
            <w:r>
              <w:rPr>
                <w:color w:val="000000"/>
                <w:kern w:val="0"/>
                <w:szCs w:val="21"/>
              </w:rPr>
              <w:t>一般</w:t>
            </w:r>
          </w:p>
        </w:tc>
        <w:tc>
          <w:tcPr>
            <w:tcW w:w="1428" w:type="dxa"/>
            <w:vAlign w:val="center"/>
          </w:tcPr>
          <w:p>
            <w:pPr>
              <w:widowControl/>
              <w:jc w:val="center"/>
              <w:rPr>
                <w:color w:val="000000"/>
                <w:kern w:val="0"/>
                <w:szCs w:val="21"/>
              </w:rPr>
            </w:pPr>
            <w:r>
              <w:rPr>
                <w:color w:val="000000"/>
                <w:kern w:val="0"/>
                <w:szCs w:val="21"/>
              </w:rPr>
              <w:t>较高</w:t>
            </w:r>
          </w:p>
        </w:tc>
        <w:tc>
          <w:tcPr>
            <w:tcW w:w="1002" w:type="dxa"/>
            <w:vAlign w:val="center"/>
          </w:tcPr>
          <w:p>
            <w:pPr>
              <w:widowControl/>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噪声污染情况</w:t>
            </w:r>
          </w:p>
        </w:tc>
        <w:tc>
          <w:tcPr>
            <w:tcW w:w="1002" w:type="dxa"/>
            <w:vAlign w:val="center"/>
          </w:tcPr>
          <w:p>
            <w:pPr>
              <w:widowControl/>
              <w:jc w:val="center"/>
              <w:rPr>
                <w:color w:val="000000"/>
                <w:kern w:val="0"/>
                <w:szCs w:val="21"/>
              </w:rPr>
            </w:pPr>
            <w:r>
              <w:rPr>
                <w:color w:val="000000"/>
                <w:kern w:val="0"/>
                <w:szCs w:val="21"/>
              </w:rPr>
              <w:t>低</w:t>
            </w:r>
          </w:p>
        </w:tc>
        <w:tc>
          <w:tcPr>
            <w:tcW w:w="1260" w:type="dxa"/>
            <w:vAlign w:val="center"/>
          </w:tcPr>
          <w:p>
            <w:pPr>
              <w:widowControl/>
              <w:jc w:val="center"/>
              <w:rPr>
                <w:color w:val="000000"/>
                <w:kern w:val="0"/>
                <w:szCs w:val="21"/>
              </w:rPr>
            </w:pPr>
            <w:r>
              <w:rPr>
                <w:color w:val="000000"/>
                <w:kern w:val="0"/>
                <w:szCs w:val="21"/>
              </w:rPr>
              <w:t>较低</w:t>
            </w:r>
          </w:p>
        </w:tc>
        <w:tc>
          <w:tcPr>
            <w:tcW w:w="1415" w:type="dxa"/>
            <w:vAlign w:val="center"/>
          </w:tcPr>
          <w:p>
            <w:pPr>
              <w:widowControl/>
              <w:jc w:val="center"/>
              <w:rPr>
                <w:color w:val="000000"/>
                <w:kern w:val="0"/>
                <w:szCs w:val="21"/>
              </w:rPr>
            </w:pPr>
            <w:r>
              <w:rPr>
                <w:color w:val="000000"/>
                <w:kern w:val="0"/>
                <w:szCs w:val="21"/>
              </w:rPr>
              <w:t>一般</w:t>
            </w:r>
          </w:p>
        </w:tc>
        <w:tc>
          <w:tcPr>
            <w:tcW w:w="1428" w:type="dxa"/>
            <w:vAlign w:val="center"/>
          </w:tcPr>
          <w:p>
            <w:pPr>
              <w:widowControl/>
              <w:jc w:val="center"/>
              <w:rPr>
                <w:color w:val="000000"/>
                <w:kern w:val="0"/>
                <w:szCs w:val="21"/>
              </w:rPr>
            </w:pPr>
            <w:r>
              <w:rPr>
                <w:color w:val="000000"/>
                <w:kern w:val="0"/>
                <w:szCs w:val="21"/>
              </w:rPr>
              <w:t>较高</w:t>
            </w:r>
          </w:p>
        </w:tc>
        <w:tc>
          <w:tcPr>
            <w:tcW w:w="1002" w:type="dxa"/>
            <w:vAlign w:val="center"/>
          </w:tcPr>
          <w:p>
            <w:pPr>
              <w:widowControl/>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Align w:val="center"/>
          </w:tcPr>
          <w:p>
            <w:pPr>
              <w:widowControl/>
              <w:jc w:val="center"/>
              <w:rPr>
                <w:color w:val="000000"/>
                <w:kern w:val="0"/>
                <w:szCs w:val="21"/>
              </w:rPr>
            </w:pPr>
            <w:r>
              <w:rPr>
                <w:color w:val="000000"/>
                <w:kern w:val="0"/>
                <w:szCs w:val="21"/>
              </w:rPr>
              <w:t>自然条件优劣度</w:t>
            </w:r>
          </w:p>
        </w:tc>
        <w:tc>
          <w:tcPr>
            <w:tcW w:w="1449" w:type="dxa"/>
            <w:vAlign w:val="center"/>
          </w:tcPr>
          <w:p>
            <w:pPr>
              <w:widowControl/>
              <w:jc w:val="center"/>
              <w:rPr>
                <w:color w:val="000000"/>
                <w:kern w:val="0"/>
                <w:szCs w:val="21"/>
              </w:rPr>
            </w:pPr>
            <w:r>
              <w:rPr>
                <w:color w:val="000000"/>
                <w:kern w:val="0"/>
                <w:szCs w:val="21"/>
              </w:rPr>
              <w:t>洪水淹没状况</w:t>
            </w:r>
          </w:p>
        </w:tc>
        <w:tc>
          <w:tcPr>
            <w:tcW w:w="1002" w:type="dxa"/>
            <w:vAlign w:val="center"/>
          </w:tcPr>
          <w:p>
            <w:pPr>
              <w:widowControl/>
              <w:jc w:val="center"/>
              <w:rPr>
                <w:color w:val="000000"/>
                <w:kern w:val="0"/>
                <w:szCs w:val="21"/>
              </w:rPr>
            </w:pPr>
            <w:r>
              <w:rPr>
                <w:color w:val="000000"/>
                <w:kern w:val="0"/>
                <w:szCs w:val="21"/>
              </w:rPr>
              <w:t>低</w:t>
            </w:r>
          </w:p>
        </w:tc>
        <w:tc>
          <w:tcPr>
            <w:tcW w:w="1260" w:type="dxa"/>
            <w:vAlign w:val="center"/>
          </w:tcPr>
          <w:p>
            <w:pPr>
              <w:widowControl/>
              <w:jc w:val="center"/>
              <w:rPr>
                <w:color w:val="000000"/>
                <w:kern w:val="0"/>
                <w:szCs w:val="21"/>
              </w:rPr>
            </w:pPr>
            <w:r>
              <w:rPr>
                <w:color w:val="000000"/>
                <w:kern w:val="0"/>
                <w:szCs w:val="21"/>
              </w:rPr>
              <w:t>较低</w:t>
            </w:r>
          </w:p>
        </w:tc>
        <w:tc>
          <w:tcPr>
            <w:tcW w:w="1415" w:type="dxa"/>
            <w:vAlign w:val="center"/>
          </w:tcPr>
          <w:p>
            <w:pPr>
              <w:widowControl/>
              <w:jc w:val="center"/>
              <w:rPr>
                <w:color w:val="000000"/>
                <w:kern w:val="0"/>
                <w:szCs w:val="21"/>
              </w:rPr>
            </w:pPr>
            <w:r>
              <w:rPr>
                <w:color w:val="000000"/>
                <w:kern w:val="0"/>
                <w:szCs w:val="21"/>
              </w:rPr>
              <w:t>一般</w:t>
            </w:r>
          </w:p>
        </w:tc>
        <w:tc>
          <w:tcPr>
            <w:tcW w:w="1428" w:type="dxa"/>
            <w:vAlign w:val="center"/>
          </w:tcPr>
          <w:p>
            <w:pPr>
              <w:widowControl/>
              <w:jc w:val="center"/>
              <w:rPr>
                <w:color w:val="000000"/>
                <w:kern w:val="0"/>
                <w:szCs w:val="21"/>
              </w:rPr>
            </w:pPr>
            <w:r>
              <w:rPr>
                <w:color w:val="000000"/>
                <w:kern w:val="0"/>
                <w:szCs w:val="21"/>
              </w:rPr>
              <w:t>较高</w:t>
            </w:r>
          </w:p>
        </w:tc>
        <w:tc>
          <w:tcPr>
            <w:tcW w:w="1002" w:type="dxa"/>
            <w:vAlign w:val="center"/>
          </w:tcPr>
          <w:p>
            <w:pPr>
              <w:widowControl/>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Align w:val="center"/>
          </w:tcPr>
          <w:p>
            <w:pPr>
              <w:widowControl/>
              <w:jc w:val="center"/>
              <w:rPr>
                <w:color w:val="000000"/>
                <w:kern w:val="0"/>
                <w:szCs w:val="21"/>
              </w:rPr>
            </w:pPr>
            <w:r>
              <w:rPr>
                <w:color w:val="000000"/>
                <w:kern w:val="0"/>
                <w:szCs w:val="21"/>
              </w:rPr>
              <w:t>繁华程度</w:t>
            </w:r>
          </w:p>
        </w:tc>
        <w:tc>
          <w:tcPr>
            <w:tcW w:w="775" w:type="dxa"/>
            <w:vAlign w:val="center"/>
          </w:tcPr>
          <w:p>
            <w:pPr>
              <w:widowControl/>
              <w:jc w:val="center"/>
              <w:rPr>
                <w:color w:val="000000"/>
                <w:kern w:val="0"/>
                <w:szCs w:val="21"/>
              </w:rPr>
            </w:pPr>
            <w:r>
              <w:rPr>
                <w:color w:val="000000"/>
                <w:kern w:val="0"/>
                <w:szCs w:val="21"/>
              </w:rPr>
              <w:t>商服繁华影响度</w:t>
            </w:r>
          </w:p>
        </w:tc>
        <w:tc>
          <w:tcPr>
            <w:tcW w:w="1449" w:type="dxa"/>
            <w:vAlign w:val="center"/>
          </w:tcPr>
          <w:p>
            <w:pPr>
              <w:widowControl/>
              <w:jc w:val="center"/>
              <w:rPr>
                <w:color w:val="000000"/>
                <w:kern w:val="0"/>
                <w:szCs w:val="21"/>
              </w:rPr>
            </w:pPr>
            <w:r>
              <w:rPr>
                <w:color w:val="000000"/>
                <w:kern w:val="0"/>
                <w:szCs w:val="21"/>
              </w:rPr>
              <w:t>距商服中心距离</w:t>
            </w:r>
          </w:p>
        </w:tc>
        <w:tc>
          <w:tcPr>
            <w:tcW w:w="1002" w:type="dxa"/>
            <w:vAlign w:val="center"/>
          </w:tcPr>
          <w:p>
            <w:pPr>
              <w:widowControl/>
              <w:jc w:val="center"/>
              <w:rPr>
                <w:color w:val="000000"/>
                <w:kern w:val="0"/>
                <w:szCs w:val="21"/>
              </w:rPr>
            </w:pPr>
            <w:r>
              <w:rPr>
                <w:color w:val="000000"/>
                <w:kern w:val="0"/>
                <w:szCs w:val="21"/>
              </w:rPr>
              <w:t>≤360</w:t>
            </w:r>
          </w:p>
        </w:tc>
        <w:tc>
          <w:tcPr>
            <w:tcW w:w="1260" w:type="dxa"/>
            <w:vAlign w:val="center"/>
          </w:tcPr>
          <w:p>
            <w:pPr>
              <w:widowControl/>
              <w:jc w:val="center"/>
              <w:rPr>
                <w:color w:val="000000"/>
                <w:kern w:val="0"/>
                <w:szCs w:val="21"/>
              </w:rPr>
            </w:pPr>
            <w:r>
              <w:rPr>
                <w:color w:val="000000"/>
                <w:kern w:val="0"/>
                <w:szCs w:val="21"/>
              </w:rPr>
              <w:t>360-550</w:t>
            </w:r>
          </w:p>
        </w:tc>
        <w:tc>
          <w:tcPr>
            <w:tcW w:w="1415" w:type="dxa"/>
            <w:vAlign w:val="center"/>
          </w:tcPr>
          <w:p>
            <w:pPr>
              <w:widowControl/>
              <w:jc w:val="center"/>
              <w:rPr>
                <w:color w:val="000000"/>
                <w:kern w:val="0"/>
                <w:szCs w:val="21"/>
              </w:rPr>
            </w:pPr>
            <w:r>
              <w:rPr>
                <w:color w:val="000000"/>
                <w:kern w:val="0"/>
                <w:szCs w:val="21"/>
              </w:rPr>
              <w:t>550-1100</w:t>
            </w:r>
          </w:p>
        </w:tc>
        <w:tc>
          <w:tcPr>
            <w:tcW w:w="1428" w:type="dxa"/>
            <w:vAlign w:val="center"/>
          </w:tcPr>
          <w:p>
            <w:pPr>
              <w:widowControl/>
              <w:jc w:val="center"/>
              <w:rPr>
                <w:color w:val="000000"/>
                <w:kern w:val="0"/>
                <w:szCs w:val="21"/>
              </w:rPr>
            </w:pPr>
            <w:r>
              <w:rPr>
                <w:color w:val="000000"/>
                <w:kern w:val="0"/>
                <w:szCs w:val="21"/>
              </w:rPr>
              <w:t>1100-2000</w:t>
            </w:r>
          </w:p>
        </w:tc>
        <w:tc>
          <w:tcPr>
            <w:tcW w:w="1002" w:type="dxa"/>
            <w:vAlign w:val="center"/>
          </w:tcPr>
          <w:p>
            <w:pPr>
              <w:widowControl/>
              <w:jc w:val="center"/>
              <w:rPr>
                <w:color w:val="000000"/>
                <w:kern w:val="0"/>
                <w:szCs w:val="21"/>
              </w:rPr>
            </w:pPr>
            <w:r>
              <w:rPr>
                <w:color w:val="000000"/>
                <w:kern w:val="0"/>
                <w:szCs w:val="21"/>
              </w:rPr>
              <w:t>&gt;2000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Align w:val="center"/>
          </w:tcPr>
          <w:p>
            <w:pPr>
              <w:widowControl/>
              <w:jc w:val="center"/>
              <w:rPr>
                <w:color w:val="000000"/>
                <w:kern w:val="0"/>
                <w:szCs w:val="21"/>
              </w:rPr>
            </w:pPr>
            <w:r>
              <w:rPr>
                <w:color w:val="000000"/>
                <w:kern w:val="0"/>
                <w:szCs w:val="21"/>
              </w:rPr>
              <w:t>人口状况</w:t>
            </w:r>
          </w:p>
        </w:tc>
        <w:tc>
          <w:tcPr>
            <w:tcW w:w="775" w:type="dxa"/>
            <w:vAlign w:val="center"/>
          </w:tcPr>
          <w:p>
            <w:pPr>
              <w:widowControl/>
              <w:jc w:val="center"/>
              <w:rPr>
                <w:color w:val="000000"/>
                <w:kern w:val="0"/>
                <w:szCs w:val="21"/>
              </w:rPr>
            </w:pPr>
            <w:r>
              <w:rPr>
                <w:color w:val="000000"/>
                <w:kern w:val="0"/>
                <w:szCs w:val="21"/>
              </w:rPr>
              <w:t>人口密度</w:t>
            </w:r>
          </w:p>
        </w:tc>
        <w:tc>
          <w:tcPr>
            <w:tcW w:w="1449" w:type="dxa"/>
            <w:vAlign w:val="center"/>
          </w:tcPr>
          <w:p>
            <w:pPr>
              <w:widowControl/>
              <w:jc w:val="center"/>
              <w:rPr>
                <w:color w:val="000000"/>
                <w:kern w:val="0"/>
                <w:szCs w:val="21"/>
              </w:rPr>
            </w:pPr>
            <w:r>
              <w:rPr>
                <w:color w:val="000000"/>
                <w:kern w:val="0"/>
                <w:szCs w:val="21"/>
              </w:rPr>
              <w:t>人口密度</w:t>
            </w:r>
          </w:p>
        </w:tc>
        <w:tc>
          <w:tcPr>
            <w:tcW w:w="1002" w:type="dxa"/>
            <w:vAlign w:val="center"/>
          </w:tcPr>
          <w:p>
            <w:pPr>
              <w:widowControl/>
              <w:jc w:val="center"/>
              <w:rPr>
                <w:color w:val="000000"/>
                <w:kern w:val="0"/>
                <w:szCs w:val="21"/>
              </w:rPr>
            </w:pPr>
            <w:r>
              <w:rPr>
                <w:color w:val="000000"/>
                <w:kern w:val="0"/>
                <w:szCs w:val="21"/>
              </w:rPr>
              <w:t>人口稠密</w:t>
            </w:r>
          </w:p>
        </w:tc>
        <w:tc>
          <w:tcPr>
            <w:tcW w:w="1260" w:type="dxa"/>
            <w:vAlign w:val="center"/>
          </w:tcPr>
          <w:p>
            <w:pPr>
              <w:widowControl/>
              <w:jc w:val="center"/>
              <w:rPr>
                <w:color w:val="000000"/>
                <w:kern w:val="0"/>
                <w:szCs w:val="21"/>
              </w:rPr>
            </w:pPr>
            <w:r>
              <w:rPr>
                <w:color w:val="000000"/>
                <w:kern w:val="0"/>
                <w:szCs w:val="21"/>
              </w:rPr>
              <w:t>人口较稠密</w:t>
            </w:r>
          </w:p>
        </w:tc>
        <w:tc>
          <w:tcPr>
            <w:tcW w:w="1415" w:type="dxa"/>
            <w:vAlign w:val="center"/>
          </w:tcPr>
          <w:p>
            <w:pPr>
              <w:widowControl/>
              <w:jc w:val="center"/>
              <w:rPr>
                <w:color w:val="000000"/>
                <w:kern w:val="0"/>
                <w:szCs w:val="21"/>
              </w:rPr>
            </w:pPr>
            <w:r>
              <w:rPr>
                <w:color w:val="000000"/>
                <w:kern w:val="0"/>
                <w:szCs w:val="21"/>
              </w:rPr>
              <w:t>一般</w:t>
            </w:r>
          </w:p>
        </w:tc>
        <w:tc>
          <w:tcPr>
            <w:tcW w:w="1428" w:type="dxa"/>
            <w:vAlign w:val="center"/>
          </w:tcPr>
          <w:p>
            <w:pPr>
              <w:widowControl/>
              <w:jc w:val="center"/>
              <w:rPr>
                <w:color w:val="000000"/>
                <w:kern w:val="0"/>
                <w:szCs w:val="21"/>
              </w:rPr>
            </w:pPr>
            <w:r>
              <w:rPr>
                <w:color w:val="000000"/>
                <w:kern w:val="0"/>
                <w:szCs w:val="21"/>
              </w:rPr>
              <w:t>人口较稀疏</w:t>
            </w:r>
          </w:p>
        </w:tc>
        <w:tc>
          <w:tcPr>
            <w:tcW w:w="1002" w:type="dxa"/>
            <w:vAlign w:val="center"/>
          </w:tcPr>
          <w:p>
            <w:pPr>
              <w:widowControl/>
              <w:jc w:val="center"/>
              <w:rPr>
                <w:color w:val="000000"/>
                <w:kern w:val="0"/>
                <w:szCs w:val="21"/>
              </w:rPr>
            </w:pPr>
            <w:r>
              <w:rPr>
                <w:color w:val="000000"/>
                <w:kern w:val="0"/>
                <w:szCs w:val="21"/>
              </w:rPr>
              <w:t>人口稀疏区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restart"/>
            <w:vAlign w:val="center"/>
          </w:tcPr>
          <w:p>
            <w:pPr>
              <w:widowControl/>
              <w:jc w:val="center"/>
              <w:rPr>
                <w:color w:val="000000"/>
                <w:kern w:val="0"/>
                <w:szCs w:val="21"/>
              </w:rPr>
            </w:pPr>
            <w:r>
              <w:rPr>
                <w:color w:val="000000"/>
                <w:kern w:val="0"/>
                <w:szCs w:val="21"/>
              </w:rPr>
              <w:t>城市规划</w:t>
            </w:r>
          </w:p>
        </w:tc>
        <w:tc>
          <w:tcPr>
            <w:tcW w:w="775" w:type="dxa"/>
            <w:vMerge w:val="restart"/>
            <w:vAlign w:val="center"/>
          </w:tcPr>
          <w:p>
            <w:pPr>
              <w:widowControl/>
              <w:jc w:val="center"/>
              <w:rPr>
                <w:color w:val="000000"/>
                <w:kern w:val="0"/>
                <w:szCs w:val="21"/>
              </w:rPr>
            </w:pPr>
            <w:r>
              <w:rPr>
                <w:color w:val="000000"/>
                <w:kern w:val="0"/>
                <w:szCs w:val="21"/>
              </w:rPr>
              <w:t>城市规划</w:t>
            </w:r>
          </w:p>
        </w:tc>
        <w:tc>
          <w:tcPr>
            <w:tcW w:w="1449" w:type="dxa"/>
            <w:vAlign w:val="center"/>
          </w:tcPr>
          <w:p>
            <w:pPr>
              <w:widowControl/>
              <w:jc w:val="center"/>
              <w:rPr>
                <w:color w:val="000000"/>
                <w:kern w:val="0"/>
                <w:szCs w:val="21"/>
              </w:rPr>
            </w:pPr>
            <w:r>
              <w:rPr>
                <w:color w:val="000000"/>
                <w:kern w:val="0"/>
                <w:szCs w:val="21"/>
              </w:rPr>
              <w:t>用地规划</w:t>
            </w:r>
          </w:p>
        </w:tc>
        <w:tc>
          <w:tcPr>
            <w:tcW w:w="1002" w:type="dxa"/>
            <w:vAlign w:val="center"/>
          </w:tcPr>
          <w:p>
            <w:pPr>
              <w:widowControl/>
              <w:jc w:val="center"/>
              <w:rPr>
                <w:color w:val="000000"/>
                <w:kern w:val="0"/>
                <w:szCs w:val="21"/>
              </w:rPr>
            </w:pPr>
            <w:r>
              <w:rPr>
                <w:color w:val="000000"/>
                <w:kern w:val="0"/>
                <w:szCs w:val="21"/>
              </w:rPr>
              <w:t>主干道</w:t>
            </w:r>
          </w:p>
        </w:tc>
        <w:tc>
          <w:tcPr>
            <w:tcW w:w="1260" w:type="dxa"/>
            <w:vAlign w:val="center"/>
          </w:tcPr>
          <w:p>
            <w:pPr>
              <w:widowControl/>
              <w:jc w:val="center"/>
              <w:rPr>
                <w:color w:val="000000"/>
                <w:kern w:val="0"/>
                <w:szCs w:val="21"/>
              </w:rPr>
            </w:pPr>
            <w:r>
              <w:rPr>
                <w:color w:val="000000"/>
                <w:kern w:val="0"/>
                <w:szCs w:val="21"/>
              </w:rPr>
              <w:t>次干道</w:t>
            </w:r>
          </w:p>
        </w:tc>
        <w:tc>
          <w:tcPr>
            <w:tcW w:w="1415" w:type="dxa"/>
            <w:vAlign w:val="center"/>
          </w:tcPr>
          <w:p>
            <w:pPr>
              <w:widowControl/>
              <w:jc w:val="center"/>
              <w:rPr>
                <w:color w:val="000000"/>
                <w:kern w:val="0"/>
                <w:szCs w:val="21"/>
              </w:rPr>
            </w:pPr>
            <w:r>
              <w:rPr>
                <w:color w:val="000000"/>
                <w:kern w:val="0"/>
                <w:szCs w:val="21"/>
              </w:rPr>
              <w:t>快速路</w:t>
            </w:r>
          </w:p>
        </w:tc>
        <w:tc>
          <w:tcPr>
            <w:tcW w:w="1428" w:type="dxa"/>
            <w:vAlign w:val="center"/>
          </w:tcPr>
          <w:p>
            <w:pPr>
              <w:widowControl/>
              <w:jc w:val="center"/>
              <w:rPr>
                <w:color w:val="000000"/>
                <w:kern w:val="0"/>
                <w:szCs w:val="21"/>
              </w:rPr>
            </w:pPr>
            <w:r>
              <w:rPr>
                <w:color w:val="000000"/>
                <w:kern w:val="0"/>
                <w:szCs w:val="21"/>
              </w:rPr>
              <w:t>支路</w:t>
            </w:r>
          </w:p>
        </w:tc>
        <w:tc>
          <w:tcPr>
            <w:tcW w:w="1002" w:type="dxa"/>
            <w:vAlign w:val="center"/>
          </w:tcPr>
          <w:p>
            <w:pPr>
              <w:widowControl/>
              <w:jc w:val="center"/>
              <w:rPr>
                <w:color w:val="000000"/>
                <w:kern w:val="0"/>
                <w:szCs w:val="21"/>
              </w:rPr>
            </w:pPr>
            <w:r>
              <w:rPr>
                <w:color w:val="000000"/>
                <w:kern w:val="0"/>
                <w:szCs w:val="21"/>
              </w:rPr>
              <w:t>街坊间支路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道路规划</w:t>
            </w:r>
          </w:p>
        </w:tc>
        <w:tc>
          <w:tcPr>
            <w:tcW w:w="1002" w:type="dxa"/>
            <w:vAlign w:val="center"/>
          </w:tcPr>
          <w:p>
            <w:pPr>
              <w:widowControl/>
              <w:jc w:val="center"/>
              <w:rPr>
                <w:color w:val="000000"/>
                <w:kern w:val="0"/>
                <w:szCs w:val="21"/>
              </w:rPr>
            </w:pPr>
            <w:r>
              <w:rPr>
                <w:color w:val="000000"/>
                <w:kern w:val="0"/>
                <w:szCs w:val="21"/>
              </w:rPr>
              <w:t>最佳用途</w:t>
            </w:r>
          </w:p>
        </w:tc>
        <w:tc>
          <w:tcPr>
            <w:tcW w:w="1260" w:type="dxa"/>
            <w:vAlign w:val="center"/>
          </w:tcPr>
          <w:p>
            <w:pPr>
              <w:widowControl/>
              <w:jc w:val="center"/>
              <w:rPr>
                <w:color w:val="000000"/>
                <w:kern w:val="0"/>
                <w:szCs w:val="21"/>
              </w:rPr>
            </w:pPr>
            <w:r>
              <w:rPr>
                <w:color w:val="000000"/>
                <w:kern w:val="0"/>
                <w:szCs w:val="21"/>
              </w:rPr>
              <w:t>较适用途</w:t>
            </w:r>
          </w:p>
        </w:tc>
        <w:tc>
          <w:tcPr>
            <w:tcW w:w="1415" w:type="dxa"/>
            <w:vAlign w:val="center"/>
          </w:tcPr>
          <w:p>
            <w:pPr>
              <w:widowControl/>
              <w:jc w:val="center"/>
              <w:rPr>
                <w:color w:val="000000"/>
                <w:kern w:val="0"/>
                <w:szCs w:val="21"/>
              </w:rPr>
            </w:pPr>
            <w:r>
              <w:rPr>
                <w:color w:val="000000"/>
                <w:kern w:val="0"/>
                <w:szCs w:val="21"/>
              </w:rPr>
              <w:t>一般用途</w:t>
            </w:r>
          </w:p>
        </w:tc>
        <w:tc>
          <w:tcPr>
            <w:tcW w:w="1428" w:type="dxa"/>
            <w:vAlign w:val="center"/>
          </w:tcPr>
          <w:p>
            <w:pPr>
              <w:widowControl/>
              <w:jc w:val="center"/>
              <w:rPr>
                <w:color w:val="000000"/>
                <w:kern w:val="0"/>
                <w:szCs w:val="21"/>
              </w:rPr>
            </w:pPr>
            <w:r>
              <w:rPr>
                <w:color w:val="000000"/>
                <w:kern w:val="0"/>
                <w:szCs w:val="21"/>
              </w:rPr>
              <w:t>不太适合用途</w:t>
            </w:r>
          </w:p>
        </w:tc>
        <w:tc>
          <w:tcPr>
            <w:tcW w:w="1002" w:type="dxa"/>
            <w:vAlign w:val="center"/>
          </w:tcPr>
          <w:p>
            <w:pPr>
              <w:widowControl/>
              <w:jc w:val="center"/>
              <w:rPr>
                <w:color w:val="000000"/>
                <w:kern w:val="0"/>
                <w:szCs w:val="21"/>
              </w:rPr>
            </w:pPr>
            <w:r>
              <w:rPr>
                <w:color w:val="000000"/>
                <w:kern w:val="0"/>
                <w:szCs w:val="21"/>
              </w:rPr>
              <w:t>不适合用途</w:t>
            </w:r>
          </w:p>
        </w:tc>
      </w:tr>
    </w:tbl>
    <w:p>
      <w:pPr>
        <w:widowControl/>
        <w:ind w:firstLine="480" w:firstLineChars="200"/>
        <w:jc w:val="left"/>
        <w:rPr>
          <w:b/>
          <w:sz w:val="24"/>
          <w:szCs w:val="24"/>
        </w:rPr>
      </w:pPr>
      <w:r>
        <w:rPr>
          <w:bCs/>
          <w:sz w:val="24"/>
          <w:szCs w:val="24"/>
        </w:rPr>
        <w:br w:type="page"/>
      </w:r>
    </w:p>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表4-4-9  长沙县Ⅴ级住宅用地宗地地价区域因素修正系数表（%）</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18"/>
        <w:gridCol w:w="2121"/>
        <w:gridCol w:w="937"/>
        <w:gridCol w:w="937"/>
        <w:gridCol w:w="937"/>
        <w:gridCol w:w="937"/>
        <w:gridCol w:w="937"/>
        <w:gridCol w:w="9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212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指标层</w:t>
            </w:r>
          </w:p>
        </w:tc>
        <w:tc>
          <w:tcPr>
            <w:tcW w:w="937" w:type="dxa"/>
            <w:tcBorders>
              <w:top w:val="single" w:color="auto" w:sz="4" w:space="0"/>
              <w:left w:val="nil"/>
              <w:bottom w:val="nil"/>
              <w:right w:val="single" w:color="auto" w:sz="4" w:space="0"/>
            </w:tcBorders>
            <w:vAlign w:val="center"/>
          </w:tcPr>
          <w:p>
            <w:pPr>
              <w:widowControl/>
              <w:jc w:val="center"/>
              <w:rPr>
                <w:b/>
                <w:bCs/>
                <w:kern w:val="0"/>
                <w:szCs w:val="21"/>
              </w:rPr>
            </w:pPr>
            <w:r>
              <w:rPr>
                <w:b/>
                <w:bCs/>
                <w:kern w:val="0"/>
                <w:szCs w:val="21"/>
              </w:rPr>
              <w:t>权重</w:t>
            </w:r>
          </w:p>
        </w:tc>
        <w:tc>
          <w:tcPr>
            <w:tcW w:w="937" w:type="dxa"/>
            <w:tcBorders>
              <w:top w:val="single" w:color="auto" w:sz="4" w:space="0"/>
              <w:left w:val="nil"/>
              <w:bottom w:val="single" w:color="auto" w:sz="4" w:space="0"/>
              <w:right w:val="single" w:color="auto" w:sz="4" w:space="0"/>
            </w:tcBorders>
            <w:vAlign w:val="center"/>
          </w:tcPr>
          <w:p>
            <w:pPr>
              <w:widowControl/>
              <w:jc w:val="center"/>
              <w:rPr>
                <w:b/>
                <w:bCs/>
                <w:kern w:val="0"/>
                <w:szCs w:val="21"/>
              </w:rPr>
            </w:pPr>
            <w:r>
              <w:rPr>
                <w:b/>
                <w:bCs/>
                <w:kern w:val="0"/>
                <w:szCs w:val="21"/>
              </w:rPr>
              <w:t>优</w:t>
            </w:r>
          </w:p>
        </w:tc>
        <w:tc>
          <w:tcPr>
            <w:tcW w:w="937" w:type="dxa"/>
            <w:tcBorders>
              <w:top w:val="single" w:color="auto" w:sz="4" w:space="0"/>
              <w:left w:val="nil"/>
              <w:bottom w:val="single" w:color="auto" w:sz="4" w:space="0"/>
              <w:right w:val="single" w:color="auto" w:sz="4" w:space="0"/>
            </w:tcBorders>
            <w:vAlign w:val="center"/>
          </w:tcPr>
          <w:p>
            <w:pPr>
              <w:widowControl/>
              <w:jc w:val="center"/>
              <w:rPr>
                <w:b/>
                <w:bCs/>
                <w:kern w:val="0"/>
                <w:szCs w:val="21"/>
              </w:rPr>
            </w:pPr>
            <w:r>
              <w:rPr>
                <w:b/>
                <w:bCs/>
                <w:kern w:val="0"/>
                <w:szCs w:val="21"/>
              </w:rPr>
              <w:t>较优</w:t>
            </w:r>
          </w:p>
        </w:tc>
        <w:tc>
          <w:tcPr>
            <w:tcW w:w="937" w:type="dxa"/>
            <w:tcBorders>
              <w:top w:val="single" w:color="auto" w:sz="4" w:space="0"/>
              <w:left w:val="nil"/>
              <w:bottom w:val="single" w:color="auto" w:sz="4" w:space="0"/>
              <w:right w:val="single" w:color="auto" w:sz="4" w:space="0"/>
            </w:tcBorders>
            <w:vAlign w:val="center"/>
          </w:tcPr>
          <w:p>
            <w:pPr>
              <w:widowControl/>
              <w:jc w:val="center"/>
              <w:rPr>
                <w:b/>
                <w:bCs/>
                <w:kern w:val="0"/>
                <w:szCs w:val="21"/>
              </w:rPr>
            </w:pPr>
            <w:r>
              <w:rPr>
                <w:b/>
                <w:bCs/>
                <w:kern w:val="0"/>
                <w:szCs w:val="21"/>
              </w:rPr>
              <w:t>一般</w:t>
            </w:r>
          </w:p>
        </w:tc>
        <w:tc>
          <w:tcPr>
            <w:tcW w:w="937" w:type="dxa"/>
            <w:tcBorders>
              <w:top w:val="single" w:color="auto" w:sz="4" w:space="0"/>
              <w:left w:val="nil"/>
              <w:bottom w:val="single" w:color="auto" w:sz="4" w:space="0"/>
              <w:right w:val="single" w:color="auto" w:sz="4" w:space="0"/>
            </w:tcBorders>
            <w:vAlign w:val="center"/>
          </w:tcPr>
          <w:p>
            <w:pPr>
              <w:widowControl/>
              <w:jc w:val="center"/>
              <w:rPr>
                <w:b/>
                <w:bCs/>
                <w:kern w:val="0"/>
                <w:szCs w:val="21"/>
              </w:rPr>
            </w:pPr>
            <w:r>
              <w:rPr>
                <w:b/>
                <w:bCs/>
                <w:kern w:val="0"/>
                <w:szCs w:val="21"/>
              </w:rPr>
              <w:t>较劣</w:t>
            </w:r>
          </w:p>
        </w:tc>
        <w:tc>
          <w:tcPr>
            <w:tcW w:w="937" w:type="dxa"/>
            <w:tcBorders>
              <w:top w:val="single" w:color="auto" w:sz="4" w:space="0"/>
              <w:left w:val="nil"/>
              <w:bottom w:val="single" w:color="auto" w:sz="4" w:space="0"/>
              <w:right w:val="single" w:color="auto" w:sz="4" w:space="0"/>
            </w:tcBorders>
            <w:vAlign w:val="center"/>
          </w:tcPr>
          <w:p>
            <w:pPr>
              <w:widowControl/>
              <w:jc w:val="center"/>
              <w:rPr>
                <w:b/>
                <w:bCs/>
                <w:kern w:val="0"/>
                <w:szCs w:val="21"/>
              </w:rPr>
            </w:pPr>
            <w:r>
              <w:rPr>
                <w:b/>
                <w:bCs/>
                <w:kern w:val="0"/>
                <w:szCs w:val="21"/>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基础设施完善度</w:t>
            </w: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排水状况</w:t>
            </w:r>
          </w:p>
        </w:tc>
        <w:tc>
          <w:tcPr>
            <w:tcW w:w="937" w:type="dxa"/>
            <w:tcBorders>
              <w:top w:val="single" w:color="auto" w:sz="4" w:space="0"/>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0.0426</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0.4592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0.2296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-0.2179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-0.4358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供水状况</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0.0426</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0.4592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0.2296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-0.2179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-0.4358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供电状况</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0.0426</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0.4592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0.2296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-0.2179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-0.4358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供气状况</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0.0426</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0.4592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0.2296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-0.2179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-0.4358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1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公用设施完备度</w:t>
            </w: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距中小学距离</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0.0521</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0.5616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0.2808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-0.2665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-0.5330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距医院距离</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0.0312</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0.3363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0.1682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-0.1596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-0.3192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距大型超市距离</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0.0366</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0.3945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0.1973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-0.1872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-0.3744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距文体设施距离</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0.0257</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0.2770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0.1385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-0.1315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道路通达度</w:t>
            </w: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临近道路状况</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0.1124</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1.2117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0.6058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-0.5749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-1.1499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31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公交便捷度</w:t>
            </w: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距最近公交站点（</w:t>
            </w:r>
            <w:r>
              <w:rPr>
                <w:rFonts w:hint="eastAsia"/>
                <w:color w:val="000000"/>
                <w:kern w:val="0"/>
                <w:szCs w:val="21"/>
              </w:rPr>
              <w:t>轨道交通</w:t>
            </w:r>
            <w:r>
              <w:rPr>
                <w:color w:val="000000"/>
                <w:kern w:val="0"/>
                <w:szCs w:val="21"/>
              </w:rPr>
              <w:t>站）距离</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0.0821</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0.8850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0.4425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-0.4199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-0.8399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31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对外交通便利度</w:t>
            </w: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距最近长途汽车站距离</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0.0188</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0.2027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0.1013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-0.0962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-0.1923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距火车站距离</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0.0121</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0.1304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0.0652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-0.0619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-0.1238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距高铁站长沙南站距离</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0.0124</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0.1337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0.0668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-0.0634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-0.1269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环境优劣度</w:t>
            </w: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水污染情况</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0.0433</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0.4668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0.2334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-0.2215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-0.4430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大气污染情况</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0.0433</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0.4668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0.2334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-0.2215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-0.4430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噪声污染情况</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0.0433</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0.4668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0.2334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-0.2215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-0.4430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1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自然条件优劣度</w:t>
            </w: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洪水淹没状况</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0.0668</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0.7201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0.3601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-0.3417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-0.6834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31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商服繁华影响度</w:t>
            </w: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距商服中心距离</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0.1525</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1.6440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0.8220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-0.7800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-1.5601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人口密度</w:t>
            </w: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人口密度</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0.0486</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0.5239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0.2620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-0.2486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-0.4972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城市规划</w:t>
            </w: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用地规划</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0.0256</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0.2760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0.1380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-0.1309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-0.2619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道路规划</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0.0228</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0.2458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0.1229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0</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-0.1166 </w:t>
            </w:r>
          </w:p>
        </w:tc>
        <w:tc>
          <w:tcPr>
            <w:tcW w:w="937" w:type="dxa"/>
            <w:tcBorders>
              <w:top w:val="nil"/>
              <w:left w:val="nil"/>
              <w:bottom w:val="single" w:color="auto" w:sz="4" w:space="0"/>
              <w:right w:val="single" w:color="auto" w:sz="4" w:space="0"/>
            </w:tcBorders>
            <w:vAlign w:val="center"/>
          </w:tcPr>
          <w:p>
            <w:pPr>
              <w:widowControl/>
              <w:jc w:val="center"/>
              <w:textAlignment w:val="center"/>
              <w:rPr>
                <w:kern w:val="0"/>
                <w:szCs w:val="21"/>
              </w:rPr>
            </w:pPr>
            <w:r>
              <w:rPr>
                <w:rFonts w:eastAsia="Tahoma"/>
                <w:color w:val="000000"/>
                <w:kern w:val="0"/>
                <w:szCs w:val="21"/>
                <w:lang/>
              </w:rPr>
              <w:t xml:space="preserve">-0.2332 </w:t>
            </w:r>
          </w:p>
        </w:tc>
      </w:tr>
    </w:tbl>
    <w:p>
      <w:pPr>
        <w:widowControl/>
        <w:ind w:firstLine="480" w:firstLineChars="200"/>
        <w:jc w:val="left"/>
        <w:rPr>
          <w:b/>
          <w:sz w:val="24"/>
          <w:szCs w:val="24"/>
        </w:rPr>
      </w:pPr>
      <w:r>
        <w:rPr>
          <w:bCs/>
          <w:sz w:val="24"/>
          <w:szCs w:val="24"/>
        </w:rPr>
        <w:br w:type="page"/>
      </w:r>
    </w:p>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表4-4-10  长沙县Ⅴ级住宅用地宗地地价区域因素修正系数指标说明表</w:t>
      </w:r>
    </w:p>
    <w:tbl>
      <w:tblPr>
        <w:tblW w:w="896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75"/>
        <w:gridCol w:w="1449"/>
        <w:gridCol w:w="1002"/>
        <w:gridCol w:w="1546"/>
        <w:gridCol w:w="1273"/>
        <w:gridCol w:w="1145"/>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Align w:val="center"/>
          </w:tcPr>
          <w:p>
            <w:pPr>
              <w:widowControl/>
              <w:jc w:val="center"/>
              <w:rPr>
                <w:b/>
                <w:bCs/>
                <w:color w:val="000000"/>
                <w:kern w:val="0"/>
                <w:szCs w:val="21"/>
              </w:rPr>
            </w:pPr>
            <w:r>
              <w:rPr>
                <w:b/>
                <w:bCs/>
                <w:color w:val="000000"/>
                <w:kern w:val="0"/>
                <w:szCs w:val="21"/>
              </w:rPr>
              <w:t>因素层</w:t>
            </w:r>
          </w:p>
        </w:tc>
        <w:tc>
          <w:tcPr>
            <w:tcW w:w="775" w:type="dxa"/>
            <w:vAlign w:val="center"/>
          </w:tcPr>
          <w:p>
            <w:pPr>
              <w:widowControl/>
              <w:jc w:val="center"/>
              <w:rPr>
                <w:b/>
                <w:bCs/>
                <w:color w:val="000000"/>
                <w:kern w:val="0"/>
                <w:szCs w:val="21"/>
              </w:rPr>
            </w:pPr>
            <w:r>
              <w:rPr>
                <w:b/>
                <w:bCs/>
                <w:color w:val="000000"/>
                <w:kern w:val="0"/>
                <w:szCs w:val="21"/>
              </w:rPr>
              <w:t>因子层</w:t>
            </w:r>
          </w:p>
        </w:tc>
        <w:tc>
          <w:tcPr>
            <w:tcW w:w="1449" w:type="dxa"/>
            <w:vAlign w:val="center"/>
          </w:tcPr>
          <w:p>
            <w:pPr>
              <w:widowControl/>
              <w:jc w:val="center"/>
              <w:rPr>
                <w:b/>
                <w:bCs/>
                <w:color w:val="000000"/>
                <w:kern w:val="0"/>
                <w:szCs w:val="21"/>
              </w:rPr>
            </w:pPr>
            <w:r>
              <w:rPr>
                <w:b/>
                <w:bCs/>
                <w:color w:val="000000"/>
                <w:kern w:val="0"/>
                <w:szCs w:val="21"/>
              </w:rPr>
              <w:t>指标层</w:t>
            </w:r>
          </w:p>
        </w:tc>
        <w:tc>
          <w:tcPr>
            <w:tcW w:w="1002" w:type="dxa"/>
            <w:vAlign w:val="center"/>
          </w:tcPr>
          <w:p>
            <w:pPr>
              <w:widowControl/>
              <w:jc w:val="center"/>
              <w:rPr>
                <w:b/>
                <w:bCs/>
                <w:color w:val="000000"/>
                <w:kern w:val="0"/>
                <w:szCs w:val="21"/>
              </w:rPr>
            </w:pPr>
            <w:r>
              <w:rPr>
                <w:b/>
                <w:bCs/>
                <w:color w:val="000000"/>
                <w:kern w:val="0"/>
                <w:szCs w:val="21"/>
              </w:rPr>
              <w:t>优</w:t>
            </w:r>
          </w:p>
        </w:tc>
        <w:tc>
          <w:tcPr>
            <w:tcW w:w="1546" w:type="dxa"/>
            <w:vAlign w:val="center"/>
          </w:tcPr>
          <w:p>
            <w:pPr>
              <w:widowControl/>
              <w:jc w:val="center"/>
              <w:rPr>
                <w:b/>
                <w:bCs/>
                <w:color w:val="000000"/>
                <w:kern w:val="0"/>
                <w:szCs w:val="21"/>
              </w:rPr>
            </w:pPr>
            <w:r>
              <w:rPr>
                <w:b/>
                <w:bCs/>
                <w:color w:val="000000"/>
                <w:kern w:val="0"/>
                <w:szCs w:val="21"/>
              </w:rPr>
              <w:t>较优</w:t>
            </w:r>
          </w:p>
        </w:tc>
        <w:tc>
          <w:tcPr>
            <w:tcW w:w="1273" w:type="dxa"/>
            <w:vAlign w:val="center"/>
          </w:tcPr>
          <w:p>
            <w:pPr>
              <w:widowControl/>
              <w:jc w:val="center"/>
              <w:rPr>
                <w:b/>
                <w:bCs/>
                <w:color w:val="000000"/>
                <w:kern w:val="0"/>
                <w:szCs w:val="21"/>
              </w:rPr>
            </w:pPr>
            <w:r>
              <w:rPr>
                <w:b/>
                <w:bCs/>
                <w:color w:val="000000"/>
                <w:kern w:val="0"/>
                <w:szCs w:val="21"/>
              </w:rPr>
              <w:t>一般</w:t>
            </w:r>
          </w:p>
        </w:tc>
        <w:tc>
          <w:tcPr>
            <w:tcW w:w="1145" w:type="dxa"/>
            <w:vAlign w:val="center"/>
          </w:tcPr>
          <w:p>
            <w:pPr>
              <w:widowControl/>
              <w:jc w:val="center"/>
              <w:rPr>
                <w:b/>
                <w:bCs/>
                <w:color w:val="000000"/>
                <w:kern w:val="0"/>
                <w:szCs w:val="21"/>
              </w:rPr>
            </w:pPr>
            <w:r>
              <w:rPr>
                <w:b/>
                <w:bCs/>
                <w:color w:val="000000"/>
                <w:kern w:val="0"/>
                <w:szCs w:val="21"/>
              </w:rPr>
              <w:t>较劣</w:t>
            </w:r>
          </w:p>
        </w:tc>
        <w:tc>
          <w:tcPr>
            <w:tcW w:w="1002" w:type="dxa"/>
            <w:vAlign w:val="center"/>
          </w:tcPr>
          <w:p>
            <w:pPr>
              <w:widowControl/>
              <w:jc w:val="center"/>
              <w:rPr>
                <w:b/>
                <w:bCs/>
                <w:color w:val="000000"/>
                <w:kern w:val="0"/>
                <w:szCs w:val="21"/>
              </w:rPr>
            </w:pPr>
            <w:r>
              <w:rPr>
                <w:b/>
                <w:bCs/>
                <w:color w:val="000000"/>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restart"/>
            <w:vAlign w:val="center"/>
          </w:tcPr>
          <w:p>
            <w:pPr>
              <w:widowControl/>
              <w:jc w:val="center"/>
              <w:rPr>
                <w:color w:val="000000"/>
                <w:kern w:val="0"/>
                <w:szCs w:val="21"/>
              </w:rPr>
            </w:pPr>
            <w:r>
              <w:rPr>
                <w:color w:val="000000"/>
                <w:kern w:val="0"/>
                <w:szCs w:val="21"/>
              </w:rPr>
              <w:t>基本设施状况</w:t>
            </w:r>
          </w:p>
        </w:tc>
        <w:tc>
          <w:tcPr>
            <w:tcW w:w="775" w:type="dxa"/>
            <w:vMerge w:val="restart"/>
            <w:vAlign w:val="center"/>
          </w:tcPr>
          <w:p>
            <w:pPr>
              <w:widowControl/>
              <w:jc w:val="center"/>
              <w:rPr>
                <w:color w:val="000000"/>
                <w:kern w:val="0"/>
                <w:szCs w:val="21"/>
              </w:rPr>
            </w:pPr>
            <w:r>
              <w:rPr>
                <w:color w:val="000000"/>
                <w:kern w:val="0"/>
                <w:szCs w:val="21"/>
              </w:rPr>
              <w:t>基础设施完善度</w:t>
            </w:r>
          </w:p>
        </w:tc>
        <w:tc>
          <w:tcPr>
            <w:tcW w:w="1449" w:type="dxa"/>
            <w:vAlign w:val="center"/>
          </w:tcPr>
          <w:p>
            <w:pPr>
              <w:widowControl/>
              <w:jc w:val="center"/>
              <w:rPr>
                <w:color w:val="000000"/>
                <w:kern w:val="0"/>
                <w:szCs w:val="21"/>
              </w:rPr>
            </w:pPr>
            <w:r>
              <w:rPr>
                <w:color w:val="000000"/>
                <w:kern w:val="0"/>
                <w:szCs w:val="21"/>
              </w:rPr>
              <w:t>排水状况</w:t>
            </w:r>
          </w:p>
        </w:tc>
        <w:tc>
          <w:tcPr>
            <w:tcW w:w="1002" w:type="dxa"/>
            <w:vAlign w:val="center"/>
          </w:tcPr>
          <w:p>
            <w:pPr>
              <w:widowControl/>
              <w:jc w:val="center"/>
              <w:rPr>
                <w:color w:val="000000"/>
                <w:kern w:val="0"/>
                <w:szCs w:val="21"/>
              </w:rPr>
            </w:pPr>
            <w:r>
              <w:rPr>
                <w:color w:val="000000"/>
                <w:kern w:val="0"/>
                <w:szCs w:val="21"/>
              </w:rPr>
              <w:t>好</w:t>
            </w:r>
          </w:p>
        </w:tc>
        <w:tc>
          <w:tcPr>
            <w:tcW w:w="1546" w:type="dxa"/>
            <w:vAlign w:val="center"/>
          </w:tcPr>
          <w:p>
            <w:pPr>
              <w:widowControl/>
              <w:jc w:val="center"/>
              <w:rPr>
                <w:color w:val="000000"/>
                <w:kern w:val="0"/>
                <w:szCs w:val="21"/>
              </w:rPr>
            </w:pPr>
            <w:r>
              <w:rPr>
                <w:color w:val="000000"/>
                <w:kern w:val="0"/>
                <w:szCs w:val="21"/>
              </w:rPr>
              <w:t>较好</w:t>
            </w:r>
          </w:p>
        </w:tc>
        <w:tc>
          <w:tcPr>
            <w:tcW w:w="1273" w:type="dxa"/>
            <w:vAlign w:val="center"/>
          </w:tcPr>
          <w:p>
            <w:pPr>
              <w:widowControl/>
              <w:jc w:val="center"/>
              <w:rPr>
                <w:color w:val="000000"/>
                <w:kern w:val="0"/>
                <w:szCs w:val="21"/>
              </w:rPr>
            </w:pPr>
            <w:r>
              <w:rPr>
                <w:color w:val="000000"/>
                <w:kern w:val="0"/>
                <w:szCs w:val="21"/>
              </w:rPr>
              <w:t>一般</w:t>
            </w:r>
          </w:p>
        </w:tc>
        <w:tc>
          <w:tcPr>
            <w:tcW w:w="1145" w:type="dxa"/>
            <w:vAlign w:val="center"/>
          </w:tcPr>
          <w:p>
            <w:pPr>
              <w:widowControl/>
              <w:jc w:val="center"/>
              <w:rPr>
                <w:color w:val="000000"/>
                <w:kern w:val="0"/>
                <w:szCs w:val="21"/>
              </w:rPr>
            </w:pPr>
            <w:r>
              <w:rPr>
                <w:color w:val="000000"/>
                <w:kern w:val="0"/>
                <w:szCs w:val="21"/>
              </w:rPr>
              <w:t>较差</w:t>
            </w:r>
          </w:p>
        </w:tc>
        <w:tc>
          <w:tcPr>
            <w:tcW w:w="1002" w:type="dxa"/>
            <w:vAlign w:val="center"/>
          </w:tcPr>
          <w:p>
            <w:pPr>
              <w:widowControl/>
              <w:jc w:val="center"/>
              <w:rPr>
                <w:color w:val="000000"/>
                <w:kern w:val="0"/>
                <w:szCs w:val="21"/>
              </w:rPr>
            </w:pPr>
            <w:r>
              <w:rPr>
                <w:color w:val="000000"/>
                <w:kern w:val="0"/>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供水状况</w:t>
            </w:r>
          </w:p>
        </w:tc>
        <w:tc>
          <w:tcPr>
            <w:tcW w:w="1002" w:type="dxa"/>
            <w:vAlign w:val="center"/>
          </w:tcPr>
          <w:p>
            <w:pPr>
              <w:widowControl/>
              <w:jc w:val="center"/>
              <w:rPr>
                <w:color w:val="000000"/>
                <w:kern w:val="0"/>
                <w:szCs w:val="21"/>
              </w:rPr>
            </w:pPr>
            <w:r>
              <w:rPr>
                <w:color w:val="000000"/>
                <w:kern w:val="0"/>
                <w:szCs w:val="21"/>
              </w:rPr>
              <w:t>100%</w:t>
            </w:r>
          </w:p>
        </w:tc>
        <w:tc>
          <w:tcPr>
            <w:tcW w:w="1546" w:type="dxa"/>
            <w:vAlign w:val="center"/>
          </w:tcPr>
          <w:p>
            <w:pPr>
              <w:widowControl/>
              <w:jc w:val="center"/>
              <w:rPr>
                <w:color w:val="000000"/>
                <w:kern w:val="0"/>
                <w:szCs w:val="21"/>
              </w:rPr>
            </w:pPr>
            <w:r>
              <w:rPr>
                <w:color w:val="000000"/>
                <w:kern w:val="0"/>
                <w:szCs w:val="21"/>
              </w:rPr>
              <w:t>90-99%</w:t>
            </w:r>
          </w:p>
        </w:tc>
        <w:tc>
          <w:tcPr>
            <w:tcW w:w="1273" w:type="dxa"/>
            <w:vAlign w:val="center"/>
          </w:tcPr>
          <w:p>
            <w:pPr>
              <w:widowControl/>
              <w:jc w:val="center"/>
              <w:rPr>
                <w:color w:val="000000"/>
                <w:kern w:val="0"/>
                <w:szCs w:val="21"/>
              </w:rPr>
            </w:pPr>
            <w:r>
              <w:rPr>
                <w:color w:val="000000"/>
                <w:kern w:val="0"/>
                <w:szCs w:val="21"/>
              </w:rPr>
              <w:t>80-89%</w:t>
            </w:r>
          </w:p>
        </w:tc>
        <w:tc>
          <w:tcPr>
            <w:tcW w:w="1145" w:type="dxa"/>
            <w:vAlign w:val="center"/>
          </w:tcPr>
          <w:p>
            <w:pPr>
              <w:widowControl/>
              <w:jc w:val="center"/>
              <w:rPr>
                <w:color w:val="000000"/>
                <w:kern w:val="0"/>
                <w:szCs w:val="21"/>
              </w:rPr>
            </w:pPr>
            <w:r>
              <w:rPr>
                <w:color w:val="000000"/>
                <w:kern w:val="0"/>
                <w:szCs w:val="21"/>
              </w:rPr>
              <w:t>60-79%</w:t>
            </w:r>
          </w:p>
        </w:tc>
        <w:tc>
          <w:tcPr>
            <w:tcW w:w="1002"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供电状况</w:t>
            </w:r>
          </w:p>
        </w:tc>
        <w:tc>
          <w:tcPr>
            <w:tcW w:w="1002" w:type="dxa"/>
            <w:vAlign w:val="center"/>
          </w:tcPr>
          <w:p>
            <w:pPr>
              <w:widowControl/>
              <w:jc w:val="center"/>
              <w:rPr>
                <w:color w:val="000000"/>
                <w:kern w:val="0"/>
                <w:szCs w:val="21"/>
              </w:rPr>
            </w:pPr>
            <w:r>
              <w:rPr>
                <w:color w:val="000000"/>
                <w:kern w:val="0"/>
                <w:szCs w:val="21"/>
              </w:rPr>
              <w:t>100%</w:t>
            </w:r>
          </w:p>
        </w:tc>
        <w:tc>
          <w:tcPr>
            <w:tcW w:w="1546" w:type="dxa"/>
            <w:vAlign w:val="center"/>
          </w:tcPr>
          <w:p>
            <w:pPr>
              <w:widowControl/>
              <w:jc w:val="center"/>
              <w:rPr>
                <w:color w:val="000000"/>
                <w:kern w:val="0"/>
                <w:szCs w:val="21"/>
              </w:rPr>
            </w:pPr>
            <w:r>
              <w:rPr>
                <w:color w:val="000000"/>
                <w:kern w:val="0"/>
                <w:szCs w:val="21"/>
              </w:rPr>
              <w:t>90-99%</w:t>
            </w:r>
          </w:p>
        </w:tc>
        <w:tc>
          <w:tcPr>
            <w:tcW w:w="1273" w:type="dxa"/>
            <w:vAlign w:val="center"/>
          </w:tcPr>
          <w:p>
            <w:pPr>
              <w:widowControl/>
              <w:jc w:val="center"/>
              <w:rPr>
                <w:color w:val="000000"/>
                <w:kern w:val="0"/>
                <w:szCs w:val="21"/>
              </w:rPr>
            </w:pPr>
            <w:r>
              <w:rPr>
                <w:color w:val="000000"/>
                <w:kern w:val="0"/>
                <w:szCs w:val="21"/>
              </w:rPr>
              <w:t>80-89%</w:t>
            </w:r>
          </w:p>
        </w:tc>
        <w:tc>
          <w:tcPr>
            <w:tcW w:w="1145" w:type="dxa"/>
            <w:vAlign w:val="center"/>
          </w:tcPr>
          <w:p>
            <w:pPr>
              <w:widowControl/>
              <w:jc w:val="center"/>
              <w:rPr>
                <w:color w:val="000000"/>
                <w:kern w:val="0"/>
                <w:szCs w:val="21"/>
              </w:rPr>
            </w:pPr>
            <w:r>
              <w:rPr>
                <w:color w:val="000000"/>
                <w:kern w:val="0"/>
                <w:szCs w:val="21"/>
              </w:rPr>
              <w:t>60-79%</w:t>
            </w:r>
          </w:p>
        </w:tc>
        <w:tc>
          <w:tcPr>
            <w:tcW w:w="1002"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供气状况</w:t>
            </w:r>
          </w:p>
        </w:tc>
        <w:tc>
          <w:tcPr>
            <w:tcW w:w="1002" w:type="dxa"/>
            <w:vAlign w:val="center"/>
          </w:tcPr>
          <w:p>
            <w:pPr>
              <w:widowControl/>
              <w:jc w:val="center"/>
              <w:rPr>
                <w:color w:val="000000"/>
                <w:kern w:val="0"/>
                <w:szCs w:val="21"/>
              </w:rPr>
            </w:pPr>
            <w:r>
              <w:rPr>
                <w:color w:val="000000"/>
                <w:kern w:val="0"/>
                <w:szCs w:val="21"/>
              </w:rPr>
              <w:t>100%</w:t>
            </w:r>
          </w:p>
        </w:tc>
        <w:tc>
          <w:tcPr>
            <w:tcW w:w="1546" w:type="dxa"/>
            <w:vAlign w:val="center"/>
          </w:tcPr>
          <w:p>
            <w:pPr>
              <w:widowControl/>
              <w:jc w:val="center"/>
              <w:rPr>
                <w:color w:val="000000"/>
                <w:kern w:val="0"/>
                <w:szCs w:val="21"/>
              </w:rPr>
            </w:pPr>
            <w:r>
              <w:rPr>
                <w:color w:val="000000"/>
                <w:kern w:val="0"/>
                <w:szCs w:val="21"/>
              </w:rPr>
              <w:t>90-99%</w:t>
            </w:r>
          </w:p>
        </w:tc>
        <w:tc>
          <w:tcPr>
            <w:tcW w:w="1273" w:type="dxa"/>
            <w:vAlign w:val="center"/>
          </w:tcPr>
          <w:p>
            <w:pPr>
              <w:widowControl/>
              <w:jc w:val="center"/>
              <w:rPr>
                <w:color w:val="000000"/>
                <w:kern w:val="0"/>
                <w:szCs w:val="21"/>
              </w:rPr>
            </w:pPr>
            <w:r>
              <w:rPr>
                <w:color w:val="000000"/>
                <w:kern w:val="0"/>
                <w:szCs w:val="21"/>
              </w:rPr>
              <w:t>80-89%</w:t>
            </w:r>
          </w:p>
        </w:tc>
        <w:tc>
          <w:tcPr>
            <w:tcW w:w="1145" w:type="dxa"/>
            <w:vAlign w:val="center"/>
          </w:tcPr>
          <w:p>
            <w:pPr>
              <w:widowControl/>
              <w:jc w:val="center"/>
              <w:rPr>
                <w:color w:val="000000"/>
                <w:kern w:val="0"/>
                <w:szCs w:val="21"/>
              </w:rPr>
            </w:pPr>
            <w:r>
              <w:rPr>
                <w:color w:val="000000"/>
                <w:kern w:val="0"/>
                <w:szCs w:val="21"/>
              </w:rPr>
              <w:t>60-79%</w:t>
            </w:r>
          </w:p>
        </w:tc>
        <w:tc>
          <w:tcPr>
            <w:tcW w:w="1002"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restart"/>
            <w:vAlign w:val="center"/>
          </w:tcPr>
          <w:p>
            <w:pPr>
              <w:widowControl/>
              <w:jc w:val="center"/>
              <w:rPr>
                <w:color w:val="000000"/>
                <w:kern w:val="0"/>
                <w:szCs w:val="21"/>
              </w:rPr>
            </w:pPr>
            <w:r>
              <w:rPr>
                <w:color w:val="000000"/>
                <w:kern w:val="0"/>
                <w:szCs w:val="21"/>
              </w:rPr>
              <w:t>公用设施完备度</w:t>
            </w:r>
          </w:p>
        </w:tc>
        <w:tc>
          <w:tcPr>
            <w:tcW w:w="1449" w:type="dxa"/>
            <w:vAlign w:val="center"/>
          </w:tcPr>
          <w:p>
            <w:pPr>
              <w:widowControl/>
              <w:jc w:val="center"/>
              <w:rPr>
                <w:color w:val="000000"/>
                <w:kern w:val="0"/>
                <w:szCs w:val="21"/>
              </w:rPr>
            </w:pPr>
            <w:r>
              <w:rPr>
                <w:color w:val="000000"/>
                <w:kern w:val="0"/>
                <w:szCs w:val="21"/>
              </w:rPr>
              <w:t>距中小学距离</w:t>
            </w:r>
          </w:p>
        </w:tc>
        <w:tc>
          <w:tcPr>
            <w:tcW w:w="1002" w:type="dxa"/>
            <w:vAlign w:val="center"/>
          </w:tcPr>
          <w:p>
            <w:pPr>
              <w:widowControl/>
              <w:jc w:val="center"/>
              <w:rPr>
                <w:color w:val="000000"/>
                <w:kern w:val="0"/>
                <w:szCs w:val="21"/>
              </w:rPr>
            </w:pPr>
            <w:r>
              <w:rPr>
                <w:color w:val="000000"/>
                <w:kern w:val="0"/>
                <w:szCs w:val="21"/>
              </w:rPr>
              <w:t>&lt;2000</w:t>
            </w:r>
          </w:p>
        </w:tc>
        <w:tc>
          <w:tcPr>
            <w:tcW w:w="1546" w:type="dxa"/>
            <w:vAlign w:val="center"/>
          </w:tcPr>
          <w:p>
            <w:pPr>
              <w:widowControl/>
              <w:jc w:val="center"/>
              <w:rPr>
                <w:color w:val="000000"/>
                <w:kern w:val="0"/>
                <w:szCs w:val="21"/>
              </w:rPr>
            </w:pPr>
            <w:r>
              <w:rPr>
                <w:color w:val="000000"/>
                <w:kern w:val="0"/>
                <w:szCs w:val="21"/>
              </w:rPr>
              <w:t>2000-8000</w:t>
            </w:r>
          </w:p>
        </w:tc>
        <w:tc>
          <w:tcPr>
            <w:tcW w:w="1273" w:type="dxa"/>
            <w:vAlign w:val="center"/>
          </w:tcPr>
          <w:p>
            <w:pPr>
              <w:widowControl/>
              <w:jc w:val="center"/>
              <w:rPr>
                <w:color w:val="000000"/>
                <w:kern w:val="0"/>
                <w:szCs w:val="21"/>
              </w:rPr>
            </w:pPr>
            <w:r>
              <w:rPr>
                <w:color w:val="000000"/>
                <w:kern w:val="0"/>
                <w:szCs w:val="21"/>
              </w:rPr>
              <w:t>8000-14000</w:t>
            </w:r>
          </w:p>
        </w:tc>
        <w:tc>
          <w:tcPr>
            <w:tcW w:w="1145" w:type="dxa"/>
            <w:vAlign w:val="center"/>
          </w:tcPr>
          <w:p>
            <w:pPr>
              <w:widowControl/>
              <w:jc w:val="center"/>
              <w:rPr>
                <w:color w:val="000000"/>
                <w:kern w:val="0"/>
                <w:szCs w:val="21"/>
              </w:rPr>
            </w:pPr>
            <w:r>
              <w:rPr>
                <w:color w:val="000000"/>
                <w:kern w:val="0"/>
                <w:szCs w:val="21"/>
              </w:rPr>
              <w:t>14000-20000</w:t>
            </w:r>
          </w:p>
        </w:tc>
        <w:tc>
          <w:tcPr>
            <w:tcW w:w="1002" w:type="dxa"/>
            <w:vAlign w:val="center"/>
          </w:tcPr>
          <w:p>
            <w:pPr>
              <w:widowControl/>
              <w:jc w:val="center"/>
              <w:rPr>
                <w:color w:val="000000"/>
                <w:kern w:val="0"/>
                <w:szCs w:val="21"/>
              </w:rPr>
            </w:pPr>
            <w:r>
              <w:rPr>
                <w:color w:val="000000"/>
                <w:kern w:val="0"/>
                <w:szCs w:val="21"/>
              </w:rPr>
              <w:t>&gt;20000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距医院距离</w:t>
            </w:r>
          </w:p>
        </w:tc>
        <w:tc>
          <w:tcPr>
            <w:tcW w:w="1002" w:type="dxa"/>
            <w:vAlign w:val="center"/>
          </w:tcPr>
          <w:p>
            <w:pPr>
              <w:widowControl/>
              <w:jc w:val="center"/>
              <w:rPr>
                <w:color w:val="000000"/>
                <w:kern w:val="0"/>
                <w:szCs w:val="21"/>
              </w:rPr>
            </w:pPr>
            <w:r>
              <w:rPr>
                <w:color w:val="000000"/>
                <w:kern w:val="0"/>
                <w:szCs w:val="21"/>
              </w:rPr>
              <w:t>&lt;3000</w:t>
            </w:r>
          </w:p>
        </w:tc>
        <w:tc>
          <w:tcPr>
            <w:tcW w:w="1546" w:type="dxa"/>
            <w:vAlign w:val="center"/>
          </w:tcPr>
          <w:p>
            <w:pPr>
              <w:widowControl/>
              <w:jc w:val="center"/>
              <w:rPr>
                <w:color w:val="000000"/>
                <w:kern w:val="0"/>
                <w:szCs w:val="21"/>
              </w:rPr>
            </w:pPr>
            <w:r>
              <w:rPr>
                <w:color w:val="000000"/>
                <w:kern w:val="0"/>
                <w:szCs w:val="21"/>
              </w:rPr>
              <w:t>3000-9000</w:t>
            </w:r>
          </w:p>
        </w:tc>
        <w:tc>
          <w:tcPr>
            <w:tcW w:w="1273" w:type="dxa"/>
            <w:vAlign w:val="center"/>
          </w:tcPr>
          <w:p>
            <w:pPr>
              <w:widowControl/>
              <w:jc w:val="center"/>
              <w:rPr>
                <w:color w:val="000000"/>
                <w:kern w:val="0"/>
                <w:szCs w:val="21"/>
              </w:rPr>
            </w:pPr>
            <w:r>
              <w:rPr>
                <w:color w:val="000000"/>
                <w:kern w:val="0"/>
                <w:szCs w:val="21"/>
              </w:rPr>
              <w:t>9000-15000</w:t>
            </w:r>
          </w:p>
        </w:tc>
        <w:tc>
          <w:tcPr>
            <w:tcW w:w="1145" w:type="dxa"/>
            <w:vAlign w:val="center"/>
          </w:tcPr>
          <w:p>
            <w:pPr>
              <w:widowControl/>
              <w:jc w:val="center"/>
              <w:rPr>
                <w:color w:val="000000"/>
                <w:kern w:val="0"/>
                <w:szCs w:val="21"/>
              </w:rPr>
            </w:pPr>
            <w:r>
              <w:rPr>
                <w:color w:val="000000"/>
                <w:kern w:val="0"/>
                <w:szCs w:val="21"/>
              </w:rPr>
              <w:t>15000-21000</w:t>
            </w:r>
          </w:p>
        </w:tc>
        <w:tc>
          <w:tcPr>
            <w:tcW w:w="1002" w:type="dxa"/>
            <w:vAlign w:val="center"/>
          </w:tcPr>
          <w:p>
            <w:pPr>
              <w:widowControl/>
              <w:jc w:val="center"/>
              <w:rPr>
                <w:color w:val="000000"/>
                <w:kern w:val="0"/>
                <w:szCs w:val="21"/>
              </w:rPr>
            </w:pPr>
            <w:r>
              <w:rPr>
                <w:color w:val="000000"/>
                <w:kern w:val="0"/>
                <w:szCs w:val="21"/>
              </w:rPr>
              <w:t>&gt;21000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距大型超市距离</w:t>
            </w:r>
          </w:p>
        </w:tc>
        <w:tc>
          <w:tcPr>
            <w:tcW w:w="1002" w:type="dxa"/>
            <w:vAlign w:val="center"/>
          </w:tcPr>
          <w:p>
            <w:pPr>
              <w:widowControl/>
              <w:jc w:val="center"/>
              <w:rPr>
                <w:color w:val="000000"/>
                <w:kern w:val="0"/>
                <w:szCs w:val="21"/>
              </w:rPr>
            </w:pPr>
            <w:r>
              <w:rPr>
                <w:color w:val="000000"/>
                <w:kern w:val="0"/>
                <w:szCs w:val="21"/>
              </w:rPr>
              <w:t>&lt;9000</w:t>
            </w:r>
          </w:p>
        </w:tc>
        <w:tc>
          <w:tcPr>
            <w:tcW w:w="1546" w:type="dxa"/>
            <w:vAlign w:val="center"/>
          </w:tcPr>
          <w:p>
            <w:pPr>
              <w:widowControl/>
              <w:jc w:val="center"/>
              <w:rPr>
                <w:color w:val="000000"/>
                <w:kern w:val="0"/>
                <w:szCs w:val="21"/>
              </w:rPr>
            </w:pPr>
            <w:r>
              <w:rPr>
                <w:color w:val="000000"/>
                <w:kern w:val="0"/>
                <w:szCs w:val="21"/>
              </w:rPr>
              <w:t>9000-12000</w:t>
            </w:r>
          </w:p>
        </w:tc>
        <w:tc>
          <w:tcPr>
            <w:tcW w:w="1273" w:type="dxa"/>
            <w:vAlign w:val="center"/>
          </w:tcPr>
          <w:p>
            <w:pPr>
              <w:widowControl/>
              <w:jc w:val="center"/>
              <w:rPr>
                <w:color w:val="000000"/>
                <w:kern w:val="0"/>
                <w:szCs w:val="21"/>
              </w:rPr>
            </w:pPr>
            <w:r>
              <w:rPr>
                <w:color w:val="000000"/>
                <w:kern w:val="0"/>
                <w:szCs w:val="21"/>
              </w:rPr>
              <w:t>12000-15000</w:t>
            </w:r>
          </w:p>
        </w:tc>
        <w:tc>
          <w:tcPr>
            <w:tcW w:w="1145" w:type="dxa"/>
            <w:vAlign w:val="center"/>
          </w:tcPr>
          <w:p>
            <w:pPr>
              <w:widowControl/>
              <w:jc w:val="center"/>
              <w:rPr>
                <w:color w:val="000000"/>
                <w:kern w:val="0"/>
                <w:szCs w:val="21"/>
              </w:rPr>
            </w:pPr>
            <w:r>
              <w:rPr>
                <w:color w:val="000000"/>
                <w:kern w:val="0"/>
                <w:szCs w:val="21"/>
              </w:rPr>
              <w:t>15000-18000</w:t>
            </w:r>
          </w:p>
        </w:tc>
        <w:tc>
          <w:tcPr>
            <w:tcW w:w="1002" w:type="dxa"/>
            <w:vAlign w:val="center"/>
          </w:tcPr>
          <w:p>
            <w:pPr>
              <w:widowControl/>
              <w:jc w:val="center"/>
              <w:rPr>
                <w:color w:val="000000"/>
                <w:kern w:val="0"/>
                <w:szCs w:val="21"/>
              </w:rPr>
            </w:pPr>
            <w:r>
              <w:rPr>
                <w:color w:val="000000"/>
                <w:kern w:val="0"/>
                <w:szCs w:val="21"/>
              </w:rPr>
              <w:t>&gt;18000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距文体设施距离</w:t>
            </w:r>
          </w:p>
        </w:tc>
        <w:tc>
          <w:tcPr>
            <w:tcW w:w="1002" w:type="dxa"/>
            <w:vAlign w:val="center"/>
          </w:tcPr>
          <w:p>
            <w:pPr>
              <w:widowControl/>
              <w:jc w:val="center"/>
              <w:rPr>
                <w:color w:val="000000"/>
                <w:kern w:val="0"/>
                <w:szCs w:val="21"/>
              </w:rPr>
            </w:pPr>
            <w:r>
              <w:rPr>
                <w:color w:val="000000"/>
                <w:kern w:val="0"/>
                <w:szCs w:val="21"/>
              </w:rPr>
              <w:t>&lt;9000</w:t>
            </w:r>
          </w:p>
        </w:tc>
        <w:tc>
          <w:tcPr>
            <w:tcW w:w="1546" w:type="dxa"/>
            <w:vAlign w:val="center"/>
          </w:tcPr>
          <w:p>
            <w:pPr>
              <w:widowControl/>
              <w:jc w:val="center"/>
              <w:rPr>
                <w:color w:val="000000"/>
                <w:kern w:val="0"/>
                <w:szCs w:val="21"/>
              </w:rPr>
            </w:pPr>
            <w:r>
              <w:rPr>
                <w:color w:val="000000"/>
                <w:kern w:val="0"/>
                <w:szCs w:val="21"/>
              </w:rPr>
              <w:t>9000-13000</w:t>
            </w:r>
          </w:p>
        </w:tc>
        <w:tc>
          <w:tcPr>
            <w:tcW w:w="1273" w:type="dxa"/>
            <w:vAlign w:val="center"/>
          </w:tcPr>
          <w:p>
            <w:pPr>
              <w:widowControl/>
              <w:jc w:val="center"/>
              <w:rPr>
                <w:color w:val="000000"/>
                <w:kern w:val="0"/>
                <w:szCs w:val="21"/>
              </w:rPr>
            </w:pPr>
            <w:r>
              <w:rPr>
                <w:color w:val="000000"/>
                <w:kern w:val="0"/>
                <w:szCs w:val="21"/>
              </w:rPr>
              <w:t>13000-17000</w:t>
            </w:r>
          </w:p>
        </w:tc>
        <w:tc>
          <w:tcPr>
            <w:tcW w:w="1145" w:type="dxa"/>
            <w:vAlign w:val="center"/>
          </w:tcPr>
          <w:p>
            <w:pPr>
              <w:widowControl/>
              <w:jc w:val="center"/>
              <w:rPr>
                <w:color w:val="000000"/>
                <w:kern w:val="0"/>
                <w:szCs w:val="21"/>
              </w:rPr>
            </w:pPr>
            <w:r>
              <w:rPr>
                <w:color w:val="000000"/>
                <w:kern w:val="0"/>
                <w:szCs w:val="21"/>
              </w:rPr>
              <w:t>17000-21000</w:t>
            </w:r>
          </w:p>
        </w:tc>
        <w:tc>
          <w:tcPr>
            <w:tcW w:w="1002" w:type="dxa"/>
            <w:vAlign w:val="center"/>
          </w:tcPr>
          <w:p>
            <w:pPr>
              <w:widowControl/>
              <w:jc w:val="center"/>
              <w:rPr>
                <w:color w:val="000000"/>
                <w:kern w:val="0"/>
                <w:szCs w:val="21"/>
              </w:rPr>
            </w:pPr>
            <w:r>
              <w:rPr>
                <w:color w:val="000000"/>
                <w:kern w:val="0"/>
                <w:szCs w:val="21"/>
              </w:rPr>
              <w:t>&gt;21000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restart"/>
            <w:vAlign w:val="center"/>
          </w:tcPr>
          <w:p>
            <w:pPr>
              <w:widowControl/>
              <w:jc w:val="center"/>
              <w:rPr>
                <w:color w:val="000000"/>
                <w:kern w:val="0"/>
                <w:szCs w:val="21"/>
              </w:rPr>
            </w:pPr>
            <w:r>
              <w:rPr>
                <w:color w:val="000000"/>
                <w:kern w:val="0"/>
                <w:szCs w:val="21"/>
              </w:rPr>
              <w:t>交通条件</w:t>
            </w:r>
          </w:p>
        </w:tc>
        <w:tc>
          <w:tcPr>
            <w:tcW w:w="775" w:type="dxa"/>
            <w:vAlign w:val="center"/>
          </w:tcPr>
          <w:p>
            <w:pPr>
              <w:widowControl/>
              <w:jc w:val="center"/>
              <w:rPr>
                <w:color w:val="000000"/>
                <w:kern w:val="0"/>
                <w:szCs w:val="21"/>
              </w:rPr>
            </w:pPr>
            <w:r>
              <w:rPr>
                <w:color w:val="000000"/>
                <w:kern w:val="0"/>
                <w:szCs w:val="21"/>
              </w:rPr>
              <w:t>道路通达度</w:t>
            </w:r>
          </w:p>
        </w:tc>
        <w:tc>
          <w:tcPr>
            <w:tcW w:w="1449" w:type="dxa"/>
            <w:vAlign w:val="center"/>
          </w:tcPr>
          <w:p>
            <w:pPr>
              <w:widowControl/>
              <w:jc w:val="center"/>
              <w:rPr>
                <w:color w:val="000000"/>
                <w:kern w:val="0"/>
                <w:szCs w:val="21"/>
              </w:rPr>
            </w:pPr>
            <w:r>
              <w:rPr>
                <w:color w:val="000000"/>
                <w:kern w:val="0"/>
                <w:szCs w:val="21"/>
              </w:rPr>
              <w:t>临近道路状况</w:t>
            </w:r>
          </w:p>
        </w:tc>
        <w:tc>
          <w:tcPr>
            <w:tcW w:w="1002" w:type="dxa"/>
            <w:vAlign w:val="center"/>
          </w:tcPr>
          <w:p>
            <w:pPr>
              <w:widowControl/>
              <w:jc w:val="center"/>
              <w:rPr>
                <w:kern w:val="0"/>
                <w:szCs w:val="21"/>
              </w:rPr>
            </w:pPr>
            <w:r>
              <w:rPr>
                <w:kern w:val="0"/>
                <w:szCs w:val="21"/>
              </w:rPr>
              <w:t>临繁华主干道</w:t>
            </w:r>
          </w:p>
        </w:tc>
        <w:tc>
          <w:tcPr>
            <w:tcW w:w="1546" w:type="dxa"/>
            <w:vAlign w:val="center"/>
          </w:tcPr>
          <w:p>
            <w:pPr>
              <w:widowControl/>
              <w:jc w:val="center"/>
              <w:rPr>
                <w:kern w:val="0"/>
                <w:szCs w:val="21"/>
              </w:rPr>
            </w:pPr>
            <w:r>
              <w:rPr>
                <w:kern w:val="0"/>
                <w:szCs w:val="21"/>
              </w:rPr>
              <w:t>临主干道</w:t>
            </w:r>
          </w:p>
        </w:tc>
        <w:tc>
          <w:tcPr>
            <w:tcW w:w="1273" w:type="dxa"/>
            <w:vAlign w:val="center"/>
          </w:tcPr>
          <w:p>
            <w:pPr>
              <w:widowControl/>
              <w:jc w:val="center"/>
              <w:rPr>
                <w:kern w:val="0"/>
                <w:szCs w:val="21"/>
              </w:rPr>
            </w:pPr>
            <w:r>
              <w:rPr>
                <w:kern w:val="0"/>
                <w:szCs w:val="21"/>
              </w:rPr>
              <w:t>临繁华次干道</w:t>
            </w:r>
          </w:p>
        </w:tc>
        <w:tc>
          <w:tcPr>
            <w:tcW w:w="1145" w:type="dxa"/>
            <w:vAlign w:val="center"/>
          </w:tcPr>
          <w:p>
            <w:pPr>
              <w:widowControl/>
              <w:jc w:val="center"/>
              <w:rPr>
                <w:kern w:val="0"/>
                <w:szCs w:val="21"/>
              </w:rPr>
            </w:pPr>
            <w:r>
              <w:rPr>
                <w:kern w:val="0"/>
                <w:szCs w:val="21"/>
              </w:rPr>
              <w:t>临次干道</w:t>
            </w:r>
          </w:p>
        </w:tc>
        <w:tc>
          <w:tcPr>
            <w:tcW w:w="1002" w:type="dxa"/>
            <w:vAlign w:val="center"/>
          </w:tcPr>
          <w:p>
            <w:pPr>
              <w:widowControl/>
              <w:jc w:val="center"/>
              <w:rPr>
                <w:kern w:val="0"/>
                <w:szCs w:val="21"/>
              </w:rPr>
            </w:pPr>
            <w:r>
              <w:rPr>
                <w:kern w:val="0"/>
                <w:szCs w:val="21"/>
              </w:rPr>
              <w:t>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Align w:val="center"/>
          </w:tcPr>
          <w:p>
            <w:pPr>
              <w:widowControl/>
              <w:jc w:val="center"/>
              <w:rPr>
                <w:color w:val="000000"/>
                <w:kern w:val="0"/>
                <w:szCs w:val="21"/>
              </w:rPr>
            </w:pPr>
            <w:r>
              <w:rPr>
                <w:color w:val="000000"/>
                <w:kern w:val="0"/>
                <w:szCs w:val="21"/>
              </w:rPr>
              <w:t>公交便捷度</w:t>
            </w:r>
          </w:p>
        </w:tc>
        <w:tc>
          <w:tcPr>
            <w:tcW w:w="1449" w:type="dxa"/>
            <w:vAlign w:val="center"/>
          </w:tcPr>
          <w:p>
            <w:pPr>
              <w:widowControl/>
              <w:jc w:val="center"/>
              <w:rPr>
                <w:color w:val="000000"/>
                <w:kern w:val="0"/>
                <w:szCs w:val="21"/>
              </w:rPr>
            </w:pPr>
            <w:r>
              <w:rPr>
                <w:color w:val="000000"/>
                <w:kern w:val="0"/>
                <w:szCs w:val="21"/>
              </w:rPr>
              <w:t>距最近公交站（</w:t>
            </w:r>
            <w:r>
              <w:rPr>
                <w:rFonts w:hint="eastAsia"/>
                <w:color w:val="000000"/>
                <w:kern w:val="0"/>
                <w:szCs w:val="21"/>
              </w:rPr>
              <w:t>轨道交通</w:t>
            </w:r>
            <w:r>
              <w:rPr>
                <w:color w:val="000000"/>
                <w:kern w:val="0"/>
                <w:szCs w:val="21"/>
              </w:rPr>
              <w:t>站）距离</w:t>
            </w:r>
          </w:p>
        </w:tc>
        <w:tc>
          <w:tcPr>
            <w:tcW w:w="1002" w:type="dxa"/>
            <w:vAlign w:val="center"/>
          </w:tcPr>
          <w:p>
            <w:pPr>
              <w:widowControl/>
              <w:jc w:val="center"/>
              <w:rPr>
                <w:color w:val="000000"/>
                <w:kern w:val="0"/>
                <w:szCs w:val="21"/>
              </w:rPr>
            </w:pPr>
            <w:r>
              <w:rPr>
                <w:color w:val="000000"/>
                <w:kern w:val="0"/>
                <w:szCs w:val="21"/>
              </w:rPr>
              <w:t>&lt;130</w:t>
            </w:r>
          </w:p>
        </w:tc>
        <w:tc>
          <w:tcPr>
            <w:tcW w:w="1546" w:type="dxa"/>
            <w:vAlign w:val="center"/>
          </w:tcPr>
          <w:p>
            <w:pPr>
              <w:widowControl/>
              <w:jc w:val="center"/>
              <w:rPr>
                <w:color w:val="000000"/>
                <w:kern w:val="0"/>
                <w:szCs w:val="21"/>
              </w:rPr>
            </w:pPr>
            <w:r>
              <w:rPr>
                <w:color w:val="000000"/>
                <w:kern w:val="0"/>
                <w:szCs w:val="21"/>
              </w:rPr>
              <w:t>130-270</w:t>
            </w:r>
          </w:p>
        </w:tc>
        <w:tc>
          <w:tcPr>
            <w:tcW w:w="1273" w:type="dxa"/>
            <w:vAlign w:val="center"/>
          </w:tcPr>
          <w:p>
            <w:pPr>
              <w:widowControl/>
              <w:jc w:val="center"/>
              <w:rPr>
                <w:color w:val="000000"/>
                <w:kern w:val="0"/>
                <w:szCs w:val="21"/>
              </w:rPr>
            </w:pPr>
            <w:r>
              <w:rPr>
                <w:color w:val="000000"/>
                <w:kern w:val="0"/>
                <w:szCs w:val="21"/>
              </w:rPr>
              <w:t>270-410</w:t>
            </w:r>
          </w:p>
        </w:tc>
        <w:tc>
          <w:tcPr>
            <w:tcW w:w="1145" w:type="dxa"/>
            <w:vAlign w:val="center"/>
          </w:tcPr>
          <w:p>
            <w:pPr>
              <w:widowControl/>
              <w:jc w:val="center"/>
              <w:rPr>
                <w:color w:val="000000"/>
                <w:kern w:val="0"/>
                <w:szCs w:val="21"/>
              </w:rPr>
            </w:pPr>
            <w:r>
              <w:rPr>
                <w:color w:val="000000"/>
                <w:kern w:val="0"/>
                <w:szCs w:val="21"/>
              </w:rPr>
              <w:t>410-550</w:t>
            </w:r>
          </w:p>
        </w:tc>
        <w:tc>
          <w:tcPr>
            <w:tcW w:w="1002" w:type="dxa"/>
            <w:vAlign w:val="center"/>
          </w:tcPr>
          <w:p>
            <w:pPr>
              <w:widowControl/>
              <w:jc w:val="center"/>
              <w:rPr>
                <w:color w:val="000000"/>
                <w:kern w:val="0"/>
                <w:szCs w:val="21"/>
              </w:rPr>
            </w:pPr>
            <w:r>
              <w:rPr>
                <w:color w:val="000000"/>
                <w:kern w:val="0"/>
                <w:szCs w:val="21"/>
              </w:rPr>
              <w:t>&gt;550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restart"/>
            <w:vAlign w:val="center"/>
          </w:tcPr>
          <w:p>
            <w:pPr>
              <w:widowControl/>
              <w:jc w:val="center"/>
              <w:rPr>
                <w:color w:val="000000"/>
                <w:kern w:val="0"/>
                <w:szCs w:val="21"/>
              </w:rPr>
            </w:pPr>
            <w:r>
              <w:rPr>
                <w:color w:val="000000"/>
                <w:kern w:val="0"/>
                <w:szCs w:val="21"/>
              </w:rPr>
              <w:t>对外交通便利度</w:t>
            </w:r>
          </w:p>
        </w:tc>
        <w:tc>
          <w:tcPr>
            <w:tcW w:w="1449" w:type="dxa"/>
            <w:vAlign w:val="center"/>
          </w:tcPr>
          <w:p>
            <w:pPr>
              <w:widowControl/>
              <w:jc w:val="center"/>
              <w:rPr>
                <w:color w:val="000000"/>
                <w:kern w:val="0"/>
                <w:szCs w:val="21"/>
              </w:rPr>
            </w:pPr>
            <w:r>
              <w:rPr>
                <w:color w:val="000000"/>
                <w:kern w:val="0"/>
                <w:szCs w:val="21"/>
              </w:rPr>
              <w:t>距最近长途汽车站距离</w:t>
            </w:r>
          </w:p>
        </w:tc>
        <w:tc>
          <w:tcPr>
            <w:tcW w:w="1002" w:type="dxa"/>
            <w:vAlign w:val="center"/>
          </w:tcPr>
          <w:p>
            <w:pPr>
              <w:widowControl/>
              <w:jc w:val="center"/>
              <w:rPr>
                <w:color w:val="000000"/>
                <w:kern w:val="0"/>
                <w:szCs w:val="21"/>
              </w:rPr>
            </w:pPr>
            <w:r>
              <w:rPr>
                <w:color w:val="000000"/>
                <w:kern w:val="0"/>
                <w:szCs w:val="21"/>
              </w:rPr>
              <w:t>≤6000</w:t>
            </w:r>
          </w:p>
        </w:tc>
        <w:tc>
          <w:tcPr>
            <w:tcW w:w="1546" w:type="dxa"/>
            <w:vAlign w:val="center"/>
          </w:tcPr>
          <w:p>
            <w:pPr>
              <w:widowControl/>
              <w:jc w:val="center"/>
              <w:rPr>
                <w:color w:val="000000"/>
                <w:kern w:val="0"/>
                <w:szCs w:val="21"/>
              </w:rPr>
            </w:pPr>
            <w:r>
              <w:rPr>
                <w:color w:val="000000"/>
                <w:kern w:val="0"/>
                <w:szCs w:val="21"/>
              </w:rPr>
              <w:t>6000-7000</w:t>
            </w:r>
          </w:p>
        </w:tc>
        <w:tc>
          <w:tcPr>
            <w:tcW w:w="1273" w:type="dxa"/>
            <w:vAlign w:val="center"/>
          </w:tcPr>
          <w:p>
            <w:pPr>
              <w:widowControl/>
              <w:jc w:val="center"/>
              <w:rPr>
                <w:color w:val="000000"/>
                <w:kern w:val="0"/>
                <w:szCs w:val="21"/>
              </w:rPr>
            </w:pPr>
            <w:r>
              <w:rPr>
                <w:color w:val="000000"/>
                <w:kern w:val="0"/>
                <w:szCs w:val="21"/>
              </w:rPr>
              <w:t>7000-8000</w:t>
            </w:r>
          </w:p>
        </w:tc>
        <w:tc>
          <w:tcPr>
            <w:tcW w:w="1145" w:type="dxa"/>
            <w:vAlign w:val="center"/>
          </w:tcPr>
          <w:p>
            <w:pPr>
              <w:widowControl/>
              <w:jc w:val="center"/>
              <w:rPr>
                <w:color w:val="000000"/>
                <w:kern w:val="0"/>
                <w:szCs w:val="21"/>
              </w:rPr>
            </w:pPr>
            <w:r>
              <w:rPr>
                <w:color w:val="000000"/>
                <w:kern w:val="0"/>
                <w:szCs w:val="21"/>
              </w:rPr>
              <w:t>8000-10000</w:t>
            </w:r>
          </w:p>
        </w:tc>
        <w:tc>
          <w:tcPr>
            <w:tcW w:w="1002" w:type="dxa"/>
            <w:vAlign w:val="center"/>
          </w:tcPr>
          <w:p>
            <w:pPr>
              <w:widowControl/>
              <w:jc w:val="center"/>
              <w:rPr>
                <w:color w:val="000000"/>
                <w:kern w:val="0"/>
                <w:szCs w:val="21"/>
              </w:rPr>
            </w:pPr>
            <w:r>
              <w:rPr>
                <w:color w:val="000000"/>
                <w:kern w:val="0"/>
                <w:szCs w:val="21"/>
              </w:rPr>
              <w:t>&gt;10000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距火车站距离</w:t>
            </w:r>
          </w:p>
        </w:tc>
        <w:tc>
          <w:tcPr>
            <w:tcW w:w="1002" w:type="dxa"/>
            <w:vAlign w:val="center"/>
          </w:tcPr>
          <w:p>
            <w:pPr>
              <w:widowControl/>
              <w:jc w:val="center"/>
              <w:rPr>
                <w:color w:val="000000"/>
                <w:kern w:val="0"/>
                <w:szCs w:val="21"/>
              </w:rPr>
            </w:pPr>
            <w:r>
              <w:rPr>
                <w:color w:val="000000"/>
                <w:kern w:val="0"/>
                <w:szCs w:val="21"/>
              </w:rPr>
              <w:t>&lt;5000</w:t>
            </w:r>
          </w:p>
        </w:tc>
        <w:tc>
          <w:tcPr>
            <w:tcW w:w="1546" w:type="dxa"/>
            <w:vAlign w:val="center"/>
          </w:tcPr>
          <w:p>
            <w:pPr>
              <w:widowControl/>
              <w:jc w:val="center"/>
              <w:rPr>
                <w:color w:val="000000"/>
                <w:kern w:val="0"/>
                <w:szCs w:val="21"/>
              </w:rPr>
            </w:pPr>
            <w:r>
              <w:rPr>
                <w:color w:val="000000"/>
                <w:kern w:val="0"/>
                <w:szCs w:val="21"/>
              </w:rPr>
              <w:t>5000-7000</w:t>
            </w:r>
          </w:p>
        </w:tc>
        <w:tc>
          <w:tcPr>
            <w:tcW w:w="1273" w:type="dxa"/>
            <w:vAlign w:val="center"/>
          </w:tcPr>
          <w:p>
            <w:pPr>
              <w:widowControl/>
              <w:jc w:val="center"/>
              <w:rPr>
                <w:color w:val="000000"/>
                <w:kern w:val="0"/>
                <w:szCs w:val="21"/>
              </w:rPr>
            </w:pPr>
            <w:r>
              <w:rPr>
                <w:color w:val="000000"/>
                <w:kern w:val="0"/>
                <w:szCs w:val="21"/>
              </w:rPr>
              <w:t>7000-8500</w:t>
            </w:r>
          </w:p>
        </w:tc>
        <w:tc>
          <w:tcPr>
            <w:tcW w:w="1145" w:type="dxa"/>
            <w:vAlign w:val="center"/>
          </w:tcPr>
          <w:p>
            <w:pPr>
              <w:widowControl/>
              <w:jc w:val="center"/>
              <w:rPr>
                <w:color w:val="000000"/>
                <w:kern w:val="0"/>
                <w:szCs w:val="21"/>
              </w:rPr>
            </w:pPr>
            <w:r>
              <w:rPr>
                <w:color w:val="000000"/>
                <w:kern w:val="0"/>
                <w:szCs w:val="21"/>
              </w:rPr>
              <w:t>8500-12000</w:t>
            </w:r>
          </w:p>
        </w:tc>
        <w:tc>
          <w:tcPr>
            <w:tcW w:w="1002" w:type="dxa"/>
            <w:vAlign w:val="center"/>
          </w:tcPr>
          <w:p>
            <w:pPr>
              <w:widowControl/>
              <w:jc w:val="center"/>
              <w:rPr>
                <w:color w:val="000000"/>
                <w:kern w:val="0"/>
                <w:szCs w:val="21"/>
              </w:rPr>
            </w:pPr>
            <w:r>
              <w:rPr>
                <w:color w:val="000000"/>
                <w:kern w:val="0"/>
                <w:szCs w:val="21"/>
              </w:rPr>
              <w:t>&gt;12000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距高铁站长沙南站距离</w:t>
            </w:r>
          </w:p>
        </w:tc>
        <w:tc>
          <w:tcPr>
            <w:tcW w:w="1002" w:type="dxa"/>
            <w:vAlign w:val="center"/>
          </w:tcPr>
          <w:p>
            <w:pPr>
              <w:widowControl/>
              <w:jc w:val="center"/>
              <w:rPr>
                <w:color w:val="000000"/>
                <w:kern w:val="0"/>
                <w:szCs w:val="21"/>
              </w:rPr>
            </w:pPr>
            <w:r>
              <w:rPr>
                <w:color w:val="000000"/>
                <w:kern w:val="0"/>
                <w:szCs w:val="21"/>
              </w:rPr>
              <w:t>&lt;20000</w:t>
            </w:r>
          </w:p>
        </w:tc>
        <w:tc>
          <w:tcPr>
            <w:tcW w:w="1546" w:type="dxa"/>
            <w:vAlign w:val="center"/>
          </w:tcPr>
          <w:p>
            <w:pPr>
              <w:widowControl/>
              <w:jc w:val="center"/>
              <w:rPr>
                <w:color w:val="000000"/>
                <w:kern w:val="0"/>
                <w:szCs w:val="21"/>
              </w:rPr>
            </w:pPr>
            <w:r>
              <w:rPr>
                <w:color w:val="000000"/>
                <w:kern w:val="0"/>
                <w:szCs w:val="21"/>
              </w:rPr>
              <w:t>20000-23000</w:t>
            </w:r>
          </w:p>
        </w:tc>
        <w:tc>
          <w:tcPr>
            <w:tcW w:w="1273" w:type="dxa"/>
            <w:vAlign w:val="center"/>
          </w:tcPr>
          <w:p>
            <w:pPr>
              <w:widowControl/>
              <w:jc w:val="center"/>
              <w:rPr>
                <w:color w:val="000000"/>
                <w:kern w:val="0"/>
                <w:szCs w:val="21"/>
              </w:rPr>
            </w:pPr>
            <w:r>
              <w:rPr>
                <w:color w:val="000000"/>
                <w:kern w:val="0"/>
                <w:szCs w:val="21"/>
              </w:rPr>
              <w:t>23000-27000</w:t>
            </w:r>
          </w:p>
        </w:tc>
        <w:tc>
          <w:tcPr>
            <w:tcW w:w="1145" w:type="dxa"/>
            <w:vAlign w:val="center"/>
          </w:tcPr>
          <w:p>
            <w:pPr>
              <w:widowControl/>
              <w:jc w:val="center"/>
              <w:rPr>
                <w:color w:val="000000"/>
                <w:kern w:val="0"/>
                <w:szCs w:val="21"/>
              </w:rPr>
            </w:pPr>
            <w:r>
              <w:rPr>
                <w:color w:val="000000"/>
                <w:kern w:val="0"/>
                <w:szCs w:val="21"/>
              </w:rPr>
              <w:t>27000-30000</w:t>
            </w:r>
          </w:p>
        </w:tc>
        <w:tc>
          <w:tcPr>
            <w:tcW w:w="1002" w:type="dxa"/>
            <w:vAlign w:val="center"/>
          </w:tcPr>
          <w:p>
            <w:pPr>
              <w:widowControl/>
              <w:jc w:val="center"/>
              <w:rPr>
                <w:color w:val="000000"/>
                <w:kern w:val="0"/>
                <w:szCs w:val="21"/>
              </w:rPr>
            </w:pPr>
            <w:r>
              <w:rPr>
                <w:color w:val="000000"/>
                <w:kern w:val="0"/>
                <w:szCs w:val="21"/>
              </w:rPr>
              <w:t>&gt;30000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restart"/>
            <w:vAlign w:val="center"/>
          </w:tcPr>
          <w:p>
            <w:pPr>
              <w:widowControl/>
              <w:jc w:val="center"/>
              <w:rPr>
                <w:color w:val="000000"/>
                <w:kern w:val="0"/>
                <w:szCs w:val="21"/>
              </w:rPr>
            </w:pPr>
            <w:r>
              <w:rPr>
                <w:color w:val="000000"/>
                <w:kern w:val="0"/>
                <w:szCs w:val="21"/>
              </w:rPr>
              <w:t>环境条件</w:t>
            </w:r>
          </w:p>
        </w:tc>
        <w:tc>
          <w:tcPr>
            <w:tcW w:w="775" w:type="dxa"/>
            <w:vMerge w:val="restart"/>
            <w:vAlign w:val="center"/>
          </w:tcPr>
          <w:p>
            <w:pPr>
              <w:widowControl/>
              <w:jc w:val="center"/>
              <w:rPr>
                <w:color w:val="000000"/>
                <w:kern w:val="0"/>
                <w:szCs w:val="21"/>
              </w:rPr>
            </w:pPr>
            <w:r>
              <w:rPr>
                <w:color w:val="000000"/>
                <w:kern w:val="0"/>
                <w:szCs w:val="21"/>
              </w:rPr>
              <w:t>环境优劣度</w:t>
            </w:r>
          </w:p>
        </w:tc>
        <w:tc>
          <w:tcPr>
            <w:tcW w:w="1449" w:type="dxa"/>
            <w:vAlign w:val="center"/>
          </w:tcPr>
          <w:p>
            <w:pPr>
              <w:widowControl/>
              <w:jc w:val="center"/>
              <w:rPr>
                <w:color w:val="000000"/>
                <w:kern w:val="0"/>
                <w:szCs w:val="21"/>
              </w:rPr>
            </w:pPr>
            <w:r>
              <w:rPr>
                <w:color w:val="000000"/>
                <w:kern w:val="0"/>
                <w:szCs w:val="21"/>
              </w:rPr>
              <w:t>水污染情况</w:t>
            </w:r>
          </w:p>
        </w:tc>
        <w:tc>
          <w:tcPr>
            <w:tcW w:w="1002" w:type="dxa"/>
            <w:vAlign w:val="center"/>
          </w:tcPr>
          <w:p>
            <w:pPr>
              <w:widowControl/>
              <w:jc w:val="center"/>
              <w:rPr>
                <w:color w:val="000000"/>
                <w:kern w:val="0"/>
                <w:szCs w:val="21"/>
              </w:rPr>
            </w:pPr>
            <w:r>
              <w:rPr>
                <w:color w:val="000000"/>
                <w:kern w:val="0"/>
                <w:szCs w:val="21"/>
              </w:rPr>
              <w:t>低</w:t>
            </w:r>
          </w:p>
        </w:tc>
        <w:tc>
          <w:tcPr>
            <w:tcW w:w="1546" w:type="dxa"/>
            <w:vAlign w:val="center"/>
          </w:tcPr>
          <w:p>
            <w:pPr>
              <w:widowControl/>
              <w:jc w:val="center"/>
              <w:rPr>
                <w:color w:val="000000"/>
                <w:kern w:val="0"/>
                <w:szCs w:val="21"/>
              </w:rPr>
            </w:pPr>
            <w:r>
              <w:rPr>
                <w:color w:val="000000"/>
                <w:kern w:val="0"/>
                <w:szCs w:val="21"/>
              </w:rPr>
              <w:t>较低</w:t>
            </w:r>
          </w:p>
        </w:tc>
        <w:tc>
          <w:tcPr>
            <w:tcW w:w="1273" w:type="dxa"/>
            <w:vAlign w:val="center"/>
          </w:tcPr>
          <w:p>
            <w:pPr>
              <w:widowControl/>
              <w:jc w:val="center"/>
              <w:rPr>
                <w:color w:val="000000"/>
                <w:kern w:val="0"/>
                <w:szCs w:val="21"/>
              </w:rPr>
            </w:pPr>
            <w:r>
              <w:rPr>
                <w:color w:val="000000"/>
                <w:kern w:val="0"/>
                <w:szCs w:val="21"/>
              </w:rPr>
              <w:t>一般</w:t>
            </w:r>
          </w:p>
        </w:tc>
        <w:tc>
          <w:tcPr>
            <w:tcW w:w="1145" w:type="dxa"/>
            <w:vAlign w:val="center"/>
          </w:tcPr>
          <w:p>
            <w:pPr>
              <w:widowControl/>
              <w:jc w:val="center"/>
              <w:rPr>
                <w:color w:val="000000"/>
                <w:kern w:val="0"/>
                <w:szCs w:val="21"/>
              </w:rPr>
            </w:pPr>
            <w:r>
              <w:rPr>
                <w:color w:val="000000"/>
                <w:kern w:val="0"/>
                <w:szCs w:val="21"/>
              </w:rPr>
              <w:t>较高</w:t>
            </w:r>
          </w:p>
        </w:tc>
        <w:tc>
          <w:tcPr>
            <w:tcW w:w="1002" w:type="dxa"/>
            <w:vAlign w:val="center"/>
          </w:tcPr>
          <w:p>
            <w:pPr>
              <w:widowControl/>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大气污染情况</w:t>
            </w:r>
          </w:p>
        </w:tc>
        <w:tc>
          <w:tcPr>
            <w:tcW w:w="1002" w:type="dxa"/>
            <w:vAlign w:val="center"/>
          </w:tcPr>
          <w:p>
            <w:pPr>
              <w:widowControl/>
              <w:jc w:val="center"/>
              <w:rPr>
                <w:color w:val="000000"/>
                <w:kern w:val="0"/>
                <w:szCs w:val="21"/>
              </w:rPr>
            </w:pPr>
            <w:r>
              <w:rPr>
                <w:color w:val="000000"/>
                <w:kern w:val="0"/>
                <w:szCs w:val="21"/>
              </w:rPr>
              <w:t>低</w:t>
            </w:r>
          </w:p>
        </w:tc>
        <w:tc>
          <w:tcPr>
            <w:tcW w:w="1546" w:type="dxa"/>
            <w:vAlign w:val="center"/>
          </w:tcPr>
          <w:p>
            <w:pPr>
              <w:widowControl/>
              <w:jc w:val="center"/>
              <w:rPr>
                <w:color w:val="000000"/>
                <w:kern w:val="0"/>
                <w:szCs w:val="21"/>
              </w:rPr>
            </w:pPr>
            <w:r>
              <w:rPr>
                <w:color w:val="000000"/>
                <w:kern w:val="0"/>
                <w:szCs w:val="21"/>
              </w:rPr>
              <w:t>较低</w:t>
            </w:r>
          </w:p>
        </w:tc>
        <w:tc>
          <w:tcPr>
            <w:tcW w:w="1273" w:type="dxa"/>
            <w:vAlign w:val="center"/>
          </w:tcPr>
          <w:p>
            <w:pPr>
              <w:widowControl/>
              <w:jc w:val="center"/>
              <w:rPr>
                <w:color w:val="000000"/>
                <w:kern w:val="0"/>
                <w:szCs w:val="21"/>
              </w:rPr>
            </w:pPr>
            <w:r>
              <w:rPr>
                <w:color w:val="000000"/>
                <w:kern w:val="0"/>
                <w:szCs w:val="21"/>
              </w:rPr>
              <w:t>一般</w:t>
            </w:r>
          </w:p>
        </w:tc>
        <w:tc>
          <w:tcPr>
            <w:tcW w:w="1145" w:type="dxa"/>
            <w:vAlign w:val="center"/>
          </w:tcPr>
          <w:p>
            <w:pPr>
              <w:widowControl/>
              <w:jc w:val="center"/>
              <w:rPr>
                <w:color w:val="000000"/>
                <w:kern w:val="0"/>
                <w:szCs w:val="21"/>
              </w:rPr>
            </w:pPr>
            <w:r>
              <w:rPr>
                <w:color w:val="000000"/>
                <w:kern w:val="0"/>
                <w:szCs w:val="21"/>
              </w:rPr>
              <w:t>较高</w:t>
            </w:r>
          </w:p>
        </w:tc>
        <w:tc>
          <w:tcPr>
            <w:tcW w:w="1002" w:type="dxa"/>
            <w:vAlign w:val="center"/>
          </w:tcPr>
          <w:p>
            <w:pPr>
              <w:widowControl/>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噪声污染情况</w:t>
            </w:r>
          </w:p>
        </w:tc>
        <w:tc>
          <w:tcPr>
            <w:tcW w:w="1002" w:type="dxa"/>
            <w:vAlign w:val="center"/>
          </w:tcPr>
          <w:p>
            <w:pPr>
              <w:widowControl/>
              <w:jc w:val="center"/>
              <w:rPr>
                <w:color w:val="000000"/>
                <w:kern w:val="0"/>
                <w:szCs w:val="21"/>
              </w:rPr>
            </w:pPr>
            <w:r>
              <w:rPr>
                <w:color w:val="000000"/>
                <w:kern w:val="0"/>
                <w:szCs w:val="21"/>
              </w:rPr>
              <w:t>低</w:t>
            </w:r>
          </w:p>
        </w:tc>
        <w:tc>
          <w:tcPr>
            <w:tcW w:w="1546" w:type="dxa"/>
            <w:vAlign w:val="center"/>
          </w:tcPr>
          <w:p>
            <w:pPr>
              <w:widowControl/>
              <w:jc w:val="center"/>
              <w:rPr>
                <w:color w:val="000000"/>
                <w:kern w:val="0"/>
                <w:szCs w:val="21"/>
              </w:rPr>
            </w:pPr>
            <w:r>
              <w:rPr>
                <w:color w:val="000000"/>
                <w:kern w:val="0"/>
                <w:szCs w:val="21"/>
              </w:rPr>
              <w:t>较低</w:t>
            </w:r>
          </w:p>
        </w:tc>
        <w:tc>
          <w:tcPr>
            <w:tcW w:w="1273" w:type="dxa"/>
            <w:vAlign w:val="center"/>
          </w:tcPr>
          <w:p>
            <w:pPr>
              <w:widowControl/>
              <w:jc w:val="center"/>
              <w:rPr>
                <w:color w:val="000000"/>
                <w:kern w:val="0"/>
                <w:szCs w:val="21"/>
              </w:rPr>
            </w:pPr>
            <w:r>
              <w:rPr>
                <w:color w:val="000000"/>
                <w:kern w:val="0"/>
                <w:szCs w:val="21"/>
              </w:rPr>
              <w:t>一般</w:t>
            </w:r>
          </w:p>
        </w:tc>
        <w:tc>
          <w:tcPr>
            <w:tcW w:w="1145" w:type="dxa"/>
            <w:vAlign w:val="center"/>
          </w:tcPr>
          <w:p>
            <w:pPr>
              <w:widowControl/>
              <w:jc w:val="center"/>
              <w:rPr>
                <w:color w:val="000000"/>
                <w:kern w:val="0"/>
                <w:szCs w:val="21"/>
              </w:rPr>
            </w:pPr>
            <w:r>
              <w:rPr>
                <w:color w:val="000000"/>
                <w:kern w:val="0"/>
                <w:szCs w:val="21"/>
              </w:rPr>
              <w:t>较高</w:t>
            </w:r>
          </w:p>
        </w:tc>
        <w:tc>
          <w:tcPr>
            <w:tcW w:w="1002" w:type="dxa"/>
            <w:vAlign w:val="center"/>
          </w:tcPr>
          <w:p>
            <w:pPr>
              <w:widowControl/>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Align w:val="center"/>
          </w:tcPr>
          <w:p>
            <w:pPr>
              <w:widowControl/>
              <w:jc w:val="center"/>
              <w:rPr>
                <w:color w:val="000000"/>
                <w:kern w:val="0"/>
                <w:szCs w:val="21"/>
              </w:rPr>
            </w:pPr>
            <w:r>
              <w:rPr>
                <w:color w:val="000000"/>
                <w:kern w:val="0"/>
                <w:szCs w:val="21"/>
              </w:rPr>
              <w:t>自然条件优劣度</w:t>
            </w:r>
          </w:p>
        </w:tc>
        <w:tc>
          <w:tcPr>
            <w:tcW w:w="1449" w:type="dxa"/>
            <w:vAlign w:val="center"/>
          </w:tcPr>
          <w:p>
            <w:pPr>
              <w:widowControl/>
              <w:jc w:val="center"/>
              <w:rPr>
                <w:color w:val="000000"/>
                <w:kern w:val="0"/>
                <w:szCs w:val="21"/>
              </w:rPr>
            </w:pPr>
            <w:r>
              <w:rPr>
                <w:color w:val="000000"/>
                <w:kern w:val="0"/>
                <w:szCs w:val="21"/>
              </w:rPr>
              <w:t>洪水淹没状况</w:t>
            </w:r>
          </w:p>
        </w:tc>
        <w:tc>
          <w:tcPr>
            <w:tcW w:w="1002" w:type="dxa"/>
            <w:vAlign w:val="center"/>
          </w:tcPr>
          <w:p>
            <w:pPr>
              <w:widowControl/>
              <w:jc w:val="center"/>
              <w:rPr>
                <w:color w:val="000000"/>
                <w:kern w:val="0"/>
                <w:szCs w:val="21"/>
              </w:rPr>
            </w:pPr>
            <w:r>
              <w:rPr>
                <w:color w:val="000000"/>
                <w:kern w:val="0"/>
                <w:szCs w:val="21"/>
              </w:rPr>
              <w:t>低</w:t>
            </w:r>
          </w:p>
        </w:tc>
        <w:tc>
          <w:tcPr>
            <w:tcW w:w="1546" w:type="dxa"/>
            <w:vAlign w:val="center"/>
          </w:tcPr>
          <w:p>
            <w:pPr>
              <w:widowControl/>
              <w:jc w:val="center"/>
              <w:rPr>
                <w:color w:val="000000"/>
                <w:kern w:val="0"/>
                <w:szCs w:val="21"/>
              </w:rPr>
            </w:pPr>
            <w:r>
              <w:rPr>
                <w:color w:val="000000"/>
                <w:kern w:val="0"/>
                <w:szCs w:val="21"/>
              </w:rPr>
              <w:t>较低</w:t>
            </w:r>
          </w:p>
        </w:tc>
        <w:tc>
          <w:tcPr>
            <w:tcW w:w="1273" w:type="dxa"/>
            <w:vAlign w:val="center"/>
          </w:tcPr>
          <w:p>
            <w:pPr>
              <w:widowControl/>
              <w:jc w:val="center"/>
              <w:rPr>
                <w:color w:val="000000"/>
                <w:kern w:val="0"/>
                <w:szCs w:val="21"/>
              </w:rPr>
            </w:pPr>
            <w:r>
              <w:rPr>
                <w:color w:val="000000"/>
                <w:kern w:val="0"/>
                <w:szCs w:val="21"/>
              </w:rPr>
              <w:t>一般</w:t>
            </w:r>
          </w:p>
        </w:tc>
        <w:tc>
          <w:tcPr>
            <w:tcW w:w="1145" w:type="dxa"/>
            <w:vAlign w:val="center"/>
          </w:tcPr>
          <w:p>
            <w:pPr>
              <w:widowControl/>
              <w:jc w:val="center"/>
              <w:rPr>
                <w:color w:val="000000"/>
                <w:kern w:val="0"/>
                <w:szCs w:val="21"/>
              </w:rPr>
            </w:pPr>
            <w:r>
              <w:rPr>
                <w:color w:val="000000"/>
                <w:kern w:val="0"/>
                <w:szCs w:val="21"/>
              </w:rPr>
              <w:t>较高</w:t>
            </w:r>
          </w:p>
        </w:tc>
        <w:tc>
          <w:tcPr>
            <w:tcW w:w="1002" w:type="dxa"/>
            <w:vAlign w:val="center"/>
          </w:tcPr>
          <w:p>
            <w:pPr>
              <w:widowControl/>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Align w:val="center"/>
          </w:tcPr>
          <w:p>
            <w:pPr>
              <w:widowControl/>
              <w:jc w:val="center"/>
              <w:rPr>
                <w:color w:val="000000"/>
                <w:kern w:val="0"/>
                <w:szCs w:val="21"/>
              </w:rPr>
            </w:pPr>
            <w:r>
              <w:rPr>
                <w:color w:val="000000"/>
                <w:kern w:val="0"/>
                <w:szCs w:val="21"/>
              </w:rPr>
              <w:t>繁华程度</w:t>
            </w:r>
          </w:p>
        </w:tc>
        <w:tc>
          <w:tcPr>
            <w:tcW w:w="775" w:type="dxa"/>
            <w:vAlign w:val="center"/>
          </w:tcPr>
          <w:p>
            <w:pPr>
              <w:widowControl/>
              <w:jc w:val="center"/>
              <w:rPr>
                <w:color w:val="000000"/>
                <w:kern w:val="0"/>
                <w:szCs w:val="21"/>
              </w:rPr>
            </w:pPr>
            <w:r>
              <w:rPr>
                <w:color w:val="000000"/>
                <w:kern w:val="0"/>
                <w:szCs w:val="21"/>
              </w:rPr>
              <w:t>商服繁华影响度</w:t>
            </w:r>
          </w:p>
        </w:tc>
        <w:tc>
          <w:tcPr>
            <w:tcW w:w="1449" w:type="dxa"/>
            <w:vAlign w:val="center"/>
          </w:tcPr>
          <w:p>
            <w:pPr>
              <w:widowControl/>
              <w:jc w:val="center"/>
              <w:rPr>
                <w:color w:val="000000"/>
                <w:kern w:val="0"/>
                <w:szCs w:val="21"/>
              </w:rPr>
            </w:pPr>
            <w:r>
              <w:rPr>
                <w:color w:val="000000"/>
                <w:kern w:val="0"/>
                <w:szCs w:val="21"/>
              </w:rPr>
              <w:t>距商服中心距离</w:t>
            </w:r>
          </w:p>
        </w:tc>
        <w:tc>
          <w:tcPr>
            <w:tcW w:w="1002" w:type="dxa"/>
            <w:vAlign w:val="center"/>
          </w:tcPr>
          <w:p>
            <w:pPr>
              <w:widowControl/>
              <w:jc w:val="center"/>
              <w:rPr>
                <w:color w:val="000000"/>
                <w:kern w:val="0"/>
                <w:szCs w:val="21"/>
              </w:rPr>
            </w:pPr>
            <w:r>
              <w:rPr>
                <w:color w:val="000000"/>
                <w:kern w:val="0"/>
                <w:szCs w:val="21"/>
              </w:rPr>
              <w:t>≤400</w:t>
            </w:r>
          </w:p>
        </w:tc>
        <w:tc>
          <w:tcPr>
            <w:tcW w:w="1546" w:type="dxa"/>
            <w:vAlign w:val="center"/>
          </w:tcPr>
          <w:p>
            <w:pPr>
              <w:widowControl/>
              <w:jc w:val="center"/>
              <w:rPr>
                <w:color w:val="000000"/>
                <w:kern w:val="0"/>
                <w:szCs w:val="21"/>
              </w:rPr>
            </w:pPr>
            <w:r>
              <w:rPr>
                <w:color w:val="000000"/>
                <w:kern w:val="0"/>
                <w:szCs w:val="21"/>
              </w:rPr>
              <w:t>400-600</w:t>
            </w:r>
          </w:p>
        </w:tc>
        <w:tc>
          <w:tcPr>
            <w:tcW w:w="1273" w:type="dxa"/>
            <w:vAlign w:val="center"/>
          </w:tcPr>
          <w:p>
            <w:pPr>
              <w:widowControl/>
              <w:jc w:val="center"/>
              <w:rPr>
                <w:color w:val="000000"/>
                <w:kern w:val="0"/>
                <w:szCs w:val="21"/>
              </w:rPr>
            </w:pPr>
            <w:r>
              <w:rPr>
                <w:color w:val="000000"/>
                <w:kern w:val="0"/>
                <w:szCs w:val="21"/>
              </w:rPr>
              <w:t>600-1200</w:t>
            </w:r>
          </w:p>
        </w:tc>
        <w:tc>
          <w:tcPr>
            <w:tcW w:w="1145" w:type="dxa"/>
            <w:vAlign w:val="center"/>
          </w:tcPr>
          <w:p>
            <w:pPr>
              <w:widowControl/>
              <w:jc w:val="center"/>
              <w:rPr>
                <w:color w:val="000000"/>
                <w:kern w:val="0"/>
                <w:szCs w:val="21"/>
              </w:rPr>
            </w:pPr>
            <w:r>
              <w:rPr>
                <w:color w:val="000000"/>
                <w:kern w:val="0"/>
                <w:szCs w:val="21"/>
              </w:rPr>
              <w:t>1200-2400</w:t>
            </w:r>
          </w:p>
        </w:tc>
        <w:tc>
          <w:tcPr>
            <w:tcW w:w="1002" w:type="dxa"/>
            <w:vAlign w:val="center"/>
          </w:tcPr>
          <w:p>
            <w:pPr>
              <w:widowControl/>
              <w:jc w:val="center"/>
              <w:rPr>
                <w:color w:val="000000"/>
                <w:kern w:val="0"/>
                <w:szCs w:val="21"/>
              </w:rPr>
            </w:pPr>
            <w:r>
              <w:rPr>
                <w:color w:val="000000"/>
                <w:kern w:val="0"/>
                <w:szCs w:val="21"/>
              </w:rPr>
              <w:t>&gt;2400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Align w:val="center"/>
          </w:tcPr>
          <w:p>
            <w:pPr>
              <w:widowControl/>
              <w:jc w:val="center"/>
              <w:rPr>
                <w:color w:val="000000"/>
                <w:kern w:val="0"/>
                <w:szCs w:val="21"/>
              </w:rPr>
            </w:pPr>
            <w:r>
              <w:rPr>
                <w:color w:val="000000"/>
                <w:kern w:val="0"/>
                <w:szCs w:val="21"/>
              </w:rPr>
              <w:t>人口状况</w:t>
            </w:r>
          </w:p>
        </w:tc>
        <w:tc>
          <w:tcPr>
            <w:tcW w:w="775" w:type="dxa"/>
            <w:vAlign w:val="center"/>
          </w:tcPr>
          <w:p>
            <w:pPr>
              <w:widowControl/>
              <w:jc w:val="center"/>
              <w:rPr>
                <w:color w:val="000000"/>
                <w:kern w:val="0"/>
                <w:szCs w:val="21"/>
              </w:rPr>
            </w:pPr>
            <w:r>
              <w:rPr>
                <w:color w:val="000000"/>
                <w:kern w:val="0"/>
                <w:szCs w:val="21"/>
              </w:rPr>
              <w:t>人口密度</w:t>
            </w:r>
          </w:p>
        </w:tc>
        <w:tc>
          <w:tcPr>
            <w:tcW w:w="1449" w:type="dxa"/>
            <w:vAlign w:val="center"/>
          </w:tcPr>
          <w:p>
            <w:pPr>
              <w:widowControl/>
              <w:jc w:val="center"/>
              <w:rPr>
                <w:color w:val="000000"/>
                <w:kern w:val="0"/>
                <w:szCs w:val="21"/>
              </w:rPr>
            </w:pPr>
            <w:r>
              <w:rPr>
                <w:color w:val="000000"/>
                <w:kern w:val="0"/>
                <w:szCs w:val="21"/>
              </w:rPr>
              <w:t>人口密度</w:t>
            </w:r>
          </w:p>
        </w:tc>
        <w:tc>
          <w:tcPr>
            <w:tcW w:w="1002" w:type="dxa"/>
            <w:vAlign w:val="center"/>
          </w:tcPr>
          <w:p>
            <w:pPr>
              <w:widowControl/>
              <w:jc w:val="center"/>
              <w:rPr>
                <w:color w:val="000000"/>
                <w:kern w:val="0"/>
                <w:szCs w:val="21"/>
              </w:rPr>
            </w:pPr>
            <w:r>
              <w:rPr>
                <w:color w:val="000000"/>
                <w:kern w:val="0"/>
                <w:szCs w:val="21"/>
              </w:rPr>
              <w:t>人口稠密</w:t>
            </w:r>
          </w:p>
        </w:tc>
        <w:tc>
          <w:tcPr>
            <w:tcW w:w="1546" w:type="dxa"/>
            <w:vAlign w:val="center"/>
          </w:tcPr>
          <w:p>
            <w:pPr>
              <w:widowControl/>
              <w:jc w:val="center"/>
              <w:rPr>
                <w:color w:val="000000"/>
                <w:kern w:val="0"/>
                <w:szCs w:val="21"/>
              </w:rPr>
            </w:pPr>
            <w:r>
              <w:rPr>
                <w:color w:val="000000"/>
                <w:kern w:val="0"/>
                <w:szCs w:val="21"/>
              </w:rPr>
              <w:t>人口较稠密</w:t>
            </w:r>
          </w:p>
        </w:tc>
        <w:tc>
          <w:tcPr>
            <w:tcW w:w="1273" w:type="dxa"/>
            <w:vAlign w:val="center"/>
          </w:tcPr>
          <w:p>
            <w:pPr>
              <w:widowControl/>
              <w:jc w:val="center"/>
              <w:rPr>
                <w:color w:val="000000"/>
                <w:kern w:val="0"/>
                <w:szCs w:val="21"/>
              </w:rPr>
            </w:pPr>
            <w:r>
              <w:rPr>
                <w:color w:val="000000"/>
                <w:kern w:val="0"/>
                <w:szCs w:val="21"/>
              </w:rPr>
              <w:t>一般</w:t>
            </w:r>
          </w:p>
        </w:tc>
        <w:tc>
          <w:tcPr>
            <w:tcW w:w="1145" w:type="dxa"/>
            <w:vAlign w:val="center"/>
          </w:tcPr>
          <w:p>
            <w:pPr>
              <w:widowControl/>
              <w:jc w:val="center"/>
              <w:rPr>
                <w:color w:val="000000"/>
                <w:kern w:val="0"/>
                <w:szCs w:val="21"/>
              </w:rPr>
            </w:pPr>
            <w:r>
              <w:rPr>
                <w:color w:val="000000"/>
                <w:kern w:val="0"/>
                <w:szCs w:val="21"/>
              </w:rPr>
              <w:t>人口较稀疏</w:t>
            </w:r>
          </w:p>
        </w:tc>
        <w:tc>
          <w:tcPr>
            <w:tcW w:w="1002" w:type="dxa"/>
            <w:vAlign w:val="center"/>
          </w:tcPr>
          <w:p>
            <w:pPr>
              <w:widowControl/>
              <w:jc w:val="center"/>
              <w:rPr>
                <w:color w:val="000000"/>
                <w:kern w:val="0"/>
                <w:szCs w:val="21"/>
              </w:rPr>
            </w:pPr>
            <w:r>
              <w:rPr>
                <w:color w:val="000000"/>
                <w:kern w:val="0"/>
                <w:szCs w:val="21"/>
              </w:rPr>
              <w:t>人口稀疏区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restart"/>
            <w:vAlign w:val="center"/>
          </w:tcPr>
          <w:p>
            <w:pPr>
              <w:widowControl/>
              <w:jc w:val="center"/>
              <w:rPr>
                <w:color w:val="000000"/>
                <w:kern w:val="0"/>
                <w:szCs w:val="21"/>
              </w:rPr>
            </w:pPr>
            <w:r>
              <w:rPr>
                <w:color w:val="000000"/>
                <w:kern w:val="0"/>
                <w:szCs w:val="21"/>
              </w:rPr>
              <w:t>城市规划</w:t>
            </w:r>
          </w:p>
        </w:tc>
        <w:tc>
          <w:tcPr>
            <w:tcW w:w="775" w:type="dxa"/>
            <w:vMerge w:val="restart"/>
            <w:vAlign w:val="center"/>
          </w:tcPr>
          <w:p>
            <w:pPr>
              <w:widowControl/>
              <w:jc w:val="center"/>
              <w:rPr>
                <w:color w:val="000000"/>
                <w:kern w:val="0"/>
                <w:szCs w:val="21"/>
              </w:rPr>
            </w:pPr>
            <w:r>
              <w:rPr>
                <w:color w:val="000000"/>
                <w:kern w:val="0"/>
                <w:szCs w:val="21"/>
              </w:rPr>
              <w:t>城市规划</w:t>
            </w:r>
          </w:p>
        </w:tc>
        <w:tc>
          <w:tcPr>
            <w:tcW w:w="1449" w:type="dxa"/>
            <w:vAlign w:val="center"/>
          </w:tcPr>
          <w:p>
            <w:pPr>
              <w:widowControl/>
              <w:jc w:val="center"/>
              <w:rPr>
                <w:color w:val="000000"/>
                <w:kern w:val="0"/>
                <w:szCs w:val="21"/>
              </w:rPr>
            </w:pPr>
            <w:r>
              <w:rPr>
                <w:color w:val="000000"/>
                <w:kern w:val="0"/>
                <w:szCs w:val="21"/>
              </w:rPr>
              <w:t>用地规划</w:t>
            </w:r>
          </w:p>
        </w:tc>
        <w:tc>
          <w:tcPr>
            <w:tcW w:w="1002" w:type="dxa"/>
            <w:vAlign w:val="center"/>
          </w:tcPr>
          <w:p>
            <w:pPr>
              <w:widowControl/>
              <w:jc w:val="center"/>
              <w:rPr>
                <w:color w:val="000000"/>
                <w:kern w:val="0"/>
                <w:szCs w:val="21"/>
              </w:rPr>
            </w:pPr>
            <w:r>
              <w:rPr>
                <w:color w:val="000000"/>
                <w:kern w:val="0"/>
                <w:szCs w:val="21"/>
              </w:rPr>
              <w:t>主干道</w:t>
            </w:r>
          </w:p>
        </w:tc>
        <w:tc>
          <w:tcPr>
            <w:tcW w:w="1546" w:type="dxa"/>
            <w:vAlign w:val="center"/>
          </w:tcPr>
          <w:p>
            <w:pPr>
              <w:widowControl/>
              <w:jc w:val="center"/>
              <w:rPr>
                <w:color w:val="000000"/>
                <w:kern w:val="0"/>
                <w:szCs w:val="21"/>
              </w:rPr>
            </w:pPr>
            <w:r>
              <w:rPr>
                <w:color w:val="000000"/>
                <w:kern w:val="0"/>
                <w:szCs w:val="21"/>
              </w:rPr>
              <w:t>次干道</w:t>
            </w:r>
          </w:p>
        </w:tc>
        <w:tc>
          <w:tcPr>
            <w:tcW w:w="1273" w:type="dxa"/>
            <w:vAlign w:val="center"/>
          </w:tcPr>
          <w:p>
            <w:pPr>
              <w:widowControl/>
              <w:jc w:val="center"/>
              <w:rPr>
                <w:color w:val="000000"/>
                <w:kern w:val="0"/>
                <w:szCs w:val="21"/>
              </w:rPr>
            </w:pPr>
            <w:r>
              <w:rPr>
                <w:color w:val="000000"/>
                <w:kern w:val="0"/>
                <w:szCs w:val="21"/>
              </w:rPr>
              <w:t>快速路</w:t>
            </w:r>
          </w:p>
        </w:tc>
        <w:tc>
          <w:tcPr>
            <w:tcW w:w="1145" w:type="dxa"/>
            <w:vAlign w:val="center"/>
          </w:tcPr>
          <w:p>
            <w:pPr>
              <w:widowControl/>
              <w:jc w:val="center"/>
              <w:rPr>
                <w:color w:val="000000"/>
                <w:kern w:val="0"/>
                <w:szCs w:val="21"/>
              </w:rPr>
            </w:pPr>
            <w:r>
              <w:rPr>
                <w:color w:val="000000"/>
                <w:kern w:val="0"/>
                <w:szCs w:val="21"/>
              </w:rPr>
              <w:t>支路</w:t>
            </w:r>
          </w:p>
        </w:tc>
        <w:tc>
          <w:tcPr>
            <w:tcW w:w="1002" w:type="dxa"/>
            <w:vAlign w:val="center"/>
          </w:tcPr>
          <w:p>
            <w:pPr>
              <w:widowControl/>
              <w:jc w:val="center"/>
              <w:rPr>
                <w:color w:val="000000"/>
                <w:kern w:val="0"/>
                <w:szCs w:val="21"/>
              </w:rPr>
            </w:pPr>
            <w:r>
              <w:rPr>
                <w:color w:val="000000"/>
                <w:kern w:val="0"/>
                <w:szCs w:val="21"/>
              </w:rPr>
              <w:t>街坊间支路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74" w:type="dxa"/>
            <w:vMerge w:val="continue"/>
            <w:vAlign w:val="center"/>
          </w:tcPr>
          <w:p>
            <w:pPr>
              <w:widowControl/>
              <w:jc w:val="left"/>
              <w:rPr>
                <w:color w:val="000000"/>
                <w:kern w:val="0"/>
                <w:szCs w:val="21"/>
              </w:rPr>
            </w:pPr>
          </w:p>
        </w:tc>
        <w:tc>
          <w:tcPr>
            <w:tcW w:w="775" w:type="dxa"/>
            <w:vMerge w:val="continue"/>
            <w:vAlign w:val="center"/>
          </w:tcPr>
          <w:p>
            <w:pPr>
              <w:widowControl/>
              <w:jc w:val="left"/>
              <w:rPr>
                <w:color w:val="000000"/>
                <w:kern w:val="0"/>
                <w:szCs w:val="21"/>
              </w:rPr>
            </w:pPr>
          </w:p>
        </w:tc>
        <w:tc>
          <w:tcPr>
            <w:tcW w:w="1449" w:type="dxa"/>
            <w:vAlign w:val="center"/>
          </w:tcPr>
          <w:p>
            <w:pPr>
              <w:widowControl/>
              <w:jc w:val="center"/>
              <w:rPr>
                <w:color w:val="000000"/>
                <w:kern w:val="0"/>
                <w:szCs w:val="21"/>
              </w:rPr>
            </w:pPr>
            <w:r>
              <w:rPr>
                <w:color w:val="000000"/>
                <w:kern w:val="0"/>
                <w:szCs w:val="21"/>
              </w:rPr>
              <w:t>道路规划</w:t>
            </w:r>
          </w:p>
        </w:tc>
        <w:tc>
          <w:tcPr>
            <w:tcW w:w="1002" w:type="dxa"/>
            <w:vAlign w:val="center"/>
          </w:tcPr>
          <w:p>
            <w:pPr>
              <w:widowControl/>
              <w:jc w:val="center"/>
              <w:rPr>
                <w:color w:val="000000"/>
                <w:kern w:val="0"/>
                <w:szCs w:val="21"/>
              </w:rPr>
            </w:pPr>
            <w:r>
              <w:rPr>
                <w:color w:val="000000"/>
                <w:kern w:val="0"/>
                <w:szCs w:val="21"/>
              </w:rPr>
              <w:t>最佳用途</w:t>
            </w:r>
          </w:p>
        </w:tc>
        <w:tc>
          <w:tcPr>
            <w:tcW w:w="1546" w:type="dxa"/>
            <w:vAlign w:val="center"/>
          </w:tcPr>
          <w:p>
            <w:pPr>
              <w:widowControl/>
              <w:jc w:val="center"/>
              <w:rPr>
                <w:color w:val="000000"/>
                <w:kern w:val="0"/>
                <w:szCs w:val="21"/>
              </w:rPr>
            </w:pPr>
            <w:r>
              <w:rPr>
                <w:color w:val="000000"/>
                <w:kern w:val="0"/>
                <w:szCs w:val="21"/>
              </w:rPr>
              <w:t>较适用途</w:t>
            </w:r>
          </w:p>
        </w:tc>
        <w:tc>
          <w:tcPr>
            <w:tcW w:w="1273" w:type="dxa"/>
            <w:vAlign w:val="center"/>
          </w:tcPr>
          <w:p>
            <w:pPr>
              <w:widowControl/>
              <w:jc w:val="center"/>
              <w:rPr>
                <w:color w:val="000000"/>
                <w:kern w:val="0"/>
                <w:szCs w:val="21"/>
              </w:rPr>
            </w:pPr>
            <w:r>
              <w:rPr>
                <w:color w:val="000000"/>
                <w:kern w:val="0"/>
                <w:szCs w:val="21"/>
              </w:rPr>
              <w:t>一般用途</w:t>
            </w:r>
          </w:p>
        </w:tc>
        <w:tc>
          <w:tcPr>
            <w:tcW w:w="1145" w:type="dxa"/>
            <w:vAlign w:val="center"/>
          </w:tcPr>
          <w:p>
            <w:pPr>
              <w:widowControl/>
              <w:jc w:val="center"/>
              <w:rPr>
                <w:color w:val="000000"/>
                <w:kern w:val="0"/>
                <w:szCs w:val="21"/>
              </w:rPr>
            </w:pPr>
            <w:r>
              <w:rPr>
                <w:color w:val="000000"/>
                <w:kern w:val="0"/>
                <w:szCs w:val="21"/>
              </w:rPr>
              <w:t>不太适合用途</w:t>
            </w:r>
          </w:p>
        </w:tc>
        <w:tc>
          <w:tcPr>
            <w:tcW w:w="1002" w:type="dxa"/>
            <w:vAlign w:val="center"/>
          </w:tcPr>
          <w:p>
            <w:pPr>
              <w:widowControl/>
              <w:jc w:val="center"/>
              <w:rPr>
                <w:color w:val="000000"/>
                <w:kern w:val="0"/>
                <w:szCs w:val="21"/>
              </w:rPr>
            </w:pPr>
            <w:r>
              <w:rPr>
                <w:color w:val="000000"/>
                <w:kern w:val="0"/>
                <w:szCs w:val="21"/>
              </w:rPr>
              <w:t>不适合用途</w:t>
            </w:r>
          </w:p>
        </w:tc>
      </w:tr>
    </w:tbl>
    <w:p>
      <w:pPr>
        <w:widowControl/>
        <w:ind w:firstLine="560" w:firstLineChars="200"/>
        <w:jc w:val="left"/>
        <w:rPr>
          <w:rFonts w:eastAsia="黑体"/>
          <w:sz w:val="28"/>
          <w:szCs w:val="28"/>
        </w:rPr>
      </w:pPr>
      <w:bookmarkStart w:id="829" w:name="_Toc467846896"/>
      <w:bookmarkStart w:id="830" w:name="_Toc469296514"/>
      <w:r>
        <w:rPr>
          <w:rFonts w:eastAsia="黑体"/>
          <w:sz w:val="28"/>
          <w:szCs w:val="28"/>
        </w:rPr>
        <w:br w:type="page"/>
      </w:r>
    </w:p>
    <w:p>
      <w:pPr>
        <w:spacing w:line="360" w:lineRule="auto"/>
        <w:ind w:firstLine="560" w:firstLineChars="200"/>
        <w:outlineLvl w:val="2"/>
        <w:rPr>
          <w:rFonts w:eastAsia="黑体"/>
          <w:sz w:val="28"/>
          <w:szCs w:val="28"/>
        </w:rPr>
      </w:pPr>
      <w:bookmarkStart w:id="831" w:name="_Toc470721364"/>
      <w:bookmarkStart w:id="832" w:name="_Toc9532"/>
      <w:bookmarkStart w:id="833" w:name="_Toc21962"/>
      <w:r>
        <w:rPr>
          <w:rFonts w:eastAsia="黑体"/>
          <w:sz w:val="28"/>
          <w:szCs w:val="28"/>
        </w:rPr>
        <w:t>二、宗地地价个别因素修正</w:t>
      </w:r>
      <w:bookmarkEnd w:id="829"/>
      <w:bookmarkEnd w:id="830"/>
      <w:bookmarkEnd w:id="831"/>
      <w:bookmarkEnd w:id="832"/>
      <w:bookmarkEnd w:id="833"/>
    </w:p>
    <w:p>
      <w:pPr>
        <w:tabs>
          <w:tab w:val="right" w:pos="9298"/>
        </w:tabs>
        <w:spacing w:line="460" w:lineRule="exact"/>
        <w:ind w:firstLine="480" w:firstLineChars="200"/>
        <w:rPr>
          <w:rFonts w:eastAsia="黑体"/>
          <w:sz w:val="24"/>
        </w:rPr>
      </w:pPr>
      <w:r>
        <w:rPr>
          <w:rFonts w:eastAsia="黑体"/>
          <w:sz w:val="24"/>
        </w:rPr>
        <w:t>（一）出让年期修正（K</w:t>
      </w:r>
      <w:r>
        <w:rPr>
          <w:rFonts w:eastAsia="黑体"/>
          <w:sz w:val="24"/>
          <w:vertAlign w:val="subscript"/>
        </w:rPr>
        <w:t>n</w:t>
      </w:r>
      <w:r>
        <w:rPr>
          <w:rFonts w:eastAsia="黑体"/>
          <w:sz w:val="24"/>
        </w:rPr>
        <w:t>）</w:t>
      </w:r>
    </w:p>
    <w:p>
      <w:pPr>
        <w:spacing w:line="460" w:lineRule="exact"/>
        <w:ind w:firstLine="480" w:firstLineChars="200"/>
        <w:rPr>
          <w:sz w:val="24"/>
        </w:rPr>
      </w:pPr>
      <w:r>
        <w:rPr>
          <w:sz w:val="24"/>
        </w:rPr>
        <w:t>住宅用地法定最高出让年期为70年，土地还原利率为7.5</w:t>
      </w:r>
      <w:r>
        <w:rPr>
          <w:rFonts w:hint="eastAsia"/>
          <w:sz w:val="24"/>
        </w:rPr>
        <w:t>4</w:t>
      </w:r>
      <w:r>
        <w:rPr>
          <w:sz w:val="24"/>
        </w:rPr>
        <w:t>%。通过使用年期修正系数公式（公式4-2-1）编制系数表。</w:t>
      </w:r>
    </w:p>
    <w:p>
      <w:pPr>
        <w:pStyle w:val="131"/>
        <w:spacing w:beforeLines="50" w:afterLines="50"/>
        <w:ind w:firstLine="0" w:firstLineChars="0"/>
        <w:rPr>
          <w:rFonts w:ascii="Times New Roman" w:hAnsi="Times New Roman"/>
          <w:sz w:val="24"/>
        </w:rPr>
      </w:pPr>
      <w:r>
        <w:rPr>
          <w:rFonts w:ascii="Times New Roman" w:hAnsi="Times New Roman"/>
          <w:sz w:val="24"/>
        </w:rPr>
        <w:t>表4-4-11  住宅用地出让年期系数修正表</w:t>
      </w:r>
    </w:p>
    <w:tbl>
      <w:tblPr>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253"/>
        <w:gridCol w:w="1252"/>
        <w:gridCol w:w="1252"/>
        <w:gridCol w:w="1252"/>
        <w:gridCol w:w="1252"/>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jc w:val="center"/>
        </w:trPr>
        <w:tc>
          <w:tcPr>
            <w:tcW w:w="1550" w:type="dxa"/>
            <w:vAlign w:val="center"/>
          </w:tcPr>
          <w:p>
            <w:pPr>
              <w:widowControl/>
              <w:jc w:val="center"/>
              <w:rPr>
                <w:kern w:val="0"/>
              </w:rPr>
            </w:pPr>
            <w:r>
              <w:rPr>
                <w:kern w:val="0"/>
              </w:rPr>
              <w:t>使用年期</w:t>
            </w:r>
          </w:p>
        </w:tc>
        <w:tc>
          <w:tcPr>
            <w:tcW w:w="1253" w:type="dxa"/>
            <w:vAlign w:val="center"/>
          </w:tcPr>
          <w:p>
            <w:pPr>
              <w:jc w:val="center"/>
              <w:rPr>
                <w:color w:val="000000"/>
                <w:szCs w:val="21"/>
              </w:rPr>
            </w:pPr>
            <w:r>
              <w:rPr>
                <w:color w:val="000000"/>
                <w:szCs w:val="21"/>
              </w:rPr>
              <w:t>1</w:t>
            </w:r>
          </w:p>
        </w:tc>
        <w:tc>
          <w:tcPr>
            <w:tcW w:w="1252" w:type="dxa"/>
            <w:vAlign w:val="center"/>
          </w:tcPr>
          <w:p>
            <w:pPr>
              <w:jc w:val="center"/>
              <w:rPr>
                <w:color w:val="000000"/>
                <w:szCs w:val="21"/>
              </w:rPr>
            </w:pPr>
            <w:r>
              <w:rPr>
                <w:color w:val="000000"/>
                <w:szCs w:val="21"/>
              </w:rPr>
              <w:t>2</w:t>
            </w:r>
          </w:p>
        </w:tc>
        <w:tc>
          <w:tcPr>
            <w:tcW w:w="1252" w:type="dxa"/>
            <w:vAlign w:val="center"/>
          </w:tcPr>
          <w:p>
            <w:pPr>
              <w:jc w:val="center"/>
              <w:rPr>
                <w:color w:val="000000"/>
                <w:szCs w:val="21"/>
              </w:rPr>
            </w:pPr>
            <w:r>
              <w:rPr>
                <w:color w:val="000000"/>
                <w:szCs w:val="21"/>
              </w:rPr>
              <w:t>3</w:t>
            </w:r>
          </w:p>
        </w:tc>
        <w:tc>
          <w:tcPr>
            <w:tcW w:w="1252" w:type="dxa"/>
            <w:vAlign w:val="center"/>
          </w:tcPr>
          <w:p>
            <w:pPr>
              <w:jc w:val="center"/>
              <w:rPr>
                <w:color w:val="000000"/>
                <w:szCs w:val="21"/>
              </w:rPr>
            </w:pPr>
            <w:r>
              <w:rPr>
                <w:color w:val="000000"/>
                <w:szCs w:val="21"/>
              </w:rPr>
              <w:t>4</w:t>
            </w:r>
          </w:p>
        </w:tc>
        <w:tc>
          <w:tcPr>
            <w:tcW w:w="1252" w:type="dxa"/>
            <w:vAlign w:val="center"/>
          </w:tcPr>
          <w:p>
            <w:pPr>
              <w:jc w:val="center"/>
              <w:rPr>
                <w:color w:val="000000"/>
                <w:szCs w:val="21"/>
              </w:rPr>
            </w:pPr>
            <w:r>
              <w:rPr>
                <w:color w:val="000000"/>
                <w:szCs w:val="21"/>
              </w:rPr>
              <w:t>5</w:t>
            </w:r>
          </w:p>
        </w:tc>
        <w:tc>
          <w:tcPr>
            <w:tcW w:w="1250" w:type="dxa"/>
            <w:vAlign w:val="center"/>
          </w:tcPr>
          <w:p>
            <w:pPr>
              <w:jc w:val="center"/>
              <w:rPr>
                <w:color w:val="000000"/>
                <w:szCs w:val="21"/>
              </w:rPr>
            </w:pPr>
            <w:r>
              <w:rPr>
                <w:color w:val="00000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修正系数</w:t>
            </w:r>
          </w:p>
        </w:tc>
        <w:tc>
          <w:tcPr>
            <w:tcW w:w="1253" w:type="dxa"/>
            <w:vAlign w:val="center"/>
          </w:tcPr>
          <w:p>
            <w:pPr>
              <w:widowControl/>
              <w:jc w:val="center"/>
              <w:textAlignment w:val="center"/>
              <w:rPr>
                <w:color w:val="000000"/>
                <w:sz w:val="22"/>
                <w:szCs w:val="22"/>
              </w:rPr>
            </w:pPr>
            <w:r>
              <w:rPr>
                <w:color w:val="000000"/>
                <w:kern w:val="0"/>
                <w:szCs w:val="21"/>
                <w:lang/>
              </w:rPr>
              <w:t xml:space="preserve">0.0705 </w:t>
            </w:r>
          </w:p>
        </w:tc>
        <w:tc>
          <w:tcPr>
            <w:tcW w:w="1252" w:type="dxa"/>
            <w:vAlign w:val="center"/>
          </w:tcPr>
          <w:p>
            <w:pPr>
              <w:widowControl/>
              <w:jc w:val="center"/>
              <w:textAlignment w:val="center"/>
              <w:rPr>
                <w:color w:val="000000"/>
                <w:sz w:val="22"/>
                <w:szCs w:val="22"/>
              </w:rPr>
            </w:pPr>
            <w:r>
              <w:rPr>
                <w:color w:val="000000"/>
                <w:kern w:val="0"/>
                <w:szCs w:val="21"/>
                <w:lang/>
              </w:rPr>
              <w:t xml:space="preserve">0.1362 </w:t>
            </w:r>
          </w:p>
        </w:tc>
        <w:tc>
          <w:tcPr>
            <w:tcW w:w="1252" w:type="dxa"/>
            <w:vAlign w:val="center"/>
          </w:tcPr>
          <w:p>
            <w:pPr>
              <w:widowControl/>
              <w:jc w:val="center"/>
              <w:textAlignment w:val="center"/>
              <w:rPr>
                <w:color w:val="000000"/>
                <w:sz w:val="22"/>
                <w:szCs w:val="22"/>
              </w:rPr>
            </w:pPr>
            <w:r>
              <w:rPr>
                <w:color w:val="000000"/>
                <w:kern w:val="0"/>
                <w:szCs w:val="21"/>
                <w:lang/>
              </w:rPr>
              <w:t xml:space="preserve">0.1972 </w:t>
            </w:r>
          </w:p>
        </w:tc>
        <w:tc>
          <w:tcPr>
            <w:tcW w:w="1252" w:type="dxa"/>
            <w:vAlign w:val="center"/>
          </w:tcPr>
          <w:p>
            <w:pPr>
              <w:widowControl/>
              <w:jc w:val="center"/>
              <w:textAlignment w:val="center"/>
              <w:rPr>
                <w:color w:val="000000"/>
                <w:sz w:val="22"/>
                <w:szCs w:val="22"/>
              </w:rPr>
            </w:pPr>
            <w:r>
              <w:rPr>
                <w:color w:val="000000"/>
                <w:kern w:val="0"/>
                <w:szCs w:val="21"/>
                <w:lang/>
              </w:rPr>
              <w:t xml:space="preserve">0.2539 </w:t>
            </w:r>
          </w:p>
        </w:tc>
        <w:tc>
          <w:tcPr>
            <w:tcW w:w="1252" w:type="dxa"/>
            <w:vAlign w:val="center"/>
          </w:tcPr>
          <w:p>
            <w:pPr>
              <w:widowControl/>
              <w:jc w:val="center"/>
              <w:textAlignment w:val="center"/>
              <w:rPr>
                <w:color w:val="000000"/>
                <w:sz w:val="22"/>
                <w:szCs w:val="22"/>
              </w:rPr>
            </w:pPr>
            <w:r>
              <w:rPr>
                <w:color w:val="000000"/>
                <w:kern w:val="0"/>
                <w:szCs w:val="21"/>
                <w:lang/>
              </w:rPr>
              <w:t xml:space="preserve">0.3066 </w:t>
            </w:r>
          </w:p>
        </w:tc>
        <w:tc>
          <w:tcPr>
            <w:tcW w:w="1250" w:type="dxa"/>
            <w:vAlign w:val="center"/>
          </w:tcPr>
          <w:p>
            <w:pPr>
              <w:widowControl/>
              <w:jc w:val="center"/>
              <w:textAlignment w:val="center"/>
              <w:rPr>
                <w:color w:val="000000"/>
                <w:sz w:val="22"/>
                <w:szCs w:val="22"/>
              </w:rPr>
            </w:pPr>
            <w:r>
              <w:rPr>
                <w:color w:val="000000"/>
                <w:kern w:val="0"/>
                <w:szCs w:val="21"/>
                <w:lang/>
              </w:rPr>
              <w:t xml:space="preserve">0.3557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使用年期</w:t>
            </w:r>
          </w:p>
        </w:tc>
        <w:tc>
          <w:tcPr>
            <w:tcW w:w="1253" w:type="dxa"/>
            <w:vAlign w:val="center"/>
          </w:tcPr>
          <w:p>
            <w:pPr>
              <w:widowControl/>
              <w:jc w:val="center"/>
              <w:textAlignment w:val="center"/>
              <w:rPr>
                <w:color w:val="000000"/>
                <w:szCs w:val="21"/>
              </w:rPr>
            </w:pPr>
            <w:r>
              <w:rPr>
                <w:color w:val="000000"/>
                <w:kern w:val="0"/>
                <w:szCs w:val="21"/>
                <w:lang/>
              </w:rPr>
              <w:t>7</w:t>
            </w:r>
          </w:p>
        </w:tc>
        <w:tc>
          <w:tcPr>
            <w:tcW w:w="1252" w:type="dxa"/>
            <w:vAlign w:val="center"/>
          </w:tcPr>
          <w:p>
            <w:pPr>
              <w:widowControl/>
              <w:jc w:val="center"/>
              <w:textAlignment w:val="center"/>
              <w:rPr>
                <w:color w:val="000000"/>
                <w:szCs w:val="21"/>
              </w:rPr>
            </w:pPr>
            <w:r>
              <w:rPr>
                <w:color w:val="000000"/>
                <w:kern w:val="0"/>
                <w:szCs w:val="21"/>
                <w:lang/>
              </w:rPr>
              <w:t>8</w:t>
            </w:r>
          </w:p>
        </w:tc>
        <w:tc>
          <w:tcPr>
            <w:tcW w:w="1252" w:type="dxa"/>
            <w:vAlign w:val="center"/>
          </w:tcPr>
          <w:p>
            <w:pPr>
              <w:widowControl/>
              <w:jc w:val="center"/>
              <w:textAlignment w:val="center"/>
              <w:rPr>
                <w:color w:val="000000"/>
                <w:szCs w:val="21"/>
              </w:rPr>
            </w:pPr>
            <w:r>
              <w:rPr>
                <w:color w:val="000000"/>
                <w:kern w:val="0"/>
                <w:szCs w:val="21"/>
                <w:lang/>
              </w:rPr>
              <w:t>9</w:t>
            </w:r>
          </w:p>
        </w:tc>
        <w:tc>
          <w:tcPr>
            <w:tcW w:w="1252" w:type="dxa"/>
            <w:vAlign w:val="center"/>
          </w:tcPr>
          <w:p>
            <w:pPr>
              <w:widowControl/>
              <w:jc w:val="center"/>
              <w:textAlignment w:val="center"/>
              <w:rPr>
                <w:color w:val="000000"/>
                <w:szCs w:val="21"/>
              </w:rPr>
            </w:pPr>
            <w:r>
              <w:rPr>
                <w:color w:val="000000"/>
                <w:kern w:val="0"/>
                <w:szCs w:val="21"/>
                <w:lang/>
              </w:rPr>
              <w:t>10</w:t>
            </w:r>
          </w:p>
        </w:tc>
        <w:tc>
          <w:tcPr>
            <w:tcW w:w="1252" w:type="dxa"/>
            <w:vAlign w:val="center"/>
          </w:tcPr>
          <w:p>
            <w:pPr>
              <w:widowControl/>
              <w:jc w:val="center"/>
              <w:textAlignment w:val="center"/>
              <w:rPr>
                <w:color w:val="000000"/>
                <w:szCs w:val="21"/>
              </w:rPr>
            </w:pPr>
            <w:r>
              <w:rPr>
                <w:color w:val="000000"/>
                <w:kern w:val="0"/>
                <w:szCs w:val="21"/>
                <w:lang/>
              </w:rPr>
              <w:t>11</w:t>
            </w:r>
          </w:p>
        </w:tc>
        <w:tc>
          <w:tcPr>
            <w:tcW w:w="1250" w:type="dxa"/>
            <w:vAlign w:val="center"/>
          </w:tcPr>
          <w:p>
            <w:pPr>
              <w:widowControl/>
              <w:jc w:val="center"/>
              <w:textAlignment w:val="center"/>
              <w:rPr>
                <w:color w:val="000000"/>
                <w:szCs w:val="21"/>
              </w:rPr>
            </w:pPr>
            <w:r>
              <w:rPr>
                <w:color w:val="000000"/>
                <w:kern w:val="0"/>
                <w:szCs w:val="21"/>
                <w:lang/>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修正系数</w:t>
            </w:r>
          </w:p>
        </w:tc>
        <w:tc>
          <w:tcPr>
            <w:tcW w:w="1253" w:type="dxa"/>
            <w:vAlign w:val="center"/>
          </w:tcPr>
          <w:p>
            <w:pPr>
              <w:widowControl/>
              <w:jc w:val="center"/>
              <w:textAlignment w:val="center"/>
              <w:rPr>
                <w:color w:val="000000"/>
                <w:sz w:val="22"/>
                <w:szCs w:val="22"/>
              </w:rPr>
            </w:pPr>
            <w:r>
              <w:rPr>
                <w:color w:val="000000"/>
                <w:kern w:val="0"/>
                <w:szCs w:val="21"/>
                <w:lang/>
              </w:rPr>
              <w:t xml:space="preserve">0.4013 </w:t>
            </w:r>
          </w:p>
        </w:tc>
        <w:tc>
          <w:tcPr>
            <w:tcW w:w="1252" w:type="dxa"/>
            <w:vAlign w:val="center"/>
          </w:tcPr>
          <w:p>
            <w:pPr>
              <w:widowControl/>
              <w:jc w:val="center"/>
              <w:textAlignment w:val="center"/>
              <w:rPr>
                <w:color w:val="000000"/>
                <w:sz w:val="22"/>
                <w:szCs w:val="22"/>
              </w:rPr>
            </w:pPr>
            <w:r>
              <w:rPr>
                <w:color w:val="000000"/>
                <w:kern w:val="0"/>
                <w:szCs w:val="21"/>
                <w:lang/>
              </w:rPr>
              <w:t xml:space="preserve">0.4437 </w:t>
            </w:r>
          </w:p>
        </w:tc>
        <w:tc>
          <w:tcPr>
            <w:tcW w:w="1252" w:type="dxa"/>
            <w:vAlign w:val="center"/>
          </w:tcPr>
          <w:p>
            <w:pPr>
              <w:widowControl/>
              <w:jc w:val="center"/>
              <w:textAlignment w:val="center"/>
              <w:rPr>
                <w:color w:val="000000"/>
                <w:sz w:val="22"/>
                <w:szCs w:val="22"/>
              </w:rPr>
            </w:pPr>
            <w:r>
              <w:rPr>
                <w:color w:val="000000"/>
                <w:kern w:val="0"/>
                <w:szCs w:val="21"/>
                <w:lang/>
              </w:rPr>
              <w:t xml:space="preserve">0.4831 </w:t>
            </w:r>
          </w:p>
        </w:tc>
        <w:tc>
          <w:tcPr>
            <w:tcW w:w="1252" w:type="dxa"/>
            <w:vAlign w:val="center"/>
          </w:tcPr>
          <w:p>
            <w:pPr>
              <w:widowControl/>
              <w:jc w:val="center"/>
              <w:textAlignment w:val="center"/>
              <w:rPr>
                <w:color w:val="000000"/>
                <w:sz w:val="22"/>
                <w:szCs w:val="22"/>
              </w:rPr>
            </w:pPr>
            <w:r>
              <w:rPr>
                <w:color w:val="000000"/>
                <w:kern w:val="0"/>
                <w:szCs w:val="21"/>
                <w:lang/>
              </w:rPr>
              <w:t xml:space="preserve">0.5198 </w:t>
            </w:r>
          </w:p>
        </w:tc>
        <w:tc>
          <w:tcPr>
            <w:tcW w:w="1252" w:type="dxa"/>
            <w:vAlign w:val="center"/>
          </w:tcPr>
          <w:p>
            <w:pPr>
              <w:widowControl/>
              <w:jc w:val="center"/>
              <w:textAlignment w:val="center"/>
              <w:rPr>
                <w:color w:val="000000"/>
                <w:sz w:val="22"/>
                <w:szCs w:val="22"/>
              </w:rPr>
            </w:pPr>
            <w:r>
              <w:rPr>
                <w:color w:val="000000"/>
                <w:kern w:val="0"/>
                <w:szCs w:val="21"/>
                <w:lang/>
              </w:rPr>
              <w:t xml:space="preserve">0.5539 </w:t>
            </w:r>
          </w:p>
        </w:tc>
        <w:tc>
          <w:tcPr>
            <w:tcW w:w="1250" w:type="dxa"/>
            <w:vAlign w:val="center"/>
          </w:tcPr>
          <w:p>
            <w:pPr>
              <w:widowControl/>
              <w:jc w:val="center"/>
              <w:textAlignment w:val="center"/>
              <w:rPr>
                <w:color w:val="000000"/>
                <w:sz w:val="22"/>
                <w:szCs w:val="22"/>
              </w:rPr>
            </w:pPr>
            <w:r>
              <w:rPr>
                <w:color w:val="000000"/>
                <w:kern w:val="0"/>
                <w:szCs w:val="21"/>
                <w:lang/>
              </w:rPr>
              <w:t xml:space="preserve">0.5856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使用年期</w:t>
            </w:r>
          </w:p>
        </w:tc>
        <w:tc>
          <w:tcPr>
            <w:tcW w:w="1253" w:type="dxa"/>
            <w:vAlign w:val="center"/>
          </w:tcPr>
          <w:p>
            <w:pPr>
              <w:widowControl/>
              <w:jc w:val="center"/>
              <w:textAlignment w:val="center"/>
              <w:rPr>
                <w:color w:val="000000"/>
                <w:szCs w:val="21"/>
              </w:rPr>
            </w:pPr>
            <w:r>
              <w:rPr>
                <w:color w:val="000000"/>
                <w:kern w:val="0"/>
                <w:szCs w:val="21"/>
                <w:lang/>
              </w:rPr>
              <w:t>13</w:t>
            </w:r>
          </w:p>
        </w:tc>
        <w:tc>
          <w:tcPr>
            <w:tcW w:w="1252" w:type="dxa"/>
            <w:vAlign w:val="center"/>
          </w:tcPr>
          <w:p>
            <w:pPr>
              <w:widowControl/>
              <w:jc w:val="center"/>
              <w:textAlignment w:val="center"/>
              <w:rPr>
                <w:color w:val="000000"/>
                <w:szCs w:val="21"/>
              </w:rPr>
            </w:pPr>
            <w:r>
              <w:rPr>
                <w:color w:val="000000"/>
                <w:kern w:val="0"/>
                <w:szCs w:val="21"/>
                <w:lang/>
              </w:rPr>
              <w:t>14</w:t>
            </w:r>
          </w:p>
        </w:tc>
        <w:tc>
          <w:tcPr>
            <w:tcW w:w="1252" w:type="dxa"/>
            <w:vAlign w:val="center"/>
          </w:tcPr>
          <w:p>
            <w:pPr>
              <w:widowControl/>
              <w:jc w:val="center"/>
              <w:textAlignment w:val="center"/>
              <w:rPr>
                <w:color w:val="000000"/>
                <w:szCs w:val="21"/>
              </w:rPr>
            </w:pPr>
            <w:r>
              <w:rPr>
                <w:color w:val="000000"/>
                <w:kern w:val="0"/>
                <w:szCs w:val="21"/>
                <w:lang/>
              </w:rPr>
              <w:t>15</w:t>
            </w:r>
          </w:p>
        </w:tc>
        <w:tc>
          <w:tcPr>
            <w:tcW w:w="1252" w:type="dxa"/>
            <w:vAlign w:val="center"/>
          </w:tcPr>
          <w:p>
            <w:pPr>
              <w:widowControl/>
              <w:jc w:val="center"/>
              <w:textAlignment w:val="center"/>
              <w:rPr>
                <w:color w:val="000000"/>
                <w:szCs w:val="21"/>
              </w:rPr>
            </w:pPr>
            <w:r>
              <w:rPr>
                <w:color w:val="000000"/>
                <w:kern w:val="0"/>
                <w:szCs w:val="21"/>
                <w:lang/>
              </w:rPr>
              <w:t>16</w:t>
            </w:r>
          </w:p>
        </w:tc>
        <w:tc>
          <w:tcPr>
            <w:tcW w:w="1252" w:type="dxa"/>
            <w:vAlign w:val="center"/>
          </w:tcPr>
          <w:p>
            <w:pPr>
              <w:widowControl/>
              <w:jc w:val="center"/>
              <w:textAlignment w:val="center"/>
              <w:rPr>
                <w:color w:val="000000"/>
                <w:szCs w:val="21"/>
              </w:rPr>
            </w:pPr>
            <w:r>
              <w:rPr>
                <w:color w:val="000000"/>
                <w:kern w:val="0"/>
                <w:szCs w:val="21"/>
                <w:lang/>
              </w:rPr>
              <w:t>17</w:t>
            </w:r>
          </w:p>
        </w:tc>
        <w:tc>
          <w:tcPr>
            <w:tcW w:w="1250" w:type="dxa"/>
            <w:vAlign w:val="center"/>
          </w:tcPr>
          <w:p>
            <w:pPr>
              <w:widowControl/>
              <w:jc w:val="center"/>
              <w:textAlignment w:val="center"/>
              <w:rPr>
                <w:color w:val="000000"/>
                <w:szCs w:val="21"/>
              </w:rPr>
            </w:pPr>
            <w:r>
              <w:rPr>
                <w:color w:val="000000"/>
                <w:kern w:val="0"/>
                <w:szCs w:val="21"/>
                <w:lang/>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修正系数</w:t>
            </w:r>
          </w:p>
        </w:tc>
        <w:tc>
          <w:tcPr>
            <w:tcW w:w="1253" w:type="dxa"/>
            <w:vAlign w:val="center"/>
          </w:tcPr>
          <w:p>
            <w:pPr>
              <w:widowControl/>
              <w:jc w:val="center"/>
              <w:textAlignment w:val="center"/>
              <w:rPr>
                <w:color w:val="000000"/>
                <w:sz w:val="22"/>
                <w:szCs w:val="22"/>
              </w:rPr>
            </w:pPr>
            <w:r>
              <w:rPr>
                <w:color w:val="000000"/>
                <w:kern w:val="0"/>
                <w:szCs w:val="21"/>
                <w:lang/>
              </w:rPr>
              <w:t xml:space="preserve">0.6151 </w:t>
            </w:r>
          </w:p>
        </w:tc>
        <w:tc>
          <w:tcPr>
            <w:tcW w:w="1252" w:type="dxa"/>
            <w:vAlign w:val="center"/>
          </w:tcPr>
          <w:p>
            <w:pPr>
              <w:widowControl/>
              <w:jc w:val="center"/>
              <w:textAlignment w:val="center"/>
              <w:rPr>
                <w:color w:val="000000"/>
                <w:sz w:val="22"/>
                <w:szCs w:val="22"/>
              </w:rPr>
            </w:pPr>
            <w:r>
              <w:rPr>
                <w:color w:val="000000"/>
                <w:kern w:val="0"/>
                <w:szCs w:val="21"/>
                <w:lang/>
              </w:rPr>
              <w:t xml:space="preserve">0.6425 </w:t>
            </w:r>
          </w:p>
        </w:tc>
        <w:tc>
          <w:tcPr>
            <w:tcW w:w="1252" w:type="dxa"/>
            <w:vAlign w:val="center"/>
          </w:tcPr>
          <w:p>
            <w:pPr>
              <w:widowControl/>
              <w:jc w:val="center"/>
              <w:textAlignment w:val="center"/>
              <w:rPr>
                <w:color w:val="000000"/>
                <w:sz w:val="22"/>
                <w:szCs w:val="22"/>
              </w:rPr>
            </w:pPr>
            <w:r>
              <w:rPr>
                <w:color w:val="000000"/>
                <w:kern w:val="0"/>
                <w:szCs w:val="21"/>
                <w:lang/>
              </w:rPr>
              <w:t xml:space="preserve">0.6680 </w:t>
            </w:r>
          </w:p>
        </w:tc>
        <w:tc>
          <w:tcPr>
            <w:tcW w:w="1252" w:type="dxa"/>
            <w:vAlign w:val="center"/>
          </w:tcPr>
          <w:p>
            <w:pPr>
              <w:widowControl/>
              <w:jc w:val="center"/>
              <w:textAlignment w:val="center"/>
              <w:rPr>
                <w:color w:val="000000"/>
                <w:sz w:val="22"/>
                <w:szCs w:val="22"/>
              </w:rPr>
            </w:pPr>
            <w:r>
              <w:rPr>
                <w:color w:val="000000"/>
                <w:kern w:val="0"/>
                <w:szCs w:val="21"/>
                <w:lang/>
              </w:rPr>
              <w:t xml:space="preserve">0.6917 </w:t>
            </w:r>
          </w:p>
        </w:tc>
        <w:tc>
          <w:tcPr>
            <w:tcW w:w="1252" w:type="dxa"/>
            <w:vAlign w:val="center"/>
          </w:tcPr>
          <w:p>
            <w:pPr>
              <w:widowControl/>
              <w:jc w:val="center"/>
              <w:textAlignment w:val="center"/>
              <w:rPr>
                <w:color w:val="000000"/>
                <w:sz w:val="22"/>
                <w:szCs w:val="22"/>
              </w:rPr>
            </w:pPr>
            <w:r>
              <w:rPr>
                <w:color w:val="000000"/>
                <w:kern w:val="0"/>
                <w:szCs w:val="21"/>
                <w:lang/>
              </w:rPr>
              <w:t xml:space="preserve">0.7138 </w:t>
            </w:r>
          </w:p>
        </w:tc>
        <w:tc>
          <w:tcPr>
            <w:tcW w:w="1250" w:type="dxa"/>
            <w:vAlign w:val="center"/>
          </w:tcPr>
          <w:p>
            <w:pPr>
              <w:widowControl/>
              <w:jc w:val="center"/>
              <w:textAlignment w:val="center"/>
              <w:rPr>
                <w:color w:val="000000"/>
                <w:sz w:val="22"/>
                <w:szCs w:val="22"/>
              </w:rPr>
            </w:pPr>
            <w:r>
              <w:rPr>
                <w:color w:val="000000"/>
                <w:kern w:val="0"/>
                <w:szCs w:val="21"/>
                <w:lang/>
              </w:rPr>
              <w:t xml:space="preserve">0.7343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使用年期</w:t>
            </w:r>
          </w:p>
        </w:tc>
        <w:tc>
          <w:tcPr>
            <w:tcW w:w="1253" w:type="dxa"/>
            <w:vAlign w:val="center"/>
          </w:tcPr>
          <w:p>
            <w:pPr>
              <w:widowControl/>
              <w:jc w:val="center"/>
              <w:textAlignment w:val="center"/>
              <w:rPr>
                <w:color w:val="000000"/>
                <w:szCs w:val="21"/>
              </w:rPr>
            </w:pPr>
            <w:r>
              <w:rPr>
                <w:color w:val="000000"/>
                <w:kern w:val="0"/>
                <w:szCs w:val="21"/>
                <w:lang/>
              </w:rPr>
              <w:t>19</w:t>
            </w:r>
          </w:p>
        </w:tc>
        <w:tc>
          <w:tcPr>
            <w:tcW w:w="1252" w:type="dxa"/>
            <w:vAlign w:val="center"/>
          </w:tcPr>
          <w:p>
            <w:pPr>
              <w:widowControl/>
              <w:jc w:val="center"/>
              <w:textAlignment w:val="center"/>
              <w:rPr>
                <w:color w:val="000000"/>
                <w:szCs w:val="21"/>
              </w:rPr>
            </w:pPr>
            <w:r>
              <w:rPr>
                <w:color w:val="000000"/>
                <w:kern w:val="0"/>
                <w:szCs w:val="21"/>
                <w:lang/>
              </w:rPr>
              <w:t>20</w:t>
            </w:r>
          </w:p>
        </w:tc>
        <w:tc>
          <w:tcPr>
            <w:tcW w:w="1252" w:type="dxa"/>
            <w:vAlign w:val="center"/>
          </w:tcPr>
          <w:p>
            <w:pPr>
              <w:widowControl/>
              <w:jc w:val="center"/>
              <w:textAlignment w:val="center"/>
              <w:rPr>
                <w:color w:val="000000"/>
                <w:szCs w:val="21"/>
              </w:rPr>
            </w:pPr>
            <w:r>
              <w:rPr>
                <w:color w:val="000000"/>
                <w:kern w:val="0"/>
                <w:szCs w:val="21"/>
                <w:lang/>
              </w:rPr>
              <w:t>21</w:t>
            </w:r>
          </w:p>
        </w:tc>
        <w:tc>
          <w:tcPr>
            <w:tcW w:w="1252" w:type="dxa"/>
            <w:vAlign w:val="center"/>
          </w:tcPr>
          <w:p>
            <w:pPr>
              <w:widowControl/>
              <w:jc w:val="center"/>
              <w:textAlignment w:val="center"/>
              <w:rPr>
                <w:color w:val="000000"/>
                <w:szCs w:val="21"/>
              </w:rPr>
            </w:pPr>
            <w:r>
              <w:rPr>
                <w:color w:val="000000"/>
                <w:kern w:val="0"/>
                <w:szCs w:val="21"/>
                <w:lang/>
              </w:rPr>
              <w:t>22</w:t>
            </w:r>
          </w:p>
        </w:tc>
        <w:tc>
          <w:tcPr>
            <w:tcW w:w="1252" w:type="dxa"/>
            <w:vAlign w:val="center"/>
          </w:tcPr>
          <w:p>
            <w:pPr>
              <w:widowControl/>
              <w:jc w:val="center"/>
              <w:textAlignment w:val="center"/>
              <w:rPr>
                <w:color w:val="000000"/>
                <w:szCs w:val="21"/>
              </w:rPr>
            </w:pPr>
            <w:r>
              <w:rPr>
                <w:color w:val="000000"/>
                <w:kern w:val="0"/>
                <w:szCs w:val="21"/>
                <w:lang/>
              </w:rPr>
              <w:t>23</w:t>
            </w:r>
          </w:p>
        </w:tc>
        <w:tc>
          <w:tcPr>
            <w:tcW w:w="1250" w:type="dxa"/>
            <w:vAlign w:val="center"/>
          </w:tcPr>
          <w:p>
            <w:pPr>
              <w:widowControl/>
              <w:jc w:val="center"/>
              <w:textAlignment w:val="center"/>
              <w:rPr>
                <w:color w:val="000000"/>
                <w:szCs w:val="21"/>
              </w:rPr>
            </w:pPr>
            <w:r>
              <w:rPr>
                <w:color w:val="000000"/>
                <w:kern w:val="0"/>
                <w:szCs w:val="21"/>
                <w:lang/>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修正系数</w:t>
            </w:r>
          </w:p>
        </w:tc>
        <w:tc>
          <w:tcPr>
            <w:tcW w:w="1253" w:type="dxa"/>
            <w:vAlign w:val="center"/>
          </w:tcPr>
          <w:p>
            <w:pPr>
              <w:widowControl/>
              <w:jc w:val="center"/>
              <w:textAlignment w:val="center"/>
              <w:rPr>
                <w:color w:val="000000"/>
                <w:sz w:val="22"/>
                <w:szCs w:val="22"/>
              </w:rPr>
            </w:pPr>
            <w:r>
              <w:rPr>
                <w:color w:val="000000"/>
                <w:kern w:val="0"/>
                <w:szCs w:val="21"/>
                <w:lang/>
              </w:rPr>
              <w:t xml:space="preserve">0.7534 </w:t>
            </w:r>
          </w:p>
        </w:tc>
        <w:tc>
          <w:tcPr>
            <w:tcW w:w="1252" w:type="dxa"/>
            <w:vAlign w:val="center"/>
          </w:tcPr>
          <w:p>
            <w:pPr>
              <w:widowControl/>
              <w:jc w:val="center"/>
              <w:textAlignment w:val="center"/>
              <w:rPr>
                <w:color w:val="000000"/>
                <w:sz w:val="22"/>
                <w:szCs w:val="22"/>
              </w:rPr>
            </w:pPr>
            <w:r>
              <w:rPr>
                <w:color w:val="000000"/>
                <w:kern w:val="0"/>
                <w:szCs w:val="21"/>
                <w:lang/>
              </w:rPr>
              <w:t xml:space="preserve">0.7711 </w:t>
            </w:r>
          </w:p>
        </w:tc>
        <w:tc>
          <w:tcPr>
            <w:tcW w:w="1252" w:type="dxa"/>
            <w:vAlign w:val="center"/>
          </w:tcPr>
          <w:p>
            <w:pPr>
              <w:widowControl/>
              <w:jc w:val="center"/>
              <w:textAlignment w:val="center"/>
              <w:rPr>
                <w:color w:val="000000"/>
                <w:sz w:val="22"/>
                <w:szCs w:val="22"/>
              </w:rPr>
            </w:pPr>
            <w:r>
              <w:rPr>
                <w:color w:val="000000"/>
                <w:kern w:val="0"/>
                <w:szCs w:val="21"/>
                <w:lang/>
              </w:rPr>
              <w:t xml:space="preserve">0.7876 </w:t>
            </w:r>
          </w:p>
        </w:tc>
        <w:tc>
          <w:tcPr>
            <w:tcW w:w="1252" w:type="dxa"/>
            <w:vAlign w:val="center"/>
          </w:tcPr>
          <w:p>
            <w:pPr>
              <w:widowControl/>
              <w:jc w:val="center"/>
              <w:textAlignment w:val="center"/>
              <w:rPr>
                <w:color w:val="000000"/>
                <w:sz w:val="22"/>
                <w:szCs w:val="22"/>
              </w:rPr>
            </w:pPr>
            <w:r>
              <w:rPr>
                <w:color w:val="000000"/>
                <w:kern w:val="0"/>
                <w:szCs w:val="21"/>
                <w:lang/>
              </w:rPr>
              <w:t xml:space="preserve">0.8029 </w:t>
            </w:r>
          </w:p>
        </w:tc>
        <w:tc>
          <w:tcPr>
            <w:tcW w:w="1252" w:type="dxa"/>
            <w:vAlign w:val="center"/>
          </w:tcPr>
          <w:p>
            <w:pPr>
              <w:widowControl/>
              <w:jc w:val="center"/>
              <w:textAlignment w:val="center"/>
              <w:rPr>
                <w:color w:val="000000"/>
                <w:sz w:val="22"/>
                <w:szCs w:val="22"/>
              </w:rPr>
            </w:pPr>
            <w:r>
              <w:rPr>
                <w:color w:val="000000"/>
                <w:kern w:val="0"/>
                <w:szCs w:val="21"/>
                <w:lang/>
              </w:rPr>
              <w:t xml:space="preserve">0.8172 </w:t>
            </w:r>
          </w:p>
        </w:tc>
        <w:tc>
          <w:tcPr>
            <w:tcW w:w="1250" w:type="dxa"/>
            <w:vAlign w:val="center"/>
          </w:tcPr>
          <w:p>
            <w:pPr>
              <w:widowControl/>
              <w:jc w:val="center"/>
              <w:textAlignment w:val="center"/>
              <w:rPr>
                <w:color w:val="000000"/>
                <w:sz w:val="22"/>
                <w:szCs w:val="22"/>
              </w:rPr>
            </w:pPr>
            <w:r>
              <w:rPr>
                <w:color w:val="000000"/>
                <w:kern w:val="0"/>
                <w:szCs w:val="21"/>
                <w:lang/>
              </w:rPr>
              <w:t xml:space="preserve">0.8304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使用年期</w:t>
            </w:r>
          </w:p>
        </w:tc>
        <w:tc>
          <w:tcPr>
            <w:tcW w:w="1253" w:type="dxa"/>
            <w:vAlign w:val="center"/>
          </w:tcPr>
          <w:p>
            <w:pPr>
              <w:widowControl/>
              <w:jc w:val="center"/>
              <w:textAlignment w:val="center"/>
              <w:rPr>
                <w:color w:val="000000"/>
                <w:szCs w:val="21"/>
              </w:rPr>
            </w:pPr>
            <w:r>
              <w:rPr>
                <w:color w:val="000000"/>
                <w:kern w:val="0"/>
                <w:szCs w:val="21"/>
                <w:lang/>
              </w:rPr>
              <w:t>25</w:t>
            </w:r>
          </w:p>
        </w:tc>
        <w:tc>
          <w:tcPr>
            <w:tcW w:w="1252" w:type="dxa"/>
            <w:vAlign w:val="center"/>
          </w:tcPr>
          <w:p>
            <w:pPr>
              <w:widowControl/>
              <w:jc w:val="center"/>
              <w:textAlignment w:val="center"/>
              <w:rPr>
                <w:color w:val="000000"/>
                <w:szCs w:val="21"/>
              </w:rPr>
            </w:pPr>
            <w:r>
              <w:rPr>
                <w:color w:val="000000"/>
                <w:kern w:val="0"/>
                <w:szCs w:val="21"/>
                <w:lang/>
              </w:rPr>
              <w:t>26</w:t>
            </w:r>
          </w:p>
        </w:tc>
        <w:tc>
          <w:tcPr>
            <w:tcW w:w="1252" w:type="dxa"/>
            <w:vAlign w:val="center"/>
          </w:tcPr>
          <w:p>
            <w:pPr>
              <w:widowControl/>
              <w:jc w:val="center"/>
              <w:textAlignment w:val="center"/>
              <w:rPr>
                <w:color w:val="000000"/>
                <w:szCs w:val="21"/>
              </w:rPr>
            </w:pPr>
            <w:r>
              <w:rPr>
                <w:color w:val="000000"/>
                <w:kern w:val="0"/>
                <w:szCs w:val="21"/>
                <w:lang/>
              </w:rPr>
              <w:t>27</w:t>
            </w:r>
          </w:p>
        </w:tc>
        <w:tc>
          <w:tcPr>
            <w:tcW w:w="1252" w:type="dxa"/>
            <w:vAlign w:val="center"/>
          </w:tcPr>
          <w:p>
            <w:pPr>
              <w:widowControl/>
              <w:jc w:val="center"/>
              <w:textAlignment w:val="center"/>
              <w:rPr>
                <w:color w:val="000000"/>
                <w:szCs w:val="21"/>
              </w:rPr>
            </w:pPr>
            <w:r>
              <w:rPr>
                <w:color w:val="000000"/>
                <w:kern w:val="0"/>
                <w:szCs w:val="21"/>
                <w:lang/>
              </w:rPr>
              <w:t>28</w:t>
            </w:r>
          </w:p>
        </w:tc>
        <w:tc>
          <w:tcPr>
            <w:tcW w:w="1252" w:type="dxa"/>
            <w:vAlign w:val="center"/>
          </w:tcPr>
          <w:p>
            <w:pPr>
              <w:widowControl/>
              <w:jc w:val="center"/>
              <w:textAlignment w:val="center"/>
              <w:rPr>
                <w:color w:val="000000"/>
                <w:szCs w:val="21"/>
              </w:rPr>
            </w:pPr>
            <w:r>
              <w:rPr>
                <w:color w:val="000000"/>
                <w:kern w:val="0"/>
                <w:szCs w:val="21"/>
                <w:lang/>
              </w:rPr>
              <w:t>29</w:t>
            </w:r>
          </w:p>
        </w:tc>
        <w:tc>
          <w:tcPr>
            <w:tcW w:w="1250" w:type="dxa"/>
            <w:vAlign w:val="center"/>
          </w:tcPr>
          <w:p>
            <w:pPr>
              <w:widowControl/>
              <w:jc w:val="center"/>
              <w:textAlignment w:val="center"/>
              <w:rPr>
                <w:color w:val="000000"/>
                <w:szCs w:val="21"/>
              </w:rPr>
            </w:pPr>
            <w:r>
              <w:rPr>
                <w:color w:val="000000"/>
                <w:kern w:val="0"/>
                <w:szCs w:val="21"/>
                <w:lang/>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修正系数</w:t>
            </w:r>
          </w:p>
        </w:tc>
        <w:tc>
          <w:tcPr>
            <w:tcW w:w="1253" w:type="dxa"/>
            <w:vAlign w:val="center"/>
          </w:tcPr>
          <w:p>
            <w:pPr>
              <w:widowControl/>
              <w:jc w:val="center"/>
              <w:textAlignment w:val="center"/>
              <w:rPr>
                <w:color w:val="000000"/>
                <w:sz w:val="22"/>
                <w:szCs w:val="22"/>
              </w:rPr>
            </w:pPr>
            <w:r>
              <w:rPr>
                <w:color w:val="000000"/>
                <w:kern w:val="0"/>
                <w:szCs w:val="21"/>
                <w:lang/>
              </w:rPr>
              <w:t xml:space="preserve">0.8427 </w:t>
            </w:r>
          </w:p>
        </w:tc>
        <w:tc>
          <w:tcPr>
            <w:tcW w:w="1252" w:type="dxa"/>
            <w:vAlign w:val="center"/>
          </w:tcPr>
          <w:p>
            <w:pPr>
              <w:widowControl/>
              <w:jc w:val="center"/>
              <w:textAlignment w:val="center"/>
              <w:rPr>
                <w:color w:val="000000"/>
                <w:sz w:val="22"/>
                <w:szCs w:val="22"/>
              </w:rPr>
            </w:pPr>
            <w:r>
              <w:rPr>
                <w:color w:val="000000"/>
                <w:kern w:val="0"/>
                <w:szCs w:val="21"/>
                <w:lang/>
              </w:rPr>
              <w:t xml:space="preserve">0.8542 </w:t>
            </w:r>
          </w:p>
        </w:tc>
        <w:tc>
          <w:tcPr>
            <w:tcW w:w="1252" w:type="dxa"/>
            <w:vAlign w:val="center"/>
          </w:tcPr>
          <w:p>
            <w:pPr>
              <w:widowControl/>
              <w:jc w:val="center"/>
              <w:textAlignment w:val="center"/>
              <w:rPr>
                <w:color w:val="000000"/>
                <w:sz w:val="22"/>
                <w:szCs w:val="22"/>
              </w:rPr>
            </w:pPr>
            <w:r>
              <w:rPr>
                <w:color w:val="000000"/>
                <w:kern w:val="0"/>
                <w:szCs w:val="21"/>
                <w:lang/>
              </w:rPr>
              <w:t xml:space="preserve">0.8649 </w:t>
            </w:r>
          </w:p>
        </w:tc>
        <w:tc>
          <w:tcPr>
            <w:tcW w:w="1252" w:type="dxa"/>
            <w:vAlign w:val="center"/>
          </w:tcPr>
          <w:p>
            <w:pPr>
              <w:widowControl/>
              <w:jc w:val="center"/>
              <w:textAlignment w:val="center"/>
              <w:rPr>
                <w:color w:val="000000"/>
                <w:sz w:val="22"/>
                <w:szCs w:val="22"/>
              </w:rPr>
            </w:pPr>
            <w:r>
              <w:rPr>
                <w:color w:val="000000"/>
                <w:kern w:val="0"/>
                <w:szCs w:val="21"/>
                <w:lang/>
              </w:rPr>
              <w:t xml:space="preserve">0.8748 </w:t>
            </w:r>
          </w:p>
        </w:tc>
        <w:tc>
          <w:tcPr>
            <w:tcW w:w="1252" w:type="dxa"/>
            <w:vAlign w:val="center"/>
          </w:tcPr>
          <w:p>
            <w:pPr>
              <w:widowControl/>
              <w:jc w:val="center"/>
              <w:textAlignment w:val="center"/>
              <w:rPr>
                <w:color w:val="000000"/>
                <w:sz w:val="22"/>
                <w:szCs w:val="22"/>
              </w:rPr>
            </w:pPr>
            <w:r>
              <w:rPr>
                <w:color w:val="000000"/>
                <w:kern w:val="0"/>
                <w:szCs w:val="21"/>
                <w:lang/>
              </w:rPr>
              <w:t xml:space="preserve">0.8840 </w:t>
            </w:r>
          </w:p>
        </w:tc>
        <w:tc>
          <w:tcPr>
            <w:tcW w:w="1250" w:type="dxa"/>
            <w:vAlign w:val="center"/>
          </w:tcPr>
          <w:p>
            <w:pPr>
              <w:widowControl/>
              <w:jc w:val="center"/>
              <w:textAlignment w:val="center"/>
              <w:rPr>
                <w:color w:val="000000"/>
                <w:sz w:val="22"/>
                <w:szCs w:val="22"/>
              </w:rPr>
            </w:pPr>
            <w:r>
              <w:rPr>
                <w:color w:val="000000"/>
                <w:kern w:val="0"/>
                <w:szCs w:val="21"/>
                <w:lang/>
              </w:rPr>
              <w:t xml:space="preserve">0.8926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使用年期</w:t>
            </w:r>
          </w:p>
        </w:tc>
        <w:tc>
          <w:tcPr>
            <w:tcW w:w="1253" w:type="dxa"/>
            <w:vAlign w:val="center"/>
          </w:tcPr>
          <w:p>
            <w:pPr>
              <w:widowControl/>
              <w:jc w:val="center"/>
              <w:textAlignment w:val="center"/>
              <w:rPr>
                <w:color w:val="000000"/>
                <w:szCs w:val="21"/>
              </w:rPr>
            </w:pPr>
            <w:r>
              <w:rPr>
                <w:color w:val="000000"/>
                <w:kern w:val="0"/>
                <w:szCs w:val="21"/>
                <w:lang/>
              </w:rPr>
              <w:t>31</w:t>
            </w:r>
          </w:p>
        </w:tc>
        <w:tc>
          <w:tcPr>
            <w:tcW w:w="1252" w:type="dxa"/>
            <w:vAlign w:val="center"/>
          </w:tcPr>
          <w:p>
            <w:pPr>
              <w:widowControl/>
              <w:jc w:val="center"/>
              <w:textAlignment w:val="center"/>
              <w:rPr>
                <w:color w:val="000000"/>
                <w:szCs w:val="21"/>
              </w:rPr>
            </w:pPr>
            <w:r>
              <w:rPr>
                <w:color w:val="000000"/>
                <w:kern w:val="0"/>
                <w:szCs w:val="21"/>
                <w:lang/>
              </w:rPr>
              <w:t>32</w:t>
            </w:r>
          </w:p>
        </w:tc>
        <w:tc>
          <w:tcPr>
            <w:tcW w:w="1252" w:type="dxa"/>
            <w:vAlign w:val="center"/>
          </w:tcPr>
          <w:p>
            <w:pPr>
              <w:widowControl/>
              <w:jc w:val="center"/>
              <w:textAlignment w:val="center"/>
              <w:rPr>
                <w:color w:val="000000"/>
                <w:szCs w:val="21"/>
              </w:rPr>
            </w:pPr>
            <w:r>
              <w:rPr>
                <w:color w:val="000000"/>
                <w:kern w:val="0"/>
                <w:szCs w:val="21"/>
                <w:lang/>
              </w:rPr>
              <w:t>33</w:t>
            </w:r>
          </w:p>
        </w:tc>
        <w:tc>
          <w:tcPr>
            <w:tcW w:w="1252" w:type="dxa"/>
            <w:vAlign w:val="center"/>
          </w:tcPr>
          <w:p>
            <w:pPr>
              <w:widowControl/>
              <w:jc w:val="center"/>
              <w:textAlignment w:val="center"/>
              <w:rPr>
                <w:color w:val="000000"/>
                <w:szCs w:val="21"/>
              </w:rPr>
            </w:pPr>
            <w:r>
              <w:rPr>
                <w:color w:val="000000"/>
                <w:kern w:val="0"/>
                <w:szCs w:val="21"/>
                <w:lang/>
              </w:rPr>
              <w:t>34</w:t>
            </w:r>
          </w:p>
        </w:tc>
        <w:tc>
          <w:tcPr>
            <w:tcW w:w="1252" w:type="dxa"/>
            <w:vAlign w:val="center"/>
          </w:tcPr>
          <w:p>
            <w:pPr>
              <w:widowControl/>
              <w:jc w:val="center"/>
              <w:textAlignment w:val="center"/>
              <w:rPr>
                <w:color w:val="000000"/>
                <w:szCs w:val="21"/>
              </w:rPr>
            </w:pPr>
            <w:r>
              <w:rPr>
                <w:color w:val="000000"/>
                <w:kern w:val="0"/>
                <w:szCs w:val="21"/>
                <w:lang/>
              </w:rPr>
              <w:t>35</w:t>
            </w:r>
          </w:p>
        </w:tc>
        <w:tc>
          <w:tcPr>
            <w:tcW w:w="1250" w:type="dxa"/>
            <w:vAlign w:val="center"/>
          </w:tcPr>
          <w:p>
            <w:pPr>
              <w:widowControl/>
              <w:jc w:val="center"/>
              <w:textAlignment w:val="center"/>
              <w:rPr>
                <w:color w:val="000000"/>
                <w:szCs w:val="21"/>
              </w:rPr>
            </w:pPr>
            <w:r>
              <w:rPr>
                <w:color w:val="000000"/>
                <w:kern w:val="0"/>
                <w:szCs w:val="21"/>
                <w:lang/>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修正系数</w:t>
            </w:r>
          </w:p>
        </w:tc>
        <w:tc>
          <w:tcPr>
            <w:tcW w:w="1253" w:type="dxa"/>
            <w:vAlign w:val="center"/>
          </w:tcPr>
          <w:p>
            <w:pPr>
              <w:widowControl/>
              <w:jc w:val="center"/>
              <w:textAlignment w:val="center"/>
              <w:rPr>
                <w:color w:val="000000"/>
                <w:sz w:val="22"/>
                <w:szCs w:val="22"/>
              </w:rPr>
            </w:pPr>
            <w:r>
              <w:rPr>
                <w:color w:val="000000"/>
                <w:kern w:val="0"/>
                <w:szCs w:val="21"/>
                <w:lang/>
              </w:rPr>
              <w:t xml:space="preserve">0.9005 </w:t>
            </w:r>
          </w:p>
        </w:tc>
        <w:tc>
          <w:tcPr>
            <w:tcW w:w="1252" w:type="dxa"/>
            <w:vAlign w:val="center"/>
          </w:tcPr>
          <w:p>
            <w:pPr>
              <w:widowControl/>
              <w:jc w:val="center"/>
              <w:textAlignment w:val="center"/>
              <w:rPr>
                <w:color w:val="000000"/>
                <w:sz w:val="22"/>
                <w:szCs w:val="22"/>
              </w:rPr>
            </w:pPr>
            <w:r>
              <w:rPr>
                <w:color w:val="000000"/>
                <w:kern w:val="0"/>
                <w:szCs w:val="21"/>
                <w:lang/>
              </w:rPr>
              <w:t xml:space="preserve">0.9079 </w:t>
            </w:r>
          </w:p>
        </w:tc>
        <w:tc>
          <w:tcPr>
            <w:tcW w:w="1252" w:type="dxa"/>
            <w:vAlign w:val="center"/>
          </w:tcPr>
          <w:p>
            <w:pPr>
              <w:widowControl/>
              <w:jc w:val="center"/>
              <w:textAlignment w:val="center"/>
              <w:rPr>
                <w:color w:val="000000"/>
                <w:sz w:val="22"/>
                <w:szCs w:val="22"/>
              </w:rPr>
            </w:pPr>
            <w:r>
              <w:rPr>
                <w:color w:val="000000"/>
                <w:kern w:val="0"/>
                <w:szCs w:val="21"/>
                <w:lang/>
              </w:rPr>
              <w:t xml:space="preserve">0.9148 </w:t>
            </w:r>
          </w:p>
        </w:tc>
        <w:tc>
          <w:tcPr>
            <w:tcW w:w="1252" w:type="dxa"/>
            <w:vAlign w:val="center"/>
          </w:tcPr>
          <w:p>
            <w:pPr>
              <w:widowControl/>
              <w:jc w:val="center"/>
              <w:textAlignment w:val="center"/>
              <w:rPr>
                <w:color w:val="000000"/>
                <w:sz w:val="22"/>
                <w:szCs w:val="22"/>
              </w:rPr>
            </w:pPr>
            <w:r>
              <w:rPr>
                <w:color w:val="000000"/>
                <w:kern w:val="0"/>
                <w:szCs w:val="21"/>
                <w:lang/>
              </w:rPr>
              <w:t xml:space="preserve">0.9212 </w:t>
            </w:r>
          </w:p>
        </w:tc>
        <w:tc>
          <w:tcPr>
            <w:tcW w:w="1252" w:type="dxa"/>
            <w:vAlign w:val="center"/>
          </w:tcPr>
          <w:p>
            <w:pPr>
              <w:widowControl/>
              <w:jc w:val="center"/>
              <w:textAlignment w:val="center"/>
              <w:rPr>
                <w:color w:val="000000"/>
                <w:sz w:val="22"/>
                <w:szCs w:val="22"/>
              </w:rPr>
            </w:pPr>
            <w:r>
              <w:rPr>
                <w:color w:val="000000"/>
                <w:kern w:val="0"/>
                <w:szCs w:val="21"/>
                <w:lang/>
              </w:rPr>
              <w:t xml:space="preserve">0.9272 </w:t>
            </w:r>
          </w:p>
        </w:tc>
        <w:tc>
          <w:tcPr>
            <w:tcW w:w="1250" w:type="dxa"/>
            <w:vAlign w:val="center"/>
          </w:tcPr>
          <w:p>
            <w:pPr>
              <w:widowControl/>
              <w:jc w:val="center"/>
              <w:textAlignment w:val="center"/>
              <w:rPr>
                <w:color w:val="000000"/>
                <w:sz w:val="22"/>
                <w:szCs w:val="22"/>
              </w:rPr>
            </w:pPr>
            <w:r>
              <w:rPr>
                <w:color w:val="000000"/>
                <w:kern w:val="0"/>
                <w:szCs w:val="21"/>
                <w:lang/>
              </w:rPr>
              <w:t xml:space="preserve">0.9327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使用年期</w:t>
            </w:r>
          </w:p>
        </w:tc>
        <w:tc>
          <w:tcPr>
            <w:tcW w:w="1253" w:type="dxa"/>
            <w:vAlign w:val="center"/>
          </w:tcPr>
          <w:p>
            <w:pPr>
              <w:widowControl/>
              <w:jc w:val="center"/>
              <w:textAlignment w:val="center"/>
              <w:rPr>
                <w:color w:val="000000"/>
                <w:szCs w:val="21"/>
              </w:rPr>
            </w:pPr>
            <w:r>
              <w:rPr>
                <w:color w:val="000000"/>
                <w:kern w:val="0"/>
                <w:szCs w:val="21"/>
                <w:lang/>
              </w:rPr>
              <w:t>37</w:t>
            </w:r>
          </w:p>
        </w:tc>
        <w:tc>
          <w:tcPr>
            <w:tcW w:w="1252" w:type="dxa"/>
            <w:vAlign w:val="center"/>
          </w:tcPr>
          <w:p>
            <w:pPr>
              <w:widowControl/>
              <w:jc w:val="center"/>
              <w:textAlignment w:val="center"/>
              <w:rPr>
                <w:color w:val="000000"/>
                <w:szCs w:val="21"/>
              </w:rPr>
            </w:pPr>
            <w:r>
              <w:rPr>
                <w:color w:val="000000"/>
                <w:kern w:val="0"/>
                <w:szCs w:val="21"/>
                <w:lang/>
              </w:rPr>
              <w:t>38</w:t>
            </w:r>
          </w:p>
        </w:tc>
        <w:tc>
          <w:tcPr>
            <w:tcW w:w="1252" w:type="dxa"/>
            <w:vAlign w:val="center"/>
          </w:tcPr>
          <w:p>
            <w:pPr>
              <w:widowControl/>
              <w:jc w:val="center"/>
              <w:textAlignment w:val="center"/>
              <w:rPr>
                <w:color w:val="000000"/>
                <w:szCs w:val="21"/>
              </w:rPr>
            </w:pPr>
            <w:r>
              <w:rPr>
                <w:color w:val="000000"/>
                <w:kern w:val="0"/>
                <w:szCs w:val="21"/>
                <w:lang/>
              </w:rPr>
              <w:t>39</w:t>
            </w:r>
          </w:p>
        </w:tc>
        <w:tc>
          <w:tcPr>
            <w:tcW w:w="1252" w:type="dxa"/>
            <w:vAlign w:val="center"/>
          </w:tcPr>
          <w:p>
            <w:pPr>
              <w:widowControl/>
              <w:jc w:val="center"/>
              <w:textAlignment w:val="center"/>
              <w:rPr>
                <w:color w:val="000000"/>
                <w:szCs w:val="21"/>
              </w:rPr>
            </w:pPr>
            <w:r>
              <w:rPr>
                <w:color w:val="000000"/>
                <w:kern w:val="0"/>
                <w:szCs w:val="21"/>
                <w:lang/>
              </w:rPr>
              <w:t>40</w:t>
            </w:r>
          </w:p>
        </w:tc>
        <w:tc>
          <w:tcPr>
            <w:tcW w:w="1252" w:type="dxa"/>
            <w:vAlign w:val="center"/>
          </w:tcPr>
          <w:p>
            <w:pPr>
              <w:widowControl/>
              <w:jc w:val="center"/>
              <w:textAlignment w:val="center"/>
              <w:rPr>
                <w:color w:val="000000"/>
                <w:szCs w:val="21"/>
              </w:rPr>
            </w:pPr>
            <w:r>
              <w:rPr>
                <w:color w:val="000000"/>
                <w:kern w:val="0"/>
                <w:szCs w:val="21"/>
                <w:lang/>
              </w:rPr>
              <w:t>41</w:t>
            </w:r>
          </w:p>
        </w:tc>
        <w:tc>
          <w:tcPr>
            <w:tcW w:w="1250" w:type="dxa"/>
            <w:vAlign w:val="center"/>
          </w:tcPr>
          <w:p>
            <w:pPr>
              <w:widowControl/>
              <w:jc w:val="center"/>
              <w:textAlignment w:val="center"/>
              <w:rPr>
                <w:color w:val="000000"/>
                <w:szCs w:val="21"/>
              </w:rPr>
            </w:pPr>
            <w:r>
              <w:rPr>
                <w:color w:val="000000"/>
                <w:kern w:val="0"/>
                <w:szCs w:val="21"/>
                <w:lang/>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修正系数</w:t>
            </w:r>
          </w:p>
        </w:tc>
        <w:tc>
          <w:tcPr>
            <w:tcW w:w="1253" w:type="dxa"/>
            <w:vAlign w:val="center"/>
          </w:tcPr>
          <w:p>
            <w:pPr>
              <w:widowControl/>
              <w:jc w:val="center"/>
              <w:textAlignment w:val="center"/>
              <w:rPr>
                <w:color w:val="000000"/>
                <w:sz w:val="22"/>
                <w:szCs w:val="22"/>
              </w:rPr>
            </w:pPr>
            <w:r>
              <w:rPr>
                <w:color w:val="000000"/>
                <w:kern w:val="0"/>
                <w:szCs w:val="21"/>
                <w:lang/>
              </w:rPr>
              <w:t xml:space="preserve">0.9379 </w:t>
            </w:r>
          </w:p>
        </w:tc>
        <w:tc>
          <w:tcPr>
            <w:tcW w:w="1252" w:type="dxa"/>
            <w:vAlign w:val="center"/>
          </w:tcPr>
          <w:p>
            <w:pPr>
              <w:widowControl/>
              <w:jc w:val="center"/>
              <w:textAlignment w:val="center"/>
              <w:rPr>
                <w:color w:val="000000"/>
                <w:sz w:val="22"/>
                <w:szCs w:val="22"/>
              </w:rPr>
            </w:pPr>
            <w:r>
              <w:rPr>
                <w:color w:val="000000"/>
                <w:kern w:val="0"/>
                <w:szCs w:val="21"/>
                <w:lang/>
              </w:rPr>
              <w:t xml:space="preserve">0.9427 </w:t>
            </w:r>
          </w:p>
        </w:tc>
        <w:tc>
          <w:tcPr>
            <w:tcW w:w="1252" w:type="dxa"/>
            <w:vAlign w:val="center"/>
          </w:tcPr>
          <w:p>
            <w:pPr>
              <w:widowControl/>
              <w:jc w:val="center"/>
              <w:textAlignment w:val="center"/>
              <w:rPr>
                <w:color w:val="000000"/>
                <w:sz w:val="22"/>
                <w:szCs w:val="22"/>
              </w:rPr>
            </w:pPr>
            <w:r>
              <w:rPr>
                <w:color w:val="000000"/>
                <w:kern w:val="0"/>
                <w:szCs w:val="21"/>
                <w:lang/>
              </w:rPr>
              <w:t xml:space="preserve">0.9471 </w:t>
            </w:r>
          </w:p>
        </w:tc>
        <w:tc>
          <w:tcPr>
            <w:tcW w:w="1252" w:type="dxa"/>
            <w:vAlign w:val="center"/>
          </w:tcPr>
          <w:p>
            <w:pPr>
              <w:widowControl/>
              <w:jc w:val="center"/>
              <w:textAlignment w:val="center"/>
              <w:rPr>
                <w:color w:val="000000"/>
                <w:sz w:val="22"/>
                <w:szCs w:val="22"/>
              </w:rPr>
            </w:pPr>
            <w:r>
              <w:rPr>
                <w:color w:val="000000"/>
                <w:kern w:val="0"/>
                <w:szCs w:val="21"/>
                <w:lang/>
              </w:rPr>
              <w:t xml:space="preserve">0.9513 </w:t>
            </w:r>
          </w:p>
        </w:tc>
        <w:tc>
          <w:tcPr>
            <w:tcW w:w="1252" w:type="dxa"/>
            <w:vAlign w:val="center"/>
          </w:tcPr>
          <w:p>
            <w:pPr>
              <w:widowControl/>
              <w:jc w:val="center"/>
              <w:textAlignment w:val="center"/>
              <w:rPr>
                <w:color w:val="000000"/>
                <w:sz w:val="22"/>
                <w:szCs w:val="22"/>
              </w:rPr>
            </w:pPr>
            <w:r>
              <w:rPr>
                <w:color w:val="000000"/>
                <w:kern w:val="0"/>
                <w:szCs w:val="21"/>
                <w:lang/>
              </w:rPr>
              <w:t xml:space="preserve">0.9551 </w:t>
            </w:r>
          </w:p>
        </w:tc>
        <w:tc>
          <w:tcPr>
            <w:tcW w:w="1250" w:type="dxa"/>
            <w:vAlign w:val="center"/>
          </w:tcPr>
          <w:p>
            <w:pPr>
              <w:widowControl/>
              <w:jc w:val="center"/>
              <w:textAlignment w:val="center"/>
              <w:rPr>
                <w:color w:val="000000"/>
                <w:sz w:val="22"/>
                <w:szCs w:val="22"/>
              </w:rPr>
            </w:pPr>
            <w:r>
              <w:rPr>
                <w:color w:val="000000"/>
                <w:kern w:val="0"/>
                <w:szCs w:val="21"/>
                <w:lang/>
              </w:rPr>
              <w:t xml:space="preserve">0.9587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使用年期</w:t>
            </w:r>
          </w:p>
        </w:tc>
        <w:tc>
          <w:tcPr>
            <w:tcW w:w="1253" w:type="dxa"/>
            <w:vAlign w:val="center"/>
          </w:tcPr>
          <w:p>
            <w:pPr>
              <w:widowControl/>
              <w:jc w:val="center"/>
              <w:textAlignment w:val="center"/>
              <w:rPr>
                <w:color w:val="000000"/>
                <w:szCs w:val="21"/>
              </w:rPr>
            </w:pPr>
            <w:r>
              <w:rPr>
                <w:color w:val="000000"/>
                <w:kern w:val="0"/>
                <w:szCs w:val="21"/>
                <w:lang/>
              </w:rPr>
              <w:t>43</w:t>
            </w:r>
          </w:p>
        </w:tc>
        <w:tc>
          <w:tcPr>
            <w:tcW w:w="1252" w:type="dxa"/>
            <w:vAlign w:val="center"/>
          </w:tcPr>
          <w:p>
            <w:pPr>
              <w:widowControl/>
              <w:jc w:val="center"/>
              <w:textAlignment w:val="center"/>
              <w:rPr>
                <w:color w:val="000000"/>
                <w:szCs w:val="21"/>
              </w:rPr>
            </w:pPr>
            <w:r>
              <w:rPr>
                <w:color w:val="000000"/>
                <w:kern w:val="0"/>
                <w:szCs w:val="21"/>
                <w:lang/>
              </w:rPr>
              <w:t>44</w:t>
            </w:r>
          </w:p>
        </w:tc>
        <w:tc>
          <w:tcPr>
            <w:tcW w:w="1252" w:type="dxa"/>
            <w:vAlign w:val="center"/>
          </w:tcPr>
          <w:p>
            <w:pPr>
              <w:widowControl/>
              <w:jc w:val="center"/>
              <w:textAlignment w:val="center"/>
              <w:rPr>
                <w:color w:val="000000"/>
                <w:szCs w:val="21"/>
              </w:rPr>
            </w:pPr>
            <w:r>
              <w:rPr>
                <w:color w:val="000000"/>
                <w:kern w:val="0"/>
                <w:szCs w:val="21"/>
                <w:lang/>
              </w:rPr>
              <w:t>45</w:t>
            </w:r>
          </w:p>
        </w:tc>
        <w:tc>
          <w:tcPr>
            <w:tcW w:w="1252" w:type="dxa"/>
            <w:vAlign w:val="center"/>
          </w:tcPr>
          <w:p>
            <w:pPr>
              <w:widowControl/>
              <w:jc w:val="center"/>
              <w:textAlignment w:val="center"/>
              <w:rPr>
                <w:color w:val="000000"/>
                <w:szCs w:val="21"/>
              </w:rPr>
            </w:pPr>
            <w:r>
              <w:rPr>
                <w:color w:val="000000"/>
                <w:kern w:val="0"/>
                <w:szCs w:val="21"/>
                <w:lang/>
              </w:rPr>
              <w:t>46</w:t>
            </w:r>
          </w:p>
        </w:tc>
        <w:tc>
          <w:tcPr>
            <w:tcW w:w="1252" w:type="dxa"/>
            <w:vAlign w:val="center"/>
          </w:tcPr>
          <w:p>
            <w:pPr>
              <w:widowControl/>
              <w:jc w:val="center"/>
              <w:textAlignment w:val="center"/>
              <w:rPr>
                <w:color w:val="000000"/>
                <w:szCs w:val="21"/>
              </w:rPr>
            </w:pPr>
            <w:r>
              <w:rPr>
                <w:color w:val="000000"/>
                <w:kern w:val="0"/>
                <w:szCs w:val="21"/>
                <w:lang/>
              </w:rPr>
              <w:t>47</w:t>
            </w:r>
          </w:p>
        </w:tc>
        <w:tc>
          <w:tcPr>
            <w:tcW w:w="1250" w:type="dxa"/>
            <w:vAlign w:val="center"/>
          </w:tcPr>
          <w:p>
            <w:pPr>
              <w:widowControl/>
              <w:jc w:val="center"/>
              <w:textAlignment w:val="center"/>
              <w:rPr>
                <w:color w:val="000000"/>
                <w:szCs w:val="21"/>
              </w:rPr>
            </w:pPr>
            <w:r>
              <w:rPr>
                <w:color w:val="000000"/>
                <w:kern w:val="0"/>
                <w:szCs w:val="21"/>
                <w:lang/>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修正系数</w:t>
            </w:r>
          </w:p>
        </w:tc>
        <w:tc>
          <w:tcPr>
            <w:tcW w:w="1253" w:type="dxa"/>
            <w:vAlign w:val="center"/>
          </w:tcPr>
          <w:p>
            <w:pPr>
              <w:widowControl/>
              <w:jc w:val="center"/>
              <w:textAlignment w:val="center"/>
              <w:rPr>
                <w:color w:val="000000"/>
                <w:sz w:val="22"/>
                <w:szCs w:val="22"/>
              </w:rPr>
            </w:pPr>
            <w:r>
              <w:rPr>
                <w:color w:val="000000"/>
                <w:kern w:val="0"/>
                <w:szCs w:val="21"/>
                <w:lang/>
              </w:rPr>
              <w:t xml:space="preserve">0.9620 </w:t>
            </w:r>
          </w:p>
        </w:tc>
        <w:tc>
          <w:tcPr>
            <w:tcW w:w="1252" w:type="dxa"/>
            <w:vAlign w:val="center"/>
          </w:tcPr>
          <w:p>
            <w:pPr>
              <w:widowControl/>
              <w:jc w:val="center"/>
              <w:textAlignment w:val="center"/>
              <w:rPr>
                <w:color w:val="000000"/>
                <w:sz w:val="22"/>
                <w:szCs w:val="22"/>
              </w:rPr>
            </w:pPr>
            <w:r>
              <w:rPr>
                <w:color w:val="000000"/>
                <w:kern w:val="0"/>
                <w:szCs w:val="21"/>
                <w:lang/>
              </w:rPr>
              <w:t xml:space="preserve">0.9651 </w:t>
            </w:r>
          </w:p>
        </w:tc>
        <w:tc>
          <w:tcPr>
            <w:tcW w:w="1252" w:type="dxa"/>
            <w:vAlign w:val="center"/>
          </w:tcPr>
          <w:p>
            <w:pPr>
              <w:widowControl/>
              <w:jc w:val="center"/>
              <w:textAlignment w:val="center"/>
              <w:rPr>
                <w:color w:val="000000"/>
                <w:sz w:val="22"/>
                <w:szCs w:val="22"/>
              </w:rPr>
            </w:pPr>
            <w:r>
              <w:rPr>
                <w:color w:val="000000"/>
                <w:kern w:val="0"/>
                <w:szCs w:val="21"/>
                <w:lang/>
              </w:rPr>
              <w:t xml:space="preserve">0.9680 </w:t>
            </w:r>
          </w:p>
        </w:tc>
        <w:tc>
          <w:tcPr>
            <w:tcW w:w="1252" w:type="dxa"/>
            <w:vAlign w:val="center"/>
          </w:tcPr>
          <w:p>
            <w:pPr>
              <w:widowControl/>
              <w:jc w:val="center"/>
              <w:textAlignment w:val="center"/>
              <w:rPr>
                <w:color w:val="000000"/>
                <w:sz w:val="22"/>
                <w:szCs w:val="22"/>
              </w:rPr>
            </w:pPr>
            <w:r>
              <w:rPr>
                <w:color w:val="000000"/>
                <w:kern w:val="0"/>
                <w:szCs w:val="21"/>
                <w:lang/>
              </w:rPr>
              <w:t xml:space="preserve">0.9707 </w:t>
            </w:r>
          </w:p>
        </w:tc>
        <w:tc>
          <w:tcPr>
            <w:tcW w:w="1252" w:type="dxa"/>
            <w:vAlign w:val="center"/>
          </w:tcPr>
          <w:p>
            <w:pPr>
              <w:widowControl/>
              <w:jc w:val="center"/>
              <w:textAlignment w:val="center"/>
              <w:rPr>
                <w:color w:val="000000"/>
                <w:sz w:val="22"/>
                <w:szCs w:val="22"/>
              </w:rPr>
            </w:pPr>
            <w:r>
              <w:rPr>
                <w:color w:val="000000"/>
                <w:kern w:val="0"/>
                <w:szCs w:val="21"/>
                <w:lang/>
              </w:rPr>
              <w:t xml:space="preserve">0.9732 </w:t>
            </w:r>
          </w:p>
        </w:tc>
        <w:tc>
          <w:tcPr>
            <w:tcW w:w="1250" w:type="dxa"/>
            <w:vAlign w:val="center"/>
          </w:tcPr>
          <w:p>
            <w:pPr>
              <w:widowControl/>
              <w:jc w:val="center"/>
              <w:textAlignment w:val="center"/>
              <w:rPr>
                <w:color w:val="000000"/>
                <w:sz w:val="22"/>
                <w:szCs w:val="22"/>
              </w:rPr>
            </w:pPr>
            <w:r>
              <w:rPr>
                <w:color w:val="000000"/>
                <w:kern w:val="0"/>
                <w:szCs w:val="21"/>
                <w:lang/>
              </w:rPr>
              <w:t xml:space="preserve">0.9755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使用年期</w:t>
            </w:r>
          </w:p>
        </w:tc>
        <w:tc>
          <w:tcPr>
            <w:tcW w:w="1253" w:type="dxa"/>
            <w:vAlign w:val="center"/>
          </w:tcPr>
          <w:p>
            <w:pPr>
              <w:widowControl/>
              <w:jc w:val="center"/>
              <w:textAlignment w:val="center"/>
              <w:rPr>
                <w:color w:val="000000"/>
                <w:szCs w:val="21"/>
              </w:rPr>
            </w:pPr>
            <w:r>
              <w:rPr>
                <w:color w:val="000000"/>
                <w:kern w:val="0"/>
                <w:szCs w:val="21"/>
                <w:lang/>
              </w:rPr>
              <w:t>49</w:t>
            </w:r>
          </w:p>
        </w:tc>
        <w:tc>
          <w:tcPr>
            <w:tcW w:w="1252" w:type="dxa"/>
            <w:vAlign w:val="center"/>
          </w:tcPr>
          <w:p>
            <w:pPr>
              <w:widowControl/>
              <w:jc w:val="center"/>
              <w:textAlignment w:val="center"/>
              <w:rPr>
                <w:color w:val="000000"/>
                <w:szCs w:val="21"/>
              </w:rPr>
            </w:pPr>
            <w:r>
              <w:rPr>
                <w:color w:val="000000"/>
                <w:kern w:val="0"/>
                <w:szCs w:val="21"/>
                <w:lang/>
              </w:rPr>
              <w:t>50</w:t>
            </w:r>
          </w:p>
        </w:tc>
        <w:tc>
          <w:tcPr>
            <w:tcW w:w="1252" w:type="dxa"/>
            <w:vAlign w:val="center"/>
          </w:tcPr>
          <w:p>
            <w:pPr>
              <w:widowControl/>
              <w:jc w:val="center"/>
              <w:textAlignment w:val="center"/>
              <w:rPr>
                <w:color w:val="000000"/>
                <w:szCs w:val="21"/>
              </w:rPr>
            </w:pPr>
            <w:r>
              <w:rPr>
                <w:color w:val="000000"/>
                <w:kern w:val="0"/>
                <w:szCs w:val="21"/>
                <w:lang/>
              </w:rPr>
              <w:t>51</w:t>
            </w:r>
          </w:p>
        </w:tc>
        <w:tc>
          <w:tcPr>
            <w:tcW w:w="1252" w:type="dxa"/>
            <w:vAlign w:val="center"/>
          </w:tcPr>
          <w:p>
            <w:pPr>
              <w:widowControl/>
              <w:jc w:val="center"/>
              <w:textAlignment w:val="center"/>
              <w:rPr>
                <w:color w:val="000000"/>
                <w:szCs w:val="21"/>
              </w:rPr>
            </w:pPr>
            <w:r>
              <w:rPr>
                <w:color w:val="000000"/>
                <w:kern w:val="0"/>
                <w:szCs w:val="21"/>
                <w:lang/>
              </w:rPr>
              <w:t>52</w:t>
            </w:r>
          </w:p>
        </w:tc>
        <w:tc>
          <w:tcPr>
            <w:tcW w:w="1252" w:type="dxa"/>
            <w:vAlign w:val="center"/>
          </w:tcPr>
          <w:p>
            <w:pPr>
              <w:widowControl/>
              <w:jc w:val="center"/>
              <w:textAlignment w:val="center"/>
              <w:rPr>
                <w:color w:val="000000"/>
                <w:szCs w:val="21"/>
              </w:rPr>
            </w:pPr>
            <w:r>
              <w:rPr>
                <w:color w:val="000000"/>
                <w:kern w:val="0"/>
                <w:szCs w:val="21"/>
                <w:lang/>
              </w:rPr>
              <w:t>53</w:t>
            </w:r>
          </w:p>
        </w:tc>
        <w:tc>
          <w:tcPr>
            <w:tcW w:w="1250" w:type="dxa"/>
            <w:vAlign w:val="center"/>
          </w:tcPr>
          <w:p>
            <w:pPr>
              <w:widowControl/>
              <w:jc w:val="center"/>
              <w:textAlignment w:val="center"/>
              <w:rPr>
                <w:color w:val="000000"/>
                <w:szCs w:val="21"/>
              </w:rPr>
            </w:pPr>
            <w:r>
              <w:rPr>
                <w:color w:val="000000"/>
                <w:kern w:val="0"/>
                <w:szCs w:val="21"/>
                <w:lang/>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修正系数</w:t>
            </w:r>
          </w:p>
        </w:tc>
        <w:tc>
          <w:tcPr>
            <w:tcW w:w="1253" w:type="dxa"/>
            <w:vAlign w:val="center"/>
          </w:tcPr>
          <w:p>
            <w:pPr>
              <w:widowControl/>
              <w:jc w:val="center"/>
              <w:textAlignment w:val="center"/>
              <w:rPr>
                <w:color w:val="000000"/>
                <w:sz w:val="22"/>
                <w:szCs w:val="22"/>
              </w:rPr>
            </w:pPr>
            <w:r>
              <w:rPr>
                <w:color w:val="000000"/>
                <w:kern w:val="0"/>
                <w:szCs w:val="21"/>
                <w:lang/>
              </w:rPr>
              <w:t xml:space="preserve">0.9776 </w:t>
            </w:r>
          </w:p>
        </w:tc>
        <w:tc>
          <w:tcPr>
            <w:tcW w:w="1252" w:type="dxa"/>
            <w:vAlign w:val="center"/>
          </w:tcPr>
          <w:p>
            <w:pPr>
              <w:widowControl/>
              <w:jc w:val="center"/>
              <w:textAlignment w:val="center"/>
              <w:rPr>
                <w:color w:val="000000"/>
                <w:sz w:val="22"/>
                <w:szCs w:val="22"/>
              </w:rPr>
            </w:pPr>
            <w:r>
              <w:rPr>
                <w:color w:val="000000"/>
                <w:kern w:val="0"/>
                <w:szCs w:val="21"/>
                <w:lang/>
              </w:rPr>
              <w:t xml:space="preserve">0.9796 </w:t>
            </w:r>
          </w:p>
        </w:tc>
        <w:tc>
          <w:tcPr>
            <w:tcW w:w="1252" w:type="dxa"/>
            <w:vAlign w:val="center"/>
          </w:tcPr>
          <w:p>
            <w:pPr>
              <w:widowControl/>
              <w:jc w:val="center"/>
              <w:textAlignment w:val="center"/>
              <w:rPr>
                <w:color w:val="000000"/>
                <w:sz w:val="22"/>
                <w:szCs w:val="22"/>
              </w:rPr>
            </w:pPr>
            <w:r>
              <w:rPr>
                <w:color w:val="000000"/>
                <w:kern w:val="0"/>
                <w:szCs w:val="21"/>
                <w:lang/>
              </w:rPr>
              <w:t xml:space="preserve">0.9815 </w:t>
            </w:r>
          </w:p>
        </w:tc>
        <w:tc>
          <w:tcPr>
            <w:tcW w:w="1252" w:type="dxa"/>
            <w:vAlign w:val="center"/>
          </w:tcPr>
          <w:p>
            <w:pPr>
              <w:widowControl/>
              <w:jc w:val="center"/>
              <w:textAlignment w:val="center"/>
              <w:rPr>
                <w:color w:val="000000"/>
                <w:sz w:val="22"/>
                <w:szCs w:val="22"/>
              </w:rPr>
            </w:pPr>
            <w:r>
              <w:rPr>
                <w:color w:val="000000"/>
                <w:kern w:val="0"/>
                <w:szCs w:val="21"/>
                <w:lang/>
              </w:rPr>
              <w:t xml:space="preserve">0.9832 </w:t>
            </w:r>
          </w:p>
        </w:tc>
        <w:tc>
          <w:tcPr>
            <w:tcW w:w="1252" w:type="dxa"/>
            <w:vAlign w:val="center"/>
          </w:tcPr>
          <w:p>
            <w:pPr>
              <w:widowControl/>
              <w:jc w:val="center"/>
              <w:textAlignment w:val="center"/>
              <w:rPr>
                <w:color w:val="000000"/>
                <w:sz w:val="22"/>
                <w:szCs w:val="22"/>
              </w:rPr>
            </w:pPr>
            <w:r>
              <w:rPr>
                <w:color w:val="000000"/>
                <w:kern w:val="0"/>
                <w:szCs w:val="21"/>
                <w:lang/>
              </w:rPr>
              <w:t xml:space="preserve">0.9849 </w:t>
            </w:r>
          </w:p>
        </w:tc>
        <w:tc>
          <w:tcPr>
            <w:tcW w:w="1250" w:type="dxa"/>
            <w:vAlign w:val="center"/>
          </w:tcPr>
          <w:p>
            <w:pPr>
              <w:widowControl/>
              <w:jc w:val="center"/>
              <w:textAlignment w:val="center"/>
              <w:rPr>
                <w:color w:val="000000"/>
                <w:sz w:val="22"/>
                <w:szCs w:val="22"/>
              </w:rPr>
            </w:pPr>
            <w:r>
              <w:rPr>
                <w:color w:val="000000"/>
                <w:kern w:val="0"/>
                <w:szCs w:val="21"/>
                <w:lang/>
              </w:rPr>
              <w:t xml:space="preserve">0.9863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使用年期</w:t>
            </w:r>
          </w:p>
        </w:tc>
        <w:tc>
          <w:tcPr>
            <w:tcW w:w="1253" w:type="dxa"/>
            <w:vAlign w:val="center"/>
          </w:tcPr>
          <w:p>
            <w:pPr>
              <w:widowControl/>
              <w:jc w:val="center"/>
              <w:textAlignment w:val="center"/>
              <w:rPr>
                <w:color w:val="000000"/>
                <w:szCs w:val="21"/>
              </w:rPr>
            </w:pPr>
            <w:r>
              <w:rPr>
                <w:color w:val="000000"/>
                <w:kern w:val="0"/>
                <w:szCs w:val="21"/>
                <w:lang/>
              </w:rPr>
              <w:t>55</w:t>
            </w:r>
          </w:p>
        </w:tc>
        <w:tc>
          <w:tcPr>
            <w:tcW w:w="1252" w:type="dxa"/>
            <w:vAlign w:val="center"/>
          </w:tcPr>
          <w:p>
            <w:pPr>
              <w:widowControl/>
              <w:jc w:val="center"/>
              <w:textAlignment w:val="center"/>
              <w:rPr>
                <w:color w:val="000000"/>
                <w:szCs w:val="21"/>
              </w:rPr>
            </w:pPr>
            <w:r>
              <w:rPr>
                <w:color w:val="000000"/>
                <w:kern w:val="0"/>
                <w:szCs w:val="21"/>
                <w:lang/>
              </w:rPr>
              <w:t>56</w:t>
            </w:r>
          </w:p>
        </w:tc>
        <w:tc>
          <w:tcPr>
            <w:tcW w:w="1252" w:type="dxa"/>
            <w:vAlign w:val="center"/>
          </w:tcPr>
          <w:p>
            <w:pPr>
              <w:widowControl/>
              <w:jc w:val="center"/>
              <w:textAlignment w:val="center"/>
              <w:rPr>
                <w:color w:val="000000"/>
                <w:szCs w:val="21"/>
              </w:rPr>
            </w:pPr>
            <w:r>
              <w:rPr>
                <w:color w:val="000000"/>
                <w:kern w:val="0"/>
                <w:szCs w:val="21"/>
                <w:lang/>
              </w:rPr>
              <w:t>57</w:t>
            </w:r>
          </w:p>
        </w:tc>
        <w:tc>
          <w:tcPr>
            <w:tcW w:w="1252" w:type="dxa"/>
            <w:vAlign w:val="center"/>
          </w:tcPr>
          <w:p>
            <w:pPr>
              <w:widowControl/>
              <w:jc w:val="center"/>
              <w:textAlignment w:val="center"/>
              <w:rPr>
                <w:color w:val="000000"/>
                <w:szCs w:val="21"/>
              </w:rPr>
            </w:pPr>
            <w:r>
              <w:rPr>
                <w:color w:val="000000"/>
                <w:kern w:val="0"/>
                <w:szCs w:val="21"/>
                <w:lang/>
              </w:rPr>
              <w:t>58</w:t>
            </w:r>
          </w:p>
        </w:tc>
        <w:tc>
          <w:tcPr>
            <w:tcW w:w="1252" w:type="dxa"/>
            <w:vAlign w:val="center"/>
          </w:tcPr>
          <w:p>
            <w:pPr>
              <w:widowControl/>
              <w:jc w:val="center"/>
              <w:textAlignment w:val="center"/>
              <w:rPr>
                <w:color w:val="000000"/>
                <w:szCs w:val="21"/>
              </w:rPr>
            </w:pPr>
            <w:r>
              <w:rPr>
                <w:color w:val="000000"/>
                <w:kern w:val="0"/>
                <w:szCs w:val="21"/>
                <w:lang/>
              </w:rPr>
              <w:t>59</w:t>
            </w:r>
          </w:p>
        </w:tc>
        <w:tc>
          <w:tcPr>
            <w:tcW w:w="1250" w:type="dxa"/>
            <w:vAlign w:val="center"/>
          </w:tcPr>
          <w:p>
            <w:pPr>
              <w:widowControl/>
              <w:jc w:val="center"/>
              <w:textAlignment w:val="center"/>
              <w:rPr>
                <w:color w:val="000000"/>
                <w:szCs w:val="21"/>
              </w:rPr>
            </w:pPr>
            <w:r>
              <w:rPr>
                <w:color w:val="000000"/>
                <w:kern w:val="0"/>
                <w:szCs w:val="21"/>
                <w:lang/>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修正系数</w:t>
            </w:r>
          </w:p>
        </w:tc>
        <w:tc>
          <w:tcPr>
            <w:tcW w:w="1253" w:type="dxa"/>
            <w:vAlign w:val="center"/>
          </w:tcPr>
          <w:p>
            <w:pPr>
              <w:widowControl/>
              <w:jc w:val="center"/>
              <w:textAlignment w:val="center"/>
              <w:rPr>
                <w:color w:val="000000"/>
                <w:sz w:val="22"/>
                <w:szCs w:val="22"/>
              </w:rPr>
            </w:pPr>
            <w:r>
              <w:rPr>
                <w:color w:val="000000"/>
                <w:kern w:val="0"/>
                <w:szCs w:val="21"/>
                <w:lang/>
              </w:rPr>
              <w:t xml:space="preserve">0.9877 </w:t>
            </w:r>
          </w:p>
        </w:tc>
        <w:tc>
          <w:tcPr>
            <w:tcW w:w="1252" w:type="dxa"/>
            <w:vAlign w:val="center"/>
          </w:tcPr>
          <w:p>
            <w:pPr>
              <w:widowControl/>
              <w:jc w:val="center"/>
              <w:textAlignment w:val="center"/>
              <w:rPr>
                <w:color w:val="000000"/>
                <w:sz w:val="22"/>
                <w:szCs w:val="22"/>
              </w:rPr>
            </w:pPr>
            <w:r>
              <w:rPr>
                <w:color w:val="000000"/>
                <w:kern w:val="0"/>
                <w:szCs w:val="21"/>
                <w:lang/>
              </w:rPr>
              <w:t xml:space="preserve">0.9890 </w:t>
            </w:r>
          </w:p>
        </w:tc>
        <w:tc>
          <w:tcPr>
            <w:tcW w:w="1252" w:type="dxa"/>
            <w:vAlign w:val="center"/>
          </w:tcPr>
          <w:p>
            <w:pPr>
              <w:widowControl/>
              <w:jc w:val="center"/>
              <w:textAlignment w:val="center"/>
              <w:rPr>
                <w:color w:val="000000"/>
                <w:sz w:val="22"/>
                <w:szCs w:val="22"/>
              </w:rPr>
            </w:pPr>
            <w:r>
              <w:rPr>
                <w:color w:val="000000"/>
                <w:kern w:val="0"/>
                <w:szCs w:val="21"/>
                <w:lang/>
              </w:rPr>
              <w:t xml:space="preserve">0.9902 </w:t>
            </w:r>
          </w:p>
        </w:tc>
        <w:tc>
          <w:tcPr>
            <w:tcW w:w="1252" w:type="dxa"/>
            <w:vAlign w:val="center"/>
          </w:tcPr>
          <w:p>
            <w:pPr>
              <w:widowControl/>
              <w:jc w:val="center"/>
              <w:textAlignment w:val="center"/>
              <w:rPr>
                <w:color w:val="000000"/>
                <w:sz w:val="22"/>
                <w:szCs w:val="22"/>
              </w:rPr>
            </w:pPr>
            <w:r>
              <w:rPr>
                <w:color w:val="000000"/>
                <w:kern w:val="0"/>
                <w:szCs w:val="21"/>
                <w:lang/>
              </w:rPr>
              <w:t xml:space="preserve">0.9914 </w:t>
            </w:r>
          </w:p>
        </w:tc>
        <w:tc>
          <w:tcPr>
            <w:tcW w:w="1252" w:type="dxa"/>
            <w:vAlign w:val="center"/>
          </w:tcPr>
          <w:p>
            <w:pPr>
              <w:widowControl/>
              <w:jc w:val="center"/>
              <w:textAlignment w:val="center"/>
              <w:rPr>
                <w:color w:val="000000"/>
                <w:sz w:val="22"/>
                <w:szCs w:val="22"/>
              </w:rPr>
            </w:pPr>
            <w:r>
              <w:rPr>
                <w:color w:val="000000"/>
                <w:kern w:val="0"/>
                <w:szCs w:val="21"/>
                <w:lang/>
              </w:rPr>
              <w:t xml:space="preserve">0.9924 </w:t>
            </w:r>
          </w:p>
        </w:tc>
        <w:tc>
          <w:tcPr>
            <w:tcW w:w="1250" w:type="dxa"/>
            <w:vAlign w:val="center"/>
          </w:tcPr>
          <w:p>
            <w:pPr>
              <w:widowControl/>
              <w:jc w:val="center"/>
              <w:textAlignment w:val="center"/>
              <w:rPr>
                <w:color w:val="000000"/>
                <w:sz w:val="22"/>
                <w:szCs w:val="22"/>
              </w:rPr>
            </w:pPr>
            <w:r>
              <w:rPr>
                <w:color w:val="000000"/>
                <w:kern w:val="0"/>
                <w:szCs w:val="21"/>
                <w:lang/>
              </w:rPr>
              <w:t xml:space="preserve">0.9934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使用年期</w:t>
            </w:r>
          </w:p>
        </w:tc>
        <w:tc>
          <w:tcPr>
            <w:tcW w:w="1253" w:type="dxa"/>
            <w:vAlign w:val="center"/>
          </w:tcPr>
          <w:p>
            <w:pPr>
              <w:widowControl/>
              <w:jc w:val="center"/>
              <w:textAlignment w:val="center"/>
              <w:rPr>
                <w:color w:val="000000"/>
                <w:szCs w:val="21"/>
              </w:rPr>
            </w:pPr>
            <w:r>
              <w:rPr>
                <w:color w:val="000000"/>
                <w:kern w:val="0"/>
                <w:szCs w:val="21"/>
                <w:lang/>
              </w:rPr>
              <w:t>61</w:t>
            </w:r>
          </w:p>
        </w:tc>
        <w:tc>
          <w:tcPr>
            <w:tcW w:w="1252" w:type="dxa"/>
            <w:vAlign w:val="center"/>
          </w:tcPr>
          <w:p>
            <w:pPr>
              <w:widowControl/>
              <w:jc w:val="center"/>
              <w:textAlignment w:val="center"/>
              <w:rPr>
                <w:color w:val="000000"/>
                <w:szCs w:val="21"/>
              </w:rPr>
            </w:pPr>
            <w:r>
              <w:rPr>
                <w:color w:val="000000"/>
                <w:kern w:val="0"/>
                <w:szCs w:val="21"/>
                <w:lang/>
              </w:rPr>
              <w:t>62</w:t>
            </w:r>
          </w:p>
        </w:tc>
        <w:tc>
          <w:tcPr>
            <w:tcW w:w="1252" w:type="dxa"/>
            <w:vAlign w:val="center"/>
          </w:tcPr>
          <w:p>
            <w:pPr>
              <w:widowControl/>
              <w:jc w:val="center"/>
              <w:textAlignment w:val="center"/>
              <w:rPr>
                <w:color w:val="000000"/>
                <w:szCs w:val="21"/>
              </w:rPr>
            </w:pPr>
            <w:r>
              <w:rPr>
                <w:color w:val="000000"/>
                <w:kern w:val="0"/>
                <w:szCs w:val="21"/>
                <w:lang/>
              </w:rPr>
              <w:t>63</w:t>
            </w:r>
          </w:p>
        </w:tc>
        <w:tc>
          <w:tcPr>
            <w:tcW w:w="1252" w:type="dxa"/>
            <w:vAlign w:val="center"/>
          </w:tcPr>
          <w:p>
            <w:pPr>
              <w:widowControl/>
              <w:jc w:val="center"/>
              <w:textAlignment w:val="center"/>
              <w:rPr>
                <w:color w:val="000000"/>
                <w:szCs w:val="21"/>
              </w:rPr>
            </w:pPr>
            <w:r>
              <w:rPr>
                <w:color w:val="000000"/>
                <w:kern w:val="0"/>
                <w:szCs w:val="21"/>
                <w:lang/>
              </w:rPr>
              <w:t>64</w:t>
            </w:r>
          </w:p>
        </w:tc>
        <w:tc>
          <w:tcPr>
            <w:tcW w:w="1252" w:type="dxa"/>
            <w:vAlign w:val="center"/>
          </w:tcPr>
          <w:p>
            <w:pPr>
              <w:widowControl/>
              <w:jc w:val="center"/>
              <w:textAlignment w:val="center"/>
              <w:rPr>
                <w:color w:val="000000"/>
                <w:szCs w:val="21"/>
              </w:rPr>
            </w:pPr>
            <w:r>
              <w:rPr>
                <w:color w:val="000000"/>
                <w:kern w:val="0"/>
                <w:szCs w:val="21"/>
                <w:lang/>
              </w:rPr>
              <w:t>65</w:t>
            </w:r>
          </w:p>
        </w:tc>
        <w:tc>
          <w:tcPr>
            <w:tcW w:w="1250" w:type="dxa"/>
            <w:vAlign w:val="center"/>
          </w:tcPr>
          <w:p>
            <w:pPr>
              <w:widowControl/>
              <w:jc w:val="center"/>
              <w:textAlignment w:val="center"/>
              <w:rPr>
                <w:color w:val="000000"/>
                <w:szCs w:val="21"/>
              </w:rPr>
            </w:pPr>
            <w:r>
              <w:rPr>
                <w:color w:val="000000"/>
                <w:kern w:val="0"/>
                <w:szCs w:val="21"/>
                <w:lang/>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修正系数</w:t>
            </w:r>
          </w:p>
        </w:tc>
        <w:tc>
          <w:tcPr>
            <w:tcW w:w="1253" w:type="dxa"/>
            <w:vAlign w:val="center"/>
          </w:tcPr>
          <w:p>
            <w:pPr>
              <w:widowControl/>
              <w:jc w:val="center"/>
              <w:textAlignment w:val="center"/>
              <w:rPr>
                <w:color w:val="000000"/>
                <w:sz w:val="22"/>
                <w:szCs w:val="22"/>
              </w:rPr>
            </w:pPr>
            <w:r>
              <w:rPr>
                <w:color w:val="000000"/>
                <w:kern w:val="0"/>
                <w:szCs w:val="21"/>
                <w:lang/>
              </w:rPr>
              <w:t xml:space="preserve">0.9943 </w:t>
            </w:r>
          </w:p>
        </w:tc>
        <w:tc>
          <w:tcPr>
            <w:tcW w:w="1252" w:type="dxa"/>
            <w:vAlign w:val="center"/>
          </w:tcPr>
          <w:p>
            <w:pPr>
              <w:widowControl/>
              <w:jc w:val="center"/>
              <w:textAlignment w:val="center"/>
              <w:rPr>
                <w:color w:val="000000"/>
                <w:sz w:val="22"/>
                <w:szCs w:val="22"/>
              </w:rPr>
            </w:pPr>
            <w:r>
              <w:rPr>
                <w:color w:val="000000"/>
                <w:kern w:val="0"/>
                <w:szCs w:val="21"/>
                <w:lang/>
              </w:rPr>
              <w:t xml:space="preserve">0.9951 </w:t>
            </w:r>
          </w:p>
        </w:tc>
        <w:tc>
          <w:tcPr>
            <w:tcW w:w="1252" w:type="dxa"/>
            <w:vAlign w:val="center"/>
          </w:tcPr>
          <w:p>
            <w:pPr>
              <w:widowControl/>
              <w:jc w:val="center"/>
              <w:textAlignment w:val="center"/>
              <w:rPr>
                <w:color w:val="000000"/>
                <w:sz w:val="22"/>
                <w:szCs w:val="22"/>
              </w:rPr>
            </w:pPr>
            <w:r>
              <w:rPr>
                <w:color w:val="000000"/>
                <w:kern w:val="0"/>
                <w:szCs w:val="21"/>
                <w:lang/>
              </w:rPr>
              <w:t xml:space="preserve">0.9959 </w:t>
            </w:r>
          </w:p>
        </w:tc>
        <w:tc>
          <w:tcPr>
            <w:tcW w:w="1252" w:type="dxa"/>
            <w:vAlign w:val="center"/>
          </w:tcPr>
          <w:p>
            <w:pPr>
              <w:widowControl/>
              <w:jc w:val="center"/>
              <w:textAlignment w:val="center"/>
              <w:rPr>
                <w:color w:val="000000"/>
                <w:sz w:val="22"/>
                <w:szCs w:val="22"/>
              </w:rPr>
            </w:pPr>
            <w:r>
              <w:rPr>
                <w:color w:val="000000"/>
                <w:kern w:val="0"/>
                <w:szCs w:val="21"/>
                <w:lang/>
              </w:rPr>
              <w:t xml:space="preserve">0.9966 </w:t>
            </w:r>
          </w:p>
        </w:tc>
        <w:tc>
          <w:tcPr>
            <w:tcW w:w="1252" w:type="dxa"/>
            <w:vAlign w:val="center"/>
          </w:tcPr>
          <w:p>
            <w:pPr>
              <w:widowControl/>
              <w:jc w:val="center"/>
              <w:textAlignment w:val="center"/>
              <w:rPr>
                <w:color w:val="000000"/>
                <w:sz w:val="22"/>
                <w:szCs w:val="22"/>
              </w:rPr>
            </w:pPr>
            <w:r>
              <w:rPr>
                <w:color w:val="000000"/>
                <w:kern w:val="0"/>
                <w:szCs w:val="21"/>
                <w:lang/>
              </w:rPr>
              <w:t xml:space="preserve">0.9973 </w:t>
            </w:r>
          </w:p>
        </w:tc>
        <w:tc>
          <w:tcPr>
            <w:tcW w:w="1250" w:type="dxa"/>
            <w:vAlign w:val="center"/>
          </w:tcPr>
          <w:p>
            <w:pPr>
              <w:widowControl/>
              <w:jc w:val="center"/>
              <w:textAlignment w:val="center"/>
              <w:rPr>
                <w:color w:val="000000"/>
                <w:szCs w:val="21"/>
              </w:rPr>
            </w:pPr>
            <w:r>
              <w:rPr>
                <w:color w:val="000000"/>
                <w:kern w:val="0"/>
                <w:szCs w:val="21"/>
                <w:lang/>
              </w:rPr>
              <w:t xml:space="preserve">0.9979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使用年期</w:t>
            </w:r>
          </w:p>
        </w:tc>
        <w:tc>
          <w:tcPr>
            <w:tcW w:w="1253" w:type="dxa"/>
            <w:vAlign w:val="center"/>
          </w:tcPr>
          <w:p>
            <w:pPr>
              <w:widowControl/>
              <w:jc w:val="center"/>
              <w:textAlignment w:val="center"/>
              <w:rPr>
                <w:color w:val="000000"/>
                <w:szCs w:val="21"/>
              </w:rPr>
            </w:pPr>
            <w:r>
              <w:rPr>
                <w:color w:val="000000"/>
                <w:kern w:val="0"/>
                <w:szCs w:val="21"/>
                <w:lang/>
              </w:rPr>
              <w:t>67</w:t>
            </w:r>
          </w:p>
        </w:tc>
        <w:tc>
          <w:tcPr>
            <w:tcW w:w="1252" w:type="dxa"/>
            <w:vAlign w:val="center"/>
          </w:tcPr>
          <w:p>
            <w:pPr>
              <w:widowControl/>
              <w:jc w:val="center"/>
              <w:textAlignment w:val="center"/>
              <w:rPr>
                <w:color w:val="000000"/>
                <w:szCs w:val="21"/>
              </w:rPr>
            </w:pPr>
            <w:r>
              <w:rPr>
                <w:color w:val="000000"/>
                <w:kern w:val="0"/>
                <w:szCs w:val="21"/>
                <w:lang/>
              </w:rPr>
              <w:t>68</w:t>
            </w:r>
          </w:p>
        </w:tc>
        <w:tc>
          <w:tcPr>
            <w:tcW w:w="1252" w:type="dxa"/>
            <w:vAlign w:val="center"/>
          </w:tcPr>
          <w:p>
            <w:pPr>
              <w:widowControl/>
              <w:jc w:val="center"/>
              <w:textAlignment w:val="center"/>
              <w:rPr>
                <w:color w:val="000000"/>
                <w:szCs w:val="21"/>
              </w:rPr>
            </w:pPr>
            <w:r>
              <w:rPr>
                <w:color w:val="000000"/>
                <w:kern w:val="0"/>
                <w:szCs w:val="21"/>
                <w:lang/>
              </w:rPr>
              <w:t>69</w:t>
            </w:r>
          </w:p>
        </w:tc>
        <w:tc>
          <w:tcPr>
            <w:tcW w:w="1252" w:type="dxa"/>
            <w:vAlign w:val="center"/>
          </w:tcPr>
          <w:p>
            <w:pPr>
              <w:widowControl/>
              <w:jc w:val="center"/>
              <w:textAlignment w:val="center"/>
              <w:rPr>
                <w:color w:val="000000"/>
                <w:szCs w:val="21"/>
              </w:rPr>
            </w:pPr>
            <w:r>
              <w:rPr>
                <w:color w:val="000000"/>
                <w:kern w:val="0"/>
                <w:szCs w:val="21"/>
                <w:lang/>
              </w:rPr>
              <w:t>70</w:t>
            </w:r>
          </w:p>
        </w:tc>
        <w:tc>
          <w:tcPr>
            <w:tcW w:w="1252" w:type="dxa"/>
            <w:vAlign w:val="center"/>
          </w:tcPr>
          <w:p>
            <w:pPr>
              <w:jc w:val="center"/>
              <w:rPr>
                <w:color w:val="000000"/>
                <w:szCs w:val="21"/>
              </w:rPr>
            </w:pPr>
          </w:p>
        </w:tc>
        <w:tc>
          <w:tcPr>
            <w:tcW w:w="1250"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550" w:type="dxa"/>
            <w:vAlign w:val="center"/>
          </w:tcPr>
          <w:p>
            <w:pPr>
              <w:widowControl/>
              <w:jc w:val="center"/>
              <w:rPr>
                <w:kern w:val="0"/>
              </w:rPr>
            </w:pPr>
            <w:r>
              <w:rPr>
                <w:kern w:val="0"/>
              </w:rPr>
              <w:t>修正系数</w:t>
            </w:r>
          </w:p>
        </w:tc>
        <w:tc>
          <w:tcPr>
            <w:tcW w:w="1253" w:type="dxa"/>
            <w:vAlign w:val="center"/>
          </w:tcPr>
          <w:p>
            <w:pPr>
              <w:widowControl/>
              <w:jc w:val="center"/>
              <w:textAlignment w:val="center"/>
              <w:rPr>
                <w:color w:val="000000"/>
                <w:sz w:val="22"/>
                <w:szCs w:val="22"/>
              </w:rPr>
            </w:pPr>
            <w:r>
              <w:rPr>
                <w:color w:val="000000"/>
                <w:kern w:val="0"/>
                <w:szCs w:val="21"/>
                <w:lang/>
              </w:rPr>
              <w:t xml:space="preserve">0.9985 </w:t>
            </w:r>
          </w:p>
        </w:tc>
        <w:tc>
          <w:tcPr>
            <w:tcW w:w="1252" w:type="dxa"/>
            <w:vAlign w:val="center"/>
          </w:tcPr>
          <w:p>
            <w:pPr>
              <w:widowControl/>
              <w:jc w:val="center"/>
              <w:textAlignment w:val="center"/>
              <w:rPr>
                <w:color w:val="000000"/>
                <w:sz w:val="22"/>
                <w:szCs w:val="22"/>
              </w:rPr>
            </w:pPr>
            <w:r>
              <w:rPr>
                <w:color w:val="000000"/>
                <w:kern w:val="0"/>
                <w:szCs w:val="21"/>
                <w:lang/>
              </w:rPr>
              <w:t xml:space="preserve">0.9990 </w:t>
            </w:r>
          </w:p>
        </w:tc>
        <w:tc>
          <w:tcPr>
            <w:tcW w:w="1252" w:type="dxa"/>
            <w:vAlign w:val="center"/>
          </w:tcPr>
          <w:p>
            <w:pPr>
              <w:widowControl/>
              <w:jc w:val="center"/>
              <w:textAlignment w:val="center"/>
              <w:rPr>
                <w:color w:val="000000"/>
                <w:sz w:val="22"/>
                <w:szCs w:val="22"/>
              </w:rPr>
            </w:pPr>
            <w:r>
              <w:rPr>
                <w:color w:val="000000"/>
                <w:kern w:val="0"/>
                <w:szCs w:val="21"/>
                <w:lang/>
              </w:rPr>
              <w:t xml:space="preserve">0.9995 </w:t>
            </w:r>
          </w:p>
        </w:tc>
        <w:tc>
          <w:tcPr>
            <w:tcW w:w="1252" w:type="dxa"/>
            <w:vAlign w:val="center"/>
          </w:tcPr>
          <w:p>
            <w:pPr>
              <w:widowControl/>
              <w:jc w:val="center"/>
              <w:textAlignment w:val="center"/>
              <w:rPr>
                <w:color w:val="000000"/>
                <w:sz w:val="22"/>
                <w:szCs w:val="22"/>
              </w:rPr>
            </w:pPr>
            <w:r>
              <w:rPr>
                <w:color w:val="000000"/>
                <w:kern w:val="0"/>
                <w:szCs w:val="21"/>
                <w:lang/>
              </w:rPr>
              <w:t xml:space="preserve">1.0000 </w:t>
            </w:r>
          </w:p>
        </w:tc>
        <w:tc>
          <w:tcPr>
            <w:tcW w:w="1252" w:type="dxa"/>
            <w:vAlign w:val="center"/>
          </w:tcPr>
          <w:p>
            <w:pPr>
              <w:jc w:val="center"/>
              <w:rPr>
                <w:color w:val="000000"/>
                <w:szCs w:val="21"/>
              </w:rPr>
            </w:pPr>
          </w:p>
        </w:tc>
        <w:tc>
          <w:tcPr>
            <w:tcW w:w="1250" w:type="dxa"/>
            <w:vAlign w:val="center"/>
          </w:tcPr>
          <w:p>
            <w:pPr>
              <w:jc w:val="center"/>
              <w:rPr>
                <w:color w:val="000000"/>
                <w:szCs w:val="21"/>
              </w:rPr>
            </w:pPr>
          </w:p>
        </w:tc>
      </w:tr>
    </w:tbl>
    <w:p>
      <w:pPr>
        <w:tabs>
          <w:tab w:val="right" w:pos="9298"/>
        </w:tabs>
        <w:ind w:firstLine="420" w:firstLineChars="200"/>
        <w:rPr>
          <w:szCs w:val="21"/>
        </w:rPr>
      </w:pPr>
      <w:r>
        <w:rPr>
          <w:szCs w:val="21"/>
        </w:rPr>
        <w:t>备注：本表为基于基准日</w:t>
      </w:r>
      <w:r>
        <w:rPr>
          <w:rFonts w:hint="eastAsia"/>
          <w:szCs w:val="21"/>
          <w:lang w:eastAsia="zh-CN"/>
        </w:rPr>
        <w:t>2018年3月1日</w:t>
      </w:r>
      <w:r>
        <w:rPr>
          <w:szCs w:val="21"/>
        </w:rPr>
        <w:t>时确定的还原利率来测算的，在宗地评估中，可根据实际测算的还原利率动态调整。</w:t>
      </w:r>
    </w:p>
    <w:p>
      <w:pPr>
        <w:tabs>
          <w:tab w:val="right" w:pos="9298"/>
        </w:tabs>
        <w:spacing w:line="460" w:lineRule="exact"/>
        <w:ind w:firstLine="480" w:firstLineChars="200"/>
        <w:rPr>
          <w:rFonts w:eastAsia="黑体"/>
          <w:sz w:val="24"/>
        </w:rPr>
      </w:pPr>
      <w:r>
        <w:rPr>
          <w:rFonts w:eastAsia="黑体"/>
          <w:sz w:val="24"/>
        </w:rPr>
        <w:t>（二）交易期日修正（</w:t>
      </w:r>
      <w:r>
        <w:rPr>
          <w:sz w:val="24"/>
        </w:rPr>
        <w:t>K</w:t>
      </w:r>
      <w:r>
        <w:rPr>
          <w:sz w:val="24"/>
          <w:vertAlign w:val="subscript"/>
        </w:rPr>
        <w:t>t</w:t>
      </w:r>
      <w:r>
        <w:rPr>
          <w:rFonts w:eastAsia="黑体"/>
          <w:sz w:val="24"/>
        </w:rPr>
        <w:t>）</w:t>
      </w:r>
    </w:p>
    <w:p>
      <w:pPr>
        <w:spacing w:line="460" w:lineRule="exact"/>
        <w:ind w:firstLine="480" w:firstLineChars="200"/>
        <w:rPr>
          <w:sz w:val="24"/>
        </w:rPr>
      </w:pPr>
      <w:r>
        <w:rPr>
          <w:sz w:val="24"/>
        </w:rPr>
        <w:t>待估宗地的基准日与基准地价的基准期日如不相同,则需根据地价的实际变化程度进行期日修正。期日修正系数K</w:t>
      </w:r>
      <w:r>
        <w:rPr>
          <w:sz w:val="24"/>
          <w:vertAlign w:val="subscript"/>
        </w:rPr>
        <w:t>t</w:t>
      </w:r>
      <w:r>
        <w:rPr>
          <w:sz w:val="24"/>
        </w:rPr>
        <w:t>与P</w:t>
      </w:r>
      <w:r>
        <w:rPr>
          <w:sz w:val="24"/>
          <w:vertAlign w:val="subscript"/>
        </w:rPr>
        <w:t>i</w:t>
      </w:r>
      <w:r>
        <w:rPr>
          <w:sz w:val="24"/>
        </w:rPr>
        <w:t>、P</w:t>
      </w:r>
      <w:r>
        <w:rPr>
          <w:sz w:val="24"/>
          <w:vertAlign w:val="subscript"/>
        </w:rPr>
        <w:t>o</w:t>
      </w:r>
      <w:r>
        <w:rPr>
          <w:sz w:val="24"/>
        </w:rPr>
        <w:t>关系如下式：</w:t>
      </w:r>
    </w:p>
    <w:p>
      <w:pPr>
        <w:spacing w:line="360" w:lineRule="auto"/>
        <w:ind w:firstLine="480" w:firstLineChars="200"/>
        <w:jc w:val="center"/>
        <w:rPr>
          <w:sz w:val="24"/>
        </w:rPr>
      </w:pPr>
      <w:r>
        <w:rPr>
          <w:sz w:val="24"/>
        </w:rPr>
        <w:t>K</w:t>
      </w:r>
      <w:r>
        <w:rPr>
          <w:sz w:val="24"/>
          <w:vertAlign w:val="subscript"/>
        </w:rPr>
        <w:t>t</w:t>
      </w:r>
      <w:r>
        <w:rPr>
          <w:sz w:val="24"/>
        </w:rPr>
        <w:t>=Pi/Po</w:t>
      </w:r>
    </w:p>
    <w:p>
      <w:pPr>
        <w:spacing w:line="360" w:lineRule="auto"/>
        <w:ind w:firstLine="480" w:firstLineChars="200"/>
        <w:rPr>
          <w:sz w:val="24"/>
        </w:rPr>
      </w:pPr>
      <w:r>
        <w:rPr>
          <w:sz w:val="24"/>
        </w:rPr>
        <w:t>式中：K</w:t>
      </w:r>
      <w:r>
        <w:rPr>
          <w:sz w:val="24"/>
          <w:vertAlign w:val="subscript"/>
        </w:rPr>
        <w:t>t</w:t>
      </w:r>
      <w:r>
        <w:rPr>
          <w:sz w:val="24"/>
        </w:rPr>
        <w:t>------将基准地价评估期日修正到待估宗地评估期日的系数</w:t>
      </w:r>
    </w:p>
    <w:p>
      <w:pPr>
        <w:spacing w:line="360" w:lineRule="auto"/>
        <w:ind w:firstLine="480" w:firstLineChars="200"/>
        <w:rPr>
          <w:sz w:val="24"/>
        </w:rPr>
      </w:pPr>
      <w:r>
        <w:rPr>
          <w:sz w:val="24"/>
        </w:rPr>
        <w:t>Pi------待估宗地所在土地级别评估期日的地价</w:t>
      </w:r>
    </w:p>
    <w:p>
      <w:pPr>
        <w:spacing w:line="360" w:lineRule="auto"/>
        <w:ind w:firstLine="480" w:firstLineChars="200"/>
        <w:rPr>
          <w:sz w:val="24"/>
        </w:rPr>
      </w:pPr>
      <w:r>
        <w:rPr>
          <w:sz w:val="24"/>
        </w:rPr>
        <w:t>Po------基准地价评估期日待估宗地所在土地级别的土地交易平均价格</w:t>
      </w:r>
    </w:p>
    <w:p>
      <w:pPr>
        <w:tabs>
          <w:tab w:val="right" w:pos="9298"/>
        </w:tabs>
        <w:spacing w:line="460" w:lineRule="exact"/>
        <w:ind w:firstLine="480" w:firstLineChars="200"/>
        <w:rPr>
          <w:rFonts w:eastAsia="黑体"/>
          <w:sz w:val="24"/>
        </w:rPr>
      </w:pPr>
      <w:r>
        <w:rPr>
          <w:rFonts w:eastAsia="黑体"/>
          <w:sz w:val="24"/>
        </w:rPr>
        <w:t>（</w:t>
      </w:r>
      <w:r>
        <w:rPr>
          <w:rFonts w:hint="eastAsia" w:eastAsia="黑体"/>
          <w:sz w:val="24"/>
        </w:rPr>
        <w:t>三</w:t>
      </w:r>
      <w:r>
        <w:rPr>
          <w:rFonts w:eastAsia="黑体"/>
          <w:sz w:val="24"/>
        </w:rPr>
        <w:t>）土地开发程度修正(</w:t>
      </w:r>
      <w:r>
        <w:rPr>
          <w:sz w:val="24"/>
        </w:rPr>
        <w:t>K</w:t>
      </w:r>
      <w:r>
        <w:rPr>
          <w:sz w:val="24"/>
          <w:vertAlign w:val="subscript"/>
        </w:rPr>
        <w:t>f</w:t>
      </w:r>
      <w:r>
        <w:rPr>
          <w:rFonts w:eastAsia="黑体"/>
          <w:sz w:val="24"/>
        </w:rPr>
        <w:t>)</w:t>
      </w:r>
    </w:p>
    <w:p>
      <w:pPr>
        <w:spacing w:line="460" w:lineRule="exact"/>
        <w:ind w:firstLine="480" w:firstLineChars="200"/>
        <w:rPr>
          <w:sz w:val="24"/>
        </w:rPr>
      </w:pPr>
      <w:r>
        <w:rPr>
          <w:sz w:val="24"/>
        </w:rPr>
        <w:t>住宅用地土地开发配套程度费用分配率同商服用地。</w:t>
      </w:r>
    </w:p>
    <w:p>
      <w:pPr>
        <w:tabs>
          <w:tab w:val="right" w:pos="9298"/>
        </w:tabs>
        <w:spacing w:line="460" w:lineRule="exact"/>
        <w:ind w:firstLine="480" w:firstLineChars="200"/>
        <w:rPr>
          <w:rFonts w:eastAsia="黑体"/>
          <w:sz w:val="24"/>
        </w:rPr>
      </w:pPr>
      <w:r>
        <w:rPr>
          <w:rFonts w:eastAsia="黑体"/>
          <w:sz w:val="24"/>
        </w:rPr>
        <w:t>（</w:t>
      </w:r>
      <w:r>
        <w:rPr>
          <w:rFonts w:hint="eastAsia" w:eastAsia="黑体"/>
          <w:sz w:val="24"/>
        </w:rPr>
        <w:t>四</w:t>
      </w:r>
      <w:r>
        <w:rPr>
          <w:rFonts w:eastAsia="黑体"/>
          <w:sz w:val="24"/>
        </w:rPr>
        <w:t>）宗地形状与面积修正(</w:t>
      </w:r>
      <w:r>
        <w:rPr>
          <w:sz w:val="24"/>
        </w:rPr>
        <w:t>K</w:t>
      </w:r>
      <w:r>
        <w:rPr>
          <w:sz w:val="24"/>
          <w:vertAlign w:val="subscript"/>
        </w:rPr>
        <w:t>s</w:t>
      </w:r>
      <w:r>
        <w:rPr>
          <w:rFonts w:eastAsia="黑体"/>
          <w:sz w:val="24"/>
        </w:rPr>
        <w:t>)</w:t>
      </w:r>
    </w:p>
    <w:p>
      <w:pPr>
        <w:pStyle w:val="131"/>
        <w:spacing w:beforeLines="50" w:afterLines="50"/>
        <w:ind w:firstLine="0" w:firstLineChars="0"/>
        <w:rPr>
          <w:rFonts w:ascii="Times New Roman" w:hAnsi="Times New Roman"/>
          <w:sz w:val="24"/>
        </w:rPr>
      </w:pPr>
      <w:r>
        <w:rPr>
          <w:rFonts w:ascii="Times New Roman" w:hAnsi="Times New Roman"/>
          <w:sz w:val="24"/>
        </w:rPr>
        <w:t>表4-4-17  住宅用地宗地形状与面积修正系数表</w:t>
      </w:r>
    </w:p>
    <w:tbl>
      <w:tblPr>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381"/>
        <w:gridCol w:w="1740"/>
        <w:gridCol w:w="1740"/>
        <w:gridCol w:w="1606"/>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1349" w:type="dxa"/>
            <w:vAlign w:val="center"/>
          </w:tcPr>
          <w:p>
            <w:pPr>
              <w:widowControl/>
              <w:jc w:val="center"/>
              <w:rPr>
                <w:kern w:val="0"/>
                <w:szCs w:val="22"/>
                <w:lang w:val="zh-CN"/>
              </w:rPr>
            </w:pPr>
            <w:r>
              <w:rPr>
                <w:kern w:val="0"/>
                <w:szCs w:val="22"/>
                <w:lang w:val="zh-CN"/>
              </w:rPr>
              <w:t>指标标准</w:t>
            </w:r>
          </w:p>
        </w:tc>
        <w:tc>
          <w:tcPr>
            <w:tcW w:w="1381" w:type="dxa"/>
            <w:vAlign w:val="center"/>
          </w:tcPr>
          <w:p>
            <w:pPr>
              <w:widowControl/>
              <w:jc w:val="center"/>
              <w:rPr>
                <w:kern w:val="0"/>
                <w:szCs w:val="22"/>
                <w:lang w:val="zh-CN"/>
              </w:rPr>
            </w:pPr>
            <w:r>
              <w:rPr>
                <w:kern w:val="0"/>
                <w:szCs w:val="22"/>
                <w:lang w:val="zh-CN"/>
              </w:rPr>
              <w:t>＞2000m2</w:t>
            </w:r>
          </w:p>
        </w:tc>
        <w:tc>
          <w:tcPr>
            <w:tcW w:w="1740" w:type="dxa"/>
            <w:vAlign w:val="center"/>
          </w:tcPr>
          <w:p>
            <w:pPr>
              <w:widowControl/>
              <w:jc w:val="center"/>
              <w:rPr>
                <w:kern w:val="0"/>
                <w:szCs w:val="22"/>
                <w:lang w:val="zh-CN"/>
              </w:rPr>
            </w:pPr>
            <w:r>
              <w:rPr>
                <w:kern w:val="0"/>
                <w:szCs w:val="22"/>
                <w:lang w:val="zh-CN"/>
              </w:rPr>
              <w:t>2000-1500m2</w:t>
            </w:r>
          </w:p>
        </w:tc>
        <w:tc>
          <w:tcPr>
            <w:tcW w:w="1740" w:type="dxa"/>
            <w:vAlign w:val="center"/>
          </w:tcPr>
          <w:p>
            <w:pPr>
              <w:widowControl/>
              <w:jc w:val="center"/>
              <w:rPr>
                <w:kern w:val="0"/>
                <w:szCs w:val="22"/>
                <w:lang w:val="zh-CN"/>
              </w:rPr>
            </w:pPr>
            <w:r>
              <w:rPr>
                <w:kern w:val="0"/>
                <w:szCs w:val="22"/>
                <w:lang w:val="zh-CN"/>
              </w:rPr>
              <w:t>1500-1000m2</w:t>
            </w:r>
          </w:p>
        </w:tc>
        <w:tc>
          <w:tcPr>
            <w:tcW w:w="1606" w:type="dxa"/>
            <w:vAlign w:val="center"/>
          </w:tcPr>
          <w:p>
            <w:pPr>
              <w:widowControl/>
              <w:jc w:val="center"/>
              <w:rPr>
                <w:kern w:val="0"/>
                <w:szCs w:val="22"/>
                <w:lang w:val="zh-CN"/>
              </w:rPr>
            </w:pPr>
            <w:r>
              <w:rPr>
                <w:kern w:val="0"/>
                <w:szCs w:val="22"/>
                <w:lang w:val="zh-CN"/>
              </w:rPr>
              <w:t>1000-500m2</w:t>
            </w:r>
          </w:p>
        </w:tc>
        <w:tc>
          <w:tcPr>
            <w:tcW w:w="1245" w:type="dxa"/>
            <w:vAlign w:val="center"/>
          </w:tcPr>
          <w:p>
            <w:pPr>
              <w:widowControl/>
              <w:jc w:val="center"/>
              <w:rPr>
                <w:kern w:val="0"/>
                <w:szCs w:val="22"/>
                <w:lang w:val="zh-CN"/>
              </w:rPr>
            </w:pPr>
            <w:r>
              <w:rPr>
                <w:kern w:val="0"/>
                <w:szCs w:val="22"/>
                <w:lang w:val="zh-CN"/>
              </w:rPr>
              <w:t>＜500m2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2" w:hRule="atLeast"/>
          <w:jc w:val="center"/>
        </w:trPr>
        <w:tc>
          <w:tcPr>
            <w:tcW w:w="1349" w:type="dxa"/>
            <w:vAlign w:val="center"/>
          </w:tcPr>
          <w:p>
            <w:pPr>
              <w:widowControl/>
              <w:jc w:val="center"/>
              <w:rPr>
                <w:kern w:val="0"/>
                <w:szCs w:val="22"/>
                <w:lang w:val="zh-CN"/>
              </w:rPr>
            </w:pPr>
            <w:r>
              <w:rPr>
                <w:kern w:val="0"/>
                <w:szCs w:val="22"/>
                <w:lang w:val="zh-CN"/>
              </w:rPr>
              <w:t>修正系数</w:t>
            </w:r>
          </w:p>
        </w:tc>
        <w:tc>
          <w:tcPr>
            <w:tcW w:w="1381" w:type="dxa"/>
            <w:vAlign w:val="center"/>
          </w:tcPr>
          <w:p>
            <w:pPr>
              <w:widowControl/>
              <w:jc w:val="center"/>
              <w:rPr>
                <w:kern w:val="0"/>
                <w:szCs w:val="22"/>
                <w:lang w:val="zh-CN"/>
              </w:rPr>
            </w:pPr>
            <w:r>
              <w:rPr>
                <w:kern w:val="0"/>
                <w:szCs w:val="22"/>
                <w:lang w:val="zh-CN"/>
              </w:rPr>
              <w:t>1.05</w:t>
            </w:r>
          </w:p>
        </w:tc>
        <w:tc>
          <w:tcPr>
            <w:tcW w:w="1740" w:type="dxa"/>
            <w:vAlign w:val="center"/>
          </w:tcPr>
          <w:p>
            <w:pPr>
              <w:widowControl/>
              <w:jc w:val="center"/>
              <w:rPr>
                <w:kern w:val="0"/>
                <w:szCs w:val="22"/>
                <w:lang w:val="zh-CN"/>
              </w:rPr>
            </w:pPr>
            <w:r>
              <w:rPr>
                <w:kern w:val="0"/>
                <w:szCs w:val="22"/>
                <w:lang w:val="zh-CN"/>
              </w:rPr>
              <w:t>1.03</w:t>
            </w:r>
          </w:p>
        </w:tc>
        <w:tc>
          <w:tcPr>
            <w:tcW w:w="1740" w:type="dxa"/>
            <w:vAlign w:val="center"/>
          </w:tcPr>
          <w:p>
            <w:pPr>
              <w:widowControl/>
              <w:jc w:val="center"/>
              <w:rPr>
                <w:kern w:val="0"/>
                <w:szCs w:val="22"/>
              </w:rPr>
            </w:pPr>
            <w:r>
              <w:rPr>
                <w:kern w:val="0"/>
                <w:szCs w:val="22"/>
                <w:lang w:val="zh-CN"/>
              </w:rPr>
              <w:t>1</w:t>
            </w:r>
            <w:r>
              <w:rPr>
                <w:rFonts w:hint="eastAsia"/>
                <w:kern w:val="0"/>
                <w:szCs w:val="22"/>
              </w:rPr>
              <w:t>.0</w:t>
            </w:r>
          </w:p>
        </w:tc>
        <w:tc>
          <w:tcPr>
            <w:tcW w:w="1606" w:type="dxa"/>
            <w:vAlign w:val="center"/>
          </w:tcPr>
          <w:p>
            <w:pPr>
              <w:widowControl/>
              <w:jc w:val="center"/>
              <w:rPr>
                <w:kern w:val="0"/>
                <w:szCs w:val="22"/>
                <w:lang w:val="zh-CN"/>
              </w:rPr>
            </w:pPr>
            <w:r>
              <w:rPr>
                <w:kern w:val="0"/>
                <w:szCs w:val="22"/>
                <w:lang w:val="zh-CN"/>
              </w:rPr>
              <w:t>0.97</w:t>
            </w:r>
          </w:p>
        </w:tc>
        <w:tc>
          <w:tcPr>
            <w:tcW w:w="1245" w:type="dxa"/>
            <w:vAlign w:val="center"/>
          </w:tcPr>
          <w:p>
            <w:pPr>
              <w:widowControl/>
              <w:jc w:val="center"/>
              <w:rPr>
                <w:kern w:val="0"/>
                <w:szCs w:val="22"/>
                <w:lang w:val="zh-CN"/>
              </w:rPr>
            </w:pPr>
            <w:r>
              <w:rPr>
                <w:kern w:val="0"/>
                <w:szCs w:val="22"/>
                <w:lang w:val="zh-CN"/>
              </w:rPr>
              <w:t>0.95</w:t>
            </w:r>
          </w:p>
        </w:tc>
      </w:tr>
    </w:tbl>
    <w:p>
      <w:pPr>
        <w:spacing w:line="360" w:lineRule="auto"/>
        <w:ind w:firstLine="480" w:firstLineChars="200"/>
        <w:rPr>
          <w:sz w:val="24"/>
        </w:rPr>
      </w:pPr>
      <w:r>
        <w:rPr>
          <w:sz w:val="24"/>
        </w:rPr>
        <w:t>注：以上空间为左开右闭空间。</w:t>
      </w:r>
    </w:p>
    <w:p>
      <w:pPr>
        <w:spacing w:line="360" w:lineRule="auto"/>
        <w:ind w:firstLine="480" w:firstLineChars="200"/>
        <w:rPr>
          <w:rFonts w:eastAsia="黑体"/>
          <w:sz w:val="24"/>
        </w:rPr>
      </w:pPr>
      <w:r>
        <w:rPr>
          <w:rFonts w:eastAsia="黑体"/>
          <w:sz w:val="24"/>
        </w:rPr>
        <w:t>（</w:t>
      </w:r>
      <w:r>
        <w:rPr>
          <w:rFonts w:hint="eastAsia" w:eastAsia="黑体"/>
          <w:sz w:val="24"/>
        </w:rPr>
        <w:t>五</w:t>
      </w:r>
      <w:r>
        <w:rPr>
          <w:rFonts w:eastAsia="黑体"/>
          <w:sz w:val="24"/>
        </w:rPr>
        <w:t>）宗地位置偏离度修正(</w:t>
      </w:r>
      <w:r>
        <w:rPr>
          <w:sz w:val="24"/>
        </w:rPr>
        <w:t>K</w:t>
      </w:r>
      <w:r>
        <w:rPr>
          <w:sz w:val="24"/>
          <w:vertAlign w:val="subscript"/>
        </w:rPr>
        <w:t>p</w:t>
      </w:r>
      <w:r>
        <w:rPr>
          <w:rFonts w:eastAsia="黑体"/>
          <w:sz w:val="24"/>
        </w:rPr>
        <w:t>)</w:t>
      </w:r>
    </w:p>
    <w:p>
      <w:pPr>
        <w:pStyle w:val="131"/>
        <w:spacing w:beforeLines="50" w:afterLines="50"/>
        <w:ind w:firstLine="0" w:firstLineChars="0"/>
        <w:rPr>
          <w:rFonts w:ascii="Times New Roman" w:hAnsi="Times New Roman"/>
          <w:sz w:val="24"/>
        </w:rPr>
      </w:pPr>
      <w:r>
        <w:rPr>
          <w:rFonts w:ascii="Times New Roman" w:hAnsi="Times New Roman"/>
          <w:sz w:val="24"/>
        </w:rPr>
        <w:t>表4-4-18  住宅用地宗地位置偏离度修正系数表</w:t>
      </w:r>
    </w:p>
    <w:tbl>
      <w:tblPr>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50"/>
        <w:gridCol w:w="1551"/>
        <w:gridCol w:w="1551"/>
        <w:gridCol w:w="1551"/>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205" w:type="dxa"/>
            <w:vAlign w:val="center"/>
          </w:tcPr>
          <w:p>
            <w:pPr>
              <w:widowControl/>
              <w:jc w:val="center"/>
              <w:rPr>
                <w:kern w:val="0"/>
                <w:lang w:val="zh-CN"/>
              </w:rPr>
            </w:pPr>
            <w:r>
              <w:rPr>
                <w:kern w:val="0"/>
                <w:lang w:val="zh-CN"/>
              </w:rPr>
              <w:t>指标标准</w:t>
            </w:r>
          </w:p>
        </w:tc>
        <w:tc>
          <w:tcPr>
            <w:tcW w:w="1550" w:type="dxa"/>
            <w:vAlign w:val="center"/>
          </w:tcPr>
          <w:p>
            <w:pPr>
              <w:widowControl/>
              <w:jc w:val="center"/>
              <w:rPr>
                <w:kern w:val="0"/>
                <w:lang w:val="zh-CN"/>
              </w:rPr>
            </w:pPr>
            <w:r>
              <w:rPr>
                <w:kern w:val="0"/>
                <w:lang w:val="zh-CN"/>
              </w:rPr>
              <w:t>＜0.2</w:t>
            </w:r>
          </w:p>
        </w:tc>
        <w:tc>
          <w:tcPr>
            <w:tcW w:w="1551" w:type="dxa"/>
            <w:vAlign w:val="center"/>
          </w:tcPr>
          <w:p>
            <w:pPr>
              <w:widowControl/>
              <w:jc w:val="center"/>
              <w:rPr>
                <w:kern w:val="0"/>
                <w:lang w:val="zh-CN"/>
              </w:rPr>
            </w:pPr>
            <w:r>
              <w:rPr>
                <w:kern w:val="0"/>
                <w:lang w:val="zh-CN"/>
              </w:rPr>
              <w:t>0.2-0.4</w:t>
            </w:r>
          </w:p>
        </w:tc>
        <w:tc>
          <w:tcPr>
            <w:tcW w:w="1551" w:type="dxa"/>
            <w:vAlign w:val="center"/>
          </w:tcPr>
          <w:p>
            <w:pPr>
              <w:widowControl/>
              <w:jc w:val="center"/>
              <w:rPr>
                <w:kern w:val="0"/>
                <w:lang w:val="zh-CN"/>
              </w:rPr>
            </w:pPr>
            <w:r>
              <w:rPr>
                <w:kern w:val="0"/>
                <w:lang w:val="zh-CN"/>
              </w:rPr>
              <w:t>0.3-0.6</w:t>
            </w:r>
          </w:p>
        </w:tc>
        <w:tc>
          <w:tcPr>
            <w:tcW w:w="1551" w:type="dxa"/>
            <w:vAlign w:val="center"/>
          </w:tcPr>
          <w:p>
            <w:pPr>
              <w:widowControl/>
              <w:jc w:val="center"/>
              <w:rPr>
                <w:kern w:val="0"/>
                <w:lang w:val="zh-CN"/>
              </w:rPr>
            </w:pPr>
            <w:r>
              <w:rPr>
                <w:kern w:val="0"/>
                <w:lang w:val="zh-CN"/>
              </w:rPr>
              <w:t>0.6-0.8</w:t>
            </w:r>
          </w:p>
        </w:tc>
        <w:tc>
          <w:tcPr>
            <w:tcW w:w="1551" w:type="dxa"/>
            <w:vAlign w:val="center"/>
          </w:tcPr>
          <w:p>
            <w:pPr>
              <w:widowControl/>
              <w:jc w:val="center"/>
              <w:rPr>
                <w:kern w:val="0"/>
                <w:lang w:val="zh-CN"/>
              </w:rPr>
            </w:pPr>
            <w:r>
              <w:rPr>
                <w:kern w:val="0"/>
                <w:lang w:val="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5" w:type="dxa"/>
            <w:vAlign w:val="center"/>
          </w:tcPr>
          <w:p>
            <w:pPr>
              <w:widowControl/>
              <w:jc w:val="center"/>
              <w:rPr>
                <w:kern w:val="0"/>
                <w:lang w:val="zh-CN"/>
              </w:rPr>
            </w:pPr>
            <w:r>
              <w:rPr>
                <w:kern w:val="0"/>
                <w:lang w:val="zh-CN"/>
              </w:rPr>
              <w:t>修正系数</w:t>
            </w:r>
          </w:p>
        </w:tc>
        <w:tc>
          <w:tcPr>
            <w:tcW w:w="1550" w:type="dxa"/>
            <w:vAlign w:val="center"/>
          </w:tcPr>
          <w:p>
            <w:pPr>
              <w:widowControl/>
              <w:jc w:val="center"/>
              <w:rPr>
                <w:kern w:val="0"/>
                <w:lang w:val="zh-CN"/>
              </w:rPr>
            </w:pPr>
            <w:r>
              <w:rPr>
                <w:kern w:val="0"/>
                <w:lang w:val="zh-CN"/>
              </w:rPr>
              <w:t>1.05</w:t>
            </w:r>
          </w:p>
        </w:tc>
        <w:tc>
          <w:tcPr>
            <w:tcW w:w="1551" w:type="dxa"/>
            <w:vAlign w:val="center"/>
          </w:tcPr>
          <w:p>
            <w:pPr>
              <w:widowControl/>
              <w:jc w:val="center"/>
              <w:rPr>
                <w:kern w:val="0"/>
                <w:lang w:val="zh-CN"/>
              </w:rPr>
            </w:pPr>
            <w:r>
              <w:rPr>
                <w:kern w:val="0"/>
                <w:lang w:val="zh-CN"/>
              </w:rPr>
              <w:t>1.03</w:t>
            </w:r>
          </w:p>
        </w:tc>
        <w:tc>
          <w:tcPr>
            <w:tcW w:w="1551" w:type="dxa"/>
            <w:vAlign w:val="center"/>
          </w:tcPr>
          <w:p>
            <w:pPr>
              <w:widowControl/>
              <w:jc w:val="center"/>
              <w:rPr>
                <w:kern w:val="0"/>
                <w:lang w:val="zh-CN"/>
              </w:rPr>
            </w:pPr>
            <w:r>
              <w:rPr>
                <w:kern w:val="0"/>
                <w:lang w:val="zh-CN"/>
              </w:rPr>
              <w:t>1.0</w:t>
            </w:r>
          </w:p>
        </w:tc>
        <w:tc>
          <w:tcPr>
            <w:tcW w:w="1551" w:type="dxa"/>
            <w:vAlign w:val="center"/>
          </w:tcPr>
          <w:p>
            <w:pPr>
              <w:widowControl/>
              <w:jc w:val="center"/>
              <w:rPr>
                <w:kern w:val="0"/>
                <w:lang w:val="zh-CN"/>
              </w:rPr>
            </w:pPr>
            <w:r>
              <w:rPr>
                <w:kern w:val="0"/>
                <w:lang w:val="zh-CN"/>
              </w:rPr>
              <w:t>0.97</w:t>
            </w:r>
          </w:p>
        </w:tc>
        <w:tc>
          <w:tcPr>
            <w:tcW w:w="1551" w:type="dxa"/>
            <w:vAlign w:val="center"/>
          </w:tcPr>
          <w:p>
            <w:pPr>
              <w:widowControl/>
              <w:jc w:val="center"/>
              <w:rPr>
                <w:kern w:val="0"/>
                <w:lang w:val="zh-CN"/>
              </w:rPr>
            </w:pPr>
            <w:r>
              <w:rPr>
                <w:kern w:val="0"/>
                <w:lang w:val="zh-CN"/>
              </w:rPr>
              <w:t>0.95</w:t>
            </w:r>
          </w:p>
        </w:tc>
      </w:tr>
    </w:tbl>
    <w:p>
      <w:pPr>
        <w:pStyle w:val="34"/>
        <w:spacing w:line="300" w:lineRule="auto"/>
        <w:ind w:left="0" w:firstLine="480" w:firstLineChars="200"/>
        <w:jc w:val="both"/>
        <w:rPr>
          <w:sz w:val="24"/>
        </w:rPr>
      </w:pPr>
      <w:r>
        <w:rPr>
          <w:sz w:val="24"/>
        </w:rPr>
        <w:t>（</w:t>
      </w:r>
      <w:r>
        <w:rPr>
          <w:rFonts w:hint="eastAsia"/>
          <w:sz w:val="24"/>
        </w:rPr>
        <w:t>六</w:t>
      </w:r>
      <w:r>
        <w:rPr>
          <w:sz w:val="24"/>
        </w:rPr>
        <w:t>）</w:t>
      </w:r>
      <w:r>
        <w:rPr>
          <w:rFonts w:hint="eastAsia"/>
          <w:sz w:val="24"/>
        </w:rPr>
        <w:t>轨道交通</w:t>
      </w:r>
      <w:r>
        <w:rPr>
          <w:sz w:val="24"/>
        </w:rPr>
        <w:t>站点修正（Km）</w:t>
      </w:r>
    </w:p>
    <w:p>
      <w:pPr>
        <w:pStyle w:val="131"/>
        <w:spacing w:beforeLines="50" w:afterLines="50"/>
        <w:ind w:firstLine="0" w:firstLineChars="0"/>
        <w:rPr>
          <w:rFonts w:ascii="Times New Roman" w:hAnsi="Times New Roman"/>
          <w:sz w:val="24"/>
        </w:rPr>
      </w:pPr>
      <w:r>
        <w:rPr>
          <w:rFonts w:ascii="Times New Roman" w:hAnsi="Times New Roman"/>
          <w:sz w:val="24"/>
        </w:rPr>
        <w:t>表4-4-19  住宅用地</w:t>
      </w:r>
      <w:r>
        <w:rPr>
          <w:rFonts w:hint="eastAsia" w:ascii="Times New Roman" w:hAnsi="Times New Roman"/>
          <w:sz w:val="24"/>
        </w:rPr>
        <w:t>轨道交通</w:t>
      </w:r>
      <w:r>
        <w:rPr>
          <w:rFonts w:ascii="Times New Roman" w:hAnsi="Times New Roman"/>
          <w:sz w:val="24"/>
        </w:rPr>
        <w:t>站点修正系数表</w:t>
      </w:r>
    </w:p>
    <w:tbl>
      <w:tblPr>
        <w:tblW w:w="9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41"/>
        <w:gridCol w:w="1421"/>
        <w:gridCol w:w="1150"/>
        <w:gridCol w:w="1326"/>
        <w:gridCol w:w="1477"/>
        <w:gridCol w:w="1290"/>
        <w:gridCol w:w="10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7" w:hRule="atLeast"/>
        </w:trPr>
        <w:tc>
          <w:tcPr>
            <w:tcW w:w="134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rPr>
            </w:pPr>
            <w:r>
              <w:rPr>
                <w:b/>
              </w:rPr>
              <w:t>站点类型</w:t>
            </w:r>
          </w:p>
        </w:tc>
        <w:tc>
          <w:tcPr>
            <w:tcW w:w="1421" w:type="dxa"/>
            <w:tcBorders>
              <w:top w:val="single" w:color="auto" w:sz="4" w:space="0"/>
              <w:left w:val="nil"/>
              <w:bottom w:val="single" w:color="auto" w:sz="4" w:space="0"/>
              <w:right w:val="single" w:color="auto" w:sz="4" w:space="0"/>
            </w:tcBorders>
            <w:vAlign w:val="center"/>
          </w:tcPr>
          <w:p>
            <w:pPr>
              <w:spacing w:line="240" w:lineRule="exact"/>
              <w:jc w:val="center"/>
              <w:rPr>
                <w:lang/>
              </w:rPr>
            </w:pPr>
            <w:r>
              <w:rPr>
                <w:lang/>
              </w:rPr>
              <w:t>&lt;100 m</w:t>
            </w:r>
          </w:p>
        </w:tc>
        <w:tc>
          <w:tcPr>
            <w:tcW w:w="1150" w:type="dxa"/>
            <w:tcBorders>
              <w:top w:val="single" w:color="auto" w:sz="4" w:space="0"/>
              <w:left w:val="nil"/>
              <w:bottom w:val="single" w:color="auto" w:sz="4" w:space="0"/>
              <w:right w:val="single" w:color="auto" w:sz="4" w:space="0"/>
            </w:tcBorders>
            <w:vAlign w:val="center"/>
          </w:tcPr>
          <w:p>
            <w:pPr>
              <w:spacing w:line="240" w:lineRule="exact"/>
              <w:jc w:val="center"/>
              <w:rPr>
                <w:lang/>
              </w:rPr>
            </w:pPr>
            <w:r>
              <w:rPr>
                <w:lang/>
              </w:rPr>
              <w:t>100-300 m</w:t>
            </w:r>
          </w:p>
        </w:tc>
        <w:tc>
          <w:tcPr>
            <w:tcW w:w="1326" w:type="dxa"/>
            <w:tcBorders>
              <w:top w:val="single" w:color="auto" w:sz="4" w:space="0"/>
              <w:left w:val="nil"/>
              <w:bottom w:val="single" w:color="auto" w:sz="4" w:space="0"/>
              <w:right w:val="single" w:color="auto" w:sz="4" w:space="0"/>
            </w:tcBorders>
            <w:vAlign w:val="center"/>
          </w:tcPr>
          <w:p>
            <w:pPr>
              <w:spacing w:line="240" w:lineRule="exact"/>
              <w:jc w:val="center"/>
              <w:rPr>
                <w:lang/>
              </w:rPr>
            </w:pPr>
            <w:r>
              <w:rPr>
                <w:lang/>
              </w:rPr>
              <w:t>300-500 m</w:t>
            </w:r>
          </w:p>
        </w:tc>
        <w:tc>
          <w:tcPr>
            <w:tcW w:w="1477" w:type="dxa"/>
            <w:tcBorders>
              <w:top w:val="single" w:color="auto" w:sz="4" w:space="0"/>
              <w:left w:val="nil"/>
              <w:bottom w:val="single" w:color="auto" w:sz="4" w:space="0"/>
              <w:right w:val="single" w:color="auto" w:sz="4" w:space="0"/>
            </w:tcBorders>
            <w:vAlign w:val="center"/>
          </w:tcPr>
          <w:p>
            <w:pPr>
              <w:spacing w:line="240" w:lineRule="exact"/>
              <w:jc w:val="center"/>
              <w:rPr>
                <w:lang/>
              </w:rPr>
            </w:pPr>
            <w:r>
              <w:rPr>
                <w:lang/>
              </w:rPr>
              <w:t>500-700 m</w:t>
            </w:r>
          </w:p>
        </w:tc>
        <w:tc>
          <w:tcPr>
            <w:tcW w:w="1290" w:type="dxa"/>
            <w:tcBorders>
              <w:top w:val="single" w:color="auto" w:sz="4" w:space="0"/>
              <w:left w:val="nil"/>
              <w:bottom w:val="single" w:color="auto" w:sz="4" w:space="0"/>
              <w:right w:val="single" w:color="auto" w:sz="4" w:space="0"/>
            </w:tcBorders>
            <w:vAlign w:val="center"/>
          </w:tcPr>
          <w:p>
            <w:pPr>
              <w:spacing w:line="240" w:lineRule="exact"/>
              <w:jc w:val="center"/>
              <w:rPr>
                <w:lang/>
              </w:rPr>
            </w:pPr>
            <w:r>
              <w:rPr>
                <w:lang/>
              </w:rPr>
              <w:t>700-1000 m</w:t>
            </w:r>
          </w:p>
        </w:tc>
        <w:tc>
          <w:tcPr>
            <w:tcW w:w="1055" w:type="dxa"/>
            <w:tcBorders>
              <w:top w:val="single" w:color="auto" w:sz="4" w:space="0"/>
              <w:left w:val="nil"/>
              <w:bottom w:val="single" w:color="auto" w:sz="4" w:space="0"/>
              <w:right w:val="single" w:color="auto" w:sz="4" w:space="0"/>
            </w:tcBorders>
            <w:vAlign w:val="center"/>
          </w:tcPr>
          <w:p>
            <w:pPr>
              <w:spacing w:line="240" w:lineRule="exact"/>
              <w:jc w:val="center"/>
              <w:rPr>
                <w:lang/>
              </w:rPr>
            </w:pPr>
            <w:r>
              <w:rPr>
                <w:lang/>
              </w:rPr>
              <w:t>≥1000 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trPr>
        <w:tc>
          <w:tcPr>
            <w:tcW w:w="1341" w:type="dxa"/>
            <w:tcBorders>
              <w:top w:val="nil"/>
              <w:left w:val="single" w:color="auto" w:sz="4" w:space="0"/>
              <w:bottom w:val="single" w:color="auto" w:sz="4" w:space="0"/>
              <w:right w:val="single" w:color="auto" w:sz="4" w:space="0"/>
            </w:tcBorders>
            <w:vAlign w:val="center"/>
          </w:tcPr>
          <w:p>
            <w:pPr>
              <w:spacing w:line="240" w:lineRule="exact"/>
              <w:jc w:val="center"/>
              <w:rPr>
                <w:b/>
              </w:rPr>
            </w:pPr>
            <w:r>
              <w:rPr>
                <w:b/>
              </w:rPr>
              <w:t>单一站点</w:t>
            </w:r>
          </w:p>
        </w:tc>
        <w:tc>
          <w:tcPr>
            <w:tcW w:w="1421" w:type="dxa"/>
            <w:tcBorders>
              <w:top w:val="nil"/>
              <w:left w:val="nil"/>
              <w:bottom w:val="single" w:color="auto" w:sz="4" w:space="0"/>
              <w:right w:val="single" w:color="auto" w:sz="4" w:space="0"/>
            </w:tcBorders>
            <w:vAlign w:val="center"/>
          </w:tcPr>
          <w:p>
            <w:pPr>
              <w:spacing w:line="240" w:lineRule="exact"/>
              <w:jc w:val="center"/>
              <w:rPr>
                <w:lang/>
              </w:rPr>
            </w:pPr>
            <w:r>
              <w:rPr>
                <w:lang/>
              </w:rPr>
              <w:t>1.10</w:t>
            </w:r>
          </w:p>
        </w:tc>
        <w:tc>
          <w:tcPr>
            <w:tcW w:w="1150" w:type="dxa"/>
            <w:tcBorders>
              <w:top w:val="nil"/>
              <w:left w:val="nil"/>
              <w:bottom w:val="single" w:color="auto" w:sz="4" w:space="0"/>
              <w:right w:val="single" w:color="auto" w:sz="4" w:space="0"/>
            </w:tcBorders>
            <w:vAlign w:val="center"/>
          </w:tcPr>
          <w:p>
            <w:pPr>
              <w:spacing w:line="240" w:lineRule="exact"/>
              <w:jc w:val="center"/>
              <w:rPr>
                <w:lang/>
              </w:rPr>
            </w:pPr>
            <w:r>
              <w:rPr>
                <w:lang/>
              </w:rPr>
              <w:t>1.08</w:t>
            </w:r>
          </w:p>
        </w:tc>
        <w:tc>
          <w:tcPr>
            <w:tcW w:w="1326" w:type="dxa"/>
            <w:tcBorders>
              <w:top w:val="nil"/>
              <w:left w:val="nil"/>
              <w:bottom w:val="single" w:color="auto" w:sz="4" w:space="0"/>
              <w:right w:val="single" w:color="auto" w:sz="4" w:space="0"/>
            </w:tcBorders>
            <w:vAlign w:val="center"/>
          </w:tcPr>
          <w:p>
            <w:pPr>
              <w:spacing w:line="240" w:lineRule="exact"/>
              <w:jc w:val="center"/>
              <w:rPr>
                <w:lang/>
              </w:rPr>
            </w:pPr>
            <w:r>
              <w:rPr>
                <w:lang/>
              </w:rPr>
              <w:t>1.06</w:t>
            </w:r>
          </w:p>
        </w:tc>
        <w:tc>
          <w:tcPr>
            <w:tcW w:w="1477" w:type="dxa"/>
            <w:tcBorders>
              <w:top w:val="nil"/>
              <w:left w:val="nil"/>
              <w:bottom w:val="single" w:color="auto" w:sz="4" w:space="0"/>
              <w:right w:val="single" w:color="auto" w:sz="4" w:space="0"/>
            </w:tcBorders>
            <w:vAlign w:val="center"/>
          </w:tcPr>
          <w:p>
            <w:pPr>
              <w:spacing w:line="240" w:lineRule="exact"/>
              <w:jc w:val="center"/>
              <w:rPr>
                <w:lang/>
              </w:rPr>
            </w:pPr>
            <w:r>
              <w:rPr>
                <w:lang/>
              </w:rPr>
              <w:t>1.04</w:t>
            </w:r>
          </w:p>
        </w:tc>
        <w:tc>
          <w:tcPr>
            <w:tcW w:w="1290" w:type="dxa"/>
            <w:tcBorders>
              <w:top w:val="nil"/>
              <w:left w:val="nil"/>
              <w:bottom w:val="single" w:color="auto" w:sz="4" w:space="0"/>
              <w:right w:val="single" w:color="auto" w:sz="4" w:space="0"/>
            </w:tcBorders>
            <w:vAlign w:val="center"/>
          </w:tcPr>
          <w:p>
            <w:pPr>
              <w:spacing w:line="240" w:lineRule="exact"/>
              <w:jc w:val="center"/>
              <w:rPr>
                <w:lang/>
              </w:rPr>
            </w:pPr>
            <w:r>
              <w:rPr>
                <w:lang/>
              </w:rPr>
              <w:t>1.02</w:t>
            </w:r>
          </w:p>
        </w:tc>
        <w:tc>
          <w:tcPr>
            <w:tcW w:w="1055" w:type="dxa"/>
            <w:tcBorders>
              <w:top w:val="nil"/>
              <w:left w:val="nil"/>
              <w:bottom w:val="single" w:color="auto" w:sz="4" w:space="0"/>
              <w:right w:val="single" w:color="auto" w:sz="4" w:space="0"/>
            </w:tcBorders>
            <w:vAlign w:val="center"/>
          </w:tcPr>
          <w:p>
            <w:pPr>
              <w:spacing w:line="240" w:lineRule="exact"/>
              <w:jc w:val="center"/>
              <w:rPr>
                <w:lang/>
              </w:rPr>
            </w:pPr>
            <w:r>
              <w:rPr>
                <w:lang/>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trPr>
        <w:tc>
          <w:tcPr>
            <w:tcW w:w="1341" w:type="dxa"/>
            <w:tcBorders>
              <w:top w:val="nil"/>
              <w:left w:val="single" w:color="auto" w:sz="4" w:space="0"/>
              <w:bottom w:val="single" w:color="auto" w:sz="4" w:space="0"/>
              <w:right w:val="single" w:color="auto" w:sz="4" w:space="0"/>
            </w:tcBorders>
            <w:vAlign w:val="center"/>
          </w:tcPr>
          <w:p>
            <w:pPr>
              <w:spacing w:line="240" w:lineRule="exact"/>
              <w:jc w:val="center"/>
              <w:rPr>
                <w:b/>
              </w:rPr>
            </w:pPr>
            <w:r>
              <w:rPr>
                <w:b/>
              </w:rPr>
              <w:t>换乘站点</w:t>
            </w:r>
          </w:p>
        </w:tc>
        <w:tc>
          <w:tcPr>
            <w:tcW w:w="1421" w:type="dxa"/>
            <w:tcBorders>
              <w:top w:val="nil"/>
              <w:left w:val="nil"/>
              <w:bottom w:val="single" w:color="auto" w:sz="4" w:space="0"/>
              <w:right w:val="single" w:color="auto" w:sz="4" w:space="0"/>
            </w:tcBorders>
            <w:vAlign w:val="center"/>
          </w:tcPr>
          <w:p>
            <w:pPr>
              <w:spacing w:line="240" w:lineRule="exact"/>
              <w:jc w:val="center"/>
              <w:rPr>
                <w:lang/>
              </w:rPr>
            </w:pPr>
            <w:r>
              <w:rPr>
                <w:lang/>
              </w:rPr>
              <w:t>1.13</w:t>
            </w:r>
          </w:p>
        </w:tc>
        <w:tc>
          <w:tcPr>
            <w:tcW w:w="1150" w:type="dxa"/>
            <w:tcBorders>
              <w:top w:val="nil"/>
              <w:left w:val="nil"/>
              <w:bottom w:val="single" w:color="auto" w:sz="4" w:space="0"/>
              <w:right w:val="single" w:color="auto" w:sz="4" w:space="0"/>
            </w:tcBorders>
            <w:vAlign w:val="center"/>
          </w:tcPr>
          <w:p>
            <w:pPr>
              <w:spacing w:line="240" w:lineRule="exact"/>
              <w:jc w:val="center"/>
              <w:rPr>
                <w:lang/>
              </w:rPr>
            </w:pPr>
            <w:r>
              <w:rPr>
                <w:lang/>
              </w:rPr>
              <w:t>1.10</w:t>
            </w:r>
          </w:p>
        </w:tc>
        <w:tc>
          <w:tcPr>
            <w:tcW w:w="1326" w:type="dxa"/>
            <w:tcBorders>
              <w:top w:val="nil"/>
              <w:left w:val="nil"/>
              <w:bottom w:val="single" w:color="auto" w:sz="4" w:space="0"/>
              <w:right w:val="single" w:color="auto" w:sz="4" w:space="0"/>
            </w:tcBorders>
            <w:vAlign w:val="center"/>
          </w:tcPr>
          <w:p>
            <w:pPr>
              <w:spacing w:line="240" w:lineRule="exact"/>
              <w:jc w:val="center"/>
              <w:rPr>
                <w:lang/>
              </w:rPr>
            </w:pPr>
            <w:r>
              <w:rPr>
                <w:lang/>
              </w:rPr>
              <w:t>1.08</w:t>
            </w:r>
          </w:p>
        </w:tc>
        <w:tc>
          <w:tcPr>
            <w:tcW w:w="1477" w:type="dxa"/>
            <w:tcBorders>
              <w:top w:val="nil"/>
              <w:left w:val="nil"/>
              <w:bottom w:val="single" w:color="auto" w:sz="4" w:space="0"/>
              <w:right w:val="single" w:color="auto" w:sz="4" w:space="0"/>
            </w:tcBorders>
            <w:vAlign w:val="center"/>
          </w:tcPr>
          <w:p>
            <w:pPr>
              <w:spacing w:line="240" w:lineRule="exact"/>
              <w:jc w:val="center"/>
              <w:rPr>
                <w:lang/>
              </w:rPr>
            </w:pPr>
            <w:r>
              <w:rPr>
                <w:lang/>
              </w:rPr>
              <w:t>1.06</w:t>
            </w:r>
          </w:p>
        </w:tc>
        <w:tc>
          <w:tcPr>
            <w:tcW w:w="1290" w:type="dxa"/>
            <w:tcBorders>
              <w:top w:val="nil"/>
              <w:left w:val="nil"/>
              <w:bottom w:val="single" w:color="auto" w:sz="4" w:space="0"/>
              <w:right w:val="single" w:color="auto" w:sz="4" w:space="0"/>
            </w:tcBorders>
            <w:vAlign w:val="center"/>
          </w:tcPr>
          <w:p>
            <w:pPr>
              <w:spacing w:line="240" w:lineRule="exact"/>
              <w:jc w:val="center"/>
              <w:rPr>
                <w:lang/>
              </w:rPr>
            </w:pPr>
            <w:r>
              <w:rPr>
                <w:lang/>
              </w:rPr>
              <w:t>1.04</w:t>
            </w:r>
          </w:p>
        </w:tc>
        <w:tc>
          <w:tcPr>
            <w:tcW w:w="1055" w:type="dxa"/>
            <w:tcBorders>
              <w:top w:val="nil"/>
              <w:left w:val="nil"/>
              <w:bottom w:val="single" w:color="auto" w:sz="4" w:space="0"/>
              <w:right w:val="single" w:color="auto" w:sz="4" w:space="0"/>
            </w:tcBorders>
            <w:vAlign w:val="center"/>
          </w:tcPr>
          <w:p>
            <w:pPr>
              <w:spacing w:line="240" w:lineRule="exact"/>
              <w:jc w:val="center"/>
              <w:rPr>
                <w:lang/>
              </w:rPr>
            </w:pPr>
            <w:r>
              <w:rPr>
                <w:lang/>
              </w:rPr>
              <w:t>1</w:t>
            </w:r>
          </w:p>
        </w:tc>
      </w:tr>
    </w:tbl>
    <w:p>
      <w:pPr>
        <w:ind w:firstLine="420" w:firstLineChars="200"/>
        <w:rPr>
          <w:szCs w:val="21"/>
        </w:rPr>
      </w:pPr>
      <w:r>
        <w:rPr>
          <w:szCs w:val="21"/>
        </w:rPr>
        <w:t>备注：本表距离指宗地红线距离</w:t>
      </w:r>
      <w:r>
        <w:rPr>
          <w:rFonts w:hint="eastAsia"/>
          <w:szCs w:val="21"/>
        </w:rPr>
        <w:t>轨道交通</w:t>
      </w:r>
      <w:r>
        <w:rPr>
          <w:szCs w:val="21"/>
        </w:rPr>
        <w:t>站点出口的距离。</w:t>
      </w:r>
    </w:p>
    <w:p>
      <w:pPr>
        <w:spacing w:line="360" w:lineRule="auto"/>
        <w:jc w:val="center"/>
        <w:textAlignment w:val="baseline"/>
        <w:outlineLvl w:val="1"/>
        <w:rPr>
          <w:b/>
          <w:bCs/>
          <w:sz w:val="32"/>
        </w:rPr>
      </w:pPr>
      <w:r>
        <w:rPr>
          <w:rFonts w:eastAsia="黑体"/>
          <w:sz w:val="32"/>
        </w:rPr>
        <w:br w:type="page"/>
      </w:r>
      <w:bookmarkStart w:id="834" w:name="_Toc362244286"/>
      <w:bookmarkStart w:id="835" w:name="_Toc22811"/>
      <w:bookmarkStart w:id="836" w:name="_Toc470721365"/>
      <w:bookmarkStart w:id="837" w:name="_Toc469296515"/>
      <w:bookmarkStart w:id="838" w:name="_Toc11354"/>
      <w:bookmarkStart w:id="839" w:name="_Toc467846897"/>
      <w:bookmarkStart w:id="840" w:name="_Toc11583"/>
      <w:bookmarkStart w:id="841" w:name="_Toc8079"/>
      <w:r>
        <w:rPr>
          <w:rFonts w:eastAsia="黑体"/>
          <w:sz w:val="32"/>
        </w:rPr>
        <w:t>第五章　工矿仓储用地修正体系</w:t>
      </w:r>
      <w:bookmarkEnd w:id="834"/>
      <w:bookmarkEnd w:id="835"/>
      <w:bookmarkEnd w:id="836"/>
      <w:bookmarkEnd w:id="837"/>
      <w:bookmarkEnd w:id="838"/>
      <w:bookmarkEnd w:id="839"/>
      <w:bookmarkEnd w:id="840"/>
      <w:bookmarkEnd w:id="841"/>
    </w:p>
    <w:p>
      <w:pPr>
        <w:spacing w:line="360" w:lineRule="auto"/>
        <w:ind w:firstLine="560" w:firstLineChars="200"/>
        <w:outlineLvl w:val="2"/>
        <w:rPr>
          <w:rFonts w:eastAsia="黑体"/>
          <w:sz w:val="28"/>
          <w:szCs w:val="28"/>
        </w:rPr>
      </w:pPr>
      <w:bookmarkStart w:id="842" w:name="_Toc467846898"/>
      <w:bookmarkStart w:id="843" w:name="_Toc27492"/>
      <w:bookmarkStart w:id="844" w:name="_Toc469296516"/>
      <w:bookmarkStart w:id="845" w:name="_Toc1369"/>
      <w:bookmarkStart w:id="846" w:name="_Toc470721366"/>
      <w:r>
        <w:rPr>
          <w:rFonts w:eastAsia="黑体"/>
          <w:sz w:val="28"/>
          <w:szCs w:val="28"/>
        </w:rPr>
        <w:t>一、宗地地价区域因素修正</w:t>
      </w:r>
      <w:bookmarkEnd w:id="842"/>
      <w:bookmarkEnd w:id="843"/>
      <w:bookmarkEnd w:id="844"/>
      <w:bookmarkEnd w:id="845"/>
      <w:bookmarkEnd w:id="846"/>
    </w:p>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表4-5-1  长沙县Ⅰ级工矿仓储用地宗地地价区域因素修正系数表（%）</w:t>
      </w:r>
    </w:p>
    <w:tbl>
      <w:tblPr>
        <w:tblW w:w="9163"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0"/>
        <w:gridCol w:w="2409"/>
        <w:gridCol w:w="830"/>
        <w:gridCol w:w="830"/>
        <w:gridCol w:w="830"/>
        <w:gridCol w:w="830"/>
        <w:gridCol w:w="871"/>
        <w:gridCol w:w="8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700"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2409"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指标层</w:t>
            </w:r>
          </w:p>
        </w:tc>
        <w:tc>
          <w:tcPr>
            <w:tcW w:w="830"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权重</w:t>
            </w:r>
          </w:p>
        </w:tc>
        <w:tc>
          <w:tcPr>
            <w:tcW w:w="830"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优</w:t>
            </w:r>
          </w:p>
        </w:tc>
        <w:tc>
          <w:tcPr>
            <w:tcW w:w="830"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较优</w:t>
            </w:r>
          </w:p>
        </w:tc>
        <w:tc>
          <w:tcPr>
            <w:tcW w:w="830"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一般</w:t>
            </w:r>
          </w:p>
        </w:tc>
        <w:tc>
          <w:tcPr>
            <w:tcW w:w="871"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较劣</w:t>
            </w:r>
          </w:p>
        </w:tc>
        <w:tc>
          <w:tcPr>
            <w:tcW w:w="863"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700"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道路通达度</w:t>
            </w:r>
          </w:p>
        </w:tc>
        <w:tc>
          <w:tcPr>
            <w:tcW w:w="24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临近道路状况</w:t>
            </w:r>
          </w:p>
        </w:tc>
        <w:tc>
          <w:tcPr>
            <w:tcW w:w="830" w:type="dxa"/>
            <w:tcBorders>
              <w:top w:val="single" w:color="auto" w:sz="4" w:space="0"/>
              <w:left w:val="nil"/>
              <w:bottom w:val="single" w:color="auto" w:sz="4" w:space="0"/>
              <w:right w:val="single" w:color="auto" w:sz="4" w:space="0"/>
            </w:tcBorders>
            <w:vAlign w:val="bottom"/>
          </w:tcPr>
          <w:p>
            <w:pPr>
              <w:widowControl/>
              <w:jc w:val="center"/>
              <w:textAlignment w:val="bottom"/>
              <w:rPr>
                <w:color w:val="000000"/>
                <w:szCs w:val="21"/>
              </w:rPr>
            </w:pPr>
            <w:r>
              <w:rPr>
                <w:rFonts w:eastAsia="Tahoma"/>
                <w:color w:val="000000"/>
                <w:kern w:val="0"/>
                <w:sz w:val="20"/>
                <w:lang/>
              </w:rPr>
              <w:t xml:space="preserve">0.1813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2.4312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1.2156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0</w:t>
            </w:r>
          </w:p>
        </w:tc>
        <w:tc>
          <w:tcPr>
            <w:tcW w:w="871"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-1.3434 </w:t>
            </w:r>
          </w:p>
        </w:tc>
        <w:tc>
          <w:tcPr>
            <w:tcW w:w="863"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-2.6869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700"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对外交通便利度</w:t>
            </w:r>
          </w:p>
        </w:tc>
        <w:tc>
          <w:tcPr>
            <w:tcW w:w="24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距最近长途汽车站距离</w:t>
            </w:r>
          </w:p>
        </w:tc>
        <w:tc>
          <w:tcPr>
            <w:tcW w:w="830" w:type="dxa"/>
            <w:tcBorders>
              <w:top w:val="nil"/>
              <w:left w:val="nil"/>
              <w:bottom w:val="single" w:color="auto" w:sz="4" w:space="0"/>
              <w:right w:val="single" w:color="auto" w:sz="4" w:space="0"/>
            </w:tcBorders>
            <w:vAlign w:val="bottom"/>
          </w:tcPr>
          <w:p>
            <w:pPr>
              <w:widowControl/>
              <w:jc w:val="center"/>
              <w:textAlignment w:val="bottom"/>
              <w:rPr>
                <w:color w:val="000000"/>
                <w:szCs w:val="21"/>
              </w:rPr>
            </w:pPr>
            <w:r>
              <w:rPr>
                <w:rFonts w:eastAsia="Tahoma"/>
                <w:color w:val="000000"/>
                <w:kern w:val="0"/>
                <w:sz w:val="20"/>
                <w:lang/>
              </w:rPr>
              <w:t xml:space="preserve">0.0577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0.7738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0.3869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0</w:t>
            </w:r>
          </w:p>
        </w:tc>
        <w:tc>
          <w:tcPr>
            <w:tcW w:w="871"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-0.4276 </w:t>
            </w:r>
          </w:p>
        </w:tc>
        <w:tc>
          <w:tcPr>
            <w:tcW w:w="863"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-0.8551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409" w:type="dxa"/>
            <w:tcBorders>
              <w:top w:val="nil"/>
              <w:left w:val="nil"/>
              <w:bottom w:val="single" w:color="auto" w:sz="4" w:space="0"/>
              <w:right w:val="single" w:color="auto" w:sz="4" w:space="0"/>
            </w:tcBorders>
            <w:vAlign w:val="center"/>
          </w:tcPr>
          <w:p>
            <w:pPr>
              <w:widowControl/>
              <w:shd w:val="clear" w:color="auto" w:fill="FFFFFF"/>
              <w:jc w:val="center"/>
              <w:rPr>
                <w:color w:val="000000"/>
                <w:kern w:val="0"/>
                <w:szCs w:val="21"/>
              </w:rPr>
            </w:pPr>
            <w:r>
              <w:rPr>
                <w:rFonts w:hint="eastAsia" w:cs="宋体"/>
                <w:color w:val="000000"/>
                <w:kern w:val="0"/>
                <w:szCs w:val="21"/>
              </w:rPr>
              <w:t>临高速出入口距离</w:t>
            </w:r>
          </w:p>
        </w:tc>
        <w:tc>
          <w:tcPr>
            <w:tcW w:w="830" w:type="dxa"/>
            <w:tcBorders>
              <w:top w:val="nil"/>
              <w:left w:val="nil"/>
              <w:bottom w:val="single" w:color="auto" w:sz="4" w:space="0"/>
              <w:right w:val="single" w:color="auto" w:sz="4" w:space="0"/>
            </w:tcBorders>
            <w:vAlign w:val="bottom"/>
          </w:tcPr>
          <w:p>
            <w:pPr>
              <w:widowControl/>
              <w:jc w:val="center"/>
              <w:textAlignment w:val="bottom"/>
              <w:rPr>
                <w:color w:val="000000"/>
                <w:szCs w:val="21"/>
              </w:rPr>
            </w:pPr>
            <w:r>
              <w:rPr>
                <w:rFonts w:eastAsia="Tahoma"/>
                <w:color w:val="000000"/>
                <w:kern w:val="0"/>
                <w:sz w:val="20"/>
                <w:lang/>
              </w:rPr>
              <w:t xml:space="preserve">0.0534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0.7161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0.3580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0</w:t>
            </w:r>
          </w:p>
        </w:tc>
        <w:tc>
          <w:tcPr>
            <w:tcW w:w="871"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-0.3957 </w:t>
            </w:r>
          </w:p>
        </w:tc>
        <w:tc>
          <w:tcPr>
            <w:tcW w:w="863"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-0.7914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409" w:type="dxa"/>
            <w:tcBorders>
              <w:top w:val="nil"/>
              <w:left w:val="nil"/>
              <w:bottom w:val="single" w:color="auto" w:sz="4" w:space="0"/>
              <w:right w:val="single" w:color="auto" w:sz="4" w:space="0"/>
            </w:tcBorders>
            <w:vAlign w:val="center"/>
          </w:tcPr>
          <w:p>
            <w:pPr>
              <w:widowControl/>
              <w:shd w:val="clear" w:color="auto" w:fill="FFFFFF"/>
              <w:jc w:val="center"/>
              <w:rPr>
                <w:color w:val="000000"/>
                <w:kern w:val="0"/>
                <w:szCs w:val="21"/>
              </w:rPr>
            </w:pPr>
            <w:r>
              <w:rPr>
                <w:rFonts w:hint="eastAsia" w:cs="宋体"/>
                <w:color w:val="000000"/>
                <w:kern w:val="0"/>
                <w:szCs w:val="21"/>
              </w:rPr>
              <w:t>临机场距离</w:t>
            </w:r>
          </w:p>
        </w:tc>
        <w:tc>
          <w:tcPr>
            <w:tcW w:w="830" w:type="dxa"/>
            <w:tcBorders>
              <w:top w:val="nil"/>
              <w:left w:val="nil"/>
              <w:bottom w:val="single" w:color="auto" w:sz="4" w:space="0"/>
              <w:right w:val="single" w:color="auto" w:sz="4" w:space="0"/>
            </w:tcBorders>
            <w:vAlign w:val="bottom"/>
          </w:tcPr>
          <w:p>
            <w:pPr>
              <w:widowControl/>
              <w:jc w:val="center"/>
              <w:textAlignment w:val="bottom"/>
              <w:rPr>
                <w:color w:val="000000"/>
                <w:szCs w:val="21"/>
              </w:rPr>
            </w:pPr>
            <w:r>
              <w:rPr>
                <w:rFonts w:eastAsia="Tahoma"/>
                <w:color w:val="000000"/>
                <w:kern w:val="0"/>
                <w:sz w:val="20"/>
                <w:lang/>
              </w:rPr>
              <w:t xml:space="preserve">0.0324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0.4345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0.2172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0</w:t>
            </w:r>
          </w:p>
        </w:tc>
        <w:tc>
          <w:tcPr>
            <w:tcW w:w="871"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-0.2401 </w:t>
            </w:r>
          </w:p>
        </w:tc>
        <w:tc>
          <w:tcPr>
            <w:tcW w:w="863"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-0.4802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700"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基础设施完善度</w:t>
            </w:r>
          </w:p>
        </w:tc>
        <w:tc>
          <w:tcPr>
            <w:tcW w:w="24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排水状况</w:t>
            </w:r>
          </w:p>
        </w:tc>
        <w:tc>
          <w:tcPr>
            <w:tcW w:w="830" w:type="dxa"/>
            <w:tcBorders>
              <w:top w:val="nil"/>
              <w:left w:val="nil"/>
              <w:bottom w:val="single" w:color="auto" w:sz="4" w:space="0"/>
              <w:right w:val="single" w:color="auto" w:sz="4" w:space="0"/>
            </w:tcBorders>
            <w:vAlign w:val="bottom"/>
          </w:tcPr>
          <w:p>
            <w:pPr>
              <w:widowControl/>
              <w:jc w:val="center"/>
              <w:textAlignment w:val="bottom"/>
              <w:rPr>
                <w:color w:val="000000"/>
                <w:szCs w:val="21"/>
              </w:rPr>
            </w:pPr>
            <w:r>
              <w:rPr>
                <w:rFonts w:eastAsia="Tahoma"/>
                <w:color w:val="000000"/>
                <w:kern w:val="0"/>
                <w:sz w:val="20"/>
                <w:lang/>
              </w:rPr>
              <w:t xml:space="preserve">0.0706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0.9467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0.4734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0</w:t>
            </w:r>
          </w:p>
        </w:tc>
        <w:tc>
          <w:tcPr>
            <w:tcW w:w="871"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-0.5231 </w:t>
            </w:r>
          </w:p>
        </w:tc>
        <w:tc>
          <w:tcPr>
            <w:tcW w:w="863"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-1.0463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4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供水状况</w:t>
            </w:r>
          </w:p>
        </w:tc>
        <w:tc>
          <w:tcPr>
            <w:tcW w:w="830" w:type="dxa"/>
            <w:tcBorders>
              <w:top w:val="nil"/>
              <w:left w:val="nil"/>
              <w:bottom w:val="single" w:color="auto" w:sz="4" w:space="0"/>
              <w:right w:val="single" w:color="auto" w:sz="4" w:space="0"/>
            </w:tcBorders>
            <w:vAlign w:val="bottom"/>
          </w:tcPr>
          <w:p>
            <w:pPr>
              <w:widowControl/>
              <w:jc w:val="center"/>
              <w:textAlignment w:val="bottom"/>
              <w:rPr>
                <w:color w:val="000000"/>
                <w:szCs w:val="21"/>
              </w:rPr>
            </w:pPr>
            <w:r>
              <w:rPr>
                <w:rFonts w:eastAsia="Tahoma"/>
                <w:color w:val="000000"/>
                <w:kern w:val="0"/>
                <w:sz w:val="20"/>
                <w:lang/>
              </w:rPr>
              <w:t xml:space="preserve">0.0706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0.9467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0.4734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0</w:t>
            </w:r>
          </w:p>
        </w:tc>
        <w:tc>
          <w:tcPr>
            <w:tcW w:w="871"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-0.5231 </w:t>
            </w:r>
          </w:p>
        </w:tc>
        <w:tc>
          <w:tcPr>
            <w:tcW w:w="863"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-1.0463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4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供电状况</w:t>
            </w:r>
          </w:p>
        </w:tc>
        <w:tc>
          <w:tcPr>
            <w:tcW w:w="830" w:type="dxa"/>
            <w:tcBorders>
              <w:top w:val="nil"/>
              <w:left w:val="nil"/>
              <w:bottom w:val="single" w:color="auto" w:sz="4" w:space="0"/>
              <w:right w:val="single" w:color="auto" w:sz="4" w:space="0"/>
            </w:tcBorders>
            <w:vAlign w:val="bottom"/>
          </w:tcPr>
          <w:p>
            <w:pPr>
              <w:widowControl/>
              <w:jc w:val="center"/>
              <w:textAlignment w:val="bottom"/>
              <w:rPr>
                <w:color w:val="000000"/>
                <w:szCs w:val="21"/>
              </w:rPr>
            </w:pPr>
            <w:r>
              <w:rPr>
                <w:rFonts w:eastAsia="Tahoma"/>
                <w:color w:val="000000"/>
                <w:kern w:val="0"/>
                <w:sz w:val="20"/>
                <w:lang/>
              </w:rPr>
              <w:t xml:space="preserve">0.0706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0.9467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0.4734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0</w:t>
            </w:r>
          </w:p>
        </w:tc>
        <w:tc>
          <w:tcPr>
            <w:tcW w:w="871"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-0.5231 </w:t>
            </w:r>
          </w:p>
        </w:tc>
        <w:tc>
          <w:tcPr>
            <w:tcW w:w="863"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-1.0463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4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供气状况</w:t>
            </w:r>
          </w:p>
        </w:tc>
        <w:tc>
          <w:tcPr>
            <w:tcW w:w="830" w:type="dxa"/>
            <w:tcBorders>
              <w:top w:val="nil"/>
              <w:left w:val="nil"/>
              <w:bottom w:val="single" w:color="auto" w:sz="4" w:space="0"/>
              <w:right w:val="single" w:color="auto" w:sz="4" w:space="0"/>
            </w:tcBorders>
            <w:vAlign w:val="bottom"/>
          </w:tcPr>
          <w:p>
            <w:pPr>
              <w:widowControl/>
              <w:jc w:val="center"/>
              <w:textAlignment w:val="bottom"/>
              <w:rPr>
                <w:color w:val="000000"/>
                <w:szCs w:val="21"/>
              </w:rPr>
            </w:pPr>
            <w:r>
              <w:rPr>
                <w:rFonts w:eastAsia="Tahoma"/>
                <w:color w:val="000000"/>
                <w:kern w:val="0"/>
                <w:sz w:val="20"/>
                <w:lang/>
              </w:rPr>
              <w:t xml:space="preserve">0.0706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0.9467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0.4734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0</w:t>
            </w:r>
          </w:p>
        </w:tc>
        <w:tc>
          <w:tcPr>
            <w:tcW w:w="871"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-0.5231 </w:t>
            </w:r>
          </w:p>
        </w:tc>
        <w:tc>
          <w:tcPr>
            <w:tcW w:w="863"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-1.0463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700"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自然条件优劣度</w:t>
            </w:r>
          </w:p>
        </w:tc>
        <w:tc>
          <w:tcPr>
            <w:tcW w:w="24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地质状况</w:t>
            </w:r>
          </w:p>
        </w:tc>
        <w:tc>
          <w:tcPr>
            <w:tcW w:w="830" w:type="dxa"/>
            <w:tcBorders>
              <w:top w:val="nil"/>
              <w:left w:val="nil"/>
              <w:bottom w:val="single" w:color="auto" w:sz="4" w:space="0"/>
              <w:right w:val="single" w:color="auto" w:sz="4" w:space="0"/>
            </w:tcBorders>
            <w:vAlign w:val="bottom"/>
          </w:tcPr>
          <w:p>
            <w:pPr>
              <w:widowControl/>
              <w:jc w:val="center"/>
              <w:textAlignment w:val="bottom"/>
              <w:rPr>
                <w:color w:val="000000"/>
                <w:szCs w:val="21"/>
              </w:rPr>
            </w:pPr>
            <w:r>
              <w:rPr>
                <w:rFonts w:eastAsia="Tahoma"/>
                <w:color w:val="000000"/>
                <w:kern w:val="0"/>
                <w:sz w:val="20"/>
                <w:lang/>
              </w:rPr>
              <w:t xml:space="preserve">0.0667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0.8944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0.4472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0</w:t>
            </w:r>
          </w:p>
        </w:tc>
        <w:tc>
          <w:tcPr>
            <w:tcW w:w="871"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-0.4942 </w:t>
            </w:r>
          </w:p>
        </w:tc>
        <w:tc>
          <w:tcPr>
            <w:tcW w:w="863"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-0.9885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4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洪水淹没状况</w:t>
            </w:r>
          </w:p>
        </w:tc>
        <w:tc>
          <w:tcPr>
            <w:tcW w:w="830" w:type="dxa"/>
            <w:tcBorders>
              <w:top w:val="nil"/>
              <w:left w:val="nil"/>
              <w:bottom w:val="single" w:color="auto" w:sz="4" w:space="0"/>
              <w:right w:val="single" w:color="auto" w:sz="4" w:space="0"/>
            </w:tcBorders>
            <w:vAlign w:val="bottom"/>
          </w:tcPr>
          <w:p>
            <w:pPr>
              <w:widowControl/>
              <w:jc w:val="center"/>
              <w:textAlignment w:val="bottom"/>
              <w:rPr>
                <w:color w:val="000000"/>
                <w:szCs w:val="21"/>
              </w:rPr>
            </w:pPr>
            <w:r>
              <w:rPr>
                <w:rFonts w:eastAsia="Tahoma"/>
                <w:color w:val="000000"/>
                <w:kern w:val="0"/>
                <w:sz w:val="20"/>
                <w:lang/>
              </w:rPr>
              <w:t xml:space="preserve">0.0674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0.9038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0.4519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0</w:t>
            </w:r>
          </w:p>
        </w:tc>
        <w:tc>
          <w:tcPr>
            <w:tcW w:w="871"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-0.4994 </w:t>
            </w:r>
          </w:p>
        </w:tc>
        <w:tc>
          <w:tcPr>
            <w:tcW w:w="863"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-0.9989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700"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产业集聚影响度</w:t>
            </w:r>
          </w:p>
        </w:tc>
        <w:tc>
          <w:tcPr>
            <w:tcW w:w="24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产业集聚影响度</w:t>
            </w:r>
          </w:p>
        </w:tc>
        <w:tc>
          <w:tcPr>
            <w:tcW w:w="830" w:type="dxa"/>
            <w:tcBorders>
              <w:top w:val="nil"/>
              <w:left w:val="nil"/>
              <w:bottom w:val="single" w:color="auto" w:sz="4" w:space="0"/>
              <w:right w:val="single" w:color="auto" w:sz="4" w:space="0"/>
            </w:tcBorders>
            <w:vAlign w:val="bottom"/>
          </w:tcPr>
          <w:p>
            <w:pPr>
              <w:widowControl/>
              <w:jc w:val="center"/>
              <w:textAlignment w:val="bottom"/>
              <w:rPr>
                <w:color w:val="000000"/>
                <w:szCs w:val="21"/>
              </w:rPr>
            </w:pPr>
            <w:r>
              <w:rPr>
                <w:rFonts w:eastAsia="Tahoma"/>
                <w:color w:val="000000"/>
                <w:kern w:val="0"/>
                <w:sz w:val="20"/>
                <w:lang/>
              </w:rPr>
              <w:t xml:space="preserve">0.1547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2.0745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1.0373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0</w:t>
            </w:r>
          </w:p>
        </w:tc>
        <w:tc>
          <w:tcPr>
            <w:tcW w:w="871"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-1.1463 </w:t>
            </w:r>
          </w:p>
        </w:tc>
        <w:tc>
          <w:tcPr>
            <w:tcW w:w="863"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-2.2927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700"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城市规划</w:t>
            </w:r>
          </w:p>
        </w:tc>
        <w:tc>
          <w:tcPr>
            <w:tcW w:w="24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用地规划</w:t>
            </w:r>
          </w:p>
        </w:tc>
        <w:tc>
          <w:tcPr>
            <w:tcW w:w="830" w:type="dxa"/>
            <w:tcBorders>
              <w:top w:val="nil"/>
              <w:left w:val="nil"/>
              <w:bottom w:val="single" w:color="auto" w:sz="4" w:space="0"/>
              <w:right w:val="single" w:color="auto" w:sz="4" w:space="0"/>
            </w:tcBorders>
            <w:vAlign w:val="bottom"/>
          </w:tcPr>
          <w:p>
            <w:pPr>
              <w:widowControl/>
              <w:jc w:val="center"/>
              <w:textAlignment w:val="bottom"/>
              <w:rPr>
                <w:color w:val="000000"/>
                <w:szCs w:val="21"/>
              </w:rPr>
            </w:pPr>
            <w:r>
              <w:rPr>
                <w:rFonts w:eastAsia="Tahoma"/>
                <w:color w:val="000000"/>
                <w:kern w:val="0"/>
                <w:sz w:val="20"/>
                <w:lang/>
              </w:rPr>
              <w:t xml:space="preserve">0.0611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0.8194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0.4097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0</w:t>
            </w:r>
          </w:p>
        </w:tc>
        <w:tc>
          <w:tcPr>
            <w:tcW w:w="871"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-0.4528 </w:t>
            </w:r>
          </w:p>
        </w:tc>
        <w:tc>
          <w:tcPr>
            <w:tcW w:w="863"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-0.9055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409"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道路规划</w:t>
            </w:r>
          </w:p>
        </w:tc>
        <w:tc>
          <w:tcPr>
            <w:tcW w:w="830" w:type="dxa"/>
            <w:tcBorders>
              <w:top w:val="nil"/>
              <w:left w:val="nil"/>
              <w:bottom w:val="single" w:color="auto" w:sz="4" w:space="0"/>
              <w:right w:val="single" w:color="auto" w:sz="4" w:space="0"/>
            </w:tcBorders>
            <w:vAlign w:val="bottom"/>
          </w:tcPr>
          <w:p>
            <w:pPr>
              <w:widowControl/>
              <w:jc w:val="center"/>
              <w:textAlignment w:val="bottom"/>
              <w:rPr>
                <w:color w:val="000000"/>
                <w:szCs w:val="21"/>
              </w:rPr>
            </w:pPr>
            <w:r>
              <w:rPr>
                <w:rFonts w:eastAsia="Tahoma"/>
                <w:color w:val="000000"/>
                <w:kern w:val="0"/>
                <w:sz w:val="20"/>
                <w:lang/>
              </w:rPr>
              <w:t xml:space="preserve">0.0429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0.5753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0.2876 </w:t>
            </w:r>
          </w:p>
        </w:tc>
        <w:tc>
          <w:tcPr>
            <w:tcW w:w="830"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0</w:t>
            </w:r>
          </w:p>
        </w:tc>
        <w:tc>
          <w:tcPr>
            <w:tcW w:w="871" w:type="dxa"/>
            <w:tcBorders>
              <w:top w:val="nil"/>
              <w:left w:val="nil"/>
              <w:bottom w:val="single" w:color="auto" w:sz="4" w:space="0"/>
              <w:right w:val="single" w:color="auto" w:sz="4" w:space="0"/>
            </w:tcBorders>
            <w:vAlign w:val="bottom"/>
          </w:tcPr>
          <w:p>
            <w:pPr>
              <w:widowControl/>
              <w:jc w:val="center"/>
              <w:textAlignment w:val="bottom"/>
              <w:rPr>
                <w:kern w:val="0"/>
                <w:sz w:val="20"/>
              </w:rPr>
            </w:pPr>
            <w:r>
              <w:rPr>
                <w:rFonts w:eastAsia="Tahoma"/>
                <w:color w:val="000000"/>
                <w:kern w:val="0"/>
                <w:sz w:val="20"/>
                <w:lang/>
              </w:rPr>
              <w:t xml:space="preserve">-0.3179 </w:t>
            </w:r>
          </w:p>
        </w:tc>
        <w:tc>
          <w:tcPr>
            <w:tcW w:w="863" w:type="dxa"/>
            <w:tcBorders>
              <w:top w:val="nil"/>
              <w:left w:val="nil"/>
              <w:bottom w:val="single" w:color="auto" w:sz="4" w:space="0"/>
              <w:right w:val="single" w:color="auto" w:sz="4" w:space="0"/>
            </w:tcBorders>
            <w:vAlign w:val="bottom"/>
          </w:tcPr>
          <w:p>
            <w:pPr>
              <w:widowControl/>
              <w:jc w:val="center"/>
              <w:textAlignment w:val="bottom"/>
              <w:rPr>
                <w:kern w:val="0"/>
                <w:szCs w:val="21"/>
              </w:rPr>
            </w:pPr>
            <w:r>
              <w:rPr>
                <w:rFonts w:eastAsia="Tahoma"/>
                <w:color w:val="000000"/>
                <w:kern w:val="0"/>
                <w:sz w:val="20"/>
                <w:lang/>
              </w:rPr>
              <w:t xml:space="preserve">-0.6358 </w:t>
            </w:r>
          </w:p>
        </w:tc>
      </w:tr>
    </w:tbl>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表4-5-2  长沙县Ⅰ级工矿仓储用地宗地地价区域因素修正系数指标说明表</w:t>
      </w:r>
    </w:p>
    <w:tbl>
      <w:tblPr>
        <w:tblW w:w="9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937"/>
        <w:gridCol w:w="1493"/>
        <w:gridCol w:w="868"/>
        <w:gridCol w:w="1371"/>
        <w:gridCol w:w="1371"/>
        <w:gridCol w:w="1371"/>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81" w:type="dxa"/>
            <w:vAlign w:val="center"/>
          </w:tcPr>
          <w:p>
            <w:pPr>
              <w:widowControl/>
              <w:jc w:val="center"/>
              <w:rPr>
                <w:b/>
                <w:bCs/>
                <w:color w:val="000000"/>
                <w:kern w:val="0"/>
                <w:szCs w:val="21"/>
              </w:rPr>
            </w:pPr>
            <w:r>
              <w:rPr>
                <w:b/>
                <w:bCs/>
                <w:color w:val="000000"/>
                <w:kern w:val="0"/>
                <w:szCs w:val="21"/>
              </w:rPr>
              <w:t>因素层</w:t>
            </w:r>
          </w:p>
        </w:tc>
        <w:tc>
          <w:tcPr>
            <w:tcW w:w="937" w:type="dxa"/>
            <w:vAlign w:val="center"/>
          </w:tcPr>
          <w:p>
            <w:pPr>
              <w:widowControl/>
              <w:jc w:val="center"/>
              <w:rPr>
                <w:b/>
                <w:bCs/>
                <w:color w:val="000000"/>
                <w:kern w:val="0"/>
                <w:szCs w:val="21"/>
              </w:rPr>
            </w:pPr>
            <w:r>
              <w:rPr>
                <w:b/>
                <w:bCs/>
                <w:color w:val="000000"/>
                <w:kern w:val="0"/>
                <w:szCs w:val="21"/>
              </w:rPr>
              <w:t>因子层</w:t>
            </w:r>
          </w:p>
        </w:tc>
        <w:tc>
          <w:tcPr>
            <w:tcW w:w="1493" w:type="dxa"/>
            <w:vAlign w:val="center"/>
          </w:tcPr>
          <w:p>
            <w:pPr>
              <w:widowControl/>
              <w:jc w:val="center"/>
              <w:rPr>
                <w:b/>
                <w:bCs/>
                <w:color w:val="000000"/>
                <w:kern w:val="0"/>
                <w:szCs w:val="21"/>
              </w:rPr>
            </w:pPr>
            <w:r>
              <w:rPr>
                <w:b/>
                <w:bCs/>
                <w:color w:val="000000"/>
                <w:kern w:val="0"/>
                <w:szCs w:val="21"/>
              </w:rPr>
              <w:t>指标层</w:t>
            </w:r>
          </w:p>
        </w:tc>
        <w:tc>
          <w:tcPr>
            <w:tcW w:w="868" w:type="dxa"/>
            <w:vAlign w:val="center"/>
          </w:tcPr>
          <w:p>
            <w:pPr>
              <w:widowControl/>
              <w:jc w:val="center"/>
              <w:rPr>
                <w:b/>
                <w:bCs/>
                <w:color w:val="000000"/>
                <w:kern w:val="0"/>
                <w:szCs w:val="21"/>
              </w:rPr>
            </w:pPr>
            <w:r>
              <w:rPr>
                <w:b/>
                <w:bCs/>
                <w:color w:val="000000"/>
                <w:kern w:val="0"/>
                <w:szCs w:val="21"/>
              </w:rPr>
              <w:t>优</w:t>
            </w:r>
          </w:p>
        </w:tc>
        <w:tc>
          <w:tcPr>
            <w:tcW w:w="1371" w:type="dxa"/>
            <w:vAlign w:val="center"/>
          </w:tcPr>
          <w:p>
            <w:pPr>
              <w:widowControl/>
              <w:jc w:val="center"/>
              <w:rPr>
                <w:b/>
                <w:bCs/>
                <w:color w:val="000000"/>
                <w:kern w:val="0"/>
                <w:szCs w:val="21"/>
              </w:rPr>
            </w:pPr>
            <w:r>
              <w:rPr>
                <w:b/>
                <w:bCs/>
                <w:color w:val="000000"/>
                <w:kern w:val="0"/>
                <w:szCs w:val="21"/>
              </w:rPr>
              <w:t>较优</w:t>
            </w:r>
          </w:p>
        </w:tc>
        <w:tc>
          <w:tcPr>
            <w:tcW w:w="1371" w:type="dxa"/>
            <w:vAlign w:val="center"/>
          </w:tcPr>
          <w:p>
            <w:pPr>
              <w:widowControl/>
              <w:jc w:val="center"/>
              <w:rPr>
                <w:b/>
                <w:bCs/>
                <w:color w:val="000000"/>
                <w:kern w:val="0"/>
                <w:szCs w:val="21"/>
              </w:rPr>
            </w:pPr>
            <w:r>
              <w:rPr>
                <w:b/>
                <w:bCs/>
                <w:color w:val="000000"/>
                <w:kern w:val="0"/>
                <w:szCs w:val="21"/>
              </w:rPr>
              <w:t>一般</w:t>
            </w:r>
          </w:p>
        </w:tc>
        <w:tc>
          <w:tcPr>
            <w:tcW w:w="1371" w:type="dxa"/>
            <w:vAlign w:val="center"/>
          </w:tcPr>
          <w:p>
            <w:pPr>
              <w:widowControl/>
              <w:jc w:val="center"/>
              <w:rPr>
                <w:b/>
                <w:bCs/>
                <w:color w:val="000000"/>
                <w:kern w:val="0"/>
                <w:szCs w:val="21"/>
              </w:rPr>
            </w:pPr>
            <w:r>
              <w:rPr>
                <w:b/>
                <w:bCs/>
                <w:color w:val="000000"/>
                <w:kern w:val="0"/>
                <w:szCs w:val="21"/>
              </w:rPr>
              <w:t>较劣</w:t>
            </w:r>
          </w:p>
        </w:tc>
        <w:tc>
          <w:tcPr>
            <w:tcW w:w="869" w:type="dxa"/>
            <w:vAlign w:val="center"/>
          </w:tcPr>
          <w:p>
            <w:pPr>
              <w:widowControl/>
              <w:jc w:val="center"/>
              <w:rPr>
                <w:b/>
                <w:bCs/>
                <w:color w:val="000000"/>
                <w:kern w:val="0"/>
                <w:szCs w:val="21"/>
              </w:rPr>
            </w:pPr>
            <w:r>
              <w:rPr>
                <w:b/>
                <w:bCs/>
                <w:color w:val="000000"/>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81" w:type="dxa"/>
            <w:vMerge w:val="restart"/>
            <w:vAlign w:val="center"/>
          </w:tcPr>
          <w:p>
            <w:pPr>
              <w:widowControl/>
              <w:jc w:val="center"/>
              <w:rPr>
                <w:color w:val="000000"/>
                <w:kern w:val="0"/>
                <w:szCs w:val="21"/>
              </w:rPr>
            </w:pPr>
            <w:r>
              <w:rPr>
                <w:color w:val="000000"/>
                <w:kern w:val="0"/>
                <w:szCs w:val="21"/>
              </w:rPr>
              <w:t>交通条件</w:t>
            </w:r>
          </w:p>
        </w:tc>
        <w:tc>
          <w:tcPr>
            <w:tcW w:w="937" w:type="dxa"/>
            <w:vAlign w:val="center"/>
          </w:tcPr>
          <w:p>
            <w:pPr>
              <w:widowControl/>
              <w:jc w:val="center"/>
              <w:rPr>
                <w:color w:val="000000"/>
                <w:kern w:val="0"/>
                <w:szCs w:val="21"/>
              </w:rPr>
            </w:pPr>
            <w:r>
              <w:rPr>
                <w:color w:val="000000"/>
                <w:kern w:val="0"/>
                <w:szCs w:val="21"/>
              </w:rPr>
              <w:t>道路通达度</w:t>
            </w:r>
          </w:p>
        </w:tc>
        <w:tc>
          <w:tcPr>
            <w:tcW w:w="1493" w:type="dxa"/>
            <w:vAlign w:val="center"/>
          </w:tcPr>
          <w:p>
            <w:pPr>
              <w:widowControl/>
              <w:jc w:val="center"/>
              <w:rPr>
                <w:color w:val="000000"/>
                <w:kern w:val="0"/>
                <w:szCs w:val="21"/>
              </w:rPr>
            </w:pPr>
            <w:r>
              <w:rPr>
                <w:color w:val="000000"/>
                <w:kern w:val="0"/>
                <w:szCs w:val="21"/>
              </w:rPr>
              <w:t>临近道路状况</w:t>
            </w:r>
          </w:p>
        </w:tc>
        <w:tc>
          <w:tcPr>
            <w:tcW w:w="868" w:type="dxa"/>
            <w:vAlign w:val="center"/>
          </w:tcPr>
          <w:p>
            <w:pPr>
              <w:widowControl/>
              <w:jc w:val="center"/>
              <w:rPr>
                <w:kern w:val="0"/>
                <w:szCs w:val="21"/>
              </w:rPr>
            </w:pPr>
            <w:r>
              <w:rPr>
                <w:kern w:val="0"/>
                <w:szCs w:val="21"/>
              </w:rPr>
              <w:t>临繁华主干道</w:t>
            </w:r>
          </w:p>
        </w:tc>
        <w:tc>
          <w:tcPr>
            <w:tcW w:w="1371" w:type="dxa"/>
            <w:vAlign w:val="center"/>
          </w:tcPr>
          <w:p>
            <w:pPr>
              <w:widowControl/>
              <w:jc w:val="center"/>
              <w:rPr>
                <w:kern w:val="0"/>
                <w:szCs w:val="21"/>
              </w:rPr>
            </w:pPr>
            <w:r>
              <w:rPr>
                <w:kern w:val="0"/>
                <w:szCs w:val="21"/>
              </w:rPr>
              <w:t>临主干道</w:t>
            </w:r>
          </w:p>
        </w:tc>
        <w:tc>
          <w:tcPr>
            <w:tcW w:w="1371" w:type="dxa"/>
            <w:vAlign w:val="center"/>
          </w:tcPr>
          <w:p>
            <w:pPr>
              <w:widowControl/>
              <w:jc w:val="center"/>
              <w:rPr>
                <w:kern w:val="0"/>
                <w:szCs w:val="21"/>
              </w:rPr>
            </w:pPr>
            <w:r>
              <w:rPr>
                <w:kern w:val="0"/>
                <w:szCs w:val="21"/>
              </w:rPr>
              <w:t>临繁华次干道</w:t>
            </w:r>
          </w:p>
        </w:tc>
        <w:tc>
          <w:tcPr>
            <w:tcW w:w="1371" w:type="dxa"/>
            <w:vAlign w:val="center"/>
          </w:tcPr>
          <w:p>
            <w:pPr>
              <w:widowControl/>
              <w:jc w:val="center"/>
              <w:rPr>
                <w:kern w:val="0"/>
                <w:szCs w:val="21"/>
              </w:rPr>
            </w:pPr>
            <w:r>
              <w:rPr>
                <w:kern w:val="0"/>
                <w:szCs w:val="21"/>
              </w:rPr>
              <w:t>临次干道</w:t>
            </w:r>
          </w:p>
        </w:tc>
        <w:tc>
          <w:tcPr>
            <w:tcW w:w="869" w:type="dxa"/>
            <w:vAlign w:val="center"/>
          </w:tcPr>
          <w:p>
            <w:pPr>
              <w:widowControl/>
              <w:jc w:val="center"/>
              <w:rPr>
                <w:kern w:val="0"/>
                <w:szCs w:val="21"/>
              </w:rPr>
            </w:pPr>
            <w:r>
              <w:rPr>
                <w:kern w:val="0"/>
                <w:szCs w:val="21"/>
              </w:rPr>
              <w:t>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81" w:type="dxa"/>
            <w:vMerge w:val="continue"/>
            <w:vAlign w:val="center"/>
          </w:tcPr>
          <w:p>
            <w:pPr>
              <w:widowControl/>
              <w:jc w:val="left"/>
              <w:rPr>
                <w:color w:val="000000"/>
                <w:kern w:val="0"/>
                <w:szCs w:val="21"/>
              </w:rPr>
            </w:pPr>
          </w:p>
        </w:tc>
        <w:tc>
          <w:tcPr>
            <w:tcW w:w="937" w:type="dxa"/>
            <w:vMerge w:val="restart"/>
            <w:vAlign w:val="center"/>
          </w:tcPr>
          <w:p>
            <w:pPr>
              <w:widowControl/>
              <w:jc w:val="center"/>
              <w:rPr>
                <w:color w:val="000000"/>
                <w:kern w:val="0"/>
                <w:szCs w:val="21"/>
              </w:rPr>
            </w:pPr>
            <w:r>
              <w:rPr>
                <w:color w:val="000000"/>
                <w:kern w:val="0"/>
                <w:szCs w:val="21"/>
              </w:rPr>
              <w:t>对外交通便利度</w:t>
            </w:r>
          </w:p>
        </w:tc>
        <w:tc>
          <w:tcPr>
            <w:tcW w:w="1493" w:type="dxa"/>
            <w:vAlign w:val="center"/>
          </w:tcPr>
          <w:p>
            <w:pPr>
              <w:widowControl/>
              <w:jc w:val="center"/>
              <w:rPr>
                <w:color w:val="000000"/>
                <w:kern w:val="0"/>
                <w:szCs w:val="21"/>
              </w:rPr>
            </w:pPr>
            <w:r>
              <w:rPr>
                <w:color w:val="000000"/>
                <w:kern w:val="0"/>
                <w:szCs w:val="21"/>
              </w:rPr>
              <w:t>距最近长途汽车站距离</w:t>
            </w:r>
            <w:r>
              <w:rPr>
                <w:rFonts w:hint="eastAsia"/>
                <w:color w:val="000000"/>
                <w:kern w:val="0"/>
                <w:szCs w:val="21"/>
              </w:rPr>
              <w:t>（m）</w:t>
            </w:r>
          </w:p>
        </w:tc>
        <w:tc>
          <w:tcPr>
            <w:tcW w:w="868" w:type="dxa"/>
            <w:vAlign w:val="center"/>
          </w:tcPr>
          <w:p>
            <w:pPr>
              <w:widowControl/>
              <w:jc w:val="center"/>
              <w:rPr>
                <w:color w:val="000000"/>
                <w:kern w:val="0"/>
                <w:szCs w:val="21"/>
              </w:rPr>
            </w:pPr>
            <w:r>
              <w:rPr>
                <w:color w:val="000000"/>
                <w:kern w:val="0"/>
                <w:szCs w:val="21"/>
              </w:rPr>
              <w:t>&lt;300</w:t>
            </w:r>
          </w:p>
        </w:tc>
        <w:tc>
          <w:tcPr>
            <w:tcW w:w="1371" w:type="dxa"/>
            <w:vAlign w:val="center"/>
          </w:tcPr>
          <w:p>
            <w:pPr>
              <w:widowControl/>
              <w:jc w:val="center"/>
              <w:rPr>
                <w:color w:val="000000"/>
                <w:kern w:val="0"/>
                <w:szCs w:val="21"/>
              </w:rPr>
            </w:pPr>
            <w:r>
              <w:rPr>
                <w:color w:val="000000"/>
                <w:kern w:val="0"/>
                <w:szCs w:val="21"/>
              </w:rPr>
              <w:t>300-2100</w:t>
            </w:r>
          </w:p>
        </w:tc>
        <w:tc>
          <w:tcPr>
            <w:tcW w:w="1371" w:type="dxa"/>
            <w:vAlign w:val="center"/>
          </w:tcPr>
          <w:p>
            <w:pPr>
              <w:widowControl/>
              <w:jc w:val="center"/>
              <w:rPr>
                <w:color w:val="000000"/>
                <w:kern w:val="0"/>
                <w:szCs w:val="21"/>
              </w:rPr>
            </w:pPr>
            <w:r>
              <w:rPr>
                <w:color w:val="000000"/>
                <w:kern w:val="0"/>
                <w:szCs w:val="21"/>
              </w:rPr>
              <w:t>2100-3900</w:t>
            </w:r>
          </w:p>
        </w:tc>
        <w:tc>
          <w:tcPr>
            <w:tcW w:w="1371" w:type="dxa"/>
            <w:vAlign w:val="center"/>
          </w:tcPr>
          <w:p>
            <w:pPr>
              <w:widowControl/>
              <w:jc w:val="center"/>
              <w:rPr>
                <w:color w:val="000000"/>
                <w:kern w:val="0"/>
                <w:szCs w:val="21"/>
              </w:rPr>
            </w:pPr>
            <w:r>
              <w:rPr>
                <w:color w:val="000000"/>
                <w:kern w:val="0"/>
                <w:szCs w:val="21"/>
              </w:rPr>
              <w:t>3900-5700</w:t>
            </w:r>
          </w:p>
        </w:tc>
        <w:tc>
          <w:tcPr>
            <w:tcW w:w="869" w:type="dxa"/>
            <w:vAlign w:val="center"/>
          </w:tcPr>
          <w:p>
            <w:pPr>
              <w:widowControl/>
              <w:jc w:val="center"/>
              <w:rPr>
                <w:color w:val="000000"/>
                <w:kern w:val="0"/>
                <w:szCs w:val="21"/>
              </w:rPr>
            </w:pPr>
            <w:r>
              <w:rPr>
                <w:color w:val="000000"/>
                <w:kern w:val="0"/>
                <w:szCs w:val="21"/>
              </w:rPr>
              <w:t>&lt;5700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81" w:type="dxa"/>
            <w:vMerge w:val="continue"/>
            <w:vAlign w:val="center"/>
          </w:tcPr>
          <w:p>
            <w:pPr>
              <w:widowControl/>
              <w:jc w:val="left"/>
              <w:rPr>
                <w:color w:val="000000"/>
                <w:kern w:val="0"/>
                <w:szCs w:val="21"/>
              </w:rPr>
            </w:pPr>
          </w:p>
        </w:tc>
        <w:tc>
          <w:tcPr>
            <w:tcW w:w="937" w:type="dxa"/>
            <w:vMerge w:val="continue"/>
            <w:vAlign w:val="center"/>
          </w:tcPr>
          <w:p>
            <w:pPr>
              <w:widowControl/>
              <w:jc w:val="left"/>
              <w:rPr>
                <w:color w:val="000000"/>
                <w:kern w:val="0"/>
                <w:szCs w:val="21"/>
              </w:rPr>
            </w:pPr>
          </w:p>
        </w:tc>
        <w:tc>
          <w:tcPr>
            <w:tcW w:w="1493" w:type="dxa"/>
            <w:vAlign w:val="center"/>
          </w:tcPr>
          <w:p>
            <w:pPr>
              <w:widowControl/>
              <w:shd w:val="clear" w:color="auto" w:fill="FFFFFF"/>
              <w:jc w:val="center"/>
              <w:rPr>
                <w:color w:val="000000"/>
                <w:kern w:val="0"/>
                <w:szCs w:val="21"/>
              </w:rPr>
            </w:pPr>
            <w:r>
              <w:rPr>
                <w:rFonts w:hint="eastAsia" w:cs="宋体"/>
                <w:color w:val="000000"/>
                <w:kern w:val="0"/>
                <w:szCs w:val="21"/>
              </w:rPr>
              <w:t>临高速出入口距离（m）</w:t>
            </w:r>
          </w:p>
        </w:tc>
        <w:tc>
          <w:tcPr>
            <w:tcW w:w="868" w:type="dxa"/>
            <w:vAlign w:val="center"/>
          </w:tcPr>
          <w:p>
            <w:pPr>
              <w:shd w:val="clear" w:color="auto" w:fill="FFFFFF"/>
              <w:ind w:left="-105" w:leftChars="-50" w:right="-105" w:rightChars="-50"/>
              <w:jc w:val="center"/>
              <w:rPr>
                <w:color w:val="000000"/>
                <w:kern w:val="0"/>
                <w:szCs w:val="21"/>
              </w:rPr>
            </w:pPr>
            <w:r>
              <w:rPr>
                <w:szCs w:val="21"/>
              </w:rPr>
              <w:t>≤</w:t>
            </w:r>
            <w:r>
              <w:rPr>
                <w:rFonts w:hint="eastAsia"/>
                <w:szCs w:val="21"/>
              </w:rPr>
              <w:t>5</w:t>
            </w:r>
            <w:r>
              <w:rPr>
                <w:szCs w:val="21"/>
              </w:rPr>
              <w:t>00</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5</w:t>
            </w:r>
            <w:r>
              <w:rPr>
                <w:szCs w:val="21"/>
              </w:rPr>
              <w:t>00</w:t>
            </w:r>
            <w:r>
              <w:rPr>
                <w:rFonts w:hint="eastAsia"/>
                <w:szCs w:val="21"/>
              </w:rPr>
              <w:t>-90</w:t>
            </w:r>
            <w:r>
              <w:rPr>
                <w:szCs w:val="21"/>
              </w:rPr>
              <w:t>0</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90</w:t>
            </w:r>
            <w:r>
              <w:rPr>
                <w:szCs w:val="21"/>
              </w:rPr>
              <w:t>0</w:t>
            </w:r>
            <w:r>
              <w:rPr>
                <w:rFonts w:hint="eastAsia"/>
                <w:szCs w:val="21"/>
              </w:rPr>
              <w:t>-13</w:t>
            </w:r>
            <w:r>
              <w:rPr>
                <w:szCs w:val="21"/>
              </w:rPr>
              <w:t>00</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13</w:t>
            </w:r>
            <w:r>
              <w:rPr>
                <w:szCs w:val="21"/>
              </w:rPr>
              <w:t>00</w:t>
            </w:r>
            <w:r>
              <w:rPr>
                <w:rFonts w:hint="eastAsia"/>
                <w:szCs w:val="21"/>
              </w:rPr>
              <w:t>-170</w:t>
            </w:r>
            <w:r>
              <w:rPr>
                <w:szCs w:val="21"/>
              </w:rPr>
              <w:t>0</w:t>
            </w:r>
          </w:p>
        </w:tc>
        <w:tc>
          <w:tcPr>
            <w:tcW w:w="869" w:type="dxa"/>
            <w:vAlign w:val="center"/>
          </w:tcPr>
          <w:p>
            <w:pPr>
              <w:shd w:val="clear" w:color="auto" w:fill="FFFFFF"/>
              <w:ind w:left="-105" w:leftChars="-50" w:right="-105" w:rightChars="-50"/>
              <w:jc w:val="center"/>
              <w:rPr>
                <w:color w:val="000000"/>
                <w:kern w:val="0"/>
                <w:szCs w:val="21"/>
              </w:rPr>
            </w:pPr>
            <w:r>
              <w:rPr>
                <w:szCs w:val="21"/>
              </w:rPr>
              <w:t>&gt;</w:t>
            </w:r>
            <w:r>
              <w:rPr>
                <w:rFonts w:hint="eastAsia"/>
                <w:szCs w:val="21"/>
              </w:rPr>
              <w:t>17</w:t>
            </w:r>
            <w:r>
              <w:rPr>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81" w:type="dxa"/>
            <w:vMerge w:val="continue"/>
            <w:vAlign w:val="center"/>
          </w:tcPr>
          <w:p>
            <w:pPr>
              <w:widowControl/>
              <w:jc w:val="left"/>
              <w:rPr>
                <w:color w:val="000000"/>
                <w:kern w:val="0"/>
                <w:szCs w:val="21"/>
              </w:rPr>
            </w:pPr>
          </w:p>
        </w:tc>
        <w:tc>
          <w:tcPr>
            <w:tcW w:w="937" w:type="dxa"/>
            <w:vMerge w:val="continue"/>
            <w:vAlign w:val="center"/>
          </w:tcPr>
          <w:p>
            <w:pPr>
              <w:widowControl/>
              <w:jc w:val="left"/>
              <w:rPr>
                <w:color w:val="000000"/>
                <w:kern w:val="0"/>
                <w:szCs w:val="21"/>
              </w:rPr>
            </w:pPr>
          </w:p>
        </w:tc>
        <w:tc>
          <w:tcPr>
            <w:tcW w:w="1493" w:type="dxa"/>
            <w:vAlign w:val="center"/>
          </w:tcPr>
          <w:p>
            <w:pPr>
              <w:widowControl/>
              <w:shd w:val="clear" w:color="auto" w:fill="FFFFFF"/>
              <w:jc w:val="center"/>
              <w:rPr>
                <w:color w:val="000000"/>
                <w:kern w:val="0"/>
                <w:szCs w:val="21"/>
              </w:rPr>
            </w:pPr>
            <w:r>
              <w:rPr>
                <w:rFonts w:hint="eastAsia" w:cs="宋体"/>
                <w:color w:val="000000"/>
                <w:kern w:val="0"/>
                <w:szCs w:val="21"/>
              </w:rPr>
              <w:t>临机场距离（km）</w:t>
            </w:r>
          </w:p>
        </w:tc>
        <w:tc>
          <w:tcPr>
            <w:tcW w:w="868" w:type="dxa"/>
            <w:vAlign w:val="center"/>
          </w:tcPr>
          <w:p>
            <w:pPr>
              <w:shd w:val="clear" w:color="auto" w:fill="FFFFFF"/>
              <w:ind w:left="-105" w:leftChars="-50" w:right="-105" w:rightChars="-50"/>
              <w:jc w:val="center"/>
              <w:rPr>
                <w:color w:val="000000"/>
                <w:kern w:val="0"/>
                <w:szCs w:val="21"/>
              </w:rPr>
            </w:pPr>
            <w:r>
              <w:rPr>
                <w:szCs w:val="21"/>
              </w:rPr>
              <w:t>≤</w:t>
            </w:r>
            <w:r>
              <w:rPr>
                <w:rFonts w:hint="eastAsia"/>
                <w:szCs w:val="21"/>
              </w:rPr>
              <w:t>13.5</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13.5-</w:t>
            </w:r>
            <w:r>
              <w:rPr>
                <w:szCs w:val="21"/>
              </w:rPr>
              <w:t>1</w:t>
            </w:r>
            <w:r>
              <w:rPr>
                <w:rFonts w:hint="eastAsia"/>
                <w:szCs w:val="21"/>
              </w:rPr>
              <w:t>4</w:t>
            </w:r>
          </w:p>
        </w:tc>
        <w:tc>
          <w:tcPr>
            <w:tcW w:w="1371" w:type="dxa"/>
            <w:vAlign w:val="center"/>
          </w:tcPr>
          <w:p>
            <w:pPr>
              <w:shd w:val="clear" w:color="auto" w:fill="FFFFFF"/>
              <w:ind w:left="-105" w:leftChars="-50" w:right="-105" w:rightChars="-50"/>
              <w:jc w:val="center"/>
              <w:rPr>
                <w:color w:val="000000"/>
                <w:kern w:val="0"/>
                <w:szCs w:val="21"/>
              </w:rPr>
            </w:pPr>
            <w:r>
              <w:rPr>
                <w:szCs w:val="21"/>
              </w:rPr>
              <w:t>1</w:t>
            </w:r>
            <w:r>
              <w:rPr>
                <w:rFonts w:hint="eastAsia"/>
                <w:szCs w:val="21"/>
              </w:rPr>
              <w:t>4-14.5</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14.5-15</w:t>
            </w:r>
          </w:p>
        </w:tc>
        <w:tc>
          <w:tcPr>
            <w:tcW w:w="869" w:type="dxa"/>
            <w:vAlign w:val="center"/>
          </w:tcPr>
          <w:p>
            <w:pPr>
              <w:shd w:val="clear" w:color="auto" w:fill="FFFFFF"/>
              <w:ind w:left="-105" w:leftChars="-50" w:right="-105" w:rightChars="-50"/>
              <w:jc w:val="center"/>
              <w:rPr>
                <w:color w:val="000000"/>
                <w:kern w:val="0"/>
                <w:szCs w:val="21"/>
              </w:rPr>
            </w:pPr>
            <w:r>
              <w:rPr>
                <w:szCs w:val="21"/>
              </w:rPr>
              <w:t>&gt;</w:t>
            </w:r>
            <w:r>
              <w:rPr>
                <w:rFonts w:hint="eastAsia"/>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81" w:type="dxa"/>
            <w:vMerge w:val="restart"/>
            <w:vAlign w:val="center"/>
          </w:tcPr>
          <w:p>
            <w:pPr>
              <w:widowControl/>
              <w:jc w:val="center"/>
              <w:rPr>
                <w:color w:val="000000"/>
                <w:kern w:val="0"/>
                <w:szCs w:val="21"/>
              </w:rPr>
            </w:pPr>
            <w:r>
              <w:rPr>
                <w:color w:val="000000"/>
                <w:kern w:val="0"/>
                <w:szCs w:val="21"/>
              </w:rPr>
              <w:t>基本设施状况</w:t>
            </w:r>
          </w:p>
        </w:tc>
        <w:tc>
          <w:tcPr>
            <w:tcW w:w="937" w:type="dxa"/>
            <w:vMerge w:val="restart"/>
            <w:vAlign w:val="center"/>
          </w:tcPr>
          <w:p>
            <w:pPr>
              <w:widowControl/>
              <w:jc w:val="center"/>
              <w:rPr>
                <w:color w:val="000000"/>
                <w:kern w:val="0"/>
                <w:szCs w:val="21"/>
              </w:rPr>
            </w:pPr>
            <w:r>
              <w:rPr>
                <w:color w:val="000000"/>
                <w:kern w:val="0"/>
                <w:szCs w:val="21"/>
              </w:rPr>
              <w:t>基础设施完善度</w:t>
            </w:r>
          </w:p>
        </w:tc>
        <w:tc>
          <w:tcPr>
            <w:tcW w:w="1493" w:type="dxa"/>
            <w:vAlign w:val="center"/>
          </w:tcPr>
          <w:p>
            <w:pPr>
              <w:widowControl/>
              <w:jc w:val="center"/>
              <w:rPr>
                <w:color w:val="000000"/>
                <w:kern w:val="0"/>
                <w:szCs w:val="21"/>
              </w:rPr>
            </w:pPr>
            <w:r>
              <w:rPr>
                <w:color w:val="000000"/>
                <w:kern w:val="0"/>
                <w:szCs w:val="21"/>
              </w:rPr>
              <w:t>排水状况</w:t>
            </w:r>
          </w:p>
        </w:tc>
        <w:tc>
          <w:tcPr>
            <w:tcW w:w="868" w:type="dxa"/>
            <w:vAlign w:val="center"/>
          </w:tcPr>
          <w:p>
            <w:pPr>
              <w:widowControl/>
              <w:jc w:val="center"/>
              <w:rPr>
                <w:color w:val="000000"/>
                <w:kern w:val="0"/>
                <w:szCs w:val="21"/>
              </w:rPr>
            </w:pPr>
            <w:r>
              <w:rPr>
                <w:color w:val="000000"/>
                <w:kern w:val="0"/>
                <w:szCs w:val="21"/>
              </w:rPr>
              <w:t>好</w:t>
            </w:r>
          </w:p>
        </w:tc>
        <w:tc>
          <w:tcPr>
            <w:tcW w:w="1371" w:type="dxa"/>
            <w:vAlign w:val="center"/>
          </w:tcPr>
          <w:p>
            <w:pPr>
              <w:widowControl/>
              <w:jc w:val="center"/>
              <w:rPr>
                <w:color w:val="000000"/>
                <w:kern w:val="0"/>
                <w:szCs w:val="21"/>
              </w:rPr>
            </w:pPr>
            <w:r>
              <w:rPr>
                <w:color w:val="000000"/>
                <w:kern w:val="0"/>
                <w:szCs w:val="21"/>
              </w:rPr>
              <w:t>较好</w:t>
            </w:r>
          </w:p>
        </w:tc>
        <w:tc>
          <w:tcPr>
            <w:tcW w:w="1371" w:type="dxa"/>
            <w:vAlign w:val="center"/>
          </w:tcPr>
          <w:p>
            <w:pPr>
              <w:widowControl/>
              <w:jc w:val="center"/>
              <w:rPr>
                <w:color w:val="000000"/>
                <w:kern w:val="0"/>
                <w:szCs w:val="21"/>
              </w:rPr>
            </w:pPr>
            <w:r>
              <w:rPr>
                <w:color w:val="000000"/>
                <w:kern w:val="0"/>
                <w:szCs w:val="21"/>
              </w:rPr>
              <w:t>一般</w:t>
            </w:r>
          </w:p>
        </w:tc>
        <w:tc>
          <w:tcPr>
            <w:tcW w:w="1371" w:type="dxa"/>
            <w:vAlign w:val="center"/>
          </w:tcPr>
          <w:p>
            <w:pPr>
              <w:widowControl/>
              <w:jc w:val="center"/>
              <w:rPr>
                <w:color w:val="000000"/>
                <w:kern w:val="0"/>
                <w:szCs w:val="21"/>
              </w:rPr>
            </w:pPr>
            <w:r>
              <w:rPr>
                <w:color w:val="000000"/>
                <w:kern w:val="0"/>
                <w:szCs w:val="21"/>
              </w:rPr>
              <w:t>较差</w:t>
            </w:r>
          </w:p>
        </w:tc>
        <w:tc>
          <w:tcPr>
            <w:tcW w:w="869" w:type="dxa"/>
            <w:vAlign w:val="center"/>
          </w:tcPr>
          <w:p>
            <w:pPr>
              <w:widowControl/>
              <w:jc w:val="center"/>
              <w:rPr>
                <w:color w:val="000000"/>
                <w:kern w:val="0"/>
                <w:szCs w:val="21"/>
              </w:rPr>
            </w:pPr>
            <w:r>
              <w:rPr>
                <w:color w:val="000000"/>
                <w:kern w:val="0"/>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81" w:type="dxa"/>
            <w:vMerge w:val="continue"/>
            <w:vAlign w:val="center"/>
          </w:tcPr>
          <w:p>
            <w:pPr>
              <w:widowControl/>
              <w:jc w:val="left"/>
              <w:rPr>
                <w:color w:val="000000"/>
                <w:kern w:val="0"/>
                <w:szCs w:val="21"/>
              </w:rPr>
            </w:pPr>
          </w:p>
        </w:tc>
        <w:tc>
          <w:tcPr>
            <w:tcW w:w="937" w:type="dxa"/>
            <w:vMerge w:val="continue"/>
            <w:vAlign w:val="center"/>
          </w:tcPr>
          <w:p>
            <w:pPr>
              <w:widowControl/>
              <w:jc w:val="left"/>
              <w:rPr>
                <w:color w:val="000000"/>
                <w:kern w:val="0"/>
                <w:szCs w:val="21"/>
              </w:rPr>
            </w:pPr>
          </w:p>
        </w:tc>
        <w:tc>
          <w:tcPr>
            <w:tcW w:w="1493" w:type="dxa"/>
            <w:vAlign w:val="center"/>
          </w:tcPr>
          <w:p>
            <w:pPr>
              <w:widowControl/>
              <w:jc w:val="center"/>
              <w:rPr>
                <w:color w:val="000000"/>
                <w:kern w:val="0"/>
                <w:szCs w:val="21"/>
              </w:rPr>
            </w:pPr>
            <w:r>
              <w:rPr>
                <w:color w:val="000000"/>
                <w:kern w:val="0"/>
                <w:szCs w:val="21"/>
              </w:rPr>
              <w:t>供水状况</w:t>
            </w:r>
          </w:p>
        </w:tc>
        <w:tc>
          <w:tcPr>
            <w:tcW w:w="868" w:type="dxa"/>
            <w:vAlign w:val="center"/>
          </w:tcPr>
          <w:p>
            <w:pPr>
              <w:widowControl/>
              <w:jc w:val="center"/>
              <w:rPr>
                <w:color w:val="000000"/>
                <w:kern w:val="0"/>
                <w:szCs w:val="21"/>
              </w:rPr>
            </w:pPr>
            <w:r>
              <w:rPr>
                <w:color w:val="000000"/>
                <w:kern w:val="0"/>
                <w:szCs w:val="21"/>
              </w:rPr>
              <w:t>100%</w:t>
            </w:r>
          </w:p>
        </w:tc>
        <w:tc>
          <w:tcPr>
            <w:tcW w:w="1371" w:type="dxa"/>
            <w:vAlign w:val="center"/>
          </w:tcPr>
          <w:p>
            <w:pPr>
              <w:widowControl/>
              <w:jc w:val="center"/>
              <w:rPr>
                <w:color w:val="000000"/>
                <w:kern w:val="0"/>
                <w:szCs w:val="21"/>
              </w:rPr>
            </w:pPr>
            <w:r>
              <w:rPr>
                <w:color w:val="000000"/>
                <w:kern w:val="0"/>
                <w:szCs w:val="21"/>
              </w:rPr>
              <w:t>90-99%</w:t>
            </w:r>
          </w:p>
        </w:tc>
        <w:tc>
          <w:tcPr>
            <w:tcW w:w="1371" w:type="dxa"/>
            <w:vAlign w:val="center"/>
          </w:tcPr>
          <w:p>
            <w:pPr>
              <w:widowControl/>
              <w:jc w:val="center"/>
              <w:rPr>
                <w:color w:val="000000"/>
                <w:kern w:val="0"/>
                <w:szCs w:val="21"/>
              </w:rPr>
            </w:pPr>
            <w:r>
              <w:rPr>
                <w:color w:val="000000"/>
                <w:kern w:val="0"/>
                <w:szCs w:val="21"/>
              </w:rPr>
              <w:t>80-89%</w:t>
            </w:r>
          </w:p>
        </w:tc>
        <w:tc>
          <w:tcPr>
            <w:tcW w:w="1371" w:type="dxa"/>
            <w:vAlign w:val="center"/>
          </w:tcPr>
          <w:p>
            <w:pPr>
              <w:widowControl/>
              <w:jc w:val="center"/>
              <w:rPr>
                <w:color w:val="000000"/>
                <w:kern w:val="0"/>
                <w:szCs w:val="21"/>
              </w:rPr>
            </w:pPr>
            <w:r>
              <w:rPr>
                <w:color w:val="000000"/>
                <w:kern w:val="0"/>
                <w:szCs w:val="21"/>
              </w:rPr>
              <w:t>60-79%</w:t>
            </w:r>
          </w:p>
        </w:tc>
        <w:tc>
          <w:tcPr>
            <w:tcW w:w="869"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81" w:type="dxa"/>
            <w:vMerge w:val="continue"/>
            <w:vAlign w:val="center"/>
          </w:tcPr>
          <w:p>
            <w:pPr>
              <w:widowControl/>
              <w:jc w:val="left"/>
              <w:rPr>
                <w:color w:val="000000"/>
                <w:kern w:val="0"/>
                <w:szCs w:val="21"/>
              </w:rPr>
            </w:pPr>
          </w:p>
        </w:tc>
        <w:tc>
          <w:tcPr>
            <w:tcW w:w="937" w:type="dxa"/>
            <w:vMerge w:val="continue"/>
            <w:vAlign w:val="center"/>
          </w:tcPr>
          <w:p>
            <w:pPr>
              <w:widowControl/>
              <w:jc w:val="left"/>
              <w:rPr>
                <w:color w:val="000000"/>
                <w:kern w:val="0"/>
                <w:szCs w:val="21"/>
              </w:rPr>
            </w:pPr>
          </w:p>
        </w:tc>
        <w:tc>
          <w:tcPr>
            <w:tcW w:w="1493" w:type="dxa"/>
            <w:vAlign w:val="center"/>
          </w:tcPr>
          <w:p>
            <w:pPr>
              <w:widowControl/>
              <w:jc w:val="center"/>
              <w:rPr>
                <w:color w:val="000000"/>
                <w:kern w:val="0"/>
                <w:szCs w:val="21"/>
              </w:rPr>
            </w:pPr>
            <w:r>
              <w:rPr>
                <w:color w:val="000000"/>
                <w:kern w:val="0"/>
                <w:szCs w:val="21"/>
              </w:rPr>
              <w:t>供电状况</w:t>
            </w:r>
          </w:p>
        </w:tc>
        <w:tc>
          <w:tcPr>
            <w:tcW w:w="868" w:type="dxa"/>
            <w:vAlign w:val="center"/>
          </w:tcPr>
          <w:p>
            <w:pPr>
              <w:widowControl/>
              <w:jc w:val="center"/>
              <w:rPr>
                <w:color w:val="000000"/>
                <w:kern w:val="0"/>
                <w:szCs w:val="21"/>
              </w:rPr>
            </w:pPr>
            <w:r>
              <w:rPr>
                <w:color w:val="000000"/>
                <w:kern w:val="0"/>
                <w:szCs w:val="21"/>
              </w:rPr>
              <w:t>100%</w:t>
            </w:r>
          </w:p>
        </w:tc>
        <w:tc>
          <w:tcPr>
            <w:tcW w:w="1371" w:type="dxa"/>
            <w:vAlign w:val="center"/>
          </w:tcPr>
          <w:p>
            <w:pPr>
              <w:widowControl/>
              <w:jc w:val="center"/>
              <w:rPr>
                <w:color w:val="000000"/>
                <w:kern w:val="0"/>
                <w:szCs w:val="21"/>
              </w:rPr>
            </w:pPr>
            <w:r>
              <w:rPr>
                <w:color w:val="000000"/>
                <w:kern w:val="0"/>
                <w:szCs w:val="21"/>
              </w:rPr>
              <w:t>90-99%</w:t>
            </w:r>
          </w:p>
        </w:tc>
        <w:tc>
          <w:tcPr>
            <w:tcW w:w="1371" w:type="dxa"/>
            <w:vAlign w:val="center"/>
          </w:tcPr>
          <w:p>
            <w:pPr>
              <w:widowControl/>
              <w:jc w:val="center"/>
              <w:rPr>
                <w:color w:val="000000"/>
                <w:kern w:val="0"/>
                <w:szCs w:val="21"/>
              </w:rPr>
            </w:pPr>
            <w:r>
              <w:rPr>
                <w:color w:val="000000"/>
                <w:kern w:val="0"/>
                <w:szCs w:val="21"/>
              </w:rPr>
              <w:t>80-89%</w:t>
            </w:r>
          </w:p>
        </w:tc>
        <w:tc>
          <w:tcPr>
            <w:tcW w:w="1371" w:type="dxa"/>
            <w:vAlign w:val="center"/>
          </w:tcPr>
          <w:p>
            <w:pPr>
              <w:widowControl/>
              <w:jc w:val="center"/>
              <w:rPr>
                <w:color w:val="000000"/>
                <w:kern w:val="0"/>
                <w:szCs w:val="21"/>
              </w:rPr>
            </w:pPr>
            <w:r>
              <w:rPr>
                <w:color w:val="000000"/>
                <w:kern w:val="0"/>
                <w:szCs w:val="21"/>
              </w:rPr>
              <w:t>60-79%</w:t>
            </w:r>
          </w:p>
        </w:tc>
        <w:tc>
          <w:tcPr>
            <w:tcW w:w="869"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81" w:type="dxa"/>
            <w:vMerge w:val="continue"/>
            <w:vAlign w:val="center"/>
          </w:tcPr>
          <w:p>
            <w:pPr>
              <w:widowControl/>
              <w:jc w:val="left"/>
              <w:rPr>
                <w:color w:val="000000"/>
                <w:kern w:val="0"/>
                <w:szCs w:val="21"/>
              </w:rPr>
            </w:pPr>
          </w:p>
        </w:tc>
        <w:tc>
          <w:tcPr>
            <w:tcW w:w="937" w:type="dxa"/>
            <w:vMerge w:val="continue"/>
            <w:vAlign w:val="center"/>
          </w:tcPr>
          <w:p>
            <w:pPr>
              <w:widowControl/>
              <w:jc w:val="left"/>
              <w:rPr>
                <w:color w:val="000000"/>
                <w:kern w:val="0"/>
                <w:szCs w:val="21"/>
              </w:rPr>
            </w:pPr>
          </w:p>
        </w:tc>
        <w:tc>
          <w:tcPr>
            <w:tcW w:w="1493" w:type="dxa"/>
            <w:vAlign w:val="center"/>
          </w:tcPr>
          <w:p>
            <w:pPr>
              <w:widowControl/>
              <w:jc w:val="center"/>
              <w:rPr>
                <w:color w:val="000000"/>
                <w:kern w:val="0"/>
                <w:szCs w:val="21"/>
              </w:rPr>
            </w:pPr>
            <w:r>
              <w:rPr>
                <w:color w:val="000000"/>
                <w:kern w:val="0"/>
                <w:szCs w:val="21"/>
              </w:rPr>
              <w:t>供气状况</w:t>
            </w:r>
          </w:p>
        </w:tc>
        <w:tc>
          <w:tcPr>
            <w:tcW w:w="868" w:type="dxa"/>
            <w:vAlign w:val="center"/>
          </w:tcPr>
          <w:p>
            <w:pPr>
              <w:widowControl/>
              <w:jc w:val="center"/>
              <w:rPr>
                <w:color w:val="000000"/>
                <w:kern w:val="0"/>
                <w:szCs w:val="21"/>
              </w:rPr>
            </w:pPr>
            <w:r>
              <w:rPr>
                <w:color w:val="000000"/>
                <w:kern w:val="0"/>
                <w:szCs w:val="21"/>
              </w:rPr>
              <w:t>100%</w:t>
            </w:r>
          </w:p>
        </w:tc>
        <w:tc>
          <w:tcPr>
            <w:tcW w:w="1371" w:type="dxa"/>
            <w:vAlign w:val="center"/>
          </w:tcPr>
          <w:p>
            <w:pPr>
              <w:widowControl/>
              <w:jc w:val="center"/>
              <w:rPr>
                <w:color w:val="000000"/>
                <w:kern w:val="0"/>
                <w:szCs w:val="21"/>
              </w:rPr>
            </w:pPr>
            <w:r>
              <w:rPr>
                <w:color w:val="000000"/>
                <w:kern w:val="0"/>
                <w:szCs w:val="21"/>
              </w:rPr>
              <w:t>90-99%</w:t>
            </w:r>
          </w:p>
        </w:tc>
        <w:tc>
          <w:tcPr>
            <w:tcW w:w="1371" w:type="dxa"/>
            <w:vAlign w:val="center"/>
          </w:tcPr>
          <w:p>
            <w:pPr>
              <w:widowControl/>
              <w:jc w:val="center"/>
              <w:rPr>
                <w:color w:val="000000"/>
                <w:kern w:val="0"/>
                <w:szCs w:val="21"/>
              </w:rPr>
            </w:pPr>
            <w:r>
              <w:rPr>
                <w:color w:val="000000"/>
                <w:kern w:val="0"/>
                <w:szCs w:val="21"/>
              </w:rPr>
              <w:t>80-89%</w:t>
            </w:r>
          </w:p>
        </w:tc>
        <w:tc>
          <w:tcPr>
            <w:tcW w:w="1371" w:type="dxa"/>
            <w:vAlign w:val="center"/>
          </w:tcPr>
          <w:p>
            <w:pPr>
              <w:widowControl/>
              <w:jc w:val="center"/>
              <w:rPr>
                <w:color w:val="000000"/>
                <w:kern w:val="0"/>
                <w:szCs w:val="21"/>
              </w:rPr>
            </w:pPr>
            <w:r>
              <w:rPr>
                <w:color w:val="000000"/>
                <w:kern w:val="0"/>
                <w:szCs w:val="21"/>
              </w:rPr>
              <w:t>60-79%</w:t>
            </w:r>
          </w:p>
        </w:tc>
        <w:tc>
          <w:tcPr>
            <w:tcW w:w="869"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81" w:type="dxa"/>
            <w:vMerge w:val="restart"/>
            <w:vAlign w:val="center"/>
          </w:tcPr>
          <w:p>
            <w:pPr>
              <w:widowControl/>
              <w:jc w:val="center"/>
              <w:rPr>
                <w:color w:val="000000"/>
                <w:kern w:val="0"/>
                <w:szCs w:val="21"/>
              </w:rPr>
            </w:pPr>
            <w:r>
              <w:rPr>
                <w:color w:val="000000"/>
                <w:kern w:val="0"/>
                <w:szCs w:val="21"/>
              </w:rPr>
              <w:t>环境条件</w:t>
            </w:r>
          </w:p>
        </w:tc>
        <w:tc>
          <w:tcPr>
            <w:tcW w:w="937" w:type="dxa"/>
            <w:vMerge w:val="restart"/>
            <w:vAlign w:val="center"/>
          </w:tcPr>
          <w:p>
            <w:pPr>
              <w:widowControl/>
              <w:jc w:val="center"/>
              <w:rPr>
                <w:color w:val="000000"/>
                <w:kern w:val="0"/>
                <w:szCs w:val="21"/>
              </w:rPr>
            </w:pPr>
            <w:r>
              <w:rPr>
                <w:color w:val="000000"/>
                <w:kern w:val="0"/>
                <w:szCs w:val="21"/>
              </w:rPr>
              <w:t>自然条件优劣度</w:t>
            </w:r>
          </w:p>
        </w:tc>
        <w:tc>
          <w:tcPr>
            <w:tcW w:w="1493" w:type="dxa"/>
            <w:vAlign w:val="center"/>
          </w:tcPr>
          <w:p>
            <w:pPr>
              <w:widowControl/>
              <w:jc w:val="center"/>
              <w:rPr>
                <w:color w:val="000000"/>
                <w:kern w:val="0"/>
                <w:szCs w:val="21"/>
              </w:rPr>
            </w:pPr>
            <w:r>
              <w:rPr>
                <w:color w:val="000000"/>
                <w:kern w:val="0"/>
                <w:szCs w:val="21"/>
              </w:rPr>
              <w:t>地质状况</w:t>
            </w:r>
          </w:p>
        </w:tc>
        <w:tc>
          <w:tcPr>
            <w:tcW w:w="868" w:type="dxa"/>
            <w:vAlign w:val="center"/>
          </w:tcPr>
          <w:p>
            <w:pPr>
              <w:widowControl/>
              <w:jc w:val="center"/>
              <w:rPr>
                <w:color w:val="000000"/>
                <w:kern w:val="0"/>
                <w:szCs w:val="21"/>
              </w:rPr>
            </w:pPr>
            <w:r>
              <w:rPr>
                <w:color w:val="000000"/>
                <w:kern w:val="0"/>
                <w:szCs w:val="21"/>
              </w:rPr>
              <w:t>&gt;30吨/m2</w:t>
            </w:r>
          </w:p>
        </w:tc>
        <w:tc>
          <w:tcPr>
            <w:tcW w:w="1371" w:type="dxa"/>
            <w:vAlign w:val="center"/>
          </w:tcPr>
          <w:p>
            <w:pPr>
              <w:widowControl/>
              <w:jc w:val="center"/>
              <w:rPr>
                <w:color w:val="000000"/>
                <w:kern w:val="0"/>
                <w:szCs w:val="21"/>
              </w:rPr>
            </w:pPr>
            <w:r>
              <w:rPr>
                <w:color w:val="000000"/>
                <w:kern w:val="0"/>
                <w:szCs w:val="21"/>
              </w:rPr>
              <w:t>25-30吨/m2</w:t>
            </w:r>
          </w:p>
        </w:tc>
        <w:tc>
          <w:tcPr>
            <w:tcW w:w="1371" w:type="dxa"/>
            <w:vAlign w:val="center"/>
          </w:tcPr>
          <w:p>
            <w:pPr>
              <w:widowControl/>
              <w:jc w:val="center"/>
              <w:rPr>
                <w:color w:val="000000"/>
                <w:kern w:val="0"/>
                <w:szCs w:val="21"/>
              </w:rPr>
            </w:pPr>
            <w:r>
              <w:rPr>
                <w:color w:val="000000"/>
                <w:kern w:val="0"/>
                <w:szCs w:val="21"/>
              </w:rPr>
              <w:t>20-25吨/m2</w:t>
            </w:r>
          </w:p>
        </w:tc>
        <w:tc>
          <w:tcPr>
            <w:tcW w:w="1371" w:type="dxa"/>
            <w:vAlign w:val="center"/>
          </w:tcPr>
          <w:p>
            <w:pPr>
              <w:widowControl/>
              <w:jc w:val="center"/>
              <w:rPr>
                <w:color w:val="000000"/>
                <w:kern w:val="0"/>
                <w:szCs w:val="21"/>
              </w:rPr>
            </w:pPr>
            <w:r>
              <w:rPr>
                <w:color w:val="000000"/>
                <w:kern w:val="0"/>
                <w:szCs w:val="21"/>
              </w:rPr>
              <w:t>15-20吨/m2</w:t>
            </w:r>
          </w:p>
        </w:tc>
        <w:tc>
          <w:tcPr>
            <w:tcW w:w="869" w:type="dxa"/>
            <w:vAlign w:val="center"/>
          </w:tcPr>
          <w:p>
            <w:pPr>
              <w:widowControl/>
              <w:jc w:val="center"/>
              <w:rPr>
                <w:color w:val="000000"/>
                <w:kern w:val="0"/>
                <w:szCs w:val="21"/>
              </w:rPr>
            </w:pPr>
            <w:r>
              <w:rPr>
                <w:color w:val="000000"/>
                <w:kern w:val="0"/>
                <w:szCs w:val="21"/>
              </w:rPr>
              <w:t>&lt;15吨/m2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81" w:type="dxa"/>
            <w:vMerge w:val="continue"/>
            <w:vAlign w:val="center"/>
          </w:tcPr>
          <w:p>
            <w:pPr>
              <w:widowControl/>
              <w:jc w:val="left"/>
              <w:rPr>
                <w:color w:val="000000"/>
                <w:kern w:val="0"/>
                <w:szCs w:val="21"/>
              </w:rPr>
            </w:pPr>
          </w:p>
        </w:tc>
        <w:tc>
          <w:tcPr>
            <w:tcW w:w="937" w:type="dxa"/>
            <w:vMerge w:val="continue"/>
            <w:vAlign w:val="center"/>
          </w:tcPr>
          <w:p>
            <w:pPr>
              <w:widowControl/>
              <w:jc w:val="left"/>
              <w:rPr>
                <w:color w:val="000000"/>
                <w:kern w:val="0"/>
                <w:szCs w:val="21"/>
              </w:rPr>
            </w:pPr>
          </w:p>
        </w:tc>
        <w:tc>
          <w:tcPr>
            <w:tcW w:w="1493" w:type="dxa"/>
            <w:vAlign w:val="center"/>
          </w:tcPr>
          <w:p>
            <w:pPr>
              <w:widowControl/>
              <w:jc w:val="center"/>
              <w:rPr>
                <w:color w:val="000000"/>
                <w:kern w:val="0"/>
                <w:szCs w:val="21"/>
              </w:rPr>
            </w:pPr>
            <w:r>
              <w:rPr>
                <w:color w:val="000000"/>
                <w:kern w:val="0"/>
                <w:szCs w:val="21"/>
              </w:rPr>
              <w:t>洪水淹没状况</w:t>
            </w:r>
          </w:p>
        </w:tc>
        <w:tc>
          <w:tcPr>
            <w:tcW w:w="868" w:type="dxa"/>
            <w:vAlign w:val="center"/>
          </w:tcPr>
          <w:p>
            <w:pPr>
              <w:widowControl/>
              <w:jc w:val="center"/>
              <w:rPr>
                <w:color w:val="000000"/>
                <w:kern w:val="0"/>
                <w:szCs w:val="21"/>
              </w:rPr>
            </w:pPr>
            <w:r>
              <w:rPr>
                <w:color w:val="000000"/>
                <w:kern w:val="0"/>
                <w:szCs w:val="21"/>
              </w:rPr>
              <w:t>低</w:t>
            </w:r>
          </w:p>
        </w:tc>
        <w:tc>
          <w:tcPr>
            <w:tcW w:w="1371" w:type="dxa"/>
            <w:vAlign w:val="center"/>
          </w:tcPr>
          <w:p>
            <w:pPr>
              <w:widowControl/>
              <w:jc w:val="center"/>
              <w:rPr>
                <w:color w:val="000000"/>
                <w:kern w:val="0"/>
                <w:szCs w:val="21"/>
              </w:rPr>
            </w:pPr>
            <w:r>
              <w:rPr>
                <w:color w:val="000000"/>
                <w:kern w:val="0"/>
                <w:szCs w:val="21"/>
              </w:rPr>
              <w:t>较低</w:t>
            </w:r>
          </w:p>
        </w:tc>
        <w:tc>
          <w:tcPr>
            <w:tcW w:w="1371" w:type="dxa"/>
            <w:vAlign w:val="center"/>
          </w:tcPr>
          <w:p>
            <w:pPr>
              <w:widowControl/>
              <w:jc w:val="center"/>
              <w:rPr>
                <w:color w:val="000000"/>
                <w:kern w:val="0"/>
                <w:szCs w:val="21"/>
              </w:rPr>
            </w:pPr>
            <w:r>
              <w:rPr>
                <w:color w:val="000000"/>
                <w:kern w:val="0"/>
                <w:szCs w:val="21"/>
              </w:rPr>
              <w:t>一般</w:t>
            </w:r>
          </w:p>
        </w:tc>
        <w:tc>
          <w:tcPr>
            <w:tcW w:w="1371" w:type="dxa"/>
            <w:vAlign w:val="center"/>
          </w:tcPr>
          <w:p>
            <w:pPr>
              <w:widowControl/>
              <w:jc w:val="center"/>
              <w:rPr>
                <w:color w:val="000000"/>
                <w:kern w:val="0"/>
                <w:szCs w:val="21"/>
              </w:rPr>
            </w:pPr>
            <w:r>
              <w:rPr>
                <w:color w:val="000000"/>
                <w:kern w:val="0"/>
                <w:szCs w:val="21"/>
              </w:rPr>
              <w:t>较高</w:t>
            </w:r>
          </w:p>
        </w:tc>
        <w:tc>
          <w:tcPr>
            <w:tcW w:w="869" w:type="dxa"/>
            <w:vAlign w:val="center"/>
          </w:tcPr>
          <w:p>
            <w:pPr>
              <w:widowControl/>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81" w:type="dxa"/>
            <w:vAlign w:val="center"/>
          </w:tcPr>
          <w:p>
            <w:pPr>
              <w:widowControl/>
              <w:jc w:val="center"/>
              <w:rPr>
                <w:color w:val="000000"/>
                <w:kern w:val="0"/>
                <w:szCs w:val="21"/>
              </w:rPr>
            </w:pPr>
            <w:r>
              <w:rPr>
                <w:color w:val="000000"/>
                <w:kern w:val="0"/>
                <w:szCs w:val="21"/>
              </w:rPr>
              <w:t>产业集聚效益</w:t>
            </w:r>
          </w:p>
        </w:tc>
        <w:tc>
          <w:tcPr>
            <w:tcW w:w="937" w:type="dxa"/>
            <w:vAlign w:val="center"/>
          </w:tcPr>
          <w:p>
            <w:pPr>
              <w:widowControl/>
              <w:jc w:val="center"/>
              <w:rPr>
                <w:color w:val="000000"/>
                <w:kern w:val="0"/>
                <w:szCs w:val="21"/>
              </w:rPr>
            </w:pPr>
            <w:r>
              <w:rPr>
                <w:color w:val="000000"/>
                <w:kern w:val="0"/>
                <w:szCs w:val="21"/>
              </w:rPr>
              <w:t>产业集聚影响度</w:t>
            </w:r>
          </w:p>
        </w:tc>
        <w:tc>
          <w:tcPr>
            <w:tcW w:w="1493" w:type="dxa"/>
            <w:vAlign w:val="center"/>
          </w:tcPr>
          <w:p>
            <w:pPr>
              <w:widowControl/>
              <w:jc w:val="center"/>
              <w:rPr>
                <w:color w:val="000000"/>
                <w:kern w:val="0"/>
                <w:szCs w:val="21"/>
              </w:rPr>
            </w:pPr>
            <w:r>
              <w:rPr>
                <w:color w:val="000000"/>
                <w:kern w:val="0"/>
                <w:szCs w:val="21"/>
              </w:rPr>
              <w:t>产业集聚影响度</w:t>
            </w:r>
          </w:p>
        </w:tc>
        <w:tc>
          <w:tcPr>
            <w:tcW w:w="868" w:type="dxa"/>
            <w:vAlign w:val="center"/>
          </w:tcPr>
          <w:p>
            <w:pPr>
              <w:widowControl/>
              <w:jc w:val="center"/>
              <w:rPr>
                <w:color w:val="000000"/>
                <w:kern w:val="0"/>
                <w:szCs w:val="21"/>
              </w:rPr>
            </w:pPr>
            <w:r>
              <w:rPr>
                <w:color w:val="000000"/>
                <w:kern w:val="0"/>
                <w:szCs w:val="21"/>
              </w:rPr>
              <w:t>高新产业联系紧密区</w:t>
            </w:r>
          </w:p>
        </w:tc>
        <w:tc>
          <w:tcPr>
            <w:tcW w:w="1371" w:type="dxa"/>
            <w:vAlign w:val="center"/>
          </w:tcPr>
          <w:p>
            <w:pPr>
              <w:widowControl/>
              <w:jc w:val="center"/>
              <w:rPr>
                <w:color w:val="000000"/>
                <w:kern w:val="0"/>
                <w:szCs w:val="21"/>
              </w:rPr>
            </w:pPr>
            <w:r>
              <w:rPr>
                <w:color w:val="000000"/>
                <w:kern w:val="0"/>
                <w:szCs w:val="21"/>
              </w:rPr>
              <w:t>高新产业联系一般区，一般产业联系紧密区</w:t>
            </w:r>
          </w:p>
        </w:tc>
        <w:tc>
          <w:tcPr>
            <w:tcW w:w="1371" w:type="dxa"/>
            <w:vAlign w:val="center"/>
          </w:tcPr>
          <w:p>
            <w:pPr>
              <w:widowControl/>
              <w:jc w:val="center"/>
              <w:rPr>
                <w:color w:val="000000"/>
                <w:kern w:val="0"/>
                <w:szCs w:val="21"/>
              </w:rPr>
            </w:pPr>
            <w:r>
              <w:rPr>
                <w:color w:val="000000"/>
                <w:kern w:val="0"/>
                <w:szCs w:val="21"/>
              </w:rPr>
              <w:t>高新产业联系松散区，一般产业联系一般区</w:t>
            </w:r>
          </w:p>
        </w:tc>
        <w:tc>
          <w:tcPr>
            <w:tcW w:w="1371" w:type="dxa"/>
            <w:vAlign w:val="center"/>
          </w:tcPr>
          <w:p>
            <w:pPr>
              <w:widowControl/>
              <w:jc w:val="center"/>
              <w:rPr>
                <w:color w:val="000000"/>
                <w:kern w:val="0"/>
                <w:szCs w:val="21"/>
              </w:rPr>
            </w:pPr>
            <w:r>
              <w:rPr>
                <w:color w:val="000000"/>
                <w:kern w:val="0"/>
                <w:szCs w:val="21"/>
              </w:rPr>
              <w:t>一般产业联系松散区</w:t>
            </w:r>
          </w:p>
        </w:tc>
        <w:tc>
          <w:tcPr>
            <w:tcW w:w="869" w:type="dxa"/>
            <w:vAlign w:val="center"/>
          </w:tcPr>
          <w:p>
            <w:pPr>
              <w:widowControl/>
              <w:jc w:val="center"/>
              <w:rPr>
                <w:color w:val="000000"/>
                <w:kern w:val="0"/>
                <w:szCs w:val="21"/>
              </w:rPr>
            </w:pPr>
            <w:r>
              <w:rPr>
                <w:color w:val="000000"/>
                <w:kern w:val="0"/>
                <w:szCs w:val="21"/>
              </w:rPr>
              <w:t>独立分散区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781" w:type="dxa"/>
            <w:vMerge w:val="restart"/>
            <w:vAlign w:val="center"/>
          </w:tcPr>
          <w:p>
            <w:pPr>
              <w:widowControl/>
              <w:jc w:val="center"/>
              <w:rPr>
                <w:color w:val="000000"/>
                <w:kern w:val="0"/>
                <w:szCs w:val="21"/>
              </w:rPr>
            </w:pPr>
            <w:r>
              <w:rPr>
                <w:color w:val="000000"/>
                <w:kern w:val="0"/>
                <w:szCs w:val="21"/>
              </w:rPr>
              <w:t>城市规划</w:t>
            </w:r>
          </w:p>
        </w:tc>
        <w:tc>
          <w:tcPr>
            <w:tcW w:w="937" w:type="dxa"/>
            <w:vMerge w:val="restart"/>
            <w:vAlign w:val="center"/>
          </w:tcPr>
          <w:p>
            <w:pPr>
              <w:widowControl/>
              <w:jc w:val="center"/>
              <w:rPr>
                <w:color w:val="000000"/>
                <w:kern w:val="0"/>
                <w:szCs w:val="21"/>
              </w:rPr>
            </w:pPr>
            <w:r>
              <w:rPr>
                <w:color w:val="000000"/>
                <w:kern w:val="0"/>
                <w:szCs w:val="21"/>
              </w:rPr>
              <w:t>城市规划</w:t>
            </w:r>
          </w:p>
        </w:tc>
        <w:tc>
          <w:tcPr>
            <w:tcW w:w="1493" w:type="dxa"/>
            <w:vAlign w:val="center"/>
          </w:tcPr>
          <w:p>
            <w:pPr>
              <w:widowControl/>
              <w:jc w:val="center"/>
              <w:rPr>
                <w:color w:val="000000"/>
                <w:kern w:val="0"/>
                <w:szCs w:val="21"/>
              </w:rPr>
            </w:pPr>
            <w:r>
              <w:rPr>
                <w:color w:val="000000"/>
                <w:kern w:val="0"/>
                <w:szCs w:val="21"/>
              </w:rPr>
              <w:t>用地规划</w:t>
            </w:r>
          </w:p>
        </w:tc>
        <w:tc>
          <w:tcPr>
            <w:tcW w:w="868" w:type="dxa"/>
            <w:vAlign w:val="center"/>
          </w:tcPr>
          <w:p>
            <w:pPr>
              <w:widowControl/>
              <w:jc w:val="center"/>
              <w:rPr>
                <w:color w:val="000000"/>
                <w:kern w:val="0"/>
                <w:szCs w:val="21"/>
              </w:rPr>
            </w:pPr>
            <w:r>
              <w:rPr>
                <w:color w:val="000000"/>
                <w:kern w:val="0"/>
                <w:szCs w:val="21"/>
              </w:rPr>
              <w:t>主干道</w:t>
            </w:r>
          </w:p>
        </w:tc>
        <w:tc>
          <w:tcPr>
            <w:tcW w:w="1371" w:type="dxa"/>
            <w:vAlign w:val="center"/>
          </w:tcPr>
          <w:p>
            <w:pPr>
              <w:widowControl/>
              <w:jc w:val="center"/>
              <w:rPr>
                <w:color w:val="000000"/>
                <w:kern w:val="0"/>
                <w:szCs w:val="21"/>
              </w:rPr>
            </w:pPr>
            <w:r>
              <w:rPr>
                <w:color w:val="000000"/>
                <w:kern w:val="0"/>
                <w:szCs w:val="21"/>
              </w:rPr>
              <w:t>次干道</w:t>
            </w:r>
          </w:p>
        </w:tc>
        <w:tc>
          <w:tcPr>
            <w:tcW w:w="1371" w:type="dxa"/>
            <w:vAlign w:val="center"/>
          </w:tcPr>
          <w:p>
            <w:pPr>
              <w:widowControl/>
              <w:jc w:val="center"/>
              <w:rPr>
                <w:color w:val="000000"/>
                <w:kern w:val="0"/>
                <w:szCs w:val="21"/>
              </w:rPr>
            </w:pPr>
            <w:r>
              <w:rPr>
                <w:color w:val="000000"/>
                <w:kern w:val="0"/>
                <w:szCs w:val="21"/>
              </w:rPr>
              <w:t>快速路</w:t>
            </w:r>
          </w:p>
        </w:tc>
        <w:tc>
          <w:tcPr>
            <w:tcW w:w="1371" w:type="dxa"/>
            <w:vAlign w:val="center"/>
          </w:tcPr>
          <w:p>
            <w:pPr>
              <w:widowControl/>
              <w:jc w:val="center"/>
              <w:rPr>
                <w:color w:val="000000"/>
                <w:kern w:val="0"/>
                <w:szCs w:val="21"/>
              </w:rPr>
            </w:pPr>
            <w:r>
              <w:rPr>
                <w:color w:val="000000"/>
                <w:kern w:val="0"/>
                <w:szCs w:val="21"/>
              </w:rPr>
              <w:t>支路</w:t>
            </w:r>
          </w:p>
        </w:tc>
        <w:tc>
          <w:tcPr>
            <w:tcW w:w="869" w:type="dxa"/>
            <w:vAlign w:val="center"/>
          </w:tcPr>
          <w:p>
            <w:pPr>
              <w:widowControl/>
              <w:jc w:val="center"/>
              <w:rPr>
                <w:color w:val="000000"/>
                <w:kern w:val="0"/>
                <w:szCs w:val="21"/>
              </w:rPr>
            </w:pPr>
            <w:r>
              <w:rPr>
                <w:color w:val="000000"/>
                <w:kern w:val="0"/>
                <w:szCs w:val="21"/>
              </w:rPr>
              <w:t>街坊间支路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81" w:type="dxa"/>
            <w:vMerge w:val="continue"/>
            <w:vAlign w:val="center"/>
          </w:tcPr>
          <w:p>
            <w:pPr>
              <w:widowControl/>
              <w:jc w:val="left"/>
              <w:rPr>
                <w:color w:val="000000"/>
                <w:kern w:val="0"/>
                <w:szCs w:val="21"/>
              </w:rPr>
            </w:pPr>
          </w:p>
        </w:tc>
        <w:tc>
          <w:tcPr>
            <w:tcW w:w="937" w:type="dxa"/>
            <w:vMerge w:val="continue"/>
            <w:vAlign w:val="center"/>
          </w:tcPr>
          <w:p>
            <w:pPr>
              <w:widowControl/>
              <w:jc w:val="left"/>
              <w:rPr>
                <w:color w:val="000000"/>
                <w:kern w:val="0"/>
                <w:szCs w:val="21"/>
              </w:rPr>
            </w:pPr>
          </w:p>
        </w:tc>
        <w:tc>
          <w:tcPr>
            <w:tcW w:w="1493" w:type="dxa"/>
            <w:vAlign w:val="center"/>
          </w:tcPr>
          <w:p>
            <w:pPr>
              <w:widowControl/>
              <w:jc w:val="center"/>
              <w:rPr>
                <w:color w:val="000000"/>
                <w:kern w:val="0"/>
                <w:szCs w:val="21"/>
              </w:rPr>
            </w:pPr>
            <w:r>
              <w:rPr>
                <w:color w:val="000000"/>
                <w:kern w:val="0"/>
                <w:szCs w:val="21"/>
              </w:rPr>
              <w:t>道路规划</w:t>
            </w:r>
          </w:p>
        </w:tc>
        <w:tc>
          <w:tcPr>
            <w:tcW w:w="868" w:type="dxa"/>
            <w:vAlign w:val="center"/>
          </w:tcPr>
          <w:p>
            <w:pPr>
              <w:widowControl/>
              <w:jc w:val="center"/>
              <w:rPr>
                <w:color w:val="000000"/>
                <w:kern w:val="0"/>
                <w:szCs w:val="21"/>
              </w:rPr>
            </w:pPr>
            <w:r>
              <w:rPr>
                <w:color w:val="000000"/>
                <w:kern w:val="0"/>
                <w:szCs w:val="21"/>
              </w:rPr>
              <w:t>最佳用途</w:t>
            </w:r>
          </w:p>
        </w:tc>
        <w:tc>
          <w:tcPr>
            <w:tcW w:w="1371" w:type="dxa"/>
            <w:vAlign w:val="center"/>
          </w:tcPr>
          <w:p>
            <w:pPr>
              <w:widowControl/>
              <w:jc w:val="center"/>
              <w:rPr>
                <w:color w:val="000000"/>
                <w:kern w:val="0"/>
                <w:szCs w:val="21"/>
              </w:rPr>
            </w:pPr>
            <w:r>
              <w:rPr>
                <w:color w:val="000000"/>
                <w:kern w:val="0"/>
                <w:szCs w:val="21"/>
              </w:rPr>
              <w:t>较适用途</w:t>
            </w:r>
          </w:p>
        </w:tc>
        <w:tc>
          <w:tcPr>
            <w:tcW w:w="1371" w:type="dxa"/>
            <w:vAlign w:val="center"/>
          </w:tcPr>
          <w:p>
            <w:pPr>
              <w:widowControl/>
              <w:jc w:val="center"/>
              <w:rPr>
                <w:color w:val="000000"/>
                <w:kern w:val="0"/>
                <w:szCs w:val="21"/>
              </w:rPr>
            </w:pPr>
            <w:r>
              <w:rPr>
                <w:color w:val="000000"/>
                <w:kern w:val="0"/>
                <w:szCs w:val="21"/>
              </w:rPr>
              <w:t>一般用途</w:t>
            </w:r>
          </w:p>
        </w:tc>
        <w:tc>
          <w:tcPr>
            <w:tcW w:w="1371" w:type="dxa"/>
            <w:vAlign w:val="center"/>
          </w:tcPr>
          <w:p>
            <w:pPr>
              <w:widowControl/>
              <w:jc w:val="center"/>
              <w:rPr>
                <w:color w:val="000000"/>
                <w:kern w:val="0"/>
                <w:szCs w:val="21"/>
              </w:rPr>
            </w:pPr>
            <w:r>
              <w:rPr>
                <w:color w:val="000000"/>
                <w:kern w:val="0"/>
                <w:szCs w:val="21"/>
              </w:rPr>
              <w:t>不太适合用途</w:t>
            </w:r>
          </w:p>
        </w:tc>
        <w:tc>
          <w:tcPr>
            <w:tcW w:w="869" w:type="dxa"/>
            <w:vAlign w:val="center"/>
          </w:tcPr>
          <w:p>
            <w:pPr>
              <w:widowControl/>
              <w:jc w:val="center"/>
              <w:rPr>
                <w:color w:val="000000"/>
                <w:kern w:val="0"/>
                <w:szCs w:val="21"/>
              </w:rPr>
            </w:pPr>
            <w:r>
              <w:rPr>
                <w:color w:val="000000"/>
                <w:kern w:val="0"/>
                <w:szCs w:val="21"/>
              </w:rPr>
              <w:t>不适合用途</w:t>
            </w:r>
          </w:p>
        </w:tc>
      </w:tr>
    </w:tbl>
    <w:p>
      <w:pPr>
        <w:pStyle w:val="131"/>
        <w:spacing w:beforeLines="50" w:afterLines="50"/>
        <w:ind w:firstLine="0" w:firstLineChars="0"/>
        <w:rPr>
          <w:rFonts w:ascii="Times New Roman" w:hAnsi="Times New Roman"/>
          <w:bCs w:val="0"/>
          <w:sz w:val="23"/>
          <w:szCs w:val="23"/>
        </w:rPr>
      </w:pPr>
      <w:r>
        <w:rPr>
          <w:rFonts w:ascii="Times New Roman" w:hAnsi="Times New Roman"/>
          <w:bCs w:val="0"/>
          <w:sz w:val="23"/>
          <w:szCs w:val="23"/>
        </w:rPr>
        <w:br w:type="page"/>
      </w:r>
      <w:r>
        <w:rPr>
          <w:rFonts w:ascii="Times New Roman" w:hAnsi="Times New Roman"/>
          <w:bCs w:val="0"/>
          <w:sz w:val="24"/>
          <w:szCs w:val="24"/>
        </w:rPr>
        <w:t>表4-5-3  长沙县Ⅱ级工矿仓储用地宗地地价区域因素修正系数表（%）</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5"/>
        <w:gridCol w:w="2066"/>
        <w:gridCol w:w="917"/>
        <w:gridCol w:w="950"/>
        <w:gridCol w:w="950"/>
        <w:gridCol w:w="857"/>
        <w:gridCol w:w="953"/>
        <w:gridCol w:w="9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415"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2066"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指标层</w:t>
            </w:r>
          </w:p>
        </w:tc>
        <w:tc>
          <w:tcPr>
            <w:tcW w:w="917"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权重</w:t>
            </w:r>
          </w:p>
        </w:tc>
        <w:tc>
          <w:tcPr>
            <w:tcW w:w="950"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优</w:t>
            </w:r>
          </w:p>
        </w:tc>
        <w:tc>
          <w:tcPr>
            <w:tcW w:w="950"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较优</w:t>
            </w:r>
          </w:p>
        </w:tc>
        <w:tc>
          <w:tcPr>
            <w:tcW w:w="857"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一般</w:t>
            </w:r>
          </w:p>
        </w:tc>
        <w:tc>
          <w:tcPr>
            <w:tcW w:w="953"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较劣</w:t>
            </w:r>
          </w:p>
        </w:tc>
        <w:tc>
          <w:tcPr>
            <w:tcW w:w="953"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415"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道路通达度</w:t>
            </w:r>
          </w:p>
        </w:tc>
        <w:tc>
          <w:tcPr>
            <w:tcW w:w="206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临近道路状况</w:t>
            </w:r>
          </w:p>
        </w:tc>
        <w:tc>
          <w:tcPr>
            <w:tcW w:w="917" w:type="dxa"/>
            <w:tcBorders>
              <w:top w:val="single" w:color="auto" w:sz="4" w:space="0"/>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0.1813</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2.5835</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1.2918</w:t>
            </w:r>
          </w:p>
        </w:tc>
        <w:tc>
          <w:tcPr>
            <w:tcW w:w="85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-1.4332</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-2.8664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415"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对外交通便利度</w:t>
            </w:r>
          </w:p>
        </w:tc>
        <w:tc>
          <w:tcPr>
            <w:tcW w:w="206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距最近长途汽车站距离</w:t>
            </w:r>
          </w:p>
        </w:tc>
        <w:tc>
          <w:tcPr>
            <w:tcW w:w="91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0.0577</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0.8222</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0.4111</w:t>
            </w:r>
          </w:p>
        </w:tc>
        <w:tc>
          <w:tcPr>
            <w:tcW w:w="85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-0.4561</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415"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66" w:type="dxa"/>
            <w:tcBorders>
              <w:top w:val="nil"/>
              <w:left w:val="nil"/>
              <w:bottom w:val="single" w:color="auto" w:sz="4" w:space="0"/>
              <w:right w:val="single" w:color="auto" w:sz="4" w:space="0"/>
            </w:tcBorders>
            <w:vAlign w:val="center"/>
          </w:tcPr>
          <w:p>
            <w:pPr>
              <w:widowControl/>
              <w:shd w:val="clear" w:color="auto" w:fill="FFFFFF"/>
              <w:jc w:val="center"/>
              <w:rPr>
                <w:color w:val="000000"/>
                <w:kern w:val="0"/>
                <w:szCs w:val="21"/>
              </w:rPr>
            </w:pPr>
            <w:r>
              <w:rPr>
                <w:rFonts w:hint="eastAsia" w:cs="宋体"/>
                <w:color w:val="000000"/>
                <w:kern w:val="0"/>
                <w:szCs w:val="21"/>
              </w:rPr>
              <w:t>临高速出入口距离</w:t>
            </w:r>
          </w:p>
        </w:tc>
        <w:tc>
          <w:tcPr>
            <w:tcW w:w="91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0.0534</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0.7610</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0.3805</w:t>
            </w:r>
          </w:p>
        </w:tc>
        <w:tc>
          <w:tcPr>
            <w:tcW w:w="85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-0.4221</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-0.8443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415"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66" w:type="dxa"/>
            <w:tcBorders>
              <w:top w:val="nil"/>
              <w:left w:val="nil"/>
              <w:bottom w:val="single" w:color="auto" w:sz="4" w:space="0"/>
              <w:right w:val="single" w:color="auto" w:sz="4" w:space="0"/>
            </w:tcBorders>
            <w:vAlign w:val="center"/>
          </w:tcPr>
          <w:p>
            <w:pPr>
              <w:widowControl/>
              <w:shd w:val="clear" w:color="auto" w:fill="FFFFFF"/>
              <w:jc w:val="center"/>
              <w:rPr>
                <w:color w:val="000000"/>
                <w:kern w:val="0"/>
                <w:szCs w:val="21"/>
              </w:rPr>
            </w:pPr>
            <w:r>
              <w:rPr>
                <w:rFonts w:hint="eastAsia" w:cs="宋体"/>
                <w:color w:val="000000"/>
                <w:kern w:val="0"/>
                <w:szCs w:val="21"/>
              </w:rPr>
              <w:t>临机场距离</w:t>
            </w:r>
          </w:p>
        </w:tc>
        <w:tc>
          <w:tcPr>
            <w:tcW w:w="91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0.0324</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0.4617</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0.2309</w:t>
            </w:r>
          </w:p>
        </w:tc>
        <w:tc>
          <w:tcPr>
            <w:tcW w:w="85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-0.2561</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415"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基础设施完善度</w:t>
            </w:r>
          </w:p>
        </w:tc>
        <w:tc>
          <w:tcPr>
            <w:tcW w:w="206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排水状况</w:t>
            </w:r>
          </w:p>
        </w:tc>
        <w:tc>
          <w:tcPr>
            <w:tcW w:w="91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0.0706</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1.0061</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0.5030</w:t>
            </w:r>
          </w:p>
        </w:tc>
        <w:tc>
          <w:tcPr>
            <w:tcW w:w="85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-0.5581</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-1.1162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415"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6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供水状况</w:t>
            </w:r>
          </w:p>
        </w:tc>
        <w:tc>
          <w:tcPr>
            <w:tcW w:w="91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0.0706</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1.0061</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0.5030</w:t>
            </w:r>
          </w:p>
        </w:tc>
        <w:tc>
          <w:tcPr>
            <w:tcW w:w="85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-0.5581</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-1.1162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415"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6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供电状况</w:t>
            </w:r>
          </w:p>
        </w:tc>
        <w:tc>
          <w:tcPr>
            <w:tcW w:w="91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0.0706</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1.0061</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0.5030</w:t>
            </w:r>
          </w:p>
        </w:tc>
        <w:tc>
          <w:tcPr>
            <w:tcW w:w="85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-0.5581</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-1.1162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415"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6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供气状况</w:t>
            </w:r>
          </w:p>
        </w:tc>
        <w:tc>
          <w:tcPr>
            <w:tcW w:w="91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0.0706</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1.0061</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0.5030</w:t>
            </w:r>
          </w:p>
        </w:tc>
        <w:tc>
          <w:tcPr>
            <w:tcW w:w="85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-0.5581</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-1.1162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415"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自然条件优劣度</w:t>
            </w:r>
          </w:p>
        </w:tc>
        <w:tc>
          <w:tcPr>
            <w:tcW w:w="206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地质状况</w:t>
            </w:r>
          </w:p>
        </w:tc>
        <w:tc>
          <w:tcPr>
            <w:tcW w:w="91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0.0667</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0.9505</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0.4752</w:t>
            </w:r>
          </w:p>
        </w:tc>
        <w:tc>
          <w:tcPr>
            <w:tcW w:w="85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-0.5273</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-1.0545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415"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6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洪水淹没状况</w:t>
            </w:r>
          </w:p>
        </w:tc>
        <w:tc>
          <w:tcPr>
            <w:tcW w:w="91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0.0674</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0.9605</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0.4802</w:t>
            </w:r>
          </w:p>
        </w:tc>
        <w:tc>
          <w:tcPr>
            <w:tcW w:w="85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-0.5328</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-1.0656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415"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产业集聚影响度</w:t>
            </w:r>
          </w:p>
        </w:tc>
        <w:tc>
          <w:tcPr>
            <w:tcW w:w="206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产业集聚影响度</w:t>
            </w:r>
          </w:p>
        </w:tc>
        <w:tc>
          <w:tcPr>
            <w:tcW w:w="91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0.1547</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2.2045</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1.1022</w:t>
            </w:r>
          </w:p>
        </w:tc>
        <w:tc>
          <w:tcPr>
            <w:tcW w:w="85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-1.2229</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-2.4458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415"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城市规划</w:t>
            </w:r>
          </w:p>
        </w:tc>
        <w:tc>
          <w:tcPr>
            <w:tcW w:w="206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用地规划</w:t>
            </w:r>
          </w:p>
        </w:tc>
        <w:tc>
          <w:tcPr>
            <w:tcW w:w="91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0.0611</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0.8707</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0.4353</w:t>
            </w:r>
          </w:p>
        </w:tc>
        <w:tc>
          <w:tcPr>
            <w:tcW w:w="85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-0.4830</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-0.9660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415"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66"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道路规划</w:t>
            </w:r>
          </w:p>
        </w:tc>
        <w:tc>
          <w:tcPr>
            <w:tcW w:w="91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0.0429</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0.6113</w:t>
            </w:r>
          </w:p>
        </w:tc>
        <w:tc>
          <w:tcPr>
            <w:tcW w:w="95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0.3057</w:t>
            </w:r>
          </w:p>
        </w:tc>
        <w:tc>
          <w:tcPr>
            <w:tcW w:w="85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-0.3391</w:t>
            </w:r>
          </w:p>
        </w:tc>
        <w:tc>
          <w:tcPr>
            <w:tcW w:w="95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-0.6782</w:t>
            </w:r>
          </w:p>
        </w:tc>
      </w:tr>
    </w:tbl>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表4-5-4  长沙县Ⅱ级工矿仓储用地宗地地价区域因素修正系数指标说明表</w:t>
      </w:r>
    </w:p>
    <w:tbl>
      <w:tblPr>
        <w:tblW w:w="9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810"/>
        <w:gridCol w:w="1524"/>
        <w:gridCol w:w="902"/>
        <w:gridCol w:w="1371"/>
        <w:gridCol w:w="1371"/>
        <w:gridCol w:w="1371"/>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0" w:type="dxa"/>
            <w:vAlign w:val="center"/>
          </w:tcPr>
          <w:p>
            <w:pPr>
              <w:widowControl/>
              <w:jc w:val="center"/>
              <w:rPr>
                <w:b/>
                <w:bCs/>
                <w:color w:val="000000"/>
                <w:kern w:val="0"/>
                <w:szCs w:val="21"/>
              </w:rPr>
            </w:pPr>
            <w:r>
              <w:rPr>
                <w:b/>
                <w:bCs/>
                <w:color w:val="000000"/>
                <w:kern w:val="0"/>
                <w:szCs w:val="21"/>
              </w:rPr>
              <w:t>因素层</w:t>
            </w:r>
          </w:p>
        </w:tc>
        <w:tc>
          <w:tcPr>
            <w:tcW w:w="810" w:type="dxa"/>
            <w:vAlign w:val="center"/>
          </w:tcPr>
          <w:p>
            <w:pPr>
              <w:widowControl/>
              <w:jc w:val="center"/>
              <w:rPr>
                <w:b/>
                <w:bCs/>
                <w:color w:val="000000"/>
                <w:kern w:val="0"/>
                <w:szCs w:val="21"/>
              </w:rPr>
            </w:pPr>
            <w:r>
              <w:rPr>
                <w:b/>
                <w:bCs/>
                <w:color w:val="000000"/>
                <w:kern w:val="0"/>
                <w:szCs w:val="21"/>
              </w:rPr>
              <w:t>因子层</w:t>
            </w:r>
          </w:p>
        </w:tc>
        <w:tc>
          <w:tcPr>
            <w:tcW w:w="1524" w:type="dxa"/>
            <w:vAlign w:val="center"/>
          </w:tcPr>
          <w:p>
            <w:pPr>
              <w:widowControl/>
              <w:jc w:val="center"/>
              <w:rPr>
                <w:b/>
                <w:bCs/>
                <w:color w:val="000000"/>
                <w:kern w:val="0"/>
                <w:szCs w:val="21"/>
              </w:rPr>
            </w:pPr>
            <w:r>
              <w:rPr>
                <w:b/>
                <w:bCs/>
                <w:color w:val="000000"/>
                <w:kern w:val="0"/>
                <w:szCs w:val="21"/>
              </w:rPr>
              <w:t>指标层</w:t>
            </w:r>
          </w:p>
        </w:tc>
        <w:tc>
          <w:tcPr>
            <w:tcW w:w="902" w:type="dxa"/>
            <w:vAlign w:val="center"/>
          </w:tcPr>
          <w:p>
            <w:pPr>
              <w:widowControl/>
              <w:jc w:val="center"/>
              <w:rPr>
                <w:b/>
                <w:bCs/>
                <w:color w:val="000000"/>
                <w:kern w:val="0"/>
                <w:szCs w:val="21"/>
              </w:rPr>
            </w:pPr>
            <w:r>
              <w:rPr>
                <w:b/>
                <w:bCs/>
                <w:color w:val="000000"/>
                <w:kern w:val="0"/>
                <w:szCs w:val="21"/>
              </w:rPr>
              <w:t>优</w:t>
            </w:r>
          </w:p>
        </w:tc>
        <w:tc>
          <w:tcPr>
            <w:tcW w:w="1371" w:type="dxa"/>
            <w:vAlign w:val="center"/>
          </w:tcPr>
          <w:p>
            <w:pPr>
              <w:widowControl/>
              <w:jc w:val="center"/>
              <w:rPr>
                <w:b/>
                <w:bCs/>
                <w:color w:val="000000"/>
                <w:kern w:val="0"/>
                <w:szCs w:val="21"/>
              </w:rPr>
            </w:pPr>
            <w:r>
              <w:rPr>
                <w:b/>
                <w:bCs/>
                <w:color w:val="000000"/>
                <w:kern w:val="0"/>
                <w:szCs w:val="21"/>
              </w:rPr>
              <w:t>较优</w:t>
            </w:r>
          </w:p>
        </w:tc>
        <w:tc>
          <w:tcPr>
            <w:tcW w:w="1371" w:type="dxa"/>
            <w:vAlign w:val="center"/>
          </w:tcPr>
          <w:p>
            <w:pPr>
              <w:widowControl/>
              <w:jc w:val="center"/>
              <w:rPr>
                <w:b/>
                <w:bCs/>
                <w:color w:val="000000"/>
                <w:kern w:val="0"/>
                <w:szCs w:val="21"/>
              </w:rPr>
            </w:pPr>
            <w:r>
              <w:rPr>
                <w:b/>
                <w:bCs/>
                <w:color w:val="000000"/>
                <w:kern w:val="0"/>
                <w:szCs w:val="21"/>
              </w:rPr>
              <w:t>一般</w:t>
            </w:r>
          </w:p>
        </w:tc>
        <w:tc>
          <w:tcPr>
            <w:tcW w:w="1371" w:type="dxa"/>
            <w:vAlign w:val="center"/>
          </w:tcPr>
          <w:p>
            <w:pPr>
              <w:widowControl/>
              <w:jc w:val="center"/>
              <w:rPr>
                <w:b/>
                <w:bCs/>
                <w:color w:val="000000"/>
                <w:kern w:val="0"/>
                <w:szCs w:val="21"/>
              </w:rPr>
            </w:pPr>
            <w:r>
              <w:rPr>
                <w:b/>
                <w:bCs/>
                <w:color w:val="000000"/>
                <w:kern w:val="0"/>
                <w:szCs w:val="21"/>
              </w:rPr>
              <w:t>较劣</w:t>
            </w:r>
          </w:p>
        </w:tc>
        <w:tc>
          <w:tcPr>
            <w:tcW w:w="902" w:type="dxa"/>
            <w:vAlign w:val="center"/>
          </w:tcPr>
          <w:p>
            <w:pPr>
              <w:widowControl/>
              <w:jc w:val="center"/>
              <w:rPr>
                <w:b/>
                <w:bCs/>
                <w:color w:val="000000"/>
                <w:kern w:val="0"/>
                <w:szCs w:val="21"/>
              </w:rPr>
            </w:pPr>
            <w:r>
              <w:rPr>
                <w:b/>
                <w:bCs/>
                <w:color w:val="000000"/>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0" w:type="dxa"/>
            <w:vMerge w:val="restart"/>
            <w:vAlign w:val="center"/>
          </w:tcPr>
          <w:p>
            <w:pPr>
              <w:widowControl/>
              <w:jc w:val="center"/>
              <w:rPr>
                <w:color w:val="000000"/>
                <w:kern w:val="0"/>
                <w:szCs w:val="21"/>
              </w:rPr>
            </w:pPr>
            <w:r>
              <w:rPr>
                <w:color w:val="000000"/>
                <w:kern w:val="0"/>
                <w:szCs w:val="21"/>
              </w:rPr>
              <w:t>交通条件</w:t>
            </w:r>
          </w:p>
        </w:tc>
        <w:tc>
          <w:tcPr>
            <w:tcW w:w="810" w:type="dxa"/>
            <w:vAlign w:val="center"/>
          </w:tcPr>
          <w:p>
            <w:pPr>
              <w:widowControl/>
              <w:jc w:val="center"/>
              <w:rPr>
                <w:color w:val="000000"/>
                <w:kern w:val="0"/>
                <w:szCs w:val="21"/>
              </w:rPr>
            </w:pPr>
            <w:r>
              <w:rPr>
                <w:color w:val="000000"/>
                <w:kern w:val="0"/>
                <w:szCs w:val="21"/>
              </w:rPr>
              <w:t>道路通达度</w:t>
            </w:r>
          </w:p>
        </w:tc>
        <w:tc>
          <w:tcPr>
            <w:tcW w:w="1524" w:type="dxa"/>
            <w:vAlign w:val="center"/>
          </w:tcPr>
          <w:p>
            <w:pPr>
              <w:widowControl/>
              <w:jc w:val="center"/>
              <w:rPr>
                <w:color w:val="000000"/>
                <w:kern w:val="0"/>
                <w:szCs w:val="21"/>
              </w:rPr>
            </w:pPr>
            <w:r>
              <w:rPr>
                <w:color w:val="000000"/>
                <w:kern w:val="0"/>
                <w:szCs w:val="21"/>
              </w:rPr>
              <w:t>临近道路状况</w:t>
            </w:r>
          </w:p>
        </w:tc>
        <w:tc>
          <w:tcPr>
            <w:tcW w:w="902" w:type="dxa"/>
            <w:vAlign w:val="center"/>
          </w:tcPr>
          <w:p>
            <w:pPr>
              <w:widowControl/>
              <w:jc w:val="center"/>
              <w:rPr>
                <w:kern w:val="0"/>
                <w:szCs w:val="21"/>
              </w:rPr>
            </w:pPr>
            <w:r>
              <w:rPr>
                <w:kern w:val="0"/>
                <w:szCs w:val="21"/>
              </w:rPr>
              <w:t>临繁华主干道</w:t>
            </w:r>
          </w:p>
        </w:tc>
        <w:tc>
          <w:tcPr>
            <w:tcW w:w="1371" w:type="dxa"/>
            <w:vAlign w:val="center"/>
          </w:tcPr>
          <w:p>
            <w:pPr>
              <w:widowControl/>
              <w:jc w:val="center"/>
              <w:rPr>
                <w:kern w:val="0"/>
                <w:szCs w:val="21"/>
              </w:rPr>
            </w:pPr>
            <w:r>
              <w:rPr>
                <w:kern w:val="0"/>
                <w:szCs w:val="21"/>
              </w:rPr>
              <w:t>临主干道</w:t>
            </w:r>
          </w:p>
        </w:tc>
        <w:tc>
          <w:tcPr>
            <w:tcW w:w="1371" w:type="dxa"/>
            <w:vAlign w:val="center"/>
          </w:tcPr>
          <w:p>
            <w:pPr>
              <w:widowControl/>
              <w:jc w:val="center"/>
              <w:rPr>
                <w:kern w:val="0"/>
                <w:szCs w:val="21"/>
              </w:rPr>
            </w:pPr>
            <w:r>
              <w:rPr>
                <w:kern w:val="0"/>
                <w:szCs w:val="21"/>
              </w:rPr>
              <w:t>临繁华次干道</w:t>
            </w:r>
          </w:p>
        </w:tc>
        <w:tc>
          <w:tcPr>
            <w:tcW w:w="1371" w:type="dxa"/>
            <w:vAlign w:val="center"/>
          </w:tcPr>
          <w:p>
            <w:pPr>
              <w:widowControl/>
              <w:jc w:val="center"/>
              <w:rPr>
                <w:kern w:val="0"/>
                <w:szCs w:val="21"/>
              </w:rPr>
            </w:pPr>
            <w:r>
              <w:rPr>
                <w:kern w:val="0"/>
                <w:szCs w:val="21"/>
              </w:rPr>
              <w:t>临次干道</w:t>
            </w:r>
          </w:p>
        </w:tc>
        <w:tc>
          <w:tcPr>
            <w:tcW w:w="902" w:type="dxa"/>
            <w:vAlign w:val="center"/>
          </w:tcPr>
          <w:p>
            <w:pPr>
              <w:widowControl/>
              <w:jc w:val="center"/>
              <w:rPr>
                <w:kern w:val="0"/>
                <w:szCs w:val="21"/>
              </w:rPr>
            </w:pPr>
            <w:r>
              <w:rPr>
                <w:kern w:val="0"/>
                <w:szCs w:val="21"/>
              </w:rPr>
              <w:t>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0" w:type="dxa"/>
            <w:vMerge w:val="continue"/>
            <w:vAlign w:val="center"/>
          </w:tcPr>
          <w:p>
            <w:pPr>
              <w:widowControl/>
              <w:jc w:val="left"/>
              <w:rPr>
                <w:color w:val="000000"/>
                <w:kern w:val="0"/>
                <w:szCs w:val="21"/>
              </w:rPr>
            </w:pPr>
          </w:p>
        </w:tc>
        <w:tc>
          <w:tcPr>
            <w:tcW w:w="810" w:type="dxa"/>
            <w:vMerge w:val="restart"/>
            <w:vAlign w:val="center"/>
          </w:tcPr>
          <w:p>
            <w:pPr>
              <w:widowControl/>
              <w:jc w:val="center"/>
              <w:rPr>
                <w:color w:val="000000"/>
                <w:kern w:val="0"/>
                <w:szCs w:val="21"/>
              </w:rPr>
            </w:pPr>
            <w:r>
              <w:rPr>
                <w:color w:val="000000"/>
                <w:kern w:val="0"/>
                <w:szCs w:val="21"/>
              </w:rPr>
              <w:t>对外交通便利度</w:t>
            </w:r>
          </w:p>
        </w:tc>
        <w:tc>
          <w:tcPr>
            <w:tcW w:w="1524" w:type="dxa"/>
            <w:vAlign w:val="center"/>
          </w:tcPr>
          <w:p>
            <w:pPr>
              <w:widowControl/>
              <w:jc w:val="center"/>
              <w:rPr>
                <w:color w:val="000000"/>
                <w:kern w:val="0"/>
                <w:szCs w:val="21"/>
              </w:rPr>
            </w:pPr>
            <w:r>
              <w:rPr>
                <w:color w:val="000000"/>
                <w:kern w:val="0"/>
                <w:szCs w:val="21"/>
              </w:rPr>
              <w:t>距最近长途汽车站距离</w:t>
            </w:r>
            <w:r>
              <w:rPr>
                <w:rFonts w:hint="eastAsia"/>
                <w:color w:val="000000"/>
                <w:kern w:val="0"/>
                <w:szCs w:val="21"/>
              </w:rPr>
              <w:t>（m）</w:t>
            </w:r>
          </w:p>
        </w:tc>
        <w:tc>
          <w:tcPr>
            <w:tcW w:w="902" w:type="dxa"/>
            <w:vAlign w:val="center"/>
          </w:tcPr>
          <w:p>
            <w:pPr>
              <w:widowControl/>
              <w:jc w:val="center"/>
              <w:rPr>
                <w:color w:val="000000"/>
                <w:kern w:val="0"/>
                <w:szCs w:val="21"/>
              </w:rPr>
            </w:pPr>
            <w:r>
              <w:rPr>
                <w:color w:val="000000"/>
                <w:kern w:val="0"/>
                <w:szCs w:val="21"/>
              </w:rPr>
              <w:t>&lt;1000</w:t>
            </w:r>
          </w:p>
        </w:tc>
        <w:tc>
          <w:tcPr>
            <w:tcW w:w="1371" w:type="dxa"/>
            <w:vAlign w:val="center"/>
          </w:tcPr>
          <w:p>
            <w:pPr>
              <w:widowControl/>
              <w:jc w:val="center"/>
              <w:rPr>
                <w:color w:val="000000"/>
                <w:kern w:val="0"/>
                <w:szCs w:val="21"/>
              </w:rPr>
            </w:pPr>
            <w:r>
              <w:rPr>
                <w:color w:val="000000"/>
                <w:kern w:val="0"/>
                <w:szCs w:val="21"/>
              </w:rPr>
              <w:t>1000-3330</w:t>
            </w:r>
          </w:p>
        </w:tc>
        <w:tc>
          <w:tcPr>
            <w:tcW w:w="1371" w:type="dxa"/>
            <w:vAlign w:val="center"/>
          </w:tcPr>
          <w:p>
            <w:pPr>
              <w:widowControl/>
              <w:jc w:val="center"/>
              <w:rPr>
                <w:color w:val="000000"/>
                <w:kern w:val="0"/>
                <w:szCs w:val="21"/>
              </w:rPr>
            </w:pPr>
            <w:r>
              <w:rPr>
                <w:color w:val="000000"/>
                <w:kern w:val="0"/>
                <w:szCs w:val="21"/>
              </w:rPr>
              <w:t>3330-5660</w:t>
            </w:r>
          </w:p>
        </w:tc>
        <w:tc>
          <w:tcPr>
            <w:tcW w:w="1371" w:type="dxa"/>
            <w:vAlign w:val="center"/>
          </w:tcPr>
          <w:p>
            <w:pPr>
              <w:widowControl/>
              <w:jc w:val="center"/>
              <w:rPr>
                <w:color w:val="000000"/>
                <w:kern w:val="0"/>
                <w:szCs w:val="21"/>
              </w:rPr>
            </w:pPr>
            <w:r>
              <w:rPr>
                <w:color w:val="000000"/>
                <w:kern w:val="0"/>
                <w:szCs w:val="21"/>
              </w:rPr>
              <w:t>5660-8000</w:t>
            </w:r>
          </w:p>
        </w:tc>
        <w:tc>
          <w:tcPr>
            <w:tcW w:w="902" w:type="dxa"/>
            <w:vAlign w:val="center"/>
          </w:tcPr>
          <w:p>
            <w:pPr>
              <w:widowControl/>
              <w:jc w:val="center"/>
              <w:rPr>
                <w:color w:val="000000"/>
                <w:kern w:val="0"/>
                <w:szCs w:val="21"/>
              </w:rPr>
            </w:pPr>
            <w:r>
              <w:rPr>
                <w:color w:val="000000"/>
                <w:kern w:val="0"/>
                <w:szCs w:val="21"/>
              </w:rPr>
              <w:t>&lt;8000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0" w:type="dxa"/>
            <w:vMerge w:val="continue"/>
            <w:vAlign w:val="center"/>
          </w:tcPr>
          <w:p>
            <w:pPr>
              <w:widowControl/>
              <w:jc w:val="left"/>
              <w:rPr>
                <w:color w:val="000000"/>
                <w:kern w:val="0"/>
                <w:szCs w:val="21"/>
              </w:rPr>
            </w:pPr>
          </w:p>
        </w:tc>
        <w:tc>
          <w:tcPr>
            <w:tcW w:w="810" w:type="dxa"/>
            <w:vMerge w:val="continue"/>
            <w:vAlign w:val="center"/>
          </w:tcPr>
          <w:p>
            <w:pPr>
              <w:widowControl/>
              <w:jc w:val="left"/>
              <w:rPr>
                <w:color w:val="000000"/>
                <w:kern w:val="0"/>
                <w:szCs w:val="21"/>
              </w:rPr>
            </w:pPr>
          </w:p>
        </w:tc>
        <w:tc>
          <w:tcPr>
            <w:tcW w:w="1524" w:type="dxa"/>
            <w:vAlign w:val="center"/>
          </w:tcPr>
          <w:p>
            <w:pPr>
              <w:widowControl/>
              <w:shd w:val="clear" w:color="auto" w:fill="FFFFFF"/>
              <w:jc w:val="center"/>
              <w:rPr>
                <w:color w:val="000000"/>
                <w:kern w:val="0"/>
                <w:szCs w:val="21"/>
              </w:rPr>
            </w:pPr>
            <w:r>
              <w:rPr>
                <w:rFonts w:hint="eastAsia" w:cs="宋体"/>
                <w:color w:val="000000"/>
                <w:kern w:val="0"/>
                <w:szCs w:val="21"/>
              </w:rPr>
              <w:t>临高速出入口距离（m）</w:t>
            </w:r>
          </w:p>
        </w:tc>
        <w:tc>
          <w:tcPr>
            <w:tcW w:w="902" w:type="dxa"/>
            <w:vAlign w:val="center"/>
          </w:tcPr>
          <w:p>
            <w:pPr>
              <w:shd w:val="clear" w:color="auto" w:fill="FFFFFF"/>
              <w:ind w:left="-105" w:leftChars="-50" w:right="-105" w:rightChars="-50"/>
              <w:jc w:val="center"/>
              <w:rPr>
                <w:color w:val="000000"/>
                <w:kern w:val="0"/>
                <w:szCs w:val="21"/>
              </w:rPr>
            </w:pPr>
            <w:r>
              <w:rPr>
                <w:szCs w:val="21"/>
              </w:rPr>
              <w:t>≤</w:t>
            </w:r>
            <w:r>
              <w:rPr>
                <w:rFonts w:hint="eastAsia"/>
                <w:szCs w:val="21"/>
              </w:rPr>
              <w:t>5</w:t>
            </w:r>
            <w:r>
              <w:rPr>
                <w:szCs w:val="21"/>
              </w:rPr>
              <w:t>00</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5</w:t>
            </w:r>
            <w:r>
              <w:rPr>
                <w:szCs w:val="21"/>
              </w:rPr>
              <w:t>00</w:t>
            </w:r>
            <w:r>
              <w:rPr>
                <w:rFonts w:hint="eastAsia"/>
                <w:szCs w:val="21"/>
              </w:rPr>
              <w:t>-10</w:t>
            </w:r>
            <w:r>
              <w:rPr>
                <w:szCs w:val="21"/>
              </w:rPr>
              <w:t>00</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10</w:t>
            </w:r>
            <w:r>
              <w:rPr>
                <w:szCs w:val="21"/>
              </w:rPr>
              <w:t>00</w:t>
            </w:r>
            <w:r>
              <w:rPr>
                <w:rFonts w:hint="eastAsia"/>
                <w:szCs w:val="21"/>
              </w:rPr>
              <w:t>-15</w:t>
            </w:r>
            <w:r>
              <w:rPr>
                <w:szCs w:val="21"/>
              </w:rPr>
              <w:t>00</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15</w:t>
            </w:r>
            <w:r>
              <w:rPr>
                <w:szCs w:val="21"/>
              </w:rPr>
              <w:t>00</w:t>
            </w:r>
            <w:r>
              <w:rPr>
                <w:rFonts w:hint="eastAsia"/>
                <w:szCs w:val="21"/>
              </w:rPr>
              <w:t>-</w:t>
            </w:r>
            <w:r>
              <w:rPr>
                <w:szCs w:val="21"/>
              </w:rPr>
              <w:t>2</w:t>
            </w:r>
            <w:r>
              <w:rPr>
                <w:rFonts w:hint="eastAsia"/>
                <w:szCs w:val="21"/>
              </w:rPr>
              <w:t>0</w:t>
            </w:r>
            <w:r>
              <w:rPr>
                <w:szCs w:val="21"/>
              </w:rPr>
              <w:t>00</w:t>
            </w:r>
          </w:p>
        </w:tc>
        <w:tc>
          <w:tcPr>
            <w:tcW w:w="902" w:type="dxa"/>
            <w:vAlign w:val="center"/>
          </w:tcPr>
          <w:p>
            <w:pPr>
              <w:shd w:val="clear" w:color="auto" w:fill="FFFFFF"/>
              <w:ind w:left="-105" w:leftChars="-50" w:right="-105" w:rightChars="-50"/>
              <w:jc w:val="center"/>
              <w:rPr>
                <w:color w:val="000000"/>
                <w:kern w:val="0"/>
                <w:szCs w:val="21"/>
              </w:rPr>
            </w:pPr>
            <w:r>
              <w:rPr>
                <w:szCs w:val="21"/>
              </w:rPr>
              <w:t>&gt;2</w:t>
            </w:r>
            <w:r>
              <w:rPr>
                <w:rFonts w:hint="eastAsia"/>
                <w:szCs w:val="21"/>
              </w:rPr>
              <w:t>0</w:t>
            </w:r>
            <w:r>
              <w:rPr>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0" w:type="dxa"/>
            <w:vMerge w:val="continue"/>
            <w:vAlign w:val="center"/>
          </w:tcPr>
          <w:p>
            <w:pPr>
              <w:widowControl/>
              <w:jc w:val="left"/>
              <w:rPr>
                <w:color w:val="000000"/>
                <w:kern w:val="0"/>
                <w:szCs w:val="21"/>
              </w:rPr>
            </w:pPr>
          </w:p>
        </w:tc>
        <w:tc>
          <w:tcPr>
            <w:tcW w:w="810" w:type="dxa"/>
            <w:vMerge w:val="continue"/>
            <w:vAlign w:val="center"/>
          </w:tcPr>
          <w:p>
            <w:pPr>
              <w:widowControl/>
              <w:jc w:val="left"/>
              <w:rPr>
                <w:color w:val="000000"/>
                <w:kern w:val="0"/>
                <w:szCs w:val="21"/>
              </w:rPr>
            </w:pPr>
          </w:p>
        </w:tc>
        <w:tc>
          <w:tcPr>
            <w:tcW w:w="1524" w:type="dxa"/>
            <w:vAlign w:val="center"/>
          </w:tcPr>
          <w:p>
            <w:pPr>
              <w:widowControl/>
              <w:shd w:val="clear" w:color="auto" w:fill="FFFFFF"/>
              <w:jc w:val="center"/>
              <w:rPr>
                <w:color w:val="000000"/>
                <w:kern w:val="0"/>
                <w:szCs w:val="21"/>
              </w:rPr>
            </w:pPr>
            <w:r>
              <w:rPr>
                <w:rFonts w:hint="eastAsia" w:cs="宋体"/>
                <w:color w:val="000000"/>
                <w:kern w:val="0"/>
                <w:szCs w:val="21"/>
              </w:rPr>
              <w:t>临机场距离（km）</w:t>
            </w:r>
          </w:p>
        </w:tc>
        <w:tc>
          <w:tcPr>
            <w:tcW w:w="902" w:type="dxa"/>
            <w:vAlign w:val="center"/>
          </w:tcPr>
          <w:p>
            <w:pPr>
              <w:shd w:val="clear" w:color="auto" w:fill="FFFFFF"/>
              <w:ind w:left="-105" w:leftChars="-50" w:right="-105" w:rightChars="-50"/>
              <w:jc w:val="center"/>
              <w:rPr>
                <w:color w:val="000000"/>
                <w:kern w:val="0"/>
                <w:szCs w:val="21"/>
              </w:rPr>
            </w:pPr>
            <w:r>
              <w:rPr>
                <w:szCs w:val="21"/>
              </w:rPr>
              <w:t>≤1</w:t>
            </w:r>
            <w:r>
              <w:rPr>
                <w:rFonts w:hint="eastAsia"/>
                <w:szCs w:val="21"/>
              </w:rPr>
              <w:t>1</w:t>
            </w:r>
          </w:p>
        </w:tc>
        <w:tc>
          <w:tcPr>
            <w:tcW w:w="1371" w:type="dxa"/>
            <w:vAlign w:val="center"/>
          </w:tcPr>
          <w:p>
            <w:pPr>
              <w:shd w:val="clear" w:color="auto" w:fill="FFFFFF"/>
              <w:ind w:left="-105" w:leftChars="-50" w:right="-105" w:rightChars="-50"/>
              <w:jc w:val="center"/>
              <w:rPr>
                <w:color w:val="000000"/>
                <w:kern w:val="0"/>
                <w:szCs w:val="21"/>
              </w:rPr>
            </w:pPr>
            <w:r>
              <w:rPr>
                <w:szCs w:val="21"/>
              </w:rPr>
              <w:t>1</w:t>
            </w:r>
            <w:r>
              <w:rPr>
                <w:rFonts w:hint="eastAsia"/>
                <w:szCs w:val="21"/>
              </w:rPr>
              <w:t>1-</w:t>
            </w:r>
            <w:r>
              <w:rPr>
                <w:szCs w:val="21"/>
              </w:rPr>
              <w:t>1</w:t>
            </w:r>
            <w:r>
              <w:rPr>
                <w:rFonts w:hint="eastAsia"/>
                <w:szCs w:val="21"/>
              </w:rPr>
              <w:t>3</w:t>
            </w:r>
          </w:p>
        </w:tc>
        <w:tc>
          <w:tcPr>
            <w:tcW w:w="1371" w:type="dxa"/>
            <w:vAlign w:val="center"/>
          </w:tcPr>
          <w:p>
            <w:pPr>
              <w:shd w:val="clear" w:color="auto" w:fill="FFFFFF"/>
              <w:ind w:left="-105" w:leftChars="-50" w:right="-105" w:rightChars="-50"/>
              <w:jc w:val="center"/>
              <w:rPr>
                <w:color w:val="000000"/>
                <w:kern w:val="0"/>
                <w:szCs w:val="21"/>
              </w:rPr>
            </w:pPr>
            <w:r>
              <w:rPr>
                <w:szCs w:val="21"/>
              </w:rPr>
              <w:t>1</w:t>
            </w:r>
            <w:r>
              <w:rPr>
                <w:rFonts w:hint="eastAsia"/>
                <w:szCs w:val="21"/>
              </w:rPr>
              <w:t>3-15</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15-17</w:t>
            </w:r>
          </w:p>
        </w:tc>
        <w:tc>
          <w:tcPr>
            <w:tcW w:w="902" w:type="dxa"/>
            <w:vAlign w:val="center"/>
          </w:tcPr>
          <w:p>
            <w:pPr>
              <w:shd w:val="clear" w:color="auto" w:fill="FFFFFF"/>
              <w:ind w:left="-105" w:leftChars="-50" w:right="-105" w:rightChars="-50"/>
              <w:jc w:val="center"/>
              <w:rPr>
                <w:color w:val="000000"/>
                <w:kern w:val="0"/>
                <w:szCs w:val="21"/>
              </w:rPr>
            </w:pPr>
            <w:r>
              <w:rPr>
                <w:szCs w:val="21"/>
              </w:rPr>
              <w:t>&gt;</w:t>
            </w:r>
            <w:r>
              <w:rPr>
                <w:rFonts w:hint="eastAsia"/>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0" w:type="dxa"/>
            <w:vMerge w:val="restart"/>
            <w:vAlign w:val="center"/>
          </w:tcPr>
          <w:p>
            <w:pPr>
              <w:widowControl/>
              <w:jc w:val="center"/>
              <w:rPr>
                <w:color w:val="000000"/>
                <w:kern w:val="0"/>
                <w:szCs w:val="21"/>
              </w:rPr>
            </w:pPr>
            <w:r>
              <w:rPr>
                <w:color w:val="000000"/>
                <w:kern w:val="0"/>
                <w:szCs w:val="21"/>
              </w:rPr>
              <w:t>基本设施状况</w:t>
            </w:r>
          </w:p>
        </w:tc>
        <w:tc>
          <w:tcPr>
            <w:tcW w:w="810" w:type="dxa"/>
            <w:vMerge w:val="restart"/>
            <w:vAlign w:val="center"/>
          </w:tcPr>
          <w:p>
            <w:pPr>
              <w:widowControl/>
              <w:jc w:val="center"/>
              <w:rPr>
                <w:color w:val="000000"/>
                <w:kern w:val="0"/>
                <w:szCs w:val="21"/>
              </w:rPr>
            </w:pPr>
            <w:r>
              <w:rPr>
                <w:color w:val="000000"/>
                <w:kern w:val="0"/>
                <w:szCs w:val="21"/>
              </w:rPr>
              <w:t>基础设施完善度</w:t>
            </w:r>
          </w:p>
        </w:tc>
        <w:tc>
          <w:tcPr>
            <w:tcW w:w="1524" w:type="dxa"/>
            <w:vAlign w:val="center"/>
          </w:tcPr>
          <w:p>
            <w:pPr>
              <w:widowControl/>
              <w:jc w:val="center"/>
              <w:rPr>
                <w:color w:val="000000"/>
                <w:kern w:val="0"/>
                <w:szCs w:val="21"/>
              </w:rPr>
            </w:pPr>
            <w:r>
              <w:rPr>
                <w:color w:val="000000"/>
                <w:kern w:val="0"/>
                <w:szCs w:val="21"/>
              </w:rPr>
              <w:t>排水状况</w:t>
            </w:r>
          </w:p>
        </w:tc>
        <w:tc>
          <w:tcPr>
            <w:tcW w:w="902" w:type="dxa"/>
            <w:vAlign w:val="center"/>
          </w:tcPr>
          <w:p>
            <w:pPr>
              <w:widowControl/>
              <w:jc w:val="center"/>
              <w:rPr>
                <w:color w:val="000000"/>
                <w:kern w:val="0"/>
                <w:szCs w:val="21"/>
              </w:rPr>
            </w:pPr>
            <w:r>
              <w:rPr>
                <w:color w:val="000000"/>
                <w:kern w:val="0"/>
                <w:szCs w:val="21"/>
              </w:rPr>
              <w:t>好</w:t>
            </w:r>
          </w:p>
        </w:tc>
        <w:tc>
          <w:tcPr>
            <w:tcW w:w="1371" w:type="dxa"/>
            <w:vAlign w:val="center"/>
          </w:tcPr>
          <w:p>
            <w:pPr>
              <w:widowControl/>
              <w:jc w:val="center"/>
              <w:rPr>
                <w:color w:val="000000"/>
                <w:kern w:val="0"/>
                <w:szCs w:val="21"/>
              </w:rPr>
            </w:pPr>
            <w:r>
              <w:rPr>
                <w:color w:val="000000"/>
                <w:kern w:val="0"/>
                <w:szCs w:val="21"/>
              </w:rPr>
              <w:t>较好</w:t>
            </w:r>
          </w:p>
        </w:tc>
        <w:tc>
          <w:tcPr>
            <w:tcW w:w="1371" w:type="dxa"/>
            <w:vAlign w:val="center"/>
          </w:tcPr>
          <w:p>
            <w:pPr>
              <w:widowControl/>
              <w:jc w:val="center"/>
              <w:rPr>
                <w:color w:val="000000"/>
                <w:kern w:val="0"/>
                <w:szCs w:val="21"/>
              </w:rPr>
            </w:pPr>
            <w:r>
              <w:rPr>
                <w:color w:val="000000"/>
                <w:kern w:val="0"/>
                <w:szCs w:val="21"/>
              </w:rPr>
              <w:t>一般</w:t>
            </w:r>
          </w:p>
        </w:tc>
        <w:tc>
          <w:tcPr>
            <w:tcW w:w="1371" w:type="dxa"/>
            <w:vAlign w:val="center"/>
          </w:tcPr>
          <w:p>
            <w:pPr>
              <w:widowControl/>
              <w:jc w:val="center"/>
              <w:rPr>
                <w:color w:val="000000"/>
                <w:kern w:val="0"/>
                <w:szCs w:val="21"/>
              </w:rPr>
            </w:pPr>
            <w:r>
              <w:rPr>
                <w:color w:val="000000"/>
                <w:kern w:val="0"/>
                <w:szCs w:val="21"/>
              </w:rPr>
              <w:t>较差</w:t>
            </w:r>
          </w:p>
        </w:tc>
        <w:tc>
          <w:tcPr>
            <w:tcW w:w="902" w:type="dxa"/>
            <w:vAlign w:val="center"/>
          </w:tcPr>
          <w:p>
            <w:pPr>
              <w:widowControl/>
              <w:jc w:val="center"/>
              <w:rPr>
                <w:color w:val="000000"/>
                <w:kern w:val="0"/>
                <w:szCs w:val="21"/>
              </w:rPr>
            </w:pPr>
            <w:r>
              <w:rPr>
                <w:color w:val="000000"/>
                <w:kern w:val="0"/>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0" w:type="dxa"/>
            <w:vMerge w:val="continue"/>
            <w:vAlign w:val="center"/>
          </w:tcPr>
          <w:p>
            <w:pPr>
              <w:widowControl/>
              <w:jc w:val="left"/>
              <w:rPr>
                <w:color w:val="000000"/>
                <w:kern w:val="0"/>
                <w:szCs w:val="21"/>
              </w:rPr>
            </w:pPr>
          </w:p>
        </w:tc>
        <w:tc>
          <w:tcPr>
            <w:tcW w:w="810" w:type="dxa"/>
            <w:vMerge w:val="continue"/>
            <w:vAlign w:val="center"/>
          </w:tcPr>
          <w:p>
            <w:pPr>
              <w:widowControl/>
              <w:jc w:val="left"/>
              <w:rPr>
                <w:color w:val="000000"/>
                <w:kern w:val="0"/>
                <w:szCs w:val="21"/>
              </w:rPr>
            </w:pPr>
          </w:p>
        </w:tc>
        <w:tc>
          <w:tcPr>
            <w:tcW w:w="1524" w:type="dxa"/>
            <w:vAlign w:val="center"/>
          </w:tcPr>
          <w:p>
            <w:pPr>
              <w:widowControl/>
              <w:jc w:val="center"/>
              <w:rPr>
                <w:color w:val="000000"/>
                <w:kern w:val="0"/>
                <w:szCs w:val="21"/>
              </w:rPr>
            </w:pPr>
            <w:r>
              <w:rPr>
                <w:color w:val="000000"/>
                <w:kern w:val="0"/>
                <w:szCs w:val="21"/>
              </w:rPr>
              <w:t>供水状况</w:t>
            </w:r>
          </w:p>
        </w:tc>
        <w:tc>
          <w:tcPr>
            <w:tcW w:w="902" w:type="dxa"/>
            <w:vAlign w:val="center"/>
          </w:tcPr>
          <w:p>
            <w:pPr>
              <w:widowControl/>
              <w:jc w:val="center"/>
              <w:rPr>
                <w:color w:val="000000"/>
                <w:kern w:val="0"/>
                <w:szCs w:val="21"/>
              </w:rPr>
            </w:pPr>
            <w:r>
              <w:rPr>
                <w:color w:val="000000"/>
                <w:kern w:val="0"/>
                <w:szCs w:val="21"/>
              </w:rPr>
              <w:t>100%</w:t>
            </w:r>
          </w:p>
        </w:tc>
        <w:tc>
          <w:tcPr>
            <w:tcW w:w="1371" w:type="dxa"/>
            <w:vAlign w:val="center"/>
          </w:tcPr>
          <w:p>
            <w:pPr>
              <w:widowControl/>
              <w:jc w:val="center"/>
              <w:rPr>
                <w:color w:val="000000"/>
                <w:kern w:val="0"/>
                <w:szCs w:val="21"/>
              </w:rPr>
            </w:pPr>
            <w:r>
              <w:rPr>
                <w:color w:val="000000"/>
                <w:kern w:val="0"/>
                <w:szCs w:val="21"/>
              </w:rPr>
              <w:t>90-99%</w:t>
            </w:r>
          </w:p>
        </w:tc>
        <w:tc>
          <w:tcPr>
            <w:tcW w:w="1371" w:type="dxa"/>
            <w:vAlign w:val="center"/>
          </w:tcPr>
          <w:p>
            <w:pPr>
              <w:widowControl/>
              <w:jc w:val="center"/>
              <w:rPr>
                <w:color w:val="000000"/>
                <w:kern w:val="0"/>
                <w:szCs w:val="21"/>
              </w:rPr>
            </w:pPr>
            <w:r>
              <w:rPr>
                <w:color w:val="000000"/>
                <w:kern w:val="0"/>
                <w:szCs w:val="21"/>
              </w:rPr>
              <w:t>80-89%</w:t>
            </w:r>
          </w:p>
        </w:tc>
        <w:tc>
          <w:tcPr>
            <w:tcW w:w="1371" w:type="dxa"/>
            <w:vAlign w:val="center"/>
          </w:tcPr>
          <w:p>
            <w:pPr>
              <w:widowControl/>
              <w:jc w:val="center"/>
              <w:rPr>
                <w:color w:val="000000"/>
                <w:kern w:val="0"/>
                <w:szCs w:val="21"/>
              </w:rPr>
            </w:pPr>
            <w:r>
              <w:rPr>
                <w:color w:val="000000"/>
                <w:kern w:val="0"/>
                <w:szCs w:val="21"/>
              </w:rPr>
              <w:t>60-79%</w:t>
            </w:r>
          </w:p>
        </w:tc>
        <w:tc>
          <w:tcPr>
            <w:tcW w:w="902"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0" w:type="dxa"/>
            <w:vMerge w:val="continue"/>
            <w:vAlign w:val="center"/>
          </w:tcPr>
          <w:p>
            <w:pPr>
              <w:widowControl/>
              <w:jc w:val="left"/>
              <w:rPr>
                <w:color w:val="000000"/>
                <w:kern w:val="0"/>
                <w:szCs w:val="21"/>
              </w:rPr>
            </w:pPr>
          </w:p>
        </w:tc>
        <w:tc>
          <w:tcPr>
            <w:tcW w:w="810" w:type="dxa"/>
            <w:vMerge w:val="continue"/>
            <w:vAlign w:val="center"/>
          </w:tcPr>
          <w:p>
            <w:pPr>
              <w:widowControl/>
              <w:jc w:val="left"/>
              <w:rPr>
                <w:color w:val="000000"/>
                <w:kern w:val="0"/>
                <w:szCs w:val="21"/>
              </w:rPr>
            </w:pPr>
          </w:p>
        </w:tc>
        <w:tc>
          <w:tcPr>
            <w:tcW w:w="1524" w:type="dxa"/>
            <w:vAlign w:val="center"/>
          </w:tcPr>
          <w:p>
            <w:pPr>
              <w:widowControl/>
              <w:jc w:val="center"/>
              <w:rPr>
                <w:color w:val="000000"/>
                <w:kern w:val="0"/>
                <w:szCs w:val="21"/>
              </w:rPr>
            </w:pPr>
            <w:r>
              <w:rPr>
                <w:color w:val="000000"/>
                <w:kern w:val="0"/>
                <w:szCs w:val="21"/>
              </w:rPr>
              <w:t>供电状况</w:t>
            </w:r>
          </w:p>
        </w:tc>
        <w:tc>
          <w:tcPr>
            <w:tcW w:w="902" w:type="dxa"/>
            <w:vAlign w:val="center"/>
          </w:tcPr>
          <w:p>
            <w:pPr>
              <w:widowControl/>
              <w:jc w:val="center"/>
              <w:rPr>
                <w:color w:val="000000"/>
                <w:kern w:val="0"/>
                <w:szCs w:val="21"/>
              </w:rPr>
            </w:pPr>
            <w:r>
              <w:rPr>
                <w:color w:val="000000"/>
                <w:kern w:val="0"/>
                <w:szCs w:val="21"/>
              </w:rPr>
              <w:t>100%</w:t>
            </w:r>
          </w:p>
        </w:tc>
        <w:tc>
          <w:tcPr>
            <w:tcW w:w="1371" w:type="dxa"/>
            <w:vAlign w:val="center"/>
          </w:tcPr>
          <w:p>
            <w:pPr>
              <w:widowControl/>
              <w:jc w:val="center"/>
              <w:rPr>
                <w:color w:val="000000"/>
                <w:kern w:val="0"/>
                <w:szCs w:val="21"/>
              </w:rPr>
            </w:pPr>
            <w:r>
              <w:rPr>
                <w:color w:val="000000"/>
                <w:kern w:val="0"/>
                <w:szCs w:val="21"/>
              </w:rPr>
              <w:t>90-99%</w:t>
            </w:r>
          </w:p>
        </w:tc>
        <w:tc>
          <w:tcPr>
            <w:tcW w:w="1371" w:type="dxa"/>
            <w:vAlign w:val="center"/>
          </w:tcPr>
          <w:p>
            <w:pPr>
              <w:widowControl/>
              <w:jc w:val="center"/>
              <w:rPr>
                <w:color w:val="000000"/>
                <w:kern w:val="0"/>
                <w:szCs w:val="21"/>
              </w:rPr>
            </w:pPr>
            <w:r>
              <w:rPr>
                <w:color w:val="000000"/>
                <w:kern w:val="0"/>
                <w:szCs w:val="21"/>
              </w:rPr>
              <w:t>80-89%</w:t>
            </w:r>
          </w:p>
        </w:tc>
        <w:tc>
          <w:tcPr>
            <w:tcW w:w="1371" w:type="dxa"/>
            <w:vAlign w:val="center"/>
          </w:tcPr>
          <w:p>
            <w:pPr>
              <w:widowControl/>
              <w:jc w:val="center"/>
              <w:rPr>
                <w:color w:val="000000"/>
                <w:kern w:val="0"/>
                <w:szCs w:val="21"/>
              </w:rPr>
            </w:pPr>
            <w:r>
              <w:rPr>
                <w:color w:val="000000"/>
                <w:kern w:val="0"/>
                <w:szCs w:val="21"/>
              </w:rPr>
              <w:t>60-79%</w:t>
            </w:r>
          </w:p>
        </w:tc>
        <w:tc>
          <w:tcPr>
            <w:tcW w:w="902"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0" w:type="dxa"/>
            <w:vMerge w:val="continue"/>
            <w:vAlign w:val="center"/>
          </w:tcPr>
          <w:p>
            <w:pPr>
              <w:widowControl/>
              <w:jc w:val="left"/>
              <w:rPr>
                <w:color w:val="000000"/>
                <w:kern w:val="0"/>
                <w:szCs w:val="21"/>
              </w:rPr>
            </w:pPr>
          </w:p>
        </w:tc>
        <w:tc>
          <w:tcPr>
            <w:tcW w:w="810" w:type="dxa"/>
            <w:vMerge w:val="continue"/>
            <w:vAlign w:val="center"/>
          </w:tcPr>
          <w:p>
            <w:pPr>
              <w:widowControl/>
              <w:jc w:val="left"/>
              <w:rPr>
                <w:color w:val="000000"/>
                <w:kern w:val="0"/>
                <w:szCs w:val="21"/>
              </w:rPr>
            </w:pPr>
          </w:p>
        </w:tc>
        <w:tc>
          <w:tcPr>
            <w:tcW w:w="1524" w:type="dxa"/>
            <w:vAlign w:val="center"/>
          </w:tcPr>
          <w:p>
            <w:pPr>
              <w:widowControl/>
              <w:jc w:val="center"/>
              <w:rPr>
                <w:color w:val="000000"/>
                <w:kern w:val="0"/>
                <w:szCs w:val="21"/>
              </w:rPr>
            </w:pPr>
            <w:r>
              <w:rPr>
                <w:color w:val="000000"/>
                <w:kern w:val="0"/>
                <w:szCs w:val="21"/>
              </w:rPr>
              <w:t>供气状况</w:t>
            </w:r>
          </w:p>
        </w:tc>
        <w:tc>
          <w:tcPr>
            <w:tcW w:w="902" w:type="dxa"/>
            <w:vAlign w:val="center"/>
          </w:tcPr>
          <w:p>
            <w:pPr>
              <w:widowControl/>
              <w:jc w:val="center"/>
              <w:rPr>
                <w:color w:val="000000"/>
                <w:kern w:val="0"/>
                <w:szCs w:val="21"/>
              </w:rPr>
            </w:pPr>
            <w:r>
              <w:rPr>
                <w:color w:val="000000"/>
                <w:kern w:val="0"/>
                <w:szCs w:val="21"/>
              </w:rPr>
              <w:t>100%</w:t>
            </w:r>
          </w:p>
        </w:tc>
        <w:tc>
          <w:tcPr>
            <w:tcW w:w="1371" w:type="dxa"/>
            <w:vAlign w:val="center"/>
          </w:tcPr>
          <w:p>
            <w:pPr>
              <w:widowControl/>
              <w:jc w:val="center"/>
              <w:rPr>
                <w:color w:val="000000"/>
                <w:kern w:val="0"/>
                <w:szCs w:val="21"/>
              </w:rPr>
            </w:pPr>
            <w:r>
              <w:rPr>
                <w:color w:val="000000"/>
                <w:kern w:val="0"/>
                <w:szCs w:val="21"/>
              </w:rPr>
              <w:t>90-99%</w:t>
            </w:r>
          </w:p>
        </w:tc>
        <w:tc>
          <w:tcPr>
            <w:tcW w:w="1371" w:type="dxa"/>
            <w:vAlign w:val="center"/>
          </w:tcPr>
          <w:p>
            <w:pPr>
              <w:widowControl/>
              <w:jc w:val="center"/>
              <w:rPr>
                <w:color w:val="000000"/>
                <w:kern w:val="0"/>
                <w:szCs w:val="21"/>
              </w:rPr>
            </w:pPr>
            <w:r>
              <w:rPr>
                <w:color w:val="000000"/>
                <w:kern w:val="0"/>
                <w:szCs w:val="21"/>
              </w:rPr>
              <w:t>80-89%</w:t>
            </w:r>
          </w:p>
        </w:tc>
        <w:tc>
          <w:tcPr>
            <w:tcW w:w="1371" w:type="dxa"/>
            <w:vAlign w:val="center"/>
          </w:tcPr>
          <w:p>
            <w:pPr>
              <w:widowControl/>
              <w:jc w:val="center"/>
              <w:rPr>
                <w:color w:val="000000"/>
                <w:kern w:val="0"/>
                <w:szCs w:val="21"/>
              </w:rPr>
            </w:pPr>
            <w:r>
              <w:rPr>
                <w:color w:val="000000"/>
                <w:kern w:val="0"/>
                <w:szCs w:val="21"/>
              </w:rPr>
              <w:t>60-79%</w:t>
            </w:r>
          </w:p>
        </w:tc>
        <w:tc>
          <w:tcPr>
            <w:tcW w:w="902"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0" w:type="dxa"/>
            <w:vMerge w:val="restart"/>
            <w:vAlign w:val="center"/>
          </w:tcPr>
          <w:p>
            <w:pPr>
              <w:widowControl/>
              <w:jc w:val="center"/>
              <w:rPr>
                <w:color w:val="000000"/>
                <w:kern w:val="0"/>
                <w:szCs w:val="21"/>
              </w:rPr>
            </w:pPr>
            <w:r>
              <w:rPr>
                <w:color w:val="000000"/>
                <w:kern w:val="0"/>
                <w:szCs w:val="21"/>
              </w:rPr>
              <w:t>环境条件</w:t>
            </w:r>
          </w:p>
        </w:tc>
        <w:tc>
          <w:tcPr>
            <w:tcW w:w="810" w:type="dxa"/>
            <w:vMerge w:val="restart"/>
            <w:vAlign w:val="center"/>
          </w:tcPr>
          <w:p>
            <w:pPr>
              <w:widowControl/>
              <w:jc w:val="center"/>
              <w:rPr>
                <w:color w:val="000000"/>
                <w:kern w:val="0"/>
                <w:szCs w:val="21"/>
              </w:rPr>
            </w:pPr>
            <w:r>
              <w:rPr>
                <w:color w:val="000000"/>
                <w:kern w:val="0"/>
                <w:szCs w:val="21"/>
              </w:rPr>
              <w:t>自然条件优劣度</w:t>
            </w:r>
          </w:p>
        </w:tc>
        <w:tc>
          <w:tcPr>
            <w:tcW w:w="1524" w:type="dxa"/>
            <w:vAlign w:val="center"/>
          </w:tcPr>
          <w:p>
            <w:pPr>
              <w:widowControl/>
              <w:jc w:val="center"/>
              <w:rPr>
                <w:color w:val="000000"/>
                <w:kern w:val="0"/>
                <w:szCs w:val="21"/>
              </w:rPr>
            </w:pPr>
            <w:r>
              <w:rPr>
                <w:color w:val="000000"/>
                <w:kern w:val="0"/>
                <w:szCs w:val="21"/>
              </w:rPr>
              <w:t>地质状况</w:t>
            </w:r>
          </w:p>
        </w:tc>
        <w:tc>
          <w:tcPr>
            <w:tcW w:w="902" w:type="dxa"/>
            <w:vAlign w:val="center"/>
          </w:tcPr>
          <w:p>
            <w:pPr>
              <w:widowControl/>
              <w:jc w:val="center"/>
              <w:rPr>
                <w:color w:val="000000"/>
                <w:kern w:val="0"/>
                <w:szCs w:val="21"/>
              </w:rPr>
            </w:pPr>
            <w:r>
              <w:rPr>
                <w:color w:val="000000"/>
                <w:kern w:val="0"/>
                <w:szCs w:val="21"/>
              </w:rPr>
              <w:t>&gt;30吨/m2</w:t>
            </w:r>
          </w:p>
        </w:tc>
        <w:tc>
          <w:tcPr>
            <w:tcW w:w="1371" w:type="dxa"/>
            <w:vAlign w:val="center"/>
          </w:tcPr>
          <w:p>
            <w:pPr>
              <w:widowControl/>
              <w:jc w:val="center"/>
              <w:rPr>
                <w:color w:val="000000"/>
                <w:kern w:val="0"/>
                <w:szCs w:val="21"/>
              </w:rPr>
            </w:pPr>
            <w:r>
              <w:rPr>
                <w:color w:val="000000"/>
                <w:kern w:val="0"/>
                <w:szCs w:val="21"/>
              </w:rPr>
              <w:t>25-30吨/m2</w:t>
            </w:r>
          </w:p>
        </w:tc>
        <w:tc>
          <w:tcPr>
            <w:tcW w:w="1371" w:type="dxa"/>
            <w:vAlign w:val="center"/>
          </w:tcPr>
          <w:p>
            <w:pPr>
              <w:widowControl/>
              <w:jc w:val="center"/>
              <w:rPr>
                <w:color w:val="000000"/>
                <w:kern w:val="0"/>
                <w:szCs w:val="21"/>
              </w:rPr>
            </w:pPr>
            <w:r>
              <w:rPr>
                <w:color w:val="000000"/>
                <w:kern w:val="0"/>
                <w:szCs w:val="21"/>
              </w:rPr>
              <w:t>20-25吨/m2</w:t>
            </w:r>
          </w:p>
        </w:tc>
        <w:tc>
          <w:tcPr>
            <w:tcW w:w="1371" w:type="dxa"/>
            <w:vAlign w:val="center"/>
          </w:tcPr>
          <w:p>
            <w:pPr>
              <w:widowControl/>
              <w:jc w:val="center"/>
              <w:rPr>
                <w:color w:val="000000"/>
                <w:kern w:val="0"/>
                <w:szCs w:val="21"/>
              </w:rPr>
            </w:pPr>
            <w:r>
              <w:rPr>
                <w:color w:val="000000"/>
                <w:kern w:val="0"/>
                <w:szCs w:val="21"/>
              </w:rPr>
              <w:t>15-20吨/m2</w:t>
            </w:r>
          </w:p>
        </w:tc>
        <w:tc>
          <w:tcPr>
            <w:tcW w:w="902" w:type="dxa"/>
            <w:vAlign w:val="center"/>
          </w:tcPr>
          <w:p>
            <w:pPr>
              <w:widowControl/>
              <w:jc w:val="center"/>
              <w:rPr>
                <w:color w:val="000000"/>
                <w:kern w:val="0"/>
                <w:szCs w:val="21"/>
              </w:rPr>
            </w:pPr>
            <w:r>
              <w:rPr>
                <w:color w:val="000000"/>
                <w:kern w:val="0"/>
                <w:szCs w:val="21"/>
              </w:rPr>
              <w:t>&lt;15吨/m2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0" w:type="dxa"/>
            <w:vMerge w:val="continue"/>
            <w:vAlign w:val="center"/>
          </w:tcPr>
          <w:p>
            <w:pPr>
              <w:widowControl/>
              <w:jc w:val="left"/>
              <w:rPr>
                <w:color w:val="000000"/>
                <w:kern w:val="0"/>
                <w:szCs w:val="21"/>
              </w:rPr>
            </w:pPr>
          </w:p>
        </w:tc>
        <w:tc>
          <w:tcPr>
            <w:tcW w:w="810" w:type="dxa"/>
            <w:vMerge w:val="continue"/>
            <w:vAlign w:val="center"/>
          </w:tcPr>
          <w:p>
            <w:pPr>
              <w:widowControl/>
              <w:jc w:val="left"/>
              <w:rPr>
                <w:color w:val="000000"/>
                <w:kern w:val="0"/>
                <w:szCs w:val="21"/>
              </w:rPr>
            </w:pPr>
          </w:p>
        </w:tc>
        <w:tc>
          <w:tcPr>
            <w:tcW w:w="1524" w:type="dxa"/>
            <w:vAlign w:val="center"/>
          </w:tcPr>
          <w:p>
            <w:pPr>
              <w:widowControl/>
              <w:jc w:val="center"/>
              <w:rPr>
                <w:color w:val="000000"/>
                <w:kern w:val="0"/>
                <w:szCs w:val="21"/>
              </w:rPr>
            </w:pPr>
            <w:r>
              <w:rPr>
                <w:color w:val="000000"/>
                <w:kern w:val="0"/>
                <w:szCs w:val="21"/>
              </w:rPr>
              <w:t>洪水淹没状况</w:t>
            </w:r>
          </w:p>
        </w:tc>
        <w:tc>
          <w:tcPr>
            <w:tcW w:w="902" w:type="dxa"/>
            <w:vAlign w:val="center"/>
          </w:tcPr>
          <w:p>
            <w:pPr>
              <w:widowControl/>
              <w:jc w:val="center"/>
              <w:rPr>
                <w:color w:val="000000"/>
                <w:kern w:val="0"/>
                <w:szCs w:val="21"/>
              </w:rPr>
            </w:pPr>
            <w:r>
              <w:rPr>
                <w:color w:val="000000"/>
                <w:kern w:val="0"/>
                <w:szCs w:val="21"/>
              </w:rPr>
              <w:t>低</w:t>
            </w:r>
          </w:p>
        </w:tc>
        <w:tc>
          <w:tcPr>
            <w:tcW w:w="1371" w:type="dxa"/>
            <w:vAlign w:val="center"/>
          </w:tcPr>
          <w:p>
            <w:pPr>
              <w:widowControl/>
              <w:jc w:val="center"/>
              <w:rPr>
                <w:color w:val="000000"/>
                <w:kern w:val="0"/>
                <w:szCs w:val="21"/>
              </w:rPr>
            </w:pPr>
            <w:r>
              <w:rPr>
                <w:color w:val="000000"/>
                <w:kern w:val="0"/>
                <w:szCs w:val="21"/>
              </w:rPr>
              <w:t>较低</w:t>
            </w:r>
          </w:p>
        </w:tc>
        <w:tc>
          <w:tcPr>
            <w:tcW w:w="1371" w:type="dxa"/>
            <w:vAlign w:val="center"/>
          </w:tcPr>
          <w:p>
            <w:pPr>
              <w:widowControl/>
              <w:jc w:val="center"/>
              <w:rPr>
                <w:color w:val="000000"/>
                <w:kern w:val="0"/>
                <w:szCs w:val="21"/>
              </w:rPr>
            </w:pPr>
            <w:r>
              <w:rPr>
                <w:color w:val="000000"/>
                <w:kern w:val="0"/>
                <w:szCs w:val="21"/>
              </w:rPr>
              <w:t>一般</w:t>
            </w:r>
          </w:p>
        </w:tc>
        <w:tc>
          <w:tcPr>
            <w:tcW w:w="1371" w:type="dxa"/>
            <w:vAlign w:val="center"/>
          </w:tcPr>
          <w:p>
            <w:pPr>
              <w:widowControl/>
              <w:jc w:val="center"/>
              <w:rPr>
                <w:color w:val="000000"/>
                <w:kern w:val="0"/>
                <w:szCs w:val="21"/>
              </w:rPr>
            </w:pPr>
            <w:r>
              <w:rPr>
                <w:color w:val="000000"/>
                <w:kern w:val="0"/>
                <w:szCs w:val="21"/>
              </w:rPr>
              <w:t>较高</w:t>
            </w:r>
          </w:p>
        </w:tc>
        <w:tc>
          <w:tcPr>
            <w:tcW w:w="902" w:type="dxa"/>
            <w:vAlign w:val="center"/>
          </w:tcPr>
          <w:p>
            <w:pPr>
              <w:widowControl/>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0" w:type="dxa"/>
            <w:vAlign w:val="center"/>
          </w:tcPr>
          <w:p>
            <w:pPr>
              <w:widowControl/>
              <w:jc w:val="center"/>
              <w:rPr>
                <w:color w:val="000000"/>
                <w:kern w:val="0"/>
                <w:szCs w:val="21"/>
              </w:rPr>
            </w:pPr>
            <w:r>
              <w:rPr>
                <w:color w:val="000000"/>
                <w:kern w:val="0"/>
                <w:szCs w:val="21"/>
              </w:rPr>
              <w:t>产业集聚效益</w:t>
            </w:r>
          </w:p>
        </w:tc>
        <w:tc>
          <w:tcPr>
            <w:tcW w:w="810" w:type="dxa"/>
            <w:vAlign w:val="center"/>
          </w:tcPr>
          <w:p>
            <w:pPr>
              <w:widowControl/>
              <w:jc w:val="center"/>
              <w:rPr>
                <w:color w:val="000000"/>
                <w:kern w:val="0"/>
                <w:szCs w:val="21"/>
              </w:rPr>
            </w:pPr>
            <w:r>
              <w:rPr>
                <w:color w:val="000000"/>
                <w:kern w:val="0"/>
                <w:szCs w:val="21"/>
              </w:rPr>
              <w:t>产业集聚影响度</w:t>
            </w:r>
          </w:p>
        </w:tc>
        <w:tc>
          <w:tcPr>
            <w:tcW w:w="1524" w:type="dxa"/>
            <w:vAlign w:val="center"/>
          </w:tcPr>
          <w:p>
            <w:pPr>
              <w:widowControl/>
              <w:jc w:val="center"/>
              <w:rPr>
                <w:color w:val="000000"/>
                <w:kern w:val="0"/>
                <w:szCs w:val="21"/>
              </w:rPr>
            </w:pPr>
            <w:r>
              <w:rPr>
                <w:color w:val="000000"/>
                <w:kern w:val="0"/>
                <w:szCs w:val="21"/>
              </w:rPr>
              <w:t>产业集聚影响度</w:t>
            </w:r>
          </w:p>
        </w:tc>
        <w:tc>
          <w:tcPr>
            <w:tcW w:w="902" w:type="dxa"/>
            <w:vAlign w:val="center"/>
          </w:tcPr>
          <w:p>
            <w:pPr>
              <w:widowControl/>
              <w:jc w:val="center"/>
              <w:rPr>
                <w:color w:val="000000"/>
                <w:kern w:val="0"/>
                <w:szCs w:val="21"/>
              </w:rPr>
            </w:pPr>
            <w:r>
              <w:rPr>
                <w:color w:val="000000"/>
                <w:kern w:val="0"/>
                <w:szCs w:val="21"/>
              </w:rPr>
              <w:t>高新产业联系紧密区</w:t>
            </w:r>
          </w:p>
        </w:tc>
        <w:tc>
          <w:tcPr>
            <w:tcW w:w="1371" w:type="dxa"/>
            <w:vAlign w:val="center"/>
          </w:tcPr>
          <w:p>
            <w:pPr>
              <w:widowControl/>
              <w:jc w:val="center"/>
              <w:rPr>
                <w:color w:val="000000"/>
                <w:kern w:val="0"/>
                <w:szCs w:val="21"/>
              </w:rPr>
            </w:pPr>
            <w:r>
              <w:rPr>
                <w:color w:val="000000"/>
                <w:kern w:val="0"/>
                <w:szCs w:val="21"/>
              </w:rPr>
              <w:t>高新产业联系一般区，一般产业联系紧密区</w:t>
            </w:r>
          </w:p>
        </w:tc>
        <w:tc>
          <w:tcPr>
            <w:tcW w:w="1371" w:type="dxa"/>
            <w:vAlign w:val="center"/>
          </w:tcPr>
          <w:p>
            <w:pPr>
              <w:widowControl/>
              <w:jc w:val="center"/>
              <w:rPr>
                <w:color w:val="000000"/>
                <w:kern w:val="0"/>
                <w:szCs w:val="21"/>
              </w:rPr>
            </w:pPr>
            <w:r>
              <w:rPr>
                <w:color w:val="000000"/>
                <w:kern w:val="0"/>
                <w:szCs w:val="21"/>
              </w:rPr>
              <w:t>高新产业联系松散区，一般产业联系一般区</w:t>
            </w:r>
          </w:p>
        </w:tc>
        <w:tc>
          <w:tcPr>
            <w:tcW w:w="1371" w:type="dxa"/>
            <w:vAlign w:val="center"/>
          </w:tcPr>
          <w:p>
            <w:pPr>
              <w:widowControl/>
              <w:jc w:val="center"/>
              <w:rPr>
                <w:color w:val="000000"/>
                <w:kern w:val="0"/>
                <w:szCs w:val="21"/>
              </w:rPr>
            </w:pPr>
            <w:r>
              <w:rPr>
                <w:color w:val="000000"/>
                <w:kern w:val="0"/>
                <w:szCs w:val="21"/>
              </w:rPr>
              <w:t>一般产业联系松散区</w:t>
            </w:r>
          </w:p>
        </w:tc>
        <w:tc>
          <w:tcPr>
            <w:tcW w:w="902" w:type="dxa"/>
            <w:vAlign w:val="center"/>
          </w:tcPr>
          <w:p>
            <w:pPr>
              <w:widowControl/>
              <w:jc w:val="center"/>
              <w:rPr>
                <w:color w:val="000000"/>
                <w:kern w:val="0"/>
                <w:szCs w:val="21"/>
              </w:rPr>
            </w:pPr>
            <w:r>
              <w:rPr>
                <w:color w:val="000000"/>
                <w:kern w:val="0"/>
                <w:szCs w:val="21"/>
              </w:rPr>
              <w:t>独立分散区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0" w:type="dxa"/>
            <w:vMerge w:val="restart"/>
            <w:vAlign w:val="center"/>
          </w:tcPr>
          <w:p>
            <w:pPr>
              <w:widowControl/>
              <w:jc w:val="center"/>
              <w:rPr>
                <w:color w:val="000000"/>
                <w:kern w:val="0"/>
                <w:szCs w:val="21"/>
              </w:rPr>
            </w:pPr>
            <w:r>
              <w:rPr>
                <w:color w:val="000000"/>
                <w:kern w:val="0"/>
                <w:szCs w:val="21"/>
              </w:rPr>
              <w:t>城市规划</w:t>
            </w:r>
          </w:p>
        </w:tc>
        <w:tc>
          <w:tcPr>
            <w:tcW w:w="810" w:type="dxa"/>
            <w:vMerge w:val="restart"/>
            <w:vAlign w:val="center"/>
          </w:tcPr>
          <w:p>
            <w:pPr>
              <w:widowControl/>
              <w:jc w:val="center"/>
              <w:rPr>
                <w:color w:val="000000"/>
                <w:kern w:val="0"/>
                <w:szCs w:val="21"/>
              </w:rPr>
            </w:pPr>
            <w:r>
              <w:rPr>
                <w:color w:val="000000"/>
                <w:kern w:val="0"/>
                <w:szCs w:val="21"/>
              </w:rPr>
              <w:t>城市规划</w:t>
            </w:r>
          </w:p>
        </w:tc>
        <w:tc>
          <w:tcPr>
            <w:tcW w:w="1524" w:type="dxa"/>
            <w:vAlign w:val="center"/>
          </w:tcPr>
          <w:p>
            <w:pPr>
              <w:widowControl/>
              <w:jc w:val="center"/>
              <w:rPr>
                <w:color w:val="000000"/>
                <w:kern w:val="0"/>
                <w:szCs w:val="21"/>
              </w:rPr>
            </w:pPr>
            <w:r>
              <w:rPr>
                <w:color w:val="000000"/>
                <w:kern w:val="0"/>
                <w:szCs w:val="21"/>
              </w:rPr>
              <w:t>用地规划</w:t>
            </w:r>
          </w:p>
        </w:tc>
        <w:tc>
          <w:tcPr>
            <w:tcW w:w="902" w:type="dxa"/>
            <w:vAlign w:val="center"/>
          </w:tcPr>
          <w:p>
            <w:pPr>
              <w:widowControl/>
              <w:jc w:val="center"/>
              <w:rPr>
                <w:color w:val="000000"/>
                <w:kern w:val="0"/>
                <w:szCs w:val="21"/>
              </w:rPr>
            </w:pPr>
            <w:r>
              <w:rPr>
                <w:color w:val="000000"/>
                <w:kern w:val="0"/>
                <w:szCs w:val="21"/>
              </w:rPr>
              <w:t>主干道</w:t>
            </w:r>
          </w:p>
        </w:tc>
        <w:tc>
          <w:tcPr>
            <w:tcW w:w="1371" w:type="dxa"/>
            <w:vAlign w:val="center"/>
          </w:tcPr>
          <w:p>
            <w:pPr>
              <w:widowControl/>
              <w:jc w:val="center"/>
              <w:rPr>
                <w:color w:val="000000"/>
                <w:kern w:val="0"/>
                <w:szCs w:val="21"/>
              </w:rPr>
            </w:pPr>
            <w:r>
              <w:rPr>
                <w:color w:val="000000"/>
                <w:kern w:val="0"/>
                <w:szCs w:val="21"/>
              </w:rPr>
              <w:t>次干道</w:t>
            </w:r>
          </w:p>
        </w:tc>
        <w:tc>
          <w:tcPr>
            <w:tcW w:w="1371" w:type="dxa"/>
            <w:vAlign w:val="center"/>
          </w:tcPr>
          <w:p>
            <w:pPr>
              <w:widowControl/>
              <w:jc w:val="center"/>
              <w:rPr>
                <w:color w:val="000000"/>
                <w:kern w:val="0"/>
                <w:szCs w:val="21"/>
              </w:rPr>
            </w:pPr>
            <w:r>
              <w:rPr>
                <w:color w:val="000000"/>
                <w:kern w:val="0"/>
                <w:szCs w:val="21"/>
              </w:rPr>
              <w:t>快速路</w:t>
            </w:r>
          </w:p>
        </w:tc>
        <w:tc>
          <w:tcPr>
            <w:tcW w:w="1371" w:type="dxa"/>
            <w:vAlign w:val="center"/>
          </w:tcPr>
          <w:p>
            <w:pPr>
              <w:widowControl/>
              <w:jc w:val="center"/>
              <w:rPr>
                <w:color w:val="000000"/>
                <w:kern w:val="0"/>
                <w:szCs w:val="21"/>
              </w:rPr>
            </w:pPr>
            <w:r>
              <w:rPr>
                <w:color w:val="000000"/>
                <w:kern w:val="0"/>
                <w:szCs w:val="21"/>
              </w:rPr>
              <w:t>支路</w:t>
            </w:r>
          </w:p>
        </w:tc>
        <w:tc>
          <w:tcPr>
            <w:tcW w:w="902" w:type="dxa"/>
            <w:vAlign w:val="center"/>
          </w:tcPr>
          <w:p>
            <w:pPr>
              <w:widowControl/>
              <w:jc w:val="center"/>
              <w:rPr>
                <w:color w:val="000000"/>
                <w:kern w:val="0"/>
                <w:szCs w:val="21"/>
              </w:rPr>
            </w:pPr>
            <w:r>
              <w:rPr>
                <w:color w:val="000000"/>
                <w:kern w:val="0"/>
                <w:szCs w:val="21"/>
              </w:rPr>
              <w:t>街坊间支路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0" w:type="dxa"/>
            <w:vMerge w:val="continue"/>
            <w:vAlign w:val="center"/>
          </w:tcPr>
          <w:p>
            <w:pPr>
              <w:widowControl/>
              <w:jc w:val="left"/>
              <w:rPr>
                <w:color w:val="000000"/>
                <w:kern w:val="0"/>
                <w:szCs w:val="21"/>
              </w:rPr>
            </w:pPr>
          </w:p>
        </w:tc>
        <w:tc>
          <w:tcPr>
            <w:tcW w:w="810" w:type="dxa"/>
            <w:vMerge w:val="continue"/>
            <w:vAlign w:val="center"/>
          </w:tcPr>
          <w:p>
            <w:pPr>
              <w:widowControl/>
              <w:jc w:val="left"/>
              <w:rPr>
                <w:color w:val="000000"/>
                <w:kern w:val="0"/>
                <w:szCs w:val="21"/>
              </w:rPr>
            </w:pPr>
          </w:p>
        </w:tc>
        <w:tc>
          <w:tcPr>
            <w:tcW w:w="1524" w:type="dxa"/>
            <w:vAlign w:val="center"/>
          </w:tcPr>
          <w:p>
            <w:pPr>
              <w:widowControl/>
              <w:jc w:val="center"/>
              <w:rPr>
                <w:color w:val="000000"/>
                <w:kern w:val="0"/>
                <w:szCs w:val="21"/>
              </w:rPr>
            </w:pPr>
            <w:r>
              <w:rPr>
                <w:color w:val="000000"/>
                <w:kern w:val="0"/>
                <w:szCs w:val="21"/>
              </w:rPr>
              <w:t>道路规划</w:t>
            </w:r>
          </w:p>
        </w:tc>
        <w:tc>
          <w:tcPr>
            <w:tcW w:w="902" w:type="dxa"/>
            <w:vAlign w:val="center"/>
          </w:tcPr>
          <w:p>
            <w:pPr>
              <w:widowControl/>
              <w:jc w:val="center"/>
              <w:rPr>
                <w:color w:val="000000"/>
                <w:kern w:val="0"/>
                <w:szCs w:val="21"/>
              </w:rPr>
            </w:pPr>
            <w:r>
              <w:rPr>
                <w:color w:val="000000"/>
                <w:kern w:val="0"/>
                <w:szCs w:val="21"/>
              </w:rPr>
              <w:t>最佳用途</w:t>
            </w:r>
          </w:p>
        </w:tc>
        <w:tc>
          <w:tcPr>
            <w:tcW w:w="1371" w:type="dxa"/>
            <w:vAlign w:val="center"/>
          </w:tcPr>
          <w:p>
            <w:pPr>
              <w:widowControl/>
              <w:jc w:val="center"/>
              <w:rPr>
                <w:color w:val="000000"/>
                <w:kern w:val="0"/>
                <w:szCs w:val="21"/>
              </w:rPr>
            </w:pPr>
            <w:r>
              <w:rPr>
                <w:color w:val="000000"/>
                <w:kern w:val="0"/>
                <w:szCs w:val="21"/>
              </w:rPr>
              <w:t>较适用途</w:t>
            </w:r>
          </w:p>
        </w:tc>
        <w:tc>
          <w:tcPr>
            <w:tcW w:w="1371" w:type="dxa"/>
            <w:vAlign w:val="center"/>
          </w:tcPr>
          <w:p>
            <w:pPr>
              <w:widowControl/>
              <w:jc w:val="center"/>
              <w:rPr>
                <w:color w:val="000000"/>
                <w:kern w:val="0"/>
                <w:szCs w:val="21"/>
              </w:rPr>
            </w:pPr>
            <w:r>
              <w:rPr>
                <w:color w:val="000000"/>
                <w:kern w:val="0"/>
                <w:szCs w:val="21"/>
              </w:rPr>
              <w:t>一般用途</w:t>
            </w:r>
          </w:p>
        </w:tc>
        <w:tc>
          <w:tcPr>
            <w:tcW w:w="1371" w:type="dxa"/>
            <w:vAlign w:val="center"/>
          </w:tcPr>
          <w:p>
            <w:pPr>
              <w:widowControl/>
              <w:jc w:val="center"/>
              <w:rPr>
                <w:color w:val="000000"/>
                <w:kern w:val="0"/>
                <w:szCs w:val="21"/>
              </w:rPr>
            </w:pPr>
            <w:r>
              <w:rPr>
                <w:color w:val="000000"/>
                <w:kern w:val="0"/>
                <w:szCs w:val="21"/>
              </w:rPr>
              <w:t>不太适合用途</w:t>
            </w:r>
          </w:p>
        </w:tc>
        <w:tc>
          <w:tcPr>
            <w:tcW w:w="902" w:type="dxa"/>
            <w:vAlign w:val="center"/>
          </w:tcPr>
          <w:p>
            <w:pPr>
              <w:widowControl/>
              <w:jc w:val="center"/>
              <w:rPr>
                <w:color w:val="000000"/>
                <w:kern w:val="0"/>
                <w:szCs w:val="21"/>
              </w:rPr>
            </w:pPr>
            <w:r>
              <w:rPr>
                <w:color w:val="000000"/>
                <w:kern w:val="0"/>
                <w:szCs w:val="21"/>
              </w:rPr>
              <w:t>不适合用途</w:t>
            </w:r>
          </w:p>
        </w:tc>
      </w:tr>
    </w:tbl>
    <w:p>
      <w:pPr>
        <w:widowControl/>
        <w:ind w:firstLine="480" w:firstLineChars="200"/>
        <w:jc w:val="left"/>
        <w:rPr>
          <w:b/>
          <w:sz w:val="24"/>
          <w:szCs w:val="24"/>
        </w:rPr>
      </w:pPr>
      <w:r>
        <w:rPr>
          <w:bCs/>
          <w:sz w:val="24"/>
          <w:szCs w:val="24"/>
        </w:rPr>
        <w:br w:type="page"/>
      </w:r>
    </w:p>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表4-5-5  长沙县Ⅲ级工矿仓储用地宗地地价区域因素修正系数表（%）</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8"/>
        <w:gridCol w:w="2093"/>
        <w:gridCol w:w="935"/>
        <w:gridCol w:w="935"/>
        <w:gridCol w:w="935"/>
        <w:gridCol w:w="935"/>
        <w:gridCol w:w="935"/>
        <w:gridCol w:w="9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58"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2093"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指标层</w:t>
            </w:r>
          </w:p>
        </w:tc>
        <w:tc>
          <w:tcPr>
            <w:tcW w:w="935"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权重</w:t>
            </w:r>
          </w:p>
        </w:tc>
        <w:tc>
          <w:tcPr>
            <w:tcW w:w="935"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优</w:t>
            </w:r>
          </w:p>
        </w:tc>
        <w:tc>
          <w:tcPr>
            <w:tcW w:w="935"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较优</w:t>
            </w:r>
          </w:p>
        </w:tc>
        <w:tc>
          <w:tcPr>
            <w:tcW w:w="935"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一般</w:t>
            </w:r>
          </w:p>
        </w:tc>
        <w:tc>
          <w:tcPr>
            <w:tcW w:w="935"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较劣</w:t>
            </w:r>
          </w:p>
        </w:tc>
        <w:tc>
          <w:tcPr>
            <w:tcW w:w="935"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5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道路通达度</w:t>
            </w: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临近道路状况</w:t>
            </w:r>
          </w:p>
        </w:tc>
        <w:tc>
          <w:tcPr>
            <w:tcW w:w="935" w:type="dxa"/>
            <w:tcBorders>
              <w:top w:val="single" w:color="auto" w:sz="4" w:space="0"/>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0.1813</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2.4167</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1.2084</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-1.2492</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-2.4983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5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对外交通便利度</w:t>
            </w: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距最近长途汽车站距离</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0.0577</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0.7691</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0.3846</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-0.3976</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-0.7951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93" w:type="dxa"/>
            <w:tcBorders>
              <w:top w:val="nil"/>
              <w:left w:val="nil"/>
              <w:bottom w:val="single" w:color="auto" w:sz="4" w:space="0"/>
              <w:right w:val="single" w:color="auto" w:sz="4" w:space="0"/>
            </w:tcBorders>
            <w:vAlign w:val="center"/>
          </w:tcPr>
          <w:p>
            <w:pPr>
              <w:widowControl/>
              <w:shd w:val="clear" w:color="auto" w:fill="FFFFFF"/>
              <w:jc w:val="center"/>
              <w:rPr>
                <w:color w:val="000000"/>
                <w:kern w:val="0"/>
                <w:szCs w:val="21"/>
              </w:rPr>
            </w:pPr>
            <w:r>
              <w:rPr>
                <w:rFonts w:hint="eastAsia" w:cs="宋体"/>
                <w:color w:val="000000"/>
                <w:kern w:val="0"/>
                <w:szCs w:val="21"/>
              </w:rPr>
              <w:t>临高速出入口距离</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0.0534</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0.7118</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0.3559</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-0.3679</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-0.7359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93" w:type="dxa"/>
            <w:tcBorders>
              <w:top w:val="nil"/>
              <w:left w:val="nil"/>
              <w:bottom w:val="single" w:color="auto" w:sz="4" w:space="0"/>
              <w:right w:val="single" w:color="auto" w:sz="4" w:space="0"/>
            </w:tcBorders>
            <w:vAlign w:val="center"/>
          </w:tcPr>
          <w:p>
            <w:pPr>
              <w:widowControl/>
              <w:shd w:val="clear" w:color="auto" w:fill="FFFFFF"/>
              <w:jc w:val="center"/>
              <w:rPr>
                <w:color w:val="000000"/>
                <w:kern w:val="0"/>
                <w:szCs w:val="21"/>
              </w:rPr>
            </w:pPr>
            <w:r>
              <w:rPr>
                <w:rFonts w:hint="eastAsia" w:cs="宋体"/>
                <w:color w:val="000000"/>
                <w:kern w:val="0"/>
                <w:szCs w:val="21"/>
              </w:rPr>
              <w:t>临机场距离</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0.0324</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0.4319</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0.2159</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-0.2232</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5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基础设施完善度</w:t>
            </w: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排水状况</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0.0706</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0.9411</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0.4705</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-0.4864</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供水状况</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0.0706</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0.9411</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0.4705</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-0.4864</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供电状况</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0.0706</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0.9411</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0.4705</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-0.4864</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供气状况</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0.0706</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0.9411</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0.4705</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-0.4864</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5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自然条件优劣度</w:t>
            </w: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地质状况</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0.0667</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0.8891</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0.4446</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-0.4596</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洪水淹没状况</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0.0674</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0.8984</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0.4492</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-0.4644</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5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产业集聚影响度</w:t>
            </w: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产业集聚影响度</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0.1547</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2.0622</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1.0311</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-1.0659</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-2.1318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5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城市规划</w:t>
            </w: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用地规划</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0.0611</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0.8145</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0.4072</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-0.4210</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-0.8420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58"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93"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道路规划</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0.0429</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0.5719</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0.2859</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-0.2956</w:t>
            </w:r>
          </w:p>
        </w:tc>
        <w:tc>
          <w:tcPr>
            <w:tcW w:w="935"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-0.5912</w:t>
            </w:r>
          </w:p>
        </w:tc>
      </w:tr>
    </w:tbl>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表4-5-6  长沙县Ⅲ级工矿仓储用地宗地地价区域因素修正系数指标说明表</w:t>
      </w:r>
    </w:p>
    <w:tbl>
      <w:tblPr>
        <w:tblW w:w="9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35"/>
        <w:gridCol w:w="1578"/>
        <w:gridCol w:w="894"/>
        <w:gridCol w:w="1266"/>
        <w:gridCol w:w="1371"/>
        <w:gridCol w:w="1371"/>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Align w:val="center"/>
          </w:tcPr>
          <w:p>
            <w:pPr>
              <w:widowControl/>
              <w:jc w:val="center"/>
              <w:rPr>
                <w:b/>
                <w:bCs/>
                <w:color w:val="000000"/>
                <w:kern w:val="0"/>
                <w:szCs w:val="21"/>
              </w:rPr>
            </w:pPr>
            <w:r>
              <w:rPr>
                <w:b/>
                <w:bCs/>
                <w:color w:val="000000"/>
                <w:kern w:val="0"/>
                <w:szCs w:val="21"/>
              </w:rPr>
              <w:t>因素层</w:t>
            </w:r>
          </w:p>
        </w:tc>
        <w:tc>
          <w:tcPr>
            <w:tcW w:w="835" w:type="dxa"/>
            <w:vAlign w:val="center"/>
          </w:tcPr>
          <w:p>
            <w:pPr>
              <w:widowControl/>
              <w:jc w:val="center"/>
              <w:rPr>
                <w:b/>
                <w:bCs/>
                <w:color w:val="000000"/>
                <w:kern w:val="0"/>
                <w:szCs w:val="21"/>
              </w:rPr>
            </w:pPr>
            <w:r>
              <w:rPr>
                <w:b/>
                <w:bCs/>
                <w:color w:val="000000"/>
                <w:kern w:val="0"/>
                <w:szCs w:val="21"/>
              </w:rPr>
              <w:t>因子层</w:t>
            </w:r>
          </w:p>
        </w:tc>
        <w:tc>
          <w:tcPr>
            <w:tcW w:w="1578" w:type="dxa"/>
            <w:vAlign w:val="center"/>
          </w:tcPr>
          <w:p>
            <w:pPr>
              <w:widowControl/>
              <w:jc w:val="center"/>
              <w:rPr>
                <w:b/>
                <w:bCs/>
                <w:color w:val="000000"/>
                <w:kern w:val="0"/>
                <w:szCs w:val="21"/>
              </w:rPr>
            </w:pPr>
            <w:r>
              <w:rPr>
                <w:b/>
                <w:bCs/>
                <w:color w:val="000000"/>
                <w:kern w:val="0"/>
                <w:szCs w:val="21"/>
              </w:rPr>
              <w:t>指标层</w:t>
            </w:r>
          </w:p>
        </w:tc>
        <w:tc>
          <w:tcPr>
            <w:tcW w:w="894" w:type="dxa"/>
            <w:vAlign w:val="center"/>
          </w:tcPr>
          <w:p>
            <w:pPr>
              <w:widowControl/>
              <w:jc w:val="center"/>
              <w:rPr>
                <w:b/>
                <w:bCs/>
                <w:color w:val="000000"/>
                <w:kern w:val="0"/>
                <w:szCs w:val="21"/>
              </w:rPr>
            </w:pPr>
            <w:r>
              <w:rPr>
                <w:b/>
                <w:bCs/>
                <w:color w:val="000000"/>
                <w:kern w:val="0"/>
                <w:szCs w:val="21"/>
              </w:rPr>
              <w:t>优</w:t>
            </w:r>
          </w:p>
        </w:tc>
        <w:tc>
          <w:tcPr>
            <w:tcW w:w="1266" w:type="dxa"/>
            <w:vAlign w:val="center"/>
          </w:tcPr>
          <w:p>
            <w:pPr>
              <w:widowControl/>
              <w:jc w:val="center"/>
              <w:rPr>
                <w:b/>
                <w:bCs/>
                <w:color w:val="000000"/>
                <w:kern w:val="0"/>
                <w:szCs w:val="21"/>
              </w:rPr>
            </w:pPr>
            <w:r>
              <w:rPr>
                <w:b/>
                <w:bCs/>
                <w:color w:val="000000"/>
                <w:kern w:val="0"/>
                <w:szCs w:val="21"/>
              </w:rPr>
              <w:t>较优</w:t>
            </w:r>
          </w:p>
        </w:tc>
        <w:tc>
          <w:tcPr>
            <w:tcW w:w="1371" w:type="dxa"/>
            <w:vAlign w:val="center"/>
          </w:tcPr>
          <w:p>
            <w:pPr>
              <w:widowControl/>
              <w:jc w:val="center"/>
              <w:rPr>
                <w:b/>
                <w:bCs/>
                <w:color w:val="000000"/>
                <w:kern w:val="0"/>
                <w:szCs w:val="21"/>
              </w:rPr>
            </w:pPr>
            <w:r>
              <w:rPr>
                <w:b/>
                <w:bCs/>
                <w:color w:val="000000"/>
                <w:kern w:val="0"/>
                <w:szCs w:val="21"/>
              </w:rPr>
              <w:t>一般</w:t>
            </w:r>
          </w:p>
        </w:tc>
        <w:tc>
          <w:tcPr>
            <w:tcW w:w="1371" w:type="dxa"/>
            <w:vAlign w:val="center"/>
          </w:tcPr>
          <w:p>
            <w:pPr>
              <w:widowControl/>
              <w:jc w:val="center"/>
              <w:rPr>
                <w:b/>
                <w:bCs/>
                <w:color w:val="000000"/>
                <w:kern w:val="0"/>
                <w:szCs w:val="21"/>
              </w:rPr>
            </w:pPr>
            <w:r>
              <w:rPr>
                <w:b/>
                <w:bCs/>
                <w:color w:val="000000"/>
                <w:kern w:val="0"/>
                <w:szCs w:val="21"/>
              </w:rPr>
              <w:t>较劣</w:t>
            </w:r>
          </w:p>
        </w:tc>
        <w:tc>
          <w:tcPr>
            <w:tcW w:w="912" w:type="dxa"/>
            <w:vAlign w:val="center"/>
          </w:tcPr>
          <w:p>
            <w:pPr>
              <w:widowControl/>
              <w:jc w:val="center"/>
              <w:rPr>
                <w:b/>
                <w:bCs/>
                <w:color w:val="000000"/>
                <w:kern w:val="0"/>
                <w:szCs w:val="21"/>
              </w:rPr>
            </w:pPr>
            <w:r>
              <w:rPr>
                <w:b/>
                <w:bCs/>
                <w:color w:val="000000"/>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restart"/>
            <w:vAlign w:val="center"/>
          </w:tcPr>
          <w:p>
            <w:pPr>
              <w:widowControl/>
              <w:jc w:val="center"/>
              <w:rPr>
                <w:color w:val="000000"/>
                <w:kern w:val="0"/>
                <w:szCs w:val="21"/>
              </w:rPr>
            </w:pPr>
            <w:r>
              <w:rPr>
                <w:color w:val="000000"/>
                <w:kern w:val="0"/>
                <w:szCs w:val="21"/>
              </w:rPr>
              <w:t>交通条件</w:t>
            </w:r>
          </w:p>
        </w:tc>
        <w:tc>
          <w:tcPr>
            <w:tcW w:w="835" w:type="dxa"/>
            <w:vAlign w:val="center"/>
          </w:tcPr>
          <w:p>
            <w:pPr>
              <w:widowControl/>
              <w:jc w:val="center"/>
              <w:rPr>
                <w:color w:val="000000"/>
                <w:kern w:val="0"/>
                <w:szCs w:val="21"/>
              </w:rPr>
            </w:pPr>
            <w:r>
              <w:rPr>
                <w:color w:val="000000"/>
                <w:kern w:val="0"/>
                <w:szCs w:val="21"/>
              </w:rPr>
              <w:t>道路通达度</w:t>
            </w:r>
          </w:p>
        </w:tc>
        <w:tc>
          <w:tcPr>
            <w:tcW w:w="1578" w:type="dxa"/>
            <w:vAlign w:val="center"/>
          </w:tcPr>
          <w:p>
            <w:pPr>
              <w:widowControl/>
              <w:jc w:val="center"/>
              <w:rPr>
                <w:color w:val="000000"/>
                <w:kern w:val="0"/>
                <w:szCs w:val="21"/>
              </w:rPr>
            </w:pPr>
            <w:r>
              <w:rPr>
                <w:color w:val="000000"/>
                <w:kern w:val="0"/>
                <w:szCs w:val="21"/>
              </w:rPr>
              <w:t>临近道路状况</w:t>
            </w:r>
          </w:p>
        </w:tc>
        <w:tc>
          <w:tcPr>
            <w:tcW w:w="894" w:type="dxa"/>
            <w:vAlign w:val="center"/>
          </w:tcPr>
          <w:p>
            <w:pPr>
              <w:widowControl/>
              <w:jc w:val="center"/>
              <w:rPr>
                <w:kern w:val="0"/>
                <w:szCs w:val="21"/>
              </w:rPr>
            </w:pPr>
            <w:r>
              <w:rPr>
                <w:kern w:val="0"/>
                <w:szCs w:val="21"/>
              </w:rPr>
              <w:t>临繁华主干道</w:t>
            </w:r>
          </w:p>
        </w:tc>
        <w:tc>
          <w:tcPr>
            <w:tcW w:w="1266" w:type="dxa"/>
            <w:vAlign w:val="center"/>
          </w:tcPr>
          <w:p>
            <w:pPr>
              <w:widowControl/>
              <w:jc w:val="center"/>
              <w:rPr>
                <w:kern w:val="0"/>
                <w:szCs w:val="21"/>
              </w:rPr>
            </w:pPr>
            <w:r>
              <w:rPr>
                <w:kern w:val="0"/>
                <w:szCs w:val="21"/>
              </w:rPr>
              <w:t>临主干道</w:t>
            </w:r>
          </w:p>
        </w:tc>
        <w:tc>
          <w:tcPr>
            <w:tcW w:w="1371" w:type="dxa"/>
            <w:vAlign w:val="center"/>
          </w:tcPr>
          <w:p>
            <w:pPr>
              <w:widowControl/>
              <w:jc w:val="center"/>
              <w:rPr>
                <w:kern w:val="0"/>
                <w:szCs w:val="21"/>
              </w:rPr>
            </w:pPr>
            <w:r>
              <w:rPr>
                <w:kern w:val="0"/>
                <w:szCs w:val="21"/>
              </w:rPr>
              <w:t>临繁华次干道</w:t>
            </w:r>
          </w:p>
        </w:tc>
        <w:tc>
          <w:tcPr>
            <w:tcW w:w="1371" w:type="dxa"/>
            <w:vAlign w:val="center"/>
          </w:tcPr>
          <w:p>
            <w:pPr>
              <w:widowControl/>
              <w:jc w:val="center"/>
              <w:rPr>
                <w:kern w:val="0"/>
                <w:szCs w:val="21"/>
              </w:rPr>
            </w:pPr>
            <w:r>
              <w:rPr>
                <w:kern w:val="0"/>
                <w:szCs w:val="21"/>
              </w:rPr>
              <w:t>临次干道</w:t>
            </w:r>
          </w:p>
        </w:tc>
        <w:tc>
          <w:tcPr>
            <w:tcW w:w="912" w:type="dxa"/>
            <w:vAlign w:val="center"/>
          </w:tcPr>
          <w:p>
            <w:pPr>
              <w:widowControl/>
              <w:jc w:val="center"/>
              <w:rPr>
                <w:kern w:val="0"/>
                <w:szCs w:val="21"/>
              </w:rPr>
            </w:pPr>
            <w:r>
              <w:rPr>
                <w:kern w:val="0"/>
                <w:szCs w:val="21"/>
              </w:rPr>
              <w:t>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continue"/>
            <w:vAlign w:val="center"/>
          </w:tcPr>
          <w:p>
            <w:pPr>
              <w:widowControl/>
              <w:jc w:val="left"/>
              <w:rPr>
                <w:color w:val="000000"/>
                <w:kern w:val="0"/>
                <w:szCs w:val="21"/>
              </w:rPr>
            </w:pPr>
          </w:p>
        </w:tc>
        <w:tc>
          <w:tcPr>
            <w:tcW w:w="835" w:type="dxa"/>
            <w:vMerge w:val="restart"/>
            <w:vAlign w:val="center"/>
          </w:tcPr>
          <w:p>
            <w:pPr>
              <w:widowControl/>
              <w:jc w:val="center"/>
              <w:rPr>
                <w:color w:val="000000"/>
                <w:kern w:val="0"/>
                <w:szCs w:val="21"/>
              </w:rPr>
            </w:pPr>
            <w:r>
              <w:rPr>
                <w:color w:val="000000"/>
                <w:kern w:val="0"/>
                <w:szCs w:val="21"/>
              </w:rPr>
              <w:t>对外交通便利度</w:t>
            </w:r>
          </w:p>
        </w:tc>
        <w:tc>
          <w:tcPr>
            <w:tcW w:w="1578" w:type="dxa"/>
            <w:vAlign w:val="center"/>
          </w:tcPr>
          <w:p>
            <w:pPr>
              <w:widowControl/>
              <w:jc w:val="center"/>
              <w:rPr>
                <w:color w:val="000000"/>
                <w:kern w:val="0"/>
                <w:szCs w:val="21"/>
              </w:rPr>
            </w:pPr>
            <w:r>
              <w:rPr>
                <w:color w:val="000000"/>
                <w:kern w:val="0"/>
                <w:szCs w:val="21"/>
              </w:rPr>
              <w:t>距最近长途汽车站距离</w:t>
            </w:r>
            <w:r>
              <w:rPr>
                <w:rFonts w:hint="eastAsia"/>
                <w:color w:val="000000"/>
                <w:kern w:val="0"/>
                <w:szCs w:val="21"/>
              </w:rPr>
              <w:t>(m)</w:t>
            </w:r>
          </w:p>
        </w:tc>
        <w:tc>
          <w:tcPr>
            <w:tcW w:w="894" w:type="dxa"/>
            <w:vAlign w:val="center"/>
          </w:tcPr>
          <w:p>
            <w:pPr>
              <w:widowControl/>
              <w:jc w:val="center"/>
              <w:rPr>
                <w:color w:val="000000"/>
                <w:kern w:val="0"/>
                <w:szCs w:val="21"/>
              </w:rPr>
            </w:pPr>
            <w:r>
              <w:rPr>
                <w:color w:val="000000"/>
                <w:kern w:val="0"/>
                <w:szCs w:val="21"/>
              </w:rPr>
              <w:t>&lt;100</w:t>
            </w:r>
          </w:p>
        </w:tc>
        <w:tc>
          <w:tcPr>
            <w:tcW w:w="1266" w:type="dxa"/>
            <w:vAlign w:val="center"/>
          </w:tcPr>
          <w:p>
            <w:pPr>
              <w:widowControl/>
              <w:jc w:val="center"/>
              <w:rPr>
                <w:color w:val="000000"/>
                <w:kern w:val="0"/>
                <w:szCs w:val="21"/>
              </w:rPr>
            </w:pPr>
            <w:r>
              <w:rPr>
                <w:color w:val="000000"/>
                <w:kern w:val="0"/>
                <w:szCs w:val="21"/>
              </w:rPr>
              <w:t>100-3400</w:t>
            </w:r>
          </w:p>
        </w:tc>
        <w:tc>
          <w:tcPr>
            <w:tcW w:w="1371" w:type="dxa"/>
            <w:vAlign w:val="center"/>
          </w:tcPr>
          <w:p>
            <w:pPr>
              <w:widowControl/>
              <w:jc w:val="center"/>
              <w:rPr>
                <w:color w:val="000000"/>
                <w:kern w:val="0"/>
                <w:szCs w:val="21"/>
              </w:rPr>
            </w:pPr>
            <w:r>
              <w:rPr>
                <w:color w:val="000000"/>
                <w:kern w:val="0"/>
                <w:szCs w:val="21"/>
              </w:rPr>
              <w:t>3400-6700</w:t>
            </w:r>
          </w:p>
        </w:tc>
        <w:tc>
          <w:tcPr>
            <w:tcW w:w="1371" w:type="dxa"/>
            <w:vAlign w:val="center"/>
          </w:tcPr>
          <w:p>
            <w:pPr>
              <w:widowControl/>
              <w:jc w:val="center"/>
              <w:rPr>
                <w:color w:val="000000"/>
                <w:kern w:val="0"/>
                <w:szCs w:val="21"/>
              </w:rPr>
            </w:pPr>
            <w:r>
              <w:rPr>
                <w:color w:val="000000"/>
                <w:kern w:val="0"/>
                <w:szCs w:val="21"/>
              </w:rPr>
              <w:t>6700-10000</w:t>
            </w:r>
          </w:p>
        </w:tc>
        <w:tc>
          <w:tcPr>
            <w:tcW w:w="912" w:type="dxa"/>
            <w:vAlign w:val="center"/>
          </w:tcPr>
          <w:p>
            <w:pPr>
              <w:widowControl/>
              <w:jc w:val="center"/>
              <w:rPr>
                <w:color w:val="000000"/>
                <w:kern w:val="0"/>
                <w:szCs w:val="21"/>
              </w:rPr>
            </w:pPr>
            <w:r>
              <w:rPr>
                <w:color w:val="000000"/>
                <w:kern w:val="0"/>
                <w:szCs w:val="21"/>
              </w:rPr>
              <w:t>&lt;10000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continue"/>
            <w:vAlign w:val="center"/>
          </w:tcPr>
          <w:p>
            <w:pPr>
              <w:widowControl/>
              <w:jc w:val="left"/>
              <w:rPr>
                <w:color w:val="000000"/>
                <w:kern w:val="0"/>
                <w:szCs w:val="21"/>
              </w:rPr>
            </w:pPr>
          </w:p>
        </w:tc>
        <w:tc>
          <w:tcPr>
            <w:tcW w:w="835" w:type="dxa"/>
            <w:vMerge w:val="continue"/>
            <w:vAlign w:val="center"/>
          </w:tcPr>
          <w:p>
            <w:pPr>
              <w:widowControl/>
              <w:jc w:val="left"/>
              <w:rPr>
                <w:color w:val="000000"/>
                <w:kern w:val="0"/>
                <w:szCs w:val="21"/>
              </w:rPr>
            </w:pPr>
          </w:p>
        </w:tc>
        <w:tc>
          <w:tcPr>
            <w:tcW w:w="1578" w:type="dxa"/>
            <w:vAlign w:val="center"/>
          </w:tcPr>
          <w:p>
            <w:pPr>
              <w:widowControl/>
              <w:shd w:val="clear" w:color="auto" w:fill="FFFFFF"/>
              <w:jc w:val="center"/>
              <w:rPr>
                <w:color w:val="000000"/>
                <w:kern w:val="0"/>
                <w:szCs w:val="21"/>
              </w:rPr>
            </w:pPr>
            <w:r>
              <w:rPr>
                <w:rFonts w:hint="eastAsia" w:cs="宋体"/>
                <w:color w:val="000000"/>
                <w:kern w:val="0"/>
                <w:szCs w:val="21"/>
              </w:rPr>
              <w:t>临高速出入口距离（m）</w:t>
            </w:r>
          </w:p>
        </w:tc>
        <w:tc>
          <w:tcPr>
            <w:tcW w:w="894" w:type="dxa"/>
            <w:vAlign w:val="center"/>
          </w:tcPr>
          <w:p>
            <w:pPr>
              <w:shd w:val="clear" w:color="auto" w:fill="FFFFFF"/>
              <w:ind w:left="-105" w:leftChars="-50" w:right="-105" w:rightChars="-50"/>
              <w:jc w:val="center"/>
              <w:rPr>
                <w:color w:val="000000"/>
                <w:kern w:val="0"/>
                <w:szCs w:val="21"/>
              </w:rPr>
            </w:pPr>
            <w:r>
              <w:rPr>
                <w:szCs w:val="21"/>
              </w:rPr>
              <w:t>≤</w:t>
            </w:r>
            <w:r>
              <w:rPr>
                <w:rFonts w:hint="eastAsia"/>
                <w:szCs w:val="21"/>
              </w:rPr>
              <w:t>8</w:t>
            </w:r>
            <w:r>
              <w:rPr>
                <w:szCs w:val="21"/>
              </w:rPr>
              <w:t>00</w:t>
            </w:r>
          </w:p>
        </w:tc>
        <w:tc>
          <w:tcPr>
            <w:tcW w:w="1266" w:type="dxa"/>
            <w:vAlign w:val="center"/>
          </w:tcPr>
          <w:p>
            <w:pPr>
              <w:shd w:val="clear" w:color="auto" w:fill="FFFFFF"/>
              <w:ind w:left="-105" w:leftChars="-50" w:right="-105" w:rightChars="-50"/>
              <w:jc w:val="center"/>
              <w:rPr>
                <w:color w:val="000000"/>
                <w:kern w:val="0"/>
                <w:szCs w:val="21"/>
              </w:rPr>
            </w:pPr>
            <w:r>
              <w:rPr>
                <w:rFonts w:hint="eastAsia"/>
                <w:szCs w:val="21"/>
              </w:rPr>
              <w:t>8</w:t>
            </w:r>
            <w:r>
              <w:rPr>
                <w:szCs w:val="21"/>
              </w:rPr>
              <w:t>00</w:t>
            </w:r>
            <w:r>
              <w:rPr>
                <w:rFonts w:hint="eastAsia"/>
                <w:szCs w:val="21"/>
              </w:rPr>
              <w:t>-16</w:t>
            </w:r>
            <w:r>
              <w:rPr>
                <w:szCs w:val="21"/>
              </w:rPr>
              <w:t>00</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16</w:t>
            </w:r>
            <w:r>
              <w:rPr>
                <w:szCs w:val="21"/>
              </w:rPr>
              <w:t>00</w:t>
            </w:r>
            <w:r>
              <w:rPr>
                <w:rFonts w:hint="eastAsia"/>
                <w:szCs w:val="21"/>
              </w:rPr>
              <w:t>-</w:t>
            </w:r>
            <w:r>
              <w:rPr>
                <w:szCs w:val="21"/>
              </w:rPr>
              <w:t>2400</w:t>
            </w:r>
          </w:p>
        </w:tc>
        <w:tc>
          <w:tcPr>
            <w:tcW w:w="1371" w:type="dxa"/>
            <w:vAlign w:val="center"/>
          </w:tcPr>
          <w:p>
            <w:pPr>
              <w:shd w:val="clear" w:color="auto" w:fill="FFFFFF"/>
              <w:ind w:left="-105" w:leftChars="-50" w:right="-105" w:rightChars="-50"/>
              <w:jc w:val="center"/>
              <w:rPr>
                <w:color w:val="000000"/>
                <w:kern w:val="0"/>
                <w:szCs w:val="21"/>
              </w:rPr>
            </w:pPr>
            <w:r>
              <w:rPr>
                <w:szCs w:val="21"/>
              </w:rPr>
              <w:t>2400</w:t>
            </w:r>
            <w:r>
              <w:rPr>
                <w:rFonts w:hint="eastAsia"/>
                <w:szCs w:val="21"/>
              </w:rPr>
              <w:t>-32</w:t>
            </w:r>
            <w:r>
              <w:rPr>
                <w:szCs w:val="21"/>
              </w:rPr>
              <w:t>00</w:t>
            </w:r>
          </w:p>
        </w:tc>
        <w:tc>
          <w:tcPr>
            <w:tcW w:w="912" w:type="dxa"/>
            <w:vAlign w:val="center"/>
          </w:tcPr>
          <w:p>
            <w:pPr>
              <w:shd w:val="clear" w:color="auto" w:fill="FFFFFF"/>
              <w:ind w:left="-105" w:leftChars="-50" w:right="-105" w:rightChars="-50"/>
              <w:jc w:val="center"/>
              <w:rPr>
                <w:color w:val="000000"/>
                <w:kern w:val="0"/>
                <w:szCs w:val="21"/>
              </w:rPr>
            </w:pPr>
            <w:r>
              <w:rPr>
                <w:szCs w:val="21"/>
              </w:rPr>
              <w:t>&gt;</w:t>
            </w:r>
            <w:r>
              <w:rPr>
                <w:rFonts w:hint="eastAsia"/>
                <w:szCs w:val="21"/>
              </w:rPr>
              <w:t>32</w:t>
            </w:r>
            <w:r>
              <w:rPr>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834" w:type="dxa"/>
            <w:vMerge w:val="continue"/>
            <w:vAlign w:val="center"/>
          </w:tcPr>
          <w:p>
            <w:pPr>
              <w:widowControl/>
              <w:jc w:val="left"/>
              <w:rPr>
                <w:color w:val="000000"/>
                <w:kern w:val="0"/>
                <w:szCs w:val="21"/>
              </w:rPr>
            </w:pPr>
          </w:p>
        </w:tc>
        <w:tc>
          <w:tcPr>
            <w:tcW w:w="835" w:type="dxa"/>
            <w:vMerge w:val="continue"/>
            <w:vAlign w:val="center"/>
          </w:tcPr>
          <w:p>
            <w:pPr>
              <w:widowControl/>
              <w:jc w:val="left"/>
              <w:rPr>
                <w:color w:val="000000"/>
                <w:kern w:val="0"/>
                <w:szCs w:val="21"/>
              </w:rPr>
            </w:pPr>
          </w:p>
        </w:tc>
        <w:tc>
          <w:tcPr>
            <w:tcW w:w="1578" w:type="dxa"/>
            <w:vAlign w:val="center"/>
          </w:tcPr>
          <w:p>
            <w:pPr>
              <w:widowControl/>
              <w:shd w:val="clear" w:color="auto" w:fill="FFFFFF"/>
              <w:jc w:val="center"/>
              <w:rPr>
                <w:color w:val="000000"/>
                <w:kern w:val="0"/>
                <w:szCs w:val="21"/>
              </w:rPr>
            </w:pPr>
            <w:r>
              <w:rPr>
                <w:rFonts w:hint="eastAsia" w:cs="宋体"/>
                <w:color w:val="000000"/>
                <w:kern w:val="0"/>
                <w:szCs w:val="21"/>
              </w:rPr>
              <w:t>临机场距离（km）</w:t>
            </w:r>
          </w:p>
        </w:tc>
        <w:tc>
          <w:tcPr>
            <w:tcW w:w="894" w:type="dxa"/>
            <w:vAlign w:val="center"/>
          </w:tcPr>
          <w:p>
            <w:pPr>
              <w:shd w:val="clear" w:color="auto" w:fill="FFFFFF"/>
              <w:ind w:left="-105" w:leftChars="-50" w:right="-105" w:rightChars="-50"/>
              <w:jc w:val="center"/>
              <w:rPr>
                <w:color w:val="000000"/>
                <w:kern w:val="0"/>
                <w:szCs w:val="21"/>
              </w:rPr>
            </w:pPr>
            <w:r>
              <w:rPr>
                <w:szCs w:val="21"/>
              </w:rPr>
              <w:t>≤1</w:t>
            </w:r>
            <w:r>
              <w:rPr>
                <w:rFonts w:hint="eastAsia"/>
                <w:szCs w:val="21"/>
              </w:rPr>
              <w:t>2</w:t>
            </w:r>
          </w:p>
        </w:tc>
        <w:tc>
          <w:tcPr>
            <w:tcW w:w="1266" w:type="dxa"/>
            <w:vAlign w:val="center"/>
          </w:tcPr>
          <w:p>
            <w:pPr>
              <w:shd w:val="clear" w:color="auto" w:fill="FFFFFF"/>
              <w:ind w:left="-105" w:leftChars="-50" w:right="-105" w:rightChars="-50"/>
              <w:jc w:val="center"/>
              <w:rPr>
                <w:color w:val="000000"/>
                <w:kern w:val="0"/>
                <w:szCs w:val="21"/>
              </w:rPr>
            </w:pPr>
            <w:r>
              <w:rPr>
                <w:szCs w:val="21"/>
              </w:rPr>
              <w:t>1</w:t>
            </w:r>
            <w:r>
              <w:rPr>
                <w:rFonts w:hint="eastAsia"/>
                <w:szCs w:val="21"/>
              </w:rPr>
              <w:t>2-</w:t>
            </w:r>
            <w:r>
              <w:rPr>
                <w:szCs w:val="21"/>
              </w:rPr>
              <w:t>1</w:t>
            </w:r>
            <w:r>
              <w:rPr>
                <w:rFonts w:hint="eastAsia"/>
                <w:szCs w:val="21"/>
              </w:rPr>
              <w:t>4</w:t>
            </w:r>
          </w:p>
        </w:tc>
        <w:tc>
          <w:tcPr>
            <w:tcW w:w="1371" w:type="dxa"/>
            <w:vAlign w:val="center"/>
          </w:tcPr>
          <w:p>
            <w:pPr>
              <w:shd w:val="clear" w:color="auto" w:fill="FFFFFF"/>
              <w:ind w:left="-105" w:leftChars="-50" w:right="-105" w:rightChars="-50"/>
              <w:jc w:val="center"/>
              <w:rPr>
                <w:color w:val="000000"/>
                <w:kern w:val="0"/>
                <w:szCs w:val="21"/>
              </w:rPr>
            </w:pPr>
            <w:r>
              <w:rPr>
                <w:szCs w:val="21"/>
              </w:rPr>
              <w:t>1</w:t>
            </w:r>
            <w:r>
              <w:rPr>
                <w:rFonts w:hint="eastAsia"/>
                <w:szCs w:val="21"/>
              </w:rPr>
              <w:t>4-16</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16-18</w:t>
            </w:r>
          </w:p>
        </w:tc>
        <w:tc>
          <w:tcPr>
            <w:tcW w:w="912" w:type="dxa"/>
            <w:vAlign w:val="center"/>
          </w:tcPr>
          <w:p>
            <w:pPr>
              <w:shd w:val="clear" w:color="auto" w:fill="FFFFFF"/>
              <w:ind w:left="-105" w:leftChars="-50" w:right="-105" w:rightChars="-50"/>
              <w:jc w:val="center"/>
              <w:rPr>
                <w:color w:val="000000"/>
                <w:kern w:val="0"/>
                <w:szCs w:val="21"/>
              </w:rPr>
            </w:pPr>
            <w:r>
              <w:rPr>
                <w:szCs w:val="21"/>
              </w:rPr>
              <w:t>&gt;</w:t>
            </w:r>
            <w:r>
              <w:rPr>
                <w:rFonts w:hint="eastAsia"/>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restart"/>
            <w:vAlign w:val="center"/>
          </w:tcPr>
          <w:p>
            <w:pPr>
              <w:widowControl/>
              <w:jc w:val="center"/>
              <w:rPr>
                <w:color w:val="000000"/>
                <w:kern w:val="0"/>
                <w:szCs w:val="21"/>
              </w:rPr>
            </w:pPr>
            <w:r>
              <w:rPr>
                <w:color w:val="000000"/>
                <w:kern w:val="0"/>
                <w:szCs w:val="21"/>
              </w:rPr>
              <w:t>基本设施状况</w:t>
            </w:r>
          </w:p>
        </w:tc>
        <w:tc>
          <w:tcPr>
            <w:tcW w:w="835" w:type="dxa"/>
            <w:vMerge w:val="restart"/>
            <w:vAlign w:val="center"/>
          </w:tcPr>
          <w:p>
            <w:pPr>
              <w:widowControl/>
              <w:jc w:val="center"/>
              <w:rPr>
                <w:color w:val="000000"/>
                <w:kern w:val="0"/>
                <w:szCs w:val="21"/>
              </w:rPr>
            </w:pPr>
            <w:r>
              <w:rPr>
                <w:color w:val="000000"/>
                <w:kern w:val="0"/>
                <w:szCs w:val="21"/>
              </w:rPr>
              <w:t>基础设施完善度</w:t>
            </w:r>
          </w:p>
        </w:tc>
        <w:tc>
          <w:tcPr>
            <w:tcW w:w="1578" w:type="dxa"/>
            <w:vAlign w:val="center"/>
          </w:tcPr>
          <w:p>
            <w:pPr>
              <w:widowControl/>
              <w:jc w:val="center"/>
              <w:rPr>
                <w:color w:val="000000"/>
                <w:kern w:val="0"/>
                <w:szCs w:val="21"/>
              </w:rPr>
            </w:pPr>
            <w:r>
              <w:rPr>
                <w:color w:val="000000"/>
                <w:kern w:val="0"/>
                <w:szCs w:val="21"/>
              </w:rPr>
              <w:t>排水状况</w:t>
            </w:r>
          </w:p>
        </w:tc>
        <w:tc>
          <w:tcPr>
            <w:tcW w:w="894" w:type="dxa"/>
            <w:vAlign w:val="center"/>
          </w:tcPr>
          <w:p>
            <w:pPr>
              <w:widowControl/>
              <w:jc w:val="center"/>
              <w:rPr>
                <w:color w:val="000000"/>
                <w:kern w:val="0"/>
                <w:szCs w:val="21"/>
              </w:rPr>
            </w:pPr>
            <w:r>
              <w:rPr>
                <w:color w:val="000000"/>
                <w:kern w:val="0"/>
                <w:szCs w:val="21"/>
              </w:rPr>
              <w:t>好</w:t>
            </w:r>
          </w:p>
        </w:tc>
        <w:tc>
          <w:tcPr>
            <w:tcW w:w="1266" w:type="dxa"/>
            <w:vAlign w:val="center"/>
          </w:tcPr>
          <w:p>
            <w:pPr>
              <w:widowControl/>
              <w:jc w:val="center"/>
              <w:rPr>
                <w:color w:val="000000"/>
                <w:kern w:val="0"/>
                <w:szCs w:val="21"/>
              </w:rPr>
            </w:pPr>
            <w:r>
              <w:rPr>
                <w:color w:val="000000"/>
                <w:kern w:val="0"/>
                <w:szCs w:val="21"/>
              </w:rPr>
              <w:t>较好</w:t>
            </w:r>
          </w:p>
        </w:tc>
        <w:tc>
          <w:tcPr>
            <w:tcW w:w="1371" w:type="dxa"/>
            <w:vAlign w:val="center"/>
          </w:tcPr>
          <w:p>
            <w:pPr>
              <w:widowControl/>
              <w:jc w:val="center"/>
              <w:rPr>
                <w:color w:val="000000"/>
                <w:kern w:val="0"/>
                <w:szCs w:val="21"/>
              </w:rPr>
            </w:pPr>
            <w:r>
              <w:rPr>
                <w:color w:val="000000"/>
                <w:kern w:val="0"/>
                <w:szCs w:val="21"/>
              </w:rPr>
              <w:t>一般</w:t>
            </w:r>
          </w:p>
        </w:tc>
        <w:tc>
          <w:tcPr>
            <w:tcW w:w="1371" w:type="dxa"/>
            <w:vAlign w:val="center"/>
          </w:tcPr>
          <w:p>
            <w:pPr>
              <w:widowControl/>
              <w:jc w:val="center"/>
              <w:rPr>
                <w:color w:val="000000"/>
                <w:kern w:val="0"/>
                <w:szCs w:val="21"/>
              </w:rPr>
            </w:pPr>
            <w:r>
              <w:rPr>
                <w:color w:val="000000"/>
                <w:kern w:val="0"/>
                <w:szCs w:val="21"/>
              </w:rPr>
              <w:t>较差</w:t>
            </w:r>
          </w:p>
        </w:tc>
        <w:tc>
          <w:tcPr>
            <w:tcW w:w="912" w:type="dxa"/>
            <w:vAlign w:val="center"/>
          </w:tcPr>
          <w:p>
            <w:pPr>
              <w:widowControl/>
              <w:jc w:val="center"/>
              <w:rPr>
                <w:color w:val="000000"/>
                <w:kern w:val="0"/>
                <w:szCs w:val="21"/>
              </w:rPr>
            </w:pPr>
            <w:r>
              <w:rPr>
                <w:color w:val="000000"/>
                <w:kern w:val="0"/>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continue"/>
            <w:vAlign w:val="center"/>
          </w:tcPr>
          <w:p>
            <w:pPr>
              <w:widowControl/>
              <w:jc w:val="left"/>
              <w:rPr>
                <w:color w:val="000000"/>
                <w:kern w:val="0"/>
                <w:szCs w:val="21"/>
              </w:rPr>
            </w:pPr>
          </w:p>
        </w:tc>
        <w:tc>
          <w:tcPr>
            <w:tcW w:w="835" w:type="dxa"/>
            <w:vMerge w:val="continue"/>
            <w:vAlign w:val="center"/>
          </w:tcPr>
          <w:p>
            <w:pPr>
              <w:widowControl/>
              <w:jc w:val="left"/>
              <w:rPr>
                <w:color w:val="000000"/>
                <w:kern w:val="0"/>
                <w:szCs w:val="21"/>
              </w:rPr>
            </w:pPr>
          </w:p>
        </w:tc>
        <w:tc>
          <w:tcPr>
            <w:tcW w:w="1578" w:type="dxa"/>
            <w:vAlign w:val="center"/>
          </w:tcPr>
          <w:p>
            <w:pPr>
              <w:widowControl/>
              <w:jc w:val="center"/>
              <w:rPr>
                <w:color w:val="000000"/>
                <w:kern w:val="0"/>
                <w:szCs w:val="21"/>
              </w:rPr>
            </w:pPr>
            <w:r>
              <w:rPr>
                <w:color w:val="000000"/>
                <w:kern w:val="0"/>
                <w:szCs w:val="21"/>
              </w:rPr>
              <w:t>供水状况</w:t>
            </w:r>
          </w:p>
        </w:tc>
        <w:tc>
          <w:tcPr>
            <w:tcW w:w="894" w:type="dxa"/>
            <w:vAlign w:val="center"/>
          </w:tcPr>
          <w:p>
            <w:pPr>
              <w:widowControl/>
              <w:jc w:val="center"/>
              <w:rPr>
                <w:color w:val="000000"/>
                <w:kern w:val="0"/>
                <w:szCs w:val="21"/>
              </w:rPr>
            </w:pPr>
            <w:r>
              <w:rPr>
                <w:color w:val="000000"/>
                <w:kern w:val="0"/>
                <w:szCs w:val="21"/>
              </w:rPr>
              <w:t>100%</w:t>
            </w:r>
          </w:p>
        </w:tc>
        <w:tc>
          <w:tcPr>
            <w:tcW w:w="1266" w:type="dxa"/>
            <w:vAlign w:val="center"/>
          </w:tcPr>
          <w:p>
            <w:pPr>
              <w:widowControl/>
              <w:jc w:val="center"/>
              <w:rPr>
                <w:color w:val="000000"/>
                <w:kern w:val="0"/>
                <w:szCs w:val="21"/>
              </w:rPr>
            </w:pPr>
            <w:r>
              <w:rPr>
                <w:color w:val="000000"/>
                <w:kern w:val="0"/>
                <w:szCs w:val="21"/>
              </w:rPr>
              <w:t>90-99%</w:t>
            </w:r>
          </w:p>
        </w:tc>
        <w:tc>
          <w:tcPr>
            <w:tcW w:w="1371" w:type="dxa"/>
            <w:vAlign w:val="center"/>
          </w:tcPr>
          <w:p>
            <w:pPr>
              <w:widowControl/>
              <w:jc w:val="center"/>
              <w:rPr>
                <w:color w:val="000000"/>
                <w:kern w:val="0"/>
                <w:szCs w:val="21"/>
              </w:rPr>
            </w:pPr>
            <w:r>
              <w:rPr>
                <w:color w:val="000000"/>
                <w:kern w:val="0"/>
                <w:szCs w:val="21"/>
              </w:rPr>
              <w:t>80-89%</w:t>
            </w:r>
          </w:p>
        </w:tc>
        <w:tc>
          <w:tcPr>
            <w:tcW w:w="1371" w:type="dxa"/>
            <w:vAlign w:val="center"/>
          </w:tcPr>
          <w:p>
            <w:pPr>
              <w:widowControl/>
              <w:jc w:val="center"/>
              <w:rPr>
                <w:color w:val="000000"/>
                <w:kern w:val="0"/>
                <w:szCs w:val="21"/>
              </w:rPr>
            </w:pPr>
            <w:r>
              <w:rPr>
                <w:color w:val="000000"/>
                <w:kern w:val="0"/>
                <w:szCs w:val="21"/>
              </w:rPr>
              <w:t>60-79%</w:t>
            </w:r>
          </w:p>
        </w:tc>
        <w:tc>
          <w:tcPr>
            <w:tcW w:w="912"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continue"/>
            <w:vAlign w:val="center"/>
          </w:tcPr>
          <w:p>
            <w:pPr>
              <w:widowControl/>
              <w:jc w:val="left"/>
              <w:rPr>
                <w:color w:val="000000"/>
                <w:kern w:val="0"/>
                <w:szCs w:val="21"/>
              </w:rPr>
            </w:pPr>
          </w:p>
        </w:tc>
        <w:tc>
          <w:tcPr>
            <w:tcW w:w="835" w:type="dxa"/>
            <w:vMerge w:val="continue"/>
            <w:vAlign w:val="center"/>
          </w:tcPr>
          <w:p>
            <w:pPr>
              <w:widowControl/>
              <w:jc w:val="left"/>
              <w:rPr>
                <w:color w:val="000000"/>
                <w:kern w:val="0"/>
                <w:szCs w:val="21"/>
              </w:rPr>
            </w:pPr>
          </w:p>
        </w:tc>
        <w:tc>
          <w:tcPr>
            <w:tcW w:w="1578" w:type="dxa"/>
            <w:vAlign w:val="center"/>
          </w:tcPr>
          <w:p>
            <w:pPr>
              <w:widowControl/>
              <w:jc w:val="center"/>
              <w:rPr>
                <w:color w:val="000000"/>
                <w:kern w:val="0"/>
                <w:szCs w:val="21"/>
              </w:rPr>
            </w:pPr>
            <w:r>
              <w:rPr>
                <w:color w:val="000000"/>
                <w:kern w:val="0"/>
                <w:szCs w:val="21"/>
              </w:rPr>
              <w:t>供电状况</w:t>
            </w:r>
          </w:p>
        </w:tc>
        <w:tc>
          <w:tcPr>
            <w:tcW w:w="894" w:type="dxa"/>
            <w:vAlign w:val="center"/>
          </w:tcPr>
          <w:p>
            <w:pPr>
              <w:widowControl/>
              <w:jc w:val="center"/>
              <w:rPr>
                <w:color w:val="000000"/>
                <w:kern w:val="0"/>
                <w:szCs w:val="21"/>
              </w:rPr>
            </w:pPr>
            <w:r>
              <w:rPr>
                <w:color w:val="000000"/>
                <w:kern w:val="0"/>
                <w:szCs w:val="21"/>
              </w:rPr>
              <w:t>100%</w:t>
            </w:r>
          </w:p>
        </w:tc>
        <w:tc>
          <w:tcPr>
            <w:tcW w:w="1266" w:type="dxa"/>
            <w:vAlign w:val="center"/>
          </w:tcPr>
          <w:p>
            <w:pPr>
              <w:widowControl/>
              <w:jc w:val="center"/>
              <w:rPr>
                <w:color w:val="000000"/>
                <w:kern w:val="0"/>
                <w:szCs w:val="21"/>
              </w:rPr>
            </w:pPr>
            <w:r>
              <w:rPr>
                <w:color w:val="000000"/>
                <w:kern w:val="0"/>
                <w:szCs w:val="21"/>
              </w:rPr>
              <w:t>90-99%</w:t>
            </w:r>
          </w:p>
        </w:tc>
        <w:tc>
          <w:tcPr>
            <w:tcW w:w="1371" w:type="dxa"/>
            <w:vAlign w:val="center"/>
          </w:tcPr>
          <w:p>
            <w:pPr>
              <w:widowControl/>
              <w:jc w:val="center"/>
              <w:rPr>
                <w:color w:val="000000"/>
                <w:kern w:val="0"/>
                <w:szCs w:val="21"/>
              </w:rPr>
            </w:pPr>
            <w:r>
              <w:rPr>
                <w:color w:val="000000"/>
                <w:kern w:val="0"/>
                <w:szCs w:val="21"/>
              </w:rPr>
              <w:t>80-89%</w:t>
            </w:r>
          </w:p>
        </w:tc>
        <w:tc>
          <w:tcPr>
            <w:tcW w:w="1371" w:type="dxa"/>
            <w:vAlign w:val="center"/>
          </w:tcPr>
          <w:p>
            <w:pPr>
              <w:widowControl/>
              <w:jc w:val="center"/>
              <w:rPr>
                <w:color w:val="000000"/>
                <w:kern w:val="0"/>
                <w:szCs w:val="21"/>
              </w:rPr>
            </w:pPr>
            <w:r>
              <w:rPr>
                <w:color w:val="000000"/>
                <w:kern w:val="0"/>
                <w:szCs w:val="21"/>
              </w:rPr>
              <w:t>60-79%</w:t>
            </w:r>
          </w:p>
        </w:tc>
        <w:tc>
          <w:tcPr>
            <w:tcW w:w="912"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continue"/>
            <w:vAlign w:val="center"/>
          </w:tcPr>
          <w:p>
            <w:pPr>
              <w:widowControl/>
              <w:jc w:val="left"/>
              <w:rPr>
                <w:color w:val="000000"/>
                <w:kern w:val="0"/>
                <w:szCs w:val="21"/>
              </w:rPr>
            </w:pPr>
          </w:p>
        </w:tc>
        <w:tc>
          <w:tcPr>
            <w:tcW w:w="835" w:type="dxa"/>
            <w:vMerge w:val="continue"/>
            <w:vAlign w:val="center"/>
          </w:tcPr>
          <w:p>
            <w:pPr>
              <w:widowControl/>
              <w:jc w:val="left"/>
              <w:rPr>
                <w:color w:val="000000"/>
                <w:kern w:val="0"/>
                <w:szCs w:val="21"/>
              </w:rPr>
            </w:pPr>
          </w:p>
        </w:tc>
        <w:tc>
          <w:tcPr>
            <w:tcW w:w="1578" w:type="dxa"/>
            <w:vAlign w:val="center"/>
          </w:tcPr>
          <w:p>
            <w:pPr>
              <w:widowControl/>
              <w:jc w:val="center"/>
              <w:rPr>
                <w:color w:val="000000"/>
                <w:kern w:val="0"/>
                <w:szCs w:val="21"/>
              </w:rPr>
            </w:pPr>
            <w:r>
              <w:rPr>
                <w:color w:val="000000"/>
                <w:kern w:val="0"/>
                <w:szCs w:val="21"/>
              </w:rPr>
              <w:t>供气状况</w:t>
            </w:r>
          </w:p>
        </w:tc>
        <w:tc>
          <w:tcPr>
            <w:tcW w:w="894" w:type="dxa"/>
            <w:vAlign w:val="center"/>
          </w:tcPr>
          <w:p>
            <w:pPr>
              <w:widowControl/>
              <w:jc w:val="center"/>
              <w:rPr>
                <w:color w:val="000000"/>
                <w:kern w:val="0"/>
                <w:szCs w:val="21"/>
              </w:rPr>
            </w:pPr>
            <w:r>
              <w:rPr>
                <w:color w:val="000000"/>
                <w:kern w:val="0"/>
                <w:szCs w:val="21"/>
              </w:rPr>
              <w:t>100%</w:t>
            </w:r>
          </w:p>
        </w:tc>
        <w:tc>
          <w:tcPr>
            <w:tcW w:w="1266" w:type="dxa"/>
            <w:vAlign w:val="center"/>
          </w:tcPr>
          <w:p>
            <w:pPr>
              <w:widowControl/>
              <w:jc w:val="center"/>
              <w:rPr>
                <w:color w:val="000000"/>
                <w:kern w:val="0"/>
                <w:szCs w:val="21"/>
              </w:rPr>
            </w:pPr>
            <w:r>
              <w:rPr>
                <w:color w:val="000000"/>
                <w:kern w:val="0"/>
                <w:szCs w:val="21"/>
              </w:rPr>
              <w:t>90-99%</w:t>
            </w:r>
          </w:p>
        </w:tc>
        <w:tc>
          <w:tcPr>
            <w:tcW w:w="1371" w:type="dxa"/>
            <w:vAlign w:val="center"/>
          </w:tcPr>
          <w:p>
            <w:pPr>
              <w:widowControl/>
              <w:jc w:val="center"/>
              <w:rPr>
                <w:color w:val="000000"/>
                <w:kern w:val="0"/>
                <w:szCs w:val="21"/>
              </w:rPr>
            </w:pPr>
            <w:r>
              <w:rPr>
                <w:color w:val="000000"/>
                <w:kern w:val="0"/>
                <w:szCs w:val="21"/>
              </w:rPr>
              <w:t>80-89%</w:t>
            </w:r>
          </w:p>
        </w:tc>
        <w:tc>
          <w:tcPr>
            <w:tcW w:w="1371" w:type="dxa"/>
            <w:vAlign w:val="center"/>
          </w:tcPr>
          <w:p>
            <w:pPr>
              <w:widowControl/>
              <w:jc w:val="center"/>
              <w:rPr>
                <w:color w:val="000000"/>
                <w:kern w:val="0"/>
                <w:szCs w:val="21"/>
              </w:rPr>
            </w:pPr>
            <w:r>
              <w:rPr>
                <w:color w:val="000000"/>
                <w:kern w:val="0"/>
                <w:szCs w:val="21"/>
              </w:rPr>
              <w:t>60-79%</w:t>
            </w:r>
          </w:p>
        </w:tc>
        <w:tc>
          <w:tcPr>
            <w:tcW w:w="912"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834" w:type="dxa"/>
            <w:vMerge w:val="restart"/>
            <w:vAlign w:val="center"/>
          </w:tcPr>
          <w:p>
            <w:pPr>
              <w:widowControl/>
              <w:jc w:val="center"/>
              <w:rPr>
                <w:color w:val="000000"/>
                <w:kern w:val="0"/>
                <w:szCs w:val="21"/>
              </w:rPr>
            </w:pPr>
            <w:r>
              <w:rPr>
                <w:color w:val="000000"/>
                <w:kern w:val="0"/>
                <w:szCs w:val="21"/>
              </w:rPr>
              <w:t>环境条件</w:t>
            </w:r>
          </w:p>
        </w:tc>
        <w:tc>
          <w:tcPr>
            <w:tcW w:w="835" w:type="dxa"/>
            <w:vMerge w:val="restart"/>
            <w:vAlign w:val="center"/>
          </w:tcPr>
          <w:p>
            <w:pPr>
              <w:widowControl/>
              <w:jc w:val="center"/>
              <w:rPr>
                <w:color w:val="000000"/>
                <w:kern w:val="0"/>
                <w:szCs w:val="21"/>
              </w:rPr>
            </w:pPr>
            <w:r>
              <w:rPr>
                <w:color w:val="000000"/>
                <w:kern w:val="0"/>
                <w:szCs w:val="21"/>
              </w:rPr>
              <w:t>自然条件优劣度</w:t>
            </w:r>
          </w:p>
        </w:tc>
        <w:tc>
          <w:tcPr>
            <w:tcW w:w="1578" w:type="dxa"/>
            <w:vAlign w:val="center"/>
          </w:tcPr>
          <w:p>
            <w:pPr>
              <w:widowControl/>
              <w:jc w:val="center"/>
              <w:rPr>
                <w:color w:val="000000"/>
                <w:kern w:val="0"/>
                <w:szCs w:val="21"/>
              </w:rPr>
            </w:pPr>
            <w:r>
              <w:rPr>
                <w:color w:val="000000"/>
                <w:kern w:val="0"/>
                <w:szCs w:val="21"/>
              </w:rPr>
              <w:t>地质状况</w:t>
            </w:r>
          </w:p>
        </w:tc>
        <w:tc>
          <w:tcPr>
            <w:tcW w:w="894" w:type="dxa"/>
            <w:vAlign w:val="center"/>
          </w:tcPr>
          <w:p>
            <w:pPr>
              <w:widowControl/>
              <w:jc w:val="center"/>
              <w:rPr>
                <w:color w:val="000000"/>
                <w:kern w:val="0"/>
                <w:szCs w:val="21"/>
              </w:rPr>
            </w:pPr>
            <w:r>
              <w:rPr>
                <w:color w:val="000000"/>
                <w:kern w:val="0"/>
                <w:szCs w:val="21"/>
              </w:rPr>
              <w:t>&gt;30吨/m2</w:t>
            </w:r>
          </w:p>
        </w:tc>
        <w:tc>
          <w:tcPr>
            <w:tcW w:w="1266" w:type="dxa"/>
            <w:vAlign w:val="center"/>
          </w:tcPr>
          <w:p>
            <w:pPr>
              <w:widowControl/>
              <w:jc w:val="center"/>
              <w:rPr>
                <w:color w:val="000000"/>
                <w:kern w:val="0"/>
                <w:szCs w:val="21"/>
              </w:rPr>
            </w:pPr>
            <w:r>
              <w:rPr>
                <w:color w:val="000000"/>
                <w:kern w:val="0"/>
                <w:szCs w:val="21"/>
              </w:rPr>
              <w:t>25-30吨/m2</w:t>
            </w:r>
          </w:p>
        </w:tc>
        <w:tc>
          <w:tcPr>
            <w:tcW w:w="1371" w:type="dxa"/>
            <w:vAlign w:val="center"/>
          </w:tcPr>
          <w:p>
            <w:pPr>
              <w:widowControl/>
              <w:jc w:val="center"/>
              <w:rPr>
                <w:color w:val="000000"/>
                <w:kern w:val="0"/>
                <w:szCs w:val="21"/>
              </w:rPr>
            </w:pPr>
            <w:r>
              <w:rPr>
                <w:color w:val="000000"/>
                <w:kern w:val="0"/>
                <w:szCs w:val="21"/>
              </w:rPr>
              <w:t>20-25吨/m2</w:t>
            </w:r>
          </w:p>
        </w:tc>
        <w:tc>
          <w:tcPr>
            <w:tcW w:w="1371" w:type="dxa"/>
            <w:vAlign w:val="center"/>
          </w:tcPr>
          <w:p>
            <w:pPr>
              <w:widowControl/>
              <w:jc w:val="center"/>
              <w:rPr>
                <w:color w:val="000000"/>
                <w:kern w:val="0"/>
                <w:szCs w:val="21"/>
              </w:rPr>
            </w:pPr>
            <w:r>
              <w:rPr>
                <w:color w:val="000000"/>
                <w:kern w:val="0"/>
                <w:szCs w:val="21"/>
              </w:rPr>
              <w:t>15-20吨/m2</w:t>
            </w:r>
          </w:p>
        </w:tc>
        <w:tc>
          <w:tcPr>
            <w:tcW w:w="912" w:type="dxa"/>
            <w:vAlign w:val="center"/>
          </w:tcPr>
          <w:p>
            <w:pPr>
              <w:widowControl/>
              <w:jc w:val="center"/>
              <w:rPr>
                <w:color w:val="000000"/>
                <w:kern w:val="0"/>
                <w:szCs w:val="21"/>
              </w:rPr>
            </w:pPr>
            <w:r>
              <w:rPr>
                <w:color w:val="000000"/>
                <w:kern w:val="0"/>
                <w:szCs w:val="21"/>
              </w:rPr>
              <w:t>&lt;15吨/m2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continue"/>
            <w:vAlign w:val="center"/>
          </w:tcPr>
          <w:p>
            <w:pPr>
              <w:widowControl/>
              <w:jc w:val="left"/>
              <w:rPr>
                <w:color w:val="000000"/>
                <w:kern w:val="0"/>
                <w:szCs w:val="21"/>
              </w:rPr>
            </w:pPr>
          </w:p>
        </w:tc>
        <w:tc>
          <w:tcPr>
            <w:tcW w:w="835" w:type="dxa"/>
            <w:vMerge w:val="continue"/>
            <w:vAlign w:val="center"/>
          </w:tcPr>
          <w:p>
            <w:pPr>
              <w:widowControl/>
              <w:jc w:val="left"/>
              <w:rPr>
                <w:color w:val="000000"/>
                <w:kern w:val="0"/>
                <w:szCs w:val="21"/>
              </w:rPr>
            </w:pPr>
          </w:p>
        </w:tc>
        <w:tc>
          <w:tcPr>
            <w:tcW w:w="1578" w:type="dxa"/>
            <w:vAlign w:val="center"/>
          </w:tcPr>
          <w:p>
            <w:pPr>
              <w:widowControl/>
              <w:jc w:val="center"/>
              <w:rPr>
                <w:color w:val="000000"/>
                <w:kern w:val="0"/>
                <w:szCs w:val="21"/>
              </w:rPr>
            </w:pPr>
            <w:r>
              <w:rPr>
                <w:color w:val="000000"/>
                <w:kern w:val="0"/>
                <w:szCs w:val="21"/>
              </w:rPr>
              <w:t>洪水淹没状况</w:t>
            </w:r>
          </w:p>
        </w:tc>
        <w:tc>
          <w:tcPr>
            <w:tcW w:w="894" w:type="dxa"/>
            <w:vAlign w:val="center"/>
          </w:tcPr>
          <w:p>
            <w:pPr>
              <w:widowControl/>
              <w:jc w:val="center"/>
              <w:rPr>
                <w:color w:val="000000"/>
                <w:kern w:val="0"/>
                <w:szCs w:val="21"/>
              </w:rPr>
            </w:pPr>
            <w:r>
              <w:rPr>
                <w:color w:val="000000"/>
                <w:kern w:val="0"/>
                <w:szCs w:val="21"/>
              </w:rPr>
              <w:t>低</w:t>
            </w:r>
          </w:p>
        </w:tc>
        <w:tc>
          <w:tcPr>
            <w:tcW w:w="1266" w:type="dxa"/>
            <w:vAlign w:val="center"/>
          </w:tcPr>
          <w:p>
            <w:pPr>
              <w:widowControl/>
              <w:jc w:val="center"/>
              <w:rPr>
                <w:color w:val="000000"/>
                <w:kern w:val="0"/>
                <w:szCs w:val="21"/>
              </w:rPr>
            </w:pPr>
            <w:r>
              <w:rPr>
                <w:color w:val="000000"/>
                <w:kern w:val="0"/>
                <w:szCs w:val="21"/>
              </w:rPr>
              <w:t>较低</w:t>
            </w:r>
          </w:p>
        </w:tc>
        <w:tc>
          <w:tcPr>
            <w:tcW w:w="1371" w:type="dxa"/>
            <w:vAlign w:val="center"/>
          </w:tcPr>
          <w:p>
            <w:pPr>
              <w:widowControl/>
              <w:jc w:val="center"/>
              <w:rPr>
                <w:color w:val="000000"/>
                <w:kern w:val="0"/>
                <w:szCs w:val="21"/>
              </w:rPr>
            </w:pPr>
            <w:r>
              <w:rPr>
                <w:color w:val="000000"/>
                <w:kern w:val="0"/>
                <w:szCs w:val="21"/>
              </w:rPr>
              <w:t>一般</w:t>
            </w:r>
          </w:p>
        </w:tc>
        <w:tc>
          <w:tcPr>
            <w:tcW w:w="1371" w:type="dxa"/>
            <w:vAlign w:val="center"/>
          </w:tcPr>
          <w:p>
            <w:pPr>
              <w:widowControl/>
              <w:jc w:val="center"/>
              <w:rPr>
                <w:color w:val="000000"/>
                <w:kern w:val="0"/>
                <w:szCs w:val="21"/>
              </w:rPr>
            </w:pPr>
            <w:r>
              <w:rPr>
                <w:color w:val="000000"/>
                <w:kern w:val="0"/>
                <w:szCs w:val="21"/>
              </w:rPr>
              <w:t>较高</w:t>
            </w:r>
          </w:p>
        </w:tc>
        <w:tc>
          <w:tcPr>
            <w:tcW w:w="912" w:type="dxa"/>
            <w:vAlign w:val="center"/>
          </w:tcPr>
          <w:p>
            <w:pPr>
              <w:widowControl/>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Align w:val="center"/>
          </w:tcPr>
          <w:p>
            <w:pPr>
              <w:widowControl/>
              <w:jc w:val="center"/>
              <w:rPr>
                <w:color w:val="000000"/>
                <w:kern w:val="0"/>
                <w:szCs w:val="21"/>
              </w:rPr>
            </w:pPr>
            <w:r>
              <w:rPr>
                <w:color w:val="000000"/>
                <w:kern w:val="0"/>
                <w:szCs w:val="21"/>
              </w:rPr>
              <w:t>产业集聚效益</w:t>
            </w:r>
          </w:p>
        </w:tc>
        <w:tc>
          <w:tcPr>
            <w:tcW w:w="835" w:type="dxa"/>
            <w:vAlign w:val="center"/>
          </w:tcPr>
          <w:p>
            <w:pPr>
              <w:widowControl/>
              <w:jc w:val="center"/>
              <w:rPr>
                <w:color w:val="000000"/>
                <w:kern w:val="0"/>
                <w:szCs w:val="21"/>
              </w:rPr>
            </w:pPr>
            <w:r>
              <w:rPr>
                <w:color w:val="000000"/>
                <w:kern w:val="0"/>
                <w:szCs w:val="21"/>
              </w:rPr>
              <w:t>产业集聚影响度</w:t>
            </w:r>
          </w:p>
        </w:tc>
        <w:tc>
          <w:tcPr>
            <w:tcW w:w="1578" w:type="dxa"/>
            <w:vAlign w:val="center"/>
          </w:tcPr>
          <w:p>
            <w:pPr>
              <w:widowControl/>
              <w:jc w:val="center"/>
              <w:rPr>
                <w:color w:val="000000"/>
                <w:kern w:val="0"/>
                <w:szCs w:val="21"/>
              </w:rPr>
            </w:pPr>
            <w:r>
              <w:rPr>
                <w:color w:val="000000"/>
                <w:kern w:val="0"/>
                <w:szCs w:val="21"/>
              </w:rPr>
              <w:t>产业集聚影响度</w:t>
            </w:r>
          </w:p>
        </w:tc>
        <w:tc>
          <w:tcPr>
            <w:tcW w:w="894" w:type="dxa"/>
            <w:vAlign w:val="center"/>
          </w:tcPr>
          <w:p>
            <w:pPr>
              <w:widowControl/>
              <w:jc w:val="center"/>
              <w:rPr>
                <w:color w:val="000000"/>
                <w:kern w:val="0"/>
                <w:szCs w:val="21"/>
              </w:rPr>
            </w:pPr>
            <w:r>
              <w:rPr>
                <w:color w:val="000000"/>
                <w:kern w:val="0"/>
                <w:szCs w:val="21"/>
              </w:rPr>
              <w:t>高新产业联系紧密区</w:t>
            </w:r>
          </w:p>
        </w:tc>
        <w:tc>
          <w:tcPr>
            <w:tcW w:w="1266" w:type="dxa"/>
            <w:vAlign w:val="center"/>
          </w:tcPr>
          <w:p>
            <w:pPr>
              <w:widowControl/>
              <w:jc w:val="center"/>
              <w:rPr>
                <w:color w:val="000000"/>
                <w:kern w:val="0"/>
                <w:szCs w:val="21"/>
              </w:rPr>
            </w:pPr>
            <w:r>
              <w:rPr>
                <w:color w:val="000000"/>
                <w:kern w:val="0"/>
                <w:szCs w:val="21"/>
              </w:rPr>
              <w:t>高新产业联系一般区，一般产业联系紧密区</w:t>
            </w:r>
          </w:p>
        </w:tc>
        <w:tc>
          <w:tcPr>
            <w:tcW w:w="1371" w:type="dxa"/>
            <w:vAlign w:val="center"/>
          </w:tcPr>
          <w:p>
            <w:pPr>
              <w:widowControl/>
              <w:jc w:val="center"/>
              <w:rPr>
                <w:color w:val="000000"/>
                <w:kern w:val="0"/>
                <w:szCs w:val="21"/>
              </w:rPr>
            </w:pPr>
            <w:r>
              <w:rPr>
                <w:color w:val="000000"/>
                <w:kern w:val="0"/>
                <w:szCs w:val="21"/>
              </w:rPr>
              <w:t>高新产业联系松散区，一般产业联系一般区</w:t>
            </w:r>
          </w:p>
        </w:tc>
        <w:tc>
          <w:tcPr>
            <w:tcW w:w="1371" w:type="dxa"/>
            <w:vAlign w:val="center"/>
          </w:tcPr>
          <w:p>
            <w:pPr>
              <w:widowControl/>
              <w:jc w:val="center"/>
              <w:rPr>
                <w:color w:val="000000"/>
                <w:kern w:val="0"/>
                <w:szCs w:val="21"/>
              </w:rPr>
            </w:pPr>
            <w:r>
              <w:rPr>
                <w:color w:val="000000"/>
                <w:kern w:val="0"/>
                <w:szCs w:val="21"/>
              </w:rPr>
              <w:t>一般产业联系松散区</w:t>
            </w:r>
          </w:p>
        </w:tc>
        <w:tc>
          <w:tcPr>
            <w:tcW w:w="912" w:type="dxa"/>
            <w:vAlign w:val="center"/>
          </w:tcPr>
          <w:p>
            <w:pPr>
              <w:widowControl/>
              <w:jc w:val="center"/>
              <w:rPr>
                <w:color w:val="000000"/>
                <w:kern w:val="0"/>
                <w:szCs w:val="21"/>
              </w:rPr>
            </w:pPr>
            <w:r>
              <w:rPr>
                <w:color w:val="000000"/>
                <w:kern w:val="0"/>
                <w:szCs w:val="21"/>
              </w:rPr>
              <w:t>独立分散区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restart"/>
            <w:vAlign w:val="center"/>
          </w:tcPr>
          <w:p>
            <w:pPr>
              <w:widowControl/>
              <w:jc w:val="center"/>
              <w:rPr>
                <w:color w:val="000000"/>
                <w:kern w:val="0"/>
                <w:szCs w:val="21"/>
              </w:rPr>
            </w:pPr>
            <w:r>
              <w:rPr>
                <w:color w:val="000000"/>
                <w:kern w:val="0"/>
                <w:szCs w:val="21"/>
              </w:rPr>
              <w:t>城市规划</w:t>
            </w:r>
          </w:p>
        </w:tc>
        <w:tc>
          <w:tcPr>
            <w:tcW w:w="835" w:type="dxa"/>
            <w:vMerge w:val="restart"/>
            <w:vAlign w:val="center"/>
          </w:tcPr>
          <w:p>
            <w:pPr>
              <w:widowControl/>
              <w:jc w:val="center"/>
              <w:rPr>
                <w:color w:val="000000"/>
                <w:kern w:val="0"/>
                <w:szCs w:val="21"/>
              </w:rPr>
            </w:pPr>
            <w:r>
              <w:rPr>
                <w:color w:val="000000"/>
                <w:kern w:val="0"/>
                <w:szCs w:val="21"/>
              </w:rPr>
              <w:t>城市规划</w:t>
            </w:r>
          </w:p>
        </w:tc>
        <w:tc>
          <w:tcPr>
            <w:tcW w:w="1578" w:type="dxa"/>
            <w:vAlign w:val="center"/>
          </w:tcPr>
          <w:p>
            <w:pPr>
              <w:widowControl/>
              <w:jc w:val="center"/>
              <w:rPr>
                <w:color w:val="000000"/>
                <w:kern w:val="0"/>
                <w:szCs w:val="21"/>
              </w:rPr>
            </w:pPr>
            <w:r>
              <w:rPr>
                <w:color w:val="000000"/>
                <w:kern w:val="0"/>
                <w:szCs w:val="21"/>
              </w:rPr>
              <w:t>用地规划</w:t>
            </w:r>
          </w:p>
        </w:tc>
        <w:tc>
          <w:tcPr>
            <w:tcW w:w="894" w:type="dxa"/>
            <w:vAlign w:val="center"/>
          </w:tcPr>
          <w:p>
            <w:pPr>
              <w:widowControl/>
              <w:jc w:val="center"/>
              <w:rPr>
                <w:color w:val="000000"/>
                <w:kern w:val="0"/>
                <w:szCs w:val="21"/>
              </w:rPr>
            </w:pPr>
            <w:r>
              <w:rPr>
                <w:color w:val="000000"/>
                <w:kern w:val="0"/>
                <w:szCs w:val="21"/>
              </w:rPr>
              <w:t>主干道</w:t>
            </w:r>
          </w:p>
        </w:tc>
        <w:tc>
          <w:tcPr>
            <w:tcW w:w="1266" w:type="dxa"/>
            <w:vAlign w:val="center"/>
          </w:tcPr>
          <w:p>
            <w:pPr>
              <w:widowControl/>
              <w:jc w:val="center"/>
              <w:rPr>
                <w:color w:val="000000"/>
                <w:kern w:val="0"/>
                <w:szCs w:val="21"/>
              </w:rPr>
            </w:pPr>
            <w:r>
              <w:rPr>
                <w:color w:val="000000"/>
                <w:kern w:val="0"/>
                <w:szCs w:val="21"/>
              </w:rPr>
              <w:t>次干道</w:t>
            </w:r>
          </w:p>
        </w:tc>
        <w:tc>
          <w:tcPr>
            <w:tcW w:w="1371" w:type="dxa"/>
            <w:vAlign w:val="center"/>
          </w:tcPr>
          <w:p>
            <w:pPr>
              <w:widowControl/>
              <w:jc w:val="center"/>
              <w:rPr>
                <w:color w:val="000000"/>
                <w:kern w:val="0"/>
                <w:szCs w:val="21"/>
              </w:rPr>
            </w:pPr>
            <w:r>
              <w:rPr>
                <w:color w:val="000000"/>
                <w:kern w:val="0"/>
                <w:szCs w:val="21"/>
              </w:rPr>
              <w:t>快速路</w:t>
            </w:r>
          </w:p>
        </w:tc>
        <w:tc>
          <w:tcPr>
            <w:tcW w:w="1371" w:type="dxa"/>
            <w:vAlign w:val="center"/>
          </w:tcPr>
          <w:p>
            <w:pPr>
              <w:widowControl/>
              <w:jc w:val="center"/>
              <w:rPr>
                <w:color w:val="000000"/>
                <w:kern w:val="0"/>
                <w:szCs w:val="21"/>
              </w:rPr>
            </w:pPr>
            <w:r>
              <w:rPr>
                <w:color w:val="000000"/>
                <w:kern w:val="0"/>
                <w:szCs w:val="21"/>
              </w:rPr>
              <w:t>支路</w:t>
            </w:r>
          </w:p>
        </w:tc>
        <w:tc>
          <w:tcPr>
            <w:tcW w:w="912" w:type="dxa"/>
            <w:vAlign w:val="center"/>
          </w:tcPr>
          <w:p>
            <w:pPr>
              <w:widowControl/>
              <w:jc w:val="center"/>
              <w:rPr>
                <w:color w:val="000000"/>
                <w:kern w:val="0"/>
                <w:szCs w:val="21"/>
              </w:rPr>
            </w:pPr>
            <w:r>
              <w:rPr>
                <w:color w:val="000000"/>
                <w:kern w:val="0"/>
                <w:szCs w:val="21"/>
              </w:rPr>
              <w:t>街坊间支路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continue"/>
            <w:vAlign w:val="center"/>
          </w:tcPr>
          <w:p>
            <w:pPr>
              <w:widowControl/>
              <w:jc w:val="left"/>
              <w:rPr>
                <w:color w:val="000000"/>
                <w:kern w:val="0"/>
                <w:szCs w:val="21"/>
              </w:rPr>
            </w:pPr>
          </w:p>
        </w:tc>
        <w:tc>
          <w:tcPr>
            <w:tcW w:w="835" w:type="dxa"/>
            <w:vMerge w:val="continue"/>
            <w:vAlign w:val="center"/>
          </w:tcPr>
          <w:p>
            <w:pPr>
              <w:widowControl/>
              <w:jc w:val="left"/>
              <w:rPr>
                <w:color w:val="000000"/>
                <w:kern w:val="0"/>
                <w:szCs w:val="21"/>
              </w:rPr>
            </w:pPr>
          </w:p>
        </w:tc>
        <w:tc>
          <w:tcPr>
            <w:tcW w:w="1578" w:type="dxa"/>
            <w:vAlign w:val="center"/>
          </w:tcPr>
          <w:p>
            <w:pPr>
              <w:widowControl/>
              <w:jc w:val="center"/>
              <w:rPr>
                <w:color w:val="000000"/>
                <w:kern w:val="0"/>
                <w:szCs w:val="21"/>
              </w:rPr>
            </w:pPr>
            <w:r>
              <w:rPr>
                <w:color w:val="000000"/>
                <w:kern w:val="0"/>
                <w:szCs w:val="21"/>
              </w:rPr>
              <w:t>道路规划</w:t>
            </w:r>
          </w:p>
        </w:tc>
        <w:tc>
          <w:tcPr>
            <w:tcW w:w="894" w:type="dxa"/>
            <w:vAlign w:val="center"/>
          </w:tcPr>
          <w:p>
            <w:pPr>
              <w:widowControl/>
              <w:jc w:val="center"/>
              <w:rPr>
                <w:color w:val="000000"/>
                <w:kern w:val="0"/>
                <w:szCs w:val="21"/>
              </w:rPr>
            </w:pPr>
            <w:r>
              <w:rPr>
                <w:color w:val="000000"/>
                <w:kern w:val="0"/>
                <w:szCs w:val="21"/>
              </w:rPr>
              <w:t>最佳用途</w:t>
            </w:r>
          </w:p>
        </w:tc>
        <w:tc>
          <w:tcPr>
            <w:tcW w:w="1266" w:type="dxa"/>
            <w:vAlign w:val="center"/>
          </w:tcPr>
          <w:p>
            <w:pPr>
              <w:widowControl/>
              <w:jc w:val="center"/>
              <w:rPr>
                <w:color w:val="000000"/>
                <w:kern w:val="0"/>
                <w:szCs w:val="21"/>
              </w:rPr>
            </w:pPr>
            <w:r>
              <w:rPr>
                <w:color w:val="000000"/>
                <w:kern w:val="0"/>
                <w:szCs w:val="21"/>
              </w:rPr>
              <w:t>较适用途</w:t>
            </w:r>
          </w:p>
        </w:tc>
        <w:tc>
          <w:tcPr>
            <w:tcW w:w="1371" w:type="dxa"/>
            <w:vAlign w:val="center"/>
          </w:tcPr>
          <w:p>
            <w:pPr>
              <w:widowControl/>
              <w:jc w:val="center"/>
              <w:rPr>
                <w:color w:val="000000"/>
                <w:kern w:val="0"/>
                <w:szCs w:val="21"/>
              </w:rPr>
            </w:pPr>
            <w:r>
              <w:rPr>
                <w:color w:val="000000"/>
                <w:kern w:val="0"/>
                <w:szCs w:val="21"/>
              </w:rPr>
              <w:t>一般用途</w:t>
            </w:r>
          </w:p>
        </w:tc>
        <w:tc>
          <w:tcPr>
            <w:tcW w:w="1371" w:type="dxa"/>
            <w:vAlign w:val="center"/>
          </w:tcPr>
          <w:p>
            <w:pPr>
              <w:widowControl/>
              <w:jc w:val="center"/>
              <w:rPr>
                <w:color w:val="000000"/>
                <w:kern w:val="0"/>
                <w:szCs w:val="21"/>
              </w:rPr>
            </w:pPr>
            <w:r>
              <w:rPr>
                <w:color w:val="000000"/>
                <w:kern w:val="0"/>
                <w:szCs w:val="21"/>
              </w:rPr>
              <w:t>不太适合用途</w:t>
            </w:r>
          </w:p>
        </w:tc>
        <w:tc>
          <w:tcPr>
            <w:tcW w:w="912" w:type="dxa"/>
            <w:vAlign w:val="center"/>
          </w:tcPr>
          <w:p>
            <w:pPr>
              <w:widowControl/>
              <w:jc w:val="center"/>
              <w:rPr>
                <w:color w:val="000000"/>
                <w:kern w:val="0"/>
                <w:szCs w:val="21"/>
              </w:rPr>
            </w:pPr>
            <w:r>
              <w:rPr>
                <w:color w:val="000000"/>
                <w:kern w:val="0"/>
                <w:szCs w:val="21"/>
              </w:rPr>
              <w:t>不适合用途</w:t>
            </w:r>
          </w:p>
        </w:tc>
      </w:tr>
    </w:tbl>
    <w:p>
      <w:pPr>
        <w:widowControl/>
        <w:ind w:firstLine="480" w:firstLineChars="200"/>
        <w:jc w:val="left"/>
        <w:rPr>
          <w:b/>
          <w:sz w:val="24"/>
          <w:szCs w:val="24"/>
        </w:rPr>
      </w:pPr>
      <w:r>
        <w:rPr>
          <w:bCs/>
          <w:sz w:val="24"/>
          <w:szCs w:val="24"/>
        </w:rPr>
        <w:br w:type="page"/>
      </w:r>
    </w:p>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表4-5-7  长沙县Ⅳ级工矿仓储用地宗地地价区域因素修正系数表（%）</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78"/>
        <w:gridCol w:w="2088"/>
        <w:gridCol w:w="933"/>
        <w:gridCol w:w="933"/>
        <w:gridCol w:w="933"/>
        <w:gridCol w:w="933"/>
        <w:gridCol w:w="933"/>
        <w:gridCol w:w="9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78"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2088"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指标层</w:t>
            </w:r>
          </w:p>
        </w:tc>
        <w:tc>
          <w:tcPr>
            <w:tcW w:w="933"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权重</w:t>
            </w:r>
          </w:p>
        </w:tc>
        <w:tc>
          <w:tcPr>
            <w:tcW w:w="933"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优</w:t>
            </w:r>
          </w:p>
        </w:tc>
        <w:tc>
          <w:tcPr>
            <w:tcW w:w="933"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较优</w:t>
            </w:r>
          </w:p>
        </w:tc>
        <w:tc>
          <w:tcPr>
            <w:tcW w:w="933"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一般</w:t>
            </w:r>
          </w:p>
        </w:tc>
        <w:tc>
          <w:tcPr>
            <w:tcW w:w="933"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较劣</w:t>
            </w:r>
          </w:p>
        </w:tc>
        <w:tc>
          <w:tcPr>
            <w:tcW w:w="930"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7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道路通达度</w:t>
            </w:r>
          </w:p>
        </w:tc>
        <w:tc>
          <w:tcPr>
            <w:tcW w:w="2088"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临近道路状况</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0.1813</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2.0088</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1.0044</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-1.1096</w:t>
            </w:r>
          </w:p>
        </w:tc>
        <w:tc>
          <w:tcPr>
            <w:tcW w:w="93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-2.2191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0" w:hRule="atLeast"/>
        </w:trPr>
        <w:tc>
          <w:tcPr>
            <w:tcW w:w="137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对外交通便利度</w:t>
            </w:r>
          </w:p>
        </w:tc>
        <w:tc>
          <w:tcPr>
            <w:tcW w:w="2088"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距最近长途汽车站距离</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0.0577</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0.6393</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0.3197</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-0.3531</w:t>
            </w:r>
          </w:p>
        </w:tc>
        <w:tc>
          <w:tcPr>
            <w:tcW w:w="93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-0.7062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78"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88" w:type="dxa"/>
            <w:tcBorders>
              <w:top w:val="nil"/>
              <w:left w:val="nil"/>
              <w:bottom w:val="single" w:color="auto" w:sz="4" w:space="0"/>
              <w:right w:val="single" w:color="auto" w:sz="4" w:space="0"/>
            </w:tcBorders>
            <w:vAlign w:val="center"/>
          </w:tcPr>
          <w:p>
            <w:pPr>
              <w:widowControl/>
              <w:shd w:val="clear" w:color="auto" w:fill="FFFFFF"/>
              <w:jc w:val="center"/>
              <w:rPr>
                <w:color w:val="000000"/>
                <w:kern w:val="0"/>
                <w:szCs w:val="21"/>
              </w:rPr>
            </w:pPr>
            <w:r>
              <w:rPr>
                <w:rFonts w:hint="eastAsia" w:cs="宋体"/>
                <w:color w:val="000000"/>
                <w:kern w:val="0"/>
                <w:szCs w:val="21"/>
              </w:rPr>
              <w:t>临高速出入口距离</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0.0534</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0.5917</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0.2958</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-0.3268</w:t>
            </w:r>
          </w:p>
        </w:tc>
        <w:tc>
          <w:tcPr>
            <w:tcW w:w="93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-0.6536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0" w:hRule="atLeast"/>
        </w:trPr>
        <w:tc>
          <w:tcPr>
            <w:tcW w:w="1378"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88" w:type="dxa"/>
            <w:tcBorders>
              <w:top w:val="nil"/>
              <w:left w:val="nil"/>
              <w:bottom w:val="single" w:color="auto" w:sz="4" w:space="0"/>
              <w:right w:val="single" w:color="auto" w:sz="4" w:space="0"/>
            </w:tcBorders>
            <w:vAlign w:val="center"/>
          </w:tcPr>
          <w:p>
            <w:pPr>
              <w:widowControl/>
              <w:shd w:val="clear" w:color="auto" w:fill="FFFFFF"/>
              <w:jc w:val="center"/>
              <w:rPr>
                <w:color w:val="000000"/>
                <w:kern w:val="0"/>
                <w:szCs w:val="21"/>
              </w:rPr>
            </w:pPr>
            <w:r>
              <w:rPr>
                <w:rFonts w:hint="eastAsia" w:cs="宋体"/>
                <w:color w:val="000000"/>
                <w:kern w:val="0"/>
                <w:szCs w:val="21"/>
              </w:rPr>
              <w:t>临机场距离</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0.0324</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0.3590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0.1795</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-0.1983</w:t>
            </w:r>
          </w:p>
        </w:tc>
        <w:tc>
          <w:tcPr>
            <w:tcW w:w="93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-0.3966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7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基础设施完善度</w:t>
            </w:r>
          </w:p>
        </w:tc>
        <w:tc>
          <w:tcPr>
            <w:tcW w:w="2088"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排水状况</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0.0706</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0.7822</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0.3911</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-0.4321</w:t>
            </w:r>
          </w:p>
        </w:tc>
        <w:tc>
          <w:tcPr>
            <w:tcW w:w="93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-0.8641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0" w:hRule="atLeast"/>
        </w:trPr>
        <w:tc>
          <w:tcPr>
            <w:tcW w:w="1378"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88"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供水状况</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0.0706</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0.7822</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0.3911</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-0.4321</w:t>
            </w:r>
          </w:p>
        </w:tc>
        <w:tc>
          <w:tcPr>
            <w:tcW w:w="93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-0.8641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78"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88"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供电状况</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0.0706</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0.7822</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0.3911</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-0.4321</w:t>
            </w:r>
          </w:p>
        </w:tc>
        <w:tc>
          <w:tcPr>
            <w:tcW w:w="93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-0.8641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0" w:hRule="atLeast"/>
        </w:trPr>
        <w:tc>
          <w:tcPr>
            <w:tcW w:w="1378"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88"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供气状况</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0.0706</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0.7822</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0.3911</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-0.4321</w:t>
            </w:r>
          </w:p>
        </w:tc>
        <w:tc>
          <w:tcPr>
            <w:tcW w:w="93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-0.8641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7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自然条件优劣度</w:t>
            </w:r>
          </w:p>
        </w:tc>
        <w:tc>
          <w:tcPr>
            <w:tcW w:w="2088"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地质状况</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0.0667</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0.7390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0.3695</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-0.4082</w:t>
            </w:r>
          </w:p>
        </w:tc>
        <w:tc>
          <w:tcPr>
            <w:tcW w:w="93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-0.8164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0" w:hRule="atLeast"/>
        </w:trPr>
        <w:tc>
          <w:tcPr>
            <w:tcW w:w="1378"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88"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洪水淹没状况</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0.0674</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0.7468</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0.3734</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-0.4125</w:t>
            </w:r>
          </w:p>
        </w:tc>
        <w:tc>
          <w:tcPr>
            <w:tcW w:w="93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-0.8250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7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产业集聚影响度</w:t>
            </w:r>
          </w:p>
        </w:tc>
        <w:tc>
          <w:tcPr>
            <w:tcW w:w="2088"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产业集聚影响度</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0.1547</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1.7141</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0.8570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-0.9468</w:t>
            </w:r>
          </w:p>
        </w:tc>
        <w:tc>
          <w:tcPr>
            <w:tcW w:w="93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-1.8935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0" w:hRule="atLeast"/>
        </w:trPr>
        <w:tc>
          <w:tcPr>
            <w:tcW w:w="137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城市规划</w:t>
            </w:r>
          </w:p>
        </w:tc>
        <w:tc>
          <w:tcPr>
            <w:tcW w:w="2088"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用地规划</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0.0611</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0.6770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0.3385</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-0.3739</w:t>
            </w:r>
          </w:p>
        </w:tc>
        <w:tc>
          <w:tcPr>
            <w:tcW w:w="93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-0.7479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78" w:type="dxa"/>
            <w:vMerge w:val="continue"/>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p>
        </w:tc>
        <w:tc>
          <w:tcPr>
            <w:tcW w:w="2088"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道路规划</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0.0429</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0.4753</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0.2377</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3"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-0.2625</w:t>
            </w:r>
          </w:p>
        </w:tc>
        <w:tc>
          <w:tcPr>
            <w:tcW w:w="930"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-0.5251</w:t>
            </w:r>
          </w:p>
        </w:tc>
      </w:tr>
    </w:tbl>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表4-5-8长沙县Ⅳ级工矿仓储用地宗地地价区域因素修正系数指标说明表</w:t>
      </w:r>
    </w:p>
    <w:tbl>
      <w:tblPr>
        <w:tblW w:w="9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35"/>
        <w:gridCol w:w="1578"/>
        <w:gridCol w:w="994"/>
        <w:gridCol w:w="1166"/>
        <w:gridCol w:w="1371"/>
        <w:gridCol w:w="1371"/>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Align w:val="center"/>
          </w:tcPr>
          <w:p>
            <w:pPr>
              <w:widowControl/>
              <w:jc w:val="center"/>
              <w:rPr>
                <w:b/>
                <w:bCs/>
                <w:color w:val="000000"/>
                <w:kern w:val="0"/>
                <w:szCs w:val="21"/>
              </w:rPr>
            </w:pPr>
            <w:r>
              <w:rPr>
                <w:b/>
                <w:bCs/>
                <w:color w:val="000000"/>
                <w:kern w:val="0"/>
                <w:szCs w:val="21"/>
              </w:rPr>
              <w:t>因素层</w:t>
            </w:r>
          </w:p>
        </w:tc>
        <w:tc>
          <w:tcPr>
            <w:tcW w:w="835" w:type="dxa"/>
            <w:vAlign w:val="center"/>
          </w:tcPr>
          <w:p>
            <w:pPr>
              <w:widowControl/>
              <w:jc w:val="center"/>
              <w:rPr>
                <w:b/>
                <w:bCs/>
                <w:color w:val="000000"/>
                <w:kern w:val="0"/>
                <w:szCs w:val="21"/>
              </w:rPr>
            </w:pPr>
            <w:r>
              <w:rPr>
                <w:b/>
                <w:bCs/>
                <w:color w:val="000000"/>
                <w:kern w:val="0"/>
                <w:szCs w:val="21"/>
              </w:rPr>
              <w:t>因子层</w:t>
            </w:r>
          </w:p>
        </w:tc>
        <w:tc>
          <w:tcPr>
            <w:tcW w:w="1578" w:type="dxa"/>
            <w:vAlign w:val="center"/>
          </w:tcPr>
          <w:p>
            <w:pPr>
              <w:widowControl/>
              <w:jc w:val="center"/>
              <w:rPr>
                <w:b/>
                <w:bCs/>
                <w:color w:val="000000"/>
                <w:kern w:val="0"/>
                <w:szCs w:val="21"/>
              </w:rPr>
            </w:pPr>
            <w:r>
              <w:rPr>
                <w:b/>
                <w:bCs/>
                <w:color w:val="000000"/>
                <w:kern w:val="0"/>
                <w:szCs w:val="21"/>
              </w:rPr>
              <w:t>指标层</w:t>
            </w:r>
          </w:p>
        </w:tc>
        <w:tc>
          <w:tcPr>
            <w:tcW w:w="994" w:type="dxa"/>
            <w:vAlign w:val="center"/>
          </w:tcPr>
          <w:p>
            <w:pPr>
              <w:widowControl/>
              <w:jc w:val="center"/>
              <w:rPr>
                <w:b/>
                <w:bCs/>
                <w:color w:val="000000"/>
                <w:kern w:val="0"/>
                <w:szCs w:val="21"/>
              </w:rPr>
            </w:pPr>
            <w:r>
              <w:rPr>
                <w:b/>
                <w:bCs/>
                <w:color w:val="000000"/>
                <w:kern w:val="0"/>
                <w:szCs w:val="21"/>
              </w:rPr>
              <w:t>优</w:t>
            </w:r>
          </w:p>
        </w:tc>
        <w:tc>
          <w:tcPr>
            <w:tcW w:w="1166" w:type="dxa"/>
            <w:vAlign w:val="center"/>
          </w:tcPr>
          <w:p>
            <w:pPr>
              <w:widowControl/>
              <w:jc w:val="center"/>
              <w:rPr>
                <w:b/>
                <w:bCs/>
                <w:color w:val="000000"/>
                <w:kern w:val="0"/>
                <w:szCs w:val="21"/>
              </w:rPr>
            </w:pPr>
            <w:r>
              <w:rPr>
                <w:b/>
                <w:bCs/>
                <w:color w:val="000000"/>
                <w:kern w:val="0"/>
                <w:szCs w:val="21"/>
              </w:rPr>
              <w:t>较优</w:t>
            </w:r>
          </w:p>
        </w:tc>
        <w:tc>
          <w:tcPr>
            <w:tcW w:w="1371" w:type="dxa"/>
            <w:vAlign w:val="center"/>
          </w:tcPr>
          <w:p>
            <w:pPr>
              <w:widowControl/>
              <w:jc w:val="center"/>
              <w:rPr>
                <w:b/>
                <w:bCs/>
                <w:color w:val="000000"/>
                <w:kern w:val="0"/>
                <w:szCs w:val="21"/>
              </w:rPr>
            </w:pPr>
            <w:r>
              <w:rPr>
                <w:b/>
                <w:bCs/>
                <w:color w:val="000000"/>
                <w:kern w:val="0"/>
                <w:szCs w:val="21"/>
              </w:rPr>
              <w:t>一般</w:t>
            </w:r>
          </w:p>
        </w:tc>
        <w:tc>
          <w:tcPr>
            <w:tcW w:w="1371" w:type="dxa"/>
            <w:vAlign w:val="center"/>
          </w:tcPr>
          <w:p>
            <w:pPr>
              <w:widowControl/>
              <w:jc w:val="center"/>
              <w:rPr>
                <w:b/>
                <w:bCs/>
                <w:color w:val="000000"/>
                <w:kern w:val="0"/>
                <w:szCs w:val="21"/>
              </w:rPr>
            </w:pPr>
            <w:r>
              <w:rPr>
                <w:b/>
                <w:bCs/>
                <w:color w:val="000000"/>
                <w:kern w:val="0"/>
                <w:szCs w:val="21"/>
              </w:rPr>
              <w:t>较劣</w:t>
            </w:r>
          </w:p>
        </w:tc>
        <w:tc>
          <w:tcPr>
            <w:tcW w:w="912" w:type="dxa"/>
            <w:vAlign w:val="center"/>
          </w:tcPr>
          <w:p>
            <w:pPr>
              <w:widowControl/>
              <w:jc w:val="center"/>
              <w:rPr>
                <w:b/>
                <w:bCs/>
                <w:color w:val="000000"/>
                <w:kern w:val="0"/>
                <w:szCs w:val="21"/>
              </w:rPr>
            </w:pPr>
            <w:r>
              <w:rPr>
                <w:b/>
                <w:bCs/>
                <w:color w:val="000000"/>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restart"/>
            <w:vAlign w:val="center"/>
          </w:tcPr>
          <w:p>
            <w:pPr>
              <w:widowControl/>
              <w:jc w:val="center"/>
              <w:rPr>
                <w:color w:val="000000"/>
                <w:kern w:val="0"/>
                <w:szCs w:val="21"/>
              </w:rPr>
            </w:pPr>
            <w:r>
              <w:rPr>
                <w:color w:val="000000"/>
                <w:kern w:val="0"/>
                <w:szCs w:val="21"/>
              </w:rPr>
              <w:t>交通条件</w:t>
            </w:r>
          </w:p>
        </w:tc>
        <w:tc>
          <w:tcPr>
            <w:tcW w:w="835" w:type="dxa"/>
            <w:vAlign w:val="center"/>
          </w:tcPr>
          <w:p>
            <w:pPr>
              <w:widowControl/>
              <w:jc w:val="center"/>
              <w:rPr>
                <w:color w:val="000000"/>
                <w:kern w:val="0"/>
                <w:szCs w:val="21"/>
              </w:rPr>
            </w:pPr>
            <w:r>
              <w:rPr>
                <w:color w:val="000000"/>
                <w:kern w:val="0"/>
                <w:szCs w:val="21"/>
              </w:rPr>
              <w:t>道路通达度</w:t>
            </w:r>
          </w:p>
        </w:tc>
        <w:tc>
          <w:tcPr>
            <w:tcW w:w="1578" w:type="dxa"/>
            <w:vAlign w:val="center"/>
          </w:tcPr>
          <w:p>
            <w:pPr>
              <w:widowControl/>
              <w:jc w:val="center"/>
              <w:rPr>
                <w:color w:val="000000"/>
                <w:kern w:val="0"/>
                <w:szCs w:val="21"/>
              </w:rPr>
            </w:pPr>
            <w:r>
              <w:rPr>
                <w:color w:val="000000"/>
                <w:kern w:val="0"/>
                <w:szCs w:val="21"/>
              </w:rPr>
              <w:t>临近道路状况</w:t>
            </w:r>
          </w:p>
        </w:tc>
        <w:tc>
          <w:tcPr>
            <w:tcW w:w="994" w:type="dxa"/>
            <w:vAlign w:val="center"/>
          </w:tcPr>
          <w:p>
            <w:pPr>
              <w:widowControl/>
              <w:jc w:val="center"/>
              <w:rPr>
                <w:kern w:val="0"/>
                <w:szCs w:val="21"/>
              </w:rPr>
            </w:pPr>
            <w:r>
              <w:rPr>
                <w:kern w:val="0"/>
                <w:szCs w:val="21"/>
              </w:rPr>
              <w:t>临繁华主干道</w:t>
            </w:r>
          </w:p>
        </w:tc>
        <w:tc>
          <w:tcPr>
            <w:tcW w:w="1166" w:type="dxa"/>
            <w:vAlign w:val="center"/>
          </w:tcPr>
          <w:p>
            <w:pPr>
              <w:widowControl/>
              <w:jc w:val="center"/>
              <w:rPr>
                <w:kern w:val="0"/>
                <w:szCs w:val="21"/>
              </w:rPr>
            </w:pPr>
            <w:r>
              <w:rPr>
                <w:kern w:val="0"/>
                <w:szCs w:val="21"/>
              </w:rPr>
              <w:t>临主干道</w:t>
            </w:r>
          </w:p>
        </w:tc>
        <w:tc>
          <w:tcPr>
            <w:tcW w:w="1371" w:type="dxa"/>
            <w:vAlign w:val="center"/>
          </w:tcPr>
          <w:p>
            <w:pPr>
              <w:widowControl/>
              <w:jc w:val="center"/>
              <w:rPr>
                <w:kern w:val="0"/>
                <w:szCs w:val="21"/>
              </w:rPr>
            </w:pPr>
            <w:r>
              <w:rPr>
                <w:kern w:val="0"/>
                <w:szCs w:val="21"/>
              </w:rPr>
              <w:t>临繁华次干道</w:t>
            </w:r>
          </w:p>
        </w:tc>
        <w:tc>
          <w:tcPr>
            <w:tcW w:w="1371" w:type="dxa"/>
            <w:vAlign w:val="center"/>
          </w:tcPr>
          <w:p>
            <w:pPr>
              <w:widowControl/>
              <w:jc w:val="center"/>
              <w:rPr>
                <w:kern w:val="0"/>
                <w:szCs w:val="21"/>
              </w:rPr>
            </w:pPr>
            <w:r>
              <w:rPr>
                <w:kern w:val="0"/>
                <w:szCs w:val="21"/>
              </w:rPr>
              <w:t>临次干道</w:t>
            </w:r>
          </w:p>
        </w:tc>
        <w:tc>
          <w:tcPr>
            <w:tcW w:w="912" w:type="dxa"/>
            <w:vAlign w:val="center"/>
          </w:tcPr>
          <w:p>
            <w:pPr>
              <w:widowControl/>
              <w:jc w:val="center"/>
              <w:rPr>
                <w:kern w:val="0"/>
                <w:szCs w:val="21"/>
              </w:rPr>
            </w:pPr>
            <w:r>
              <w:rPr>
                <w:kern w:val="0"/>
                <w:szCs w:val="21"/>
              </w:rPr>
              <w:t>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continue"/>
            <w:vAlign w:val="center"/>
          </w:tcPr>
          <w:p>
            <w:pPr>
              <w:widowControl/>
              <w:jc w:val="left"/>
              <w:rPr>
                <w:color w:val="000000"/>
                <w:kern w:val="0"/>
                <w:szCs w:val="21"/>
              </w:rPr>
            </w:pPr>
          </w:p>
        </w:tc>
        <w:tc>
          <w:tcPr>
            <w:tcW w:w="835" w:type="dxa"/>
            <w:vMerge w:val="restart"/>
            <w:vAlign w:val="center"/>
          </w:tcPr>
          <w:p>
            <w:pPr>
              <w:widowControl/>
              <w:jc w:val="center"/>
              <w:rPr>
                <w:color w:val="000000"/>
                <w:kern w:val="0"/>
                <w:szCs w:val="21"/>
              </w:rPr>
            </w:pPr>
            <w:r>
              <w:rPr>
                <w:color w:val="000000"/>
                <w:kern w:val="0"/>
                <w:szCs w:val="21"/>
              </w:rPr>
              <w:t>对外交通便利度</w:t>
            </w:r>
          </w:p>
        </w:tc>
        <w:tc>
          <w:tcPr>
            <w:tcW w:w="1578" w:type="dxa"/>
            <w:vAlign w:val="center"/>
          </w:tcPr>
          <w:p>
            <w:pPr>
              <w:widowControl/>
              <w:jc w:val="center"/>
              <w:rPr>
                <w:color w:val="000000"/>
                <w:kern w:val="0"/>
                <w:szCs w:val="21"/>
              </w:rPr>
            </w:pPr>
            <w:r>
              <w:rPr>
                <w:color w:val="000000"/>
                <w:kern w:val="0"/>
                <w:szCs w:val="21"/>
              </w:rPr>
              <w:t>距最近长途汽车站距离</w:t>
            </w:r>
            <w:r>
              <w:rPr>
                <w:rFonts w:hint="eastAsia"/>
                <w:color w:val="000000"/>
                <w:kern w:val="0"/>
                <w:szCs w:val="21"/>
              </w:rPr>
              <w:t>(m)</w:t>
            </w:r>
          </w:p>
        </w:tc>
        <w:tc>
          <w:tcPr>
            <w:tcW w:w="994" w:type="dxa"/>
            <w:vAlign w:val="center"/>
          </w:tcPr>
          <w:p>
            <w:pPr>
              <w:widowControl/>
              <w:jc w:val="center"/>
              <w:rPr>
                <w:color w:val="000000"/>
                <w:kern w:val="0"/>
                <w:szCs w:val="21"/>
              </w:rPr>
            </w:pPr>
            <w:r>
              <w:rPr>
                <w:color w:val="000000"/>
                <w:kern w:val="0"/>
                <w:szCs w:val="21"/>
              </w:rPr>
              <w:t>&lt;100</w:t>
            </w:r>
          </w:p>
        </w:tc>
        <w:tc>
          <w:tcPr>
            <w:tcW w:w="1166" w:type="dxa"/>
            <w:vAlign w:val="center"/>
          </w:tcPr>
          <w:p>
            <w:pPr>
              <w:widowControl/>
              <w:jc w:val="center"/>
              <w:rPr>
                <w:color w:val="000000"/>
                <w:kern w:val="0"/>
                <w:szCs w:val="21"/>
              </w:rPr>
            </w:pPr>
            <w:r>
              <w:rPr>
                <w:color w:val="000000"/>
                <w:kern w:val="0"/>
                <w:szCs w:val="21"/>
              </w:rPr>
              <w:t>100-4400</w:t>
            </w:r>
          </w:p>
        </w:tc>
        <w:tc>
          <w:tcPr>
            <w:tcW w:w="1371" w:type="dxa"/>
            <w:vAlign w:val="center"/>
          </w:tcPr>
          <w:p>
            <w:pPr>
              <w:widowControl/>
              <w:jc w:val="center"/>
              <w:rPr>
                <w:color w:val="000000"/>
                <w:kern w:val="0"/>
                <w:szCs w:val="21"/>
              </w:rPr>
            </w:pPr>
            <w:r>
              <w:rPr>
                <w:color w:val="000000"/>
                <w:kern w:val="0"/>
                <w:szCs w:val="21"/>
              </w:rPr>
              <w:t>4400-8700</w:t>
            </w:r>
          </w:p>
        </w:tc>
        <w:tc>
          <w:tcPr>
            <w:tcW w:w="1371" w:type="dxa"/>
            <w:vAlign w:val="center"/>
          </w:tcPr>
          <w:p>
            <w:pPr>
              <w:widowControl/>
              <w:jc w:val="center"/>
              <w:rPr>
                <w:color w:val="000000"/>
                <w:kern w:val="0"/>
                <w:szCs w:val="21"/>
              </w:rPr>
            </w:pPr>
            <w:r>
              <w:rPr>
                <w:color w:val="000000"/>
                <w:kern w:val="0"/>
                <w:szCs w:val="21"/>
              </w:rPr>
              <w:t>8700-13000</w:t>
            </w:r>
          </w:p>
        </w:tc>
        <w:tc>
          <w:tcPr>
            <w:tcW w:w="912" w:type="dxa"/>
            <w:vAlign w:val="center"/>
          </w:tcPr>
          <w:p>
            <w:pPr>
              <w:widowControl/>
              <w:jc w:val="center"/>
              <w:rPr>
                <w:color w:val="000000"/>
                <w:kern w:val="0"/>
                <w:szCs w:val="21"/>
              </w:rPr>
            </w:pPr>
            <w:r>
              <w:rPr>
                <w:color w:val="000000"/>
                <w:kern w:val="0"/>
                <w:szCs w:val="21"/>
              </w:rPr>
              <w:t>&lt;13000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continue"/>
            <w:vAlign w:val="center"/>
          </w:tcPr>
          <w:p>
            <w:pPr>
              <w:widowControl/>
              <w:jc w:val="left"/>
              <w:rPr>
                <w:color w:val="000000"/>
                <w:kern w:val="0"/>
                <w:szCs w:val="21"/>
              </w:rPr>
            </w:pPr>
          </w:p>
        </w:tc>
        <w:tc>
          <w:tcPr>
            <w:tcW w:w="835" w:type="dxa"/>
            <w:vMerge w:val="continue"/>
            <w:vAlign w:val="center"/>
          </w:tcPr>
          <w:p>
            <w:pPr>
              <w:widowControl/>
              <w:jc w:val="left"/>
              <w:rPr>
                <w:color w:val="000000"/>
                <w:kern w:val="0"/>
                <w:szCs w:val="21"/>
              </w:rPr>
            </w:pPr>
          </w:p>
        </w:tc>
        <w:tc>
          <w:tcPr>
            <w:tcW w:w="1578" w:type="dxa"/>
            <w:vAlign w:val="center"/>
          </w:tcPr>
          <w:p>
            <w:pPr>
              <w:widowControl/>
              <w:shd w:val="clear" w:color="auto" w:fill="FFFFFF"/>
              <w:jc w:val="center"/>
              <w:rPr>
                <w:color w:val="000000"/>
                <w:kern w:val="0"/>
                <w:szCs w:val="21"/>
              </w:rPr>
            </w:pPr>
            <w:r>
              <w:rPr>
                <w:rFonts w:hint="eastAsia" w:cs="宋体"/>
                <w:color w:val="000000"/>
                <w:kern w:val="0"/>
                <w:szCs w:val="21"/>
              </w:rPr>
              <w:t>临高速出入口距离（</w:t>
            </w:r>
            <w:r>
              <w:rPr>
                <w:color w:val="000000"/>
                <w:kern w:val="0"/>
                <w:szCs w:val="21"/>
              </w:rPr>
              <w:t>m</w:t>
            </w:r>
            <w:r>
              <w:rPr>
                <w:rFonts w:hint="eastAsia" w:cs="宋体"/>
                <w:color w:val="000000"/>
                <w:kern w:val="0"/>
                <w:szCs w:val="21"/>
              </w:rPr>
              <w:t>）</w:t>
            </w:r>
          </w:p>
        </w:tc>
        <w:tc>
          <w:tcPr>
            <w:tcW w:w="994" w:type="dxa"/>
            <w:vAlign w:val="center"/>
          </w:tcPr>
          <w:p>
            <w:pPr>
              <w:shd w:val="clear" w:color="auto" w:fill="FFFFFF"/>
              <w:ind w:left="-105" w:leftChars="-50" w:right="-105" w:rightChars="-50"/>
              <w:jc w:val="center"/>
              <w:rPr>
                <w:color w:val="000000"/>
                <w:kern w:val="0"/>
                <w:szCs w:val="21"/>
              </w:rPr>
            </w:pPr>
            <w:r>
              <w:rPr>
                <w:szCs w:val="21"/>
              </w:rPr>
              <w:t>≤1</w:t>
            </w:r>
            <w:r>
              <w:rPr>
                <w:rFonts w:hint="eastAsia"/>
                <w:szCs w:val="21"/>
              </w:rPr>
              <w:t>5</w:t>
            </w:r>
            <w:r>
              <w:rPr>
                <w:szCs w:val="21"/>
              </w:rPr>
              <w:t>00</w:t>
            </w:r>
          </w:p>
        </w:tc>
        <w:tc>
          <w:tcPr>
            <w:tcW w:w="1166" w:type="dxa"/>
            <w:vAlign w:val="center"/>
          </w:tcPr>
          <w:p>
            <w:pPr>
              <w:shd w:val="clear" w:color="auto" w:fill="FFFFFF"/>
              <w:ind w:left="-105" w:leftChars="-50" w:right="-105" w:rightChars="-50"/>
              <w:jc w:val="center"/>
              <w:rPr>
                <w:color w:val="000000"/>
                <w:kern w:val="0"/>
                <w:szCs w:val="21"/>
              </w:rPr>
            </w:pPr>
            <w:r>
              <w:rPr>
                <w:szCs w:val="21"/>
              </w:rPr>
              <w:t>1</w:t>
            </w:r>
            <w:r>
              <w:rPr>
                <w:rFonts w:hint="eastAsia"/>
                <w:szCs w:val="21"/>
              </w:rPr>
              <w:t>5</w:t>
            </w:r>
            <w:r>
              <w:rPr>
                <w:szCs w:val="21"/>
              </w:rPr>
              <w:t>00</w:t>
            </w:r>
            <w:r>
              <w:rPr>
                <w:rFonts w:hint="eastAsia"/>
                <w:szCs w:val="21"/>
              </w:rPr>
              <w:t>-</w:t>
            </w:r>
            <w:r>
              <w:rPr>
                <w:szCs w:val="21"/>
              </w:rPr>
              <w:t>2</w:t>
            </w:r>
            <w:r>
              <w:rPr>
                <w:rFonts w:hint="eastAsia"/>
                <w:szCs w:val="21"/>
              </w:rPr>
              <w:t>5</w:t>
            </w:r>
            <w:r>
              <w:rPr>
                <w:szCs w:val="21"/>
              </w:rPr>
              <w:t>00</w:t>
            </w:r>
          </w:p>
        </w:tc>
        <w:tc>
          <w:tcPr>
            <w:tcW w:w="1371" w:type="dxa"/>
            <w:vAlign w:val="center"/>
          </w:tcPr>
          <w:p>
            <w:pPr>
              <w:shd w:val="clear" w:color="auto" w:fill="FFFFFF"/>
              <w:ind w:left="-105" w:leftChars="-50" w:right="-105" w:rightChars="-50"/>
              <w:jc w:val="center"/>
              <w:rPr>
                <w:color w:val="000000"/>
                <w:kern w:val="0"/>
                <w:szCs w:val="21"/>
              </w:rPr>
            </w:pPr>
            <w:r>
              <w:rPr>
                <w:szCs w:val="21"/>
              </w:rPr>
              <w:t>2</w:t>
            </w:r>
            <w:r>
              <w:rPr>
                <w:rFonts w:hint="eastAsia"/>
                <w:szCs w:val="21"/>
              </w:rPr>
              <w:t>5</w:t>
            </w:r>
            <w:r>
              <w:rPr>
                <w:szCs w:val="21"/>
              </w:rPr>
              <w:t>00</w:t>
            </w:r>
            <w:r>
              <w:rPr>
                <w:rFonts w:hint="eastAsia"/>
                <w:szCs w:val="21"/>
              </w:rPr>
              <w:t>-35</w:t>
            </w:r>
            <w:r>
              <w:rPr>
                <w:szCs w:val="21"/>
              </w:rPr>
              <w:t>00</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35</w:t>
            </w:r>
            <w:r>
              <w:rPr>
                <w:szCs w:val="21"/>
              </w:rPr>
              <w:t>00</w:t>
            </w:r>
            <w:r>
              <w:rPr>
                <w:rFonts w:hint="eastAsia"/>
                <w:szCs w:val="21"/>
              </w:rPr>
              <w:t>-45</w:t>
            </w:r>
            <w:r>
              <w:rPr>
                <w:szCs w:val="21"/>
              </w:rPr>
              <w:t>00</w:t>
            </w:r>
          </w:p>
        </w:tc>
        <w:tc>
          <w:tcPr>
            <w:tcW w:w="912" w:type="dxa"/>
            <w:vAlign w:val="center"/>
          </w:tcPr>
          <w:p>
            <w:pPr>
              <w:shd w:val="clear" w:color="auto" w:fill="FFFFFF"/>
              <w:ind w:left="-105" w:leftChars="-50" w:right="-105" w:rightChars="-50"/>
              <w:jc w:val="center"/>
              <w:rPr>
                <w:color w:val="000000"/>
                <w:kern w:val="0"/>
                <w:szCs w:val="21"/>
              </w:rPr>
            </w:pPr>
            <w:r>
              <w:rPr>
                <w:szCs w:val="21"/>
              </w:rPr>
              <w:t>&gt;</w:t>
            </w:r>
            <w:r>
              <w:rPr>
                <w:rFonts w:hint="eastAsia"/>
                <w:szCs w:val="21"/>
              </w:rPr>
              <w:t>45</w:t>
            </w:r>
            <w:r>
              <w:rPr>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continue"/>
            <w:vAlign w:val="center"/>
          </w:tcPr>
          <w:p>
            <w:pPr>
              <w:widowControl/>
              <w:jc w:val="left"/>
              <w:rPr>
                <w:color w:val="000000"/>
                <w:kern w:val="0"/>
                <w:szCs w:val="21"/>
              </w:rPr>
            </w:pPr>
          </w:p>
        </w:tc>
        <w:tc>
          <w:tcPr>
            <w:tcW w:w="835" w:type="dxa"/>
            <w:vMerge w:val="continue"/>
            <w:vAlign w:val="center"/>
          </w:tcPr>
          <w:p>
            <w:pPr>
              <w:widowControl/>
              <w:jc w:val="left"/>
              <w:rPr>
                <w:color w:val="000000"/>
                <w:kern w:val="0"/>
                <w:szCs w:val="21"/>
              </w:rPr>
            </w:pPr>
          </w:p>
        </w:tc>
        <w:tc>
          <w:tcPr>
            <w:tcW w:w="1578" w:type="dxa"/>
            <w:vAlign w:val="center"/>
          </w:tcPr>
          <w:p>
            <w:pPr>
              <w:widowControl/>
              <w:shd w:val="clear" w:color="auto" w:fill="FFFFFF"/>
              <w:jc w:val="center"/>
              <w:rPr>
                <w:color w:val="000000"/>
                <w:kern w:val="0"/>
                <w:szCs w:val="21"/>
              </w:rPr>
            </w:pPr>
            <w:r>
              <w:rPr>
                <w:rFonts w:hint="eastAsia" w:cs="宋体"/>
                <w:color w:val="000000"/>
                <w:kern w:val="0"/>
                <w:szCs w:val="21"/>
              </w:rPr>
              <w:t>临机场距离（k</w:t>
            </w:r>
            <w:r>
              <w:rPr>
                <w:color w:val="000000"/>
                <w:kern w:val="0"/>
                <w:szCs w:val="21"/>
              </w:rPr>
              <w:t>m</w:t>
            </w:r>
            <w:r>
              <w:rPr>
                <w:rFonts w:hint="eastAsia" w:cs="宋体"/>
                <w:color w:val="000000"/>
                <w:kern w:val="0"/>
                <w:szCs w:val="21"/>
              </w:rPr>
              <w:t>）</w:t>
            </w:r>
          </w:p>
        </w:tc>
        <w:tc>
          <w:tcPr>
            <w:tcW w:w="994" w:type="dxa"/>
            <w:vAlign w:val="center"/>
          </w:tcPr>
          <w:p>
            <w:pPr>
              <w:shd w:val="clear" w:color="auto" w:fill="FFFFFF"/>
              <w:ind w:left="-105" w:leftChars="-50" w:right="-105" w:rightChars="-50"/>
              <w:jc w:val="center"/>
              <w:rPr>
                <w:color w:val="000000"/>
                <w:kern w:val="0"/>
                <w:szCs w:val="21"/>
              </w:rPr>
            </w:pPr>
            <w:r>
              <w:rPr>
                <w:szCs w:val="21"/>
              </w:rPr>
              <w:t>≤</w:t>
            </w:r>
            <w:r>
              <w:rPr>
                <w:rFonts w:hint="eastAsia"/>
                <w:szCs w:val="21"/>
              </w:rPr>
              <w:t>10</w:t>
            </w:r>
          </w:p>
        </w:tc>
        <w:tc>
          <w:tcPr>
            <w:tcW w:w="1166" w:type="dxa"/>
            <w:vAlign w:val="center"/>
          </w:tcPr>
          <w:p>
            <w:pPr>
              <w:shd w:val="clear" w:color="auto" w:fill="FFFFFF"/>
              <w:ind w:left="-105" w:leftChars="-50" w:right="-105" w:rightChars="-50"/>
              <w:jc w:val="center"/>
              <w:rPr>
                <w:color w:val="000000"/>
                <w:kern w:val="0"/>
                <w:szCs w:val="21"/>
              </w:rPr>
            </w:pPr>
            <w:r>
              <w:rPr>
                <w:szCs w:val="21"/>
              </w:rPr>
              <w:t>1</w:t>
            </w:r>
            <w:r>
              <w:rPr>
                <w:rFonts w:hint="eastAsia"/>
                <w:szCs w:val="21"/>
              </w:rPr>
              <w:t>0-</w:t>
            </w:r>
            <w:r>
              <w:rPr>
                <w:szCs w:val="21"/>
              </w:rPr>
              <w:t>1</w:t>
            </w:r>
            <w:r>
              <w:rPr>
                <w:rFonts w:hint="eastAsia"/>
                <w:szCs w:val="21"/>
              </w:rPr>
              <w:t>2</w:t>
            </w:r>
          </w:p>
        </w:tc>
        <w:tc>
          <w:tcPr>
            <w:tcW w:w="1371" w:type="dxa"/>
            <w:vAlign w:val="center"/>
          </w:tcPr>
          <w:p>
            <w:pPr>
              <w:shd w:val="clear" w:color="auto" w:fill="FFFFFF"/>
              <w:ind w:left="-105" w:leftChars="-50" w:right="-105" w:rightChars="-50"/>
              <w:jc w:val="center"/>
              <w:rPr>
                <w:color w:val="000000"/>
                <w:kern w:val="0"/>
                <w:szCs w:val="21"/>
              </w:rPr>
            </w:pPr>
            <w:r>
              <w:rPr>
                <w:szCs w:val="21"/>
              </w:rPr>
              <w:t>1</w:t>
            </w:r>
            <w:r>
              <w:rPr>
                <w:rFonts w:hint="eastAsia"/>
                <w:szCs w:val="21"/>
              </w:rPr>
              <w:t>2-14</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14-16</w:t>
            </w:r>
          </w:p>
        </w:tc>
        <w:tc>
          <w:tcPr>
            <w:tcW w:w="912" w:type="dxa"/>
            <w:vAlign w:val="center"/>
          </w:tcPr>
          <w:p>
            <w:pPr>
              <w:shd w:val="clear" w:color="auto" w:fill="FFFFFF"/>
              <w:ind w:left="-105" w:leftChars="-50" w:right="-105" w:rightChars="-50"/>
              <w:jc w:val="center"/>
              <w:rPr>
                <w:color w:val="000000"/>
                <w:kern w:val="0"/>
                <w:szCs w:val="21"/>
              </w:rPr>
            </w:pPr>
            <w:r>
              <w:rPr>
                <w:szCs w:val="21"/>
              </w:rPr>
              <w:t>&gt;</w:t>
            </w:r>
            <w:r>
              <w:rPr>
                <w:rFonts w:hint="eastAsia"/>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restart"/>
            <w:vAlign w:val="center"/>
          </w:tcPr>
          <w:p>
            <w:pPr>
              <w:widowControl/>
              <w:jc w:val="center"/>
              <w:rPr>
                <w:color w:val="000000"/>
                <w:kern w:val="0"/>
                <w:szCs w:val="21"/>
              </w:rPr>
            </w:pPr>
            <w:r>
              <w:rPr>
                <w:color w:val="000000"/>
                <w:kern w:val="0"/>
                <w:szCs w:val="21"/>
              </w:rPr>
              <w:t>基本设施状况</w:t>
            </w:r>
          </w:p>
        </w:tc>
        <w:tc>
          <w:tcPr>
            <w:tcW w:w="835" w:type="dxa"/>
            <w:vMerge w:val="restart"/>
            <w:vAlign w:val="center"/>
          </w:tcPr>
          <w:p>
            <w:pPr>
              <w:widowControl/>
              <w:jc w:val="center"/>
              <w:rPr>
                <w:color w:val="000000"/>
                <w:kern w:val="0"/>
                <w:szCs w:val="21"/>
              </w:rPr>
            </w:pPr>
            <w:r>
              <w:rPr>
                <w:color w:val="000000"/>
                <w:kern w:val="0"/>
                <w:szCs w:val="21"/>
              </w:rPr>
              <w:t>基础设施完善度</w:t>
            </w:r>
          </w:p>
        </w:tc>
        <w:tc>
          <w:tcPr>
            <w:tcW w:w="1578" w:type="dxa"/>
            <w:vAlign w:val="center"/>
          </w:tcPr>
          <w:p>
            <w:pPr>
              <w:widowControl/>
              <w:jc w:val="center"/>
              <w:rPr>
                <w:color w:val="000000"/>
                <w:kern w:val="0"/>
                <w:szCs w:val="21"/>
              </w:rPr>
            </w:pPr>
            <w:r>
              <w:rPr>
                <w:color w:val="000000"/>
                <w:kern w:val="0"/>
                <w:szCs w:val="21"/>
              </w:rPr>
              <w:t>排水状况</w:t>
            </w:r>
          </w:p>
        </w:tc>
        <w:tc>
          <w:tcPr>
            <w:tcW w:w="994" w:type="dxa"/>
            <w:vAlign w:val="center"/>
          </w:tcPr>
          <w:p>
            <w:pPr>
              <w:widowControl/>
              <w:jc w:val="center"/>
              <w:rPr>
                <w:color w:val="000000"/>
                <w:kern w:val="0"/>
                <w:szCs w:val="21"/>
              </w:rPr>
            </w:pPr>
            <w:r>
              <w:rPr>
                <w:color w:val="000000"/>
                <w:kern w:val="0"/>
                <w:szCs w:val="21"/>
              </w:rPr>
              <w:t>好</w:t>
            </w:r>
          </w:p>
        </w:tc>
        <w:tc>
          <w:tcPr>
            <w:tcW w:w="1166" w:type="dxa"/>
            <w:vAlign w:val="center"/>
          </w:tcPr>
          <w:p>
            <w:pPr>
              <w:widowControl/>
              <w:jc w:val="center"/>
              <w:rPr>
                <w:color w:val="000000"/>
                <w:kern w:val="0"/>
                <w:szCs w:val="21"/>
              </w:rPr>
            </w:pPr>
            <w:r>
              <w:rPr>
                <w:color w:val="000000"/>
                <w:kern w:val="0"/>
                <w:szCs w:val="21"/>
              </w:rPr>
              <w:t>较好</w:t>
            </w:r>
          </w:p>
        </w:tc>
        <w:tc>
          <w:tcPr>
            <w:tcW w:w="1371" w:type="dxa"/>
            <w:vAlign w:val="center"/>
          </w:tcPr>
          <w:p>
            <w:pPr>
              <w:widowControl/>
              <w:jc w:val="center"/>
              <w:rPr>
                <w:color w:val="000000"/>
                <w:kern w:val="0"/>
                <w:szCs w:val="21"/>
              </w:rPr>
            </w:pPr>
            <w:r>
              <w:rPr>
                <w:color w:val="000000"/>
                <w:kern w:val="0"/>
                <w:szCs w:val="21"/>
              </w:rPr>
              <w:t>一般</w:t>
            </w:r>
          </w:p>
        </w:tc>
        <w:tc>
          <w:tcPr>
            <w:tcW w:w="1371" w:type="dxa"/>
            <w:vAlign w:val="center"/>
          </w:tcPr>
          <w:p>
            <w:pPr>
              <w:widowControl/>
              <w:jc w:val="center"/>
              <w:rPr>
                <w:color w:val="000000"/>
                <w:kern w:val="0"/>
                <w:szCs w:val="21"/>
              </w:rPr>
            </w:pPr>
            <w:r>
              <w:rPr>
                <w:color w:val="000000"/>
                <w:kern w:val="0"/>
                <w:szCs w:val="21"/>
              </w:rPr>
              <w:t>较差</w:t>
            </w:r>
          </w:p>
        </w:tc>
        <w:tc>
          <w:tcPr>
            <w:tcW w:w="912" w:type="dxa"/>
            <w:vAlign w:val="center"/>
          </w:tcPr>
          <w:p>
            <w:pPr>
              <w:widowControl/>
              <w:jc w:val="center"/>
              <w:rPr>
                <w:color w:val="000000"/>
                <w:kern w:val="0"/>
                <w:szCs w:val="21"/>
              </w:rPr>
            </w:pPr>
            <w:r>
              <w:rPr>
                <w:color w:val="000000"/>
                <w:kern w:val="0"/>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continue"/>
            <w:vAlign w:val="center"/>
          </w:tcPr>
          <w:p>
            <w:pPr>
              <w:widowControl/>
              <w:jc w:val="left"/>
              <w:rPr>
                <w:color w:val="000000"/>
                <w:kern w:val="0"/>
                <w:szCs w:val="21"/>
              </w:rPr>
            </w:pPr>
          </w:p>
        </w:tc>
        <w:tc>
          <w:tcPr>
            <w:tcW w:w="835" w:type="dxa"/>
            <w:vMerge w:val="continue"/>
            <w:vAlign w:val="center"/>
          </w:tcPr>
          <w:p>
            <w:pPr>
              <w:widowControl/>
              <w:jc w:val="left"/>
              <w:rPr>
                <w:color w:val="000000"/>
                <w:kern w:val="0"/>
                <w:szCs w:val="21"/>
              </w:rPr>
            </w:pPr>
          </w:p>
        </w:tc>
        <w:tc>
          <w:tcPr>
            <w:tcW w:w="1578" w:type="dxa"/>
            <w:vAlign w:val="center"/>
          </w:tcPr>
          <w:p>
            <w:pPr>
              <w:widowControl/>
              <w:jc w:val="center"/>
              <w:rPr>
                <w:color w:val="000000"/>
                <w:kern w:val="0"/>
                <w:szCs w:val="21"/>
              </w:rPr>
            </w:pPr>
            <w:r>
              <w:rPr>
                <w:color w:val="000000"/>
                <w:kern w:val="0"/>
                <w:szCs w:val="21"/>
              </w:rPr>
              <w:t>供水状况</w:t>
            </w:r>
          </w:p>
        </w:tc>
        <w:tc>
          <w:tcPr>
            <w:tcW w:w="994" w:type="dxa"/>
            <w:vAlign w:val="center"/>
          </w:tcPr>
          <w:p>
            <w:pPr>
              <w:widowControl/>
              <w:jc w:val="center"/>
              <w:rPr>
                <w:color w:val="000000"/>
                <w:kern w:val="0"/>
                <w:szCs w:val="21"/>
              </w:rPr>
            </w:pPr>
            <w:r>
              <w:rPr>
                <w:color w:val="000000"/>
                <w:kern w:val="0"/>
                <w:szCs w:val="21"/>
              </w:rPr>
              <w:t>100%</w:t>
            </w:r>
          </w:p>
        </w:tc>
        <w:tc>
          <w:tcPr>
            <w:tcW w:w="1166" w:type="dxa"/>
            <w:vAlign w:val="center"/>
          </w:tcPr>
          <w:p>
            <w:pPr>
              <w:widowControl/>
              <w:jc w:val="center"/>
              <w:rPr>
                <w:color w:val="000000"/>
                <w:kern w:val="0"/>
                <w:szCs w:val="21"/>
              </w:rPr>
            </w:pPr>
            <w:r>
              <w:rPr>
                <w:color w:val="000000"/>
                <w:kern w:val="0"/>
                <w:szCs w:val="21"/>
              </w:rPr>
              <w:t>90-99%</w:t>
            </w:r>
          </w:p>
        </w:tc>
        <w:tc>
          <w:tcPr>
            <w:tcW w:w="1371" w:type="dxa"/>
            <w:vAlign w:val="center"/>
          </w:tcPr>
          <w:p>
            <w:pPr>
              <w:widowControl/>
              <w:jc w:val="center"/>
              <w:rPr>
                <w:color w:val="000000"/>
                <w:kern w:val="0"/>
                <w:szCs w:val="21"/>
              </w:rPr>
            </w:pPr>
            <w:r>
              <w:rPr>
                <w:color w:val="000000"/>
                <w:kern w:val="0"/>
                <w:szCs w:val="21"/>
              </w:rPr>
              <w:t>80-89%</w:t>
            </w:r>
          </w:p>
        </w:tc>
        <w:tc>
          <w:tcPr>
            <w:tcW w:w="1371" w:type="dxa"/>
            <w:vAlign w:val="center"/>
          </w:tcPr>
          <w:p>
            <w:pPr>
              <w:widowControl/>
              <w:jc w:val="center"/>
              <w:rPr>
                <w:color w:val="000000"/>
                <w:kern w:val="0"/>
                <w:szCs w:val="21"/>
              </w:rPr>
            </w:pPr>
            <w:r>
              <w:rPr>
                <w:color w:val="000000"/>
                <w:kern w:val="0"/>
                <w:szCs w:val="21"/>
              </w:rPr>
              <w:t>60-79%</w:t>
            </w:r>
          </w:p>
        </w:tc>
        <w:tc>
          <w:tcPr>
            <w:tcW w:w="912"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continue"/>
            <w:vAlign w:val="center"/>
          </w:tcPr>
          <w:p>
            <w:pPr>
              <w:widowControl/>
              <w:jc w:val="left"/>
              <w:rPr>
                <w:color w:val="000000"/>
                <w:kern w:val="0"/>
                <w:szCs w:val="21"/>
              </w:rPr>
            </w:pPr>
          </w:p>
        </w:tc>
        <w:tc>
          <w:tcPr>
            <w:tcW w:w="835" w:type="dxa"/>
            <w:vMerge w:val="continue"/>
            <w:vAlign w:val="center"/>
          </w:tcPr>
          <w:p>
            <w:pPr>
              <w:widowControl/>
              <w:jc w:val="left"/>
              <w:rPr>
                <w:color w:val="000000"/>
                <w:kern w:val="0"/>
                <w:szCs w:val="21"/>
              </w:rPr>
            </w:pPr>
          </w:p>
        </w:tc>
        <w:tc>
          <w:tcPr>
            <w:tcW w:w="1578" w:type="dxa"/>
            <w:vAlign w:val="center"/>
          </w:tcPr>
          <w:p>
            <w:pPr>
              <w:widowControl/>
              <w:jc w:val="center"/>
              <w:rPr>
                <w:color w:val="000000"/>
                <w:kern w:val="0"/>
                <w:szCs w:val="21"/>
              </w:rPr>
            </w:pPr>
            <w:r>
              <w:rPr>
                <w:color w:val="000000"/>
                <w:kern w:val="0"/>
                <w:szCs w:val="21"/>
              </w:rPr>
              <w:t>供电状况</w:t>
            </w:r>
          </w:p>
        </w:tc>
        <w:tc>
          <w:tcPr>
            <w:tcW w:w="994" w:type="dxa"/>
            <w:vAlign w:val="center"/>
          </w:tcPr>
          <w:p>
            <w:pPr>
              <w:widowControl/>
              <w:jc w:val="center"/>
              <w:rPr>
                <w:color w:val="000000"/>
                <w:kern w:val="0"/>
                <w:szCs w:val="21"/>
              </w:rPr>
            </w:pPr>
            <w:r>
              <w:rPr>
                <w:color w:val="000000"/>
                <w:kern w:val="0"/>
                <w:szCs w:val="21"/>
              </w:rPr>
              <w:t>100%</w:t>
            </w:r>
          </w:p>
        </w:tc>
        <w:tc>
          <w:tcPr>
            <w:tcW w:w="1166" w:type="dxa"/>
            <w:vAlign w:val="center"/>
          </w:tcPr>
          <w:p>
            <w:pPr>
              <w:widowControl/>
              <w:jc w:val="center"/>
              <w:rPr>
                <w:color w:val="000000"/>
                <w:kern w:val="0"/>
                <w:szCs w:val="21"/>
              </w:rPr>
            </w:pPr>
            <w:r>
              <w:rPr>
                <w:color w:val="000000"/>
                <w:kern w:val="0"/>
                <w:szCs w:val="21"/>
              </w:rPr>
              <w:t>90-99%</w:t>
            </w:r>
          </w:p>
        </w:tc>
        <w:tc>
          <w:tcPr>
            <w:tcW w:w="1371" w:type="dxa"/>
            <w:vAlign w:val="center"/>
          </w:tcPr>
          <w:p>
            <w:pPr>
              <w:widowControl/>
              <w:jc w:val="center"/>
              <w:rPr>
                <w:color w:val="000000"/>
                <w:kern w:val="0"/>
                <w:szCs w:val="21"/>
              </w:rPr>
            </w:pPr>
            <w:r>
              <w:rPr>
                <w:color w:val="000000"/>
                <w:kern w:val="0"/>
                <w:szCs w:val="21"/>
              </w:rPr>
              <w:t>80-89%</w:t>
            </w:r>
          </w:p>
        </w:tc>
        <w:tc>
          <w:tcPr>
            <w:tcW w:w="1371" w:type="dxa"/>
            <w:vAlign w:val="center"/>
          </w:tcPr>
          <w:p>
            <w:pPr>
              <w:widowControl/>
              <w:jc w:val="center"/>
              <w:rPr>
                <w:color w:val="000000"/>
                <w:kern w:val="0"/>
                <w:szCs w:val="21"/>
              </w:rPr>
            </w:pPr>
            <w:r>
              <w:rPr>
                <w:color w:val="000000"/>
                <w:kern w:val="0"/>
                <w:szCs w:val="21"/>
              </w:rPr>
              <w:t>60-79%</w:t>
            </w:r>
          </w:p>
        </w:tc>
        <w:tc>
          <w:tcPr>
            <w:tcW w:w="912"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continue"/>
            <w:vAlign w:val="center"/>
          </w:tcPr>
          <w:p>
            <w:pPr>
              <w:widowControl/>
              <w:jc w:val="left"/>
              <w:rPr>
                <w:color w:val="000000"/>
                <w:kern w:val="0"/>
                <w:szCs w:val="21"/>
              </w:rPr>
            </w:pPr>
          </w:p>
        </w:tc>
        <w:tc>
          <w:tcPr>
            <w:tcW w:w="835" w:type="dxa"/>
            <w:vMerge w:val="continue"/>
            <w:vAlign w:val="center"/>
          </w:tcPr>
          <w:p>
            <w:pPr>
              <w:widowControl/>
              <w:jc w:val="left"/>
              <w:rPr>
                <w:color w:val="000000"/>
                <w:kern w:val="0"/>
                <w:szCs w:val="21"/>
              </w:rPr>
            </w:pPr>
          </w:p>
        </w:tc>
        <w:tc>
          <w:tcPr>
            <w:tcW w:w="1578" w:type="dxa"/>
            <w:vAlign w:val="center"/>
          </w:tcPr>
          <w:p>
            <w:pPr>
              <w:widowControl/>
              <w:jc w:val="center"/>
              <w:rPr>
                <w:color w:val="000000"/>
                <w:kern w:val="0"/>
                <w:szCs w:val="21"/>
              </w:rPr>
            </w:pPr>
            <w:r>
              <w:rPr>
                <w:color w:val="000000"/>
                <w:kern w:val="0"/>
                <w:szCs w:val="21"/>
              </w:rPr>
              <w:t>供气状况</w:t>
            </w:r>
          </w:p>
        </w:tc>
        <w:tc>
          <w:tcPr>
            <w:tcW w:w="994" w:type="dxa"/>
            <w:vAlign w:val="center"/>
          </w:tcPr>
          <w:p>
            <w:pPr>
              <w:widowControl/>
              <w:jc w:val="center"/>
              <w:rPr>
                <w:color w:val="000000"/>
                <w:kern w:val="0"/>
                <w:szCs w:val="21"/>
              </w:rPr>
            </w:pPr>
            <w:r>
              <w:rPr>
                <w:color w:val="000000"/>
                <w:kern w:val="0"/>
                <w:szCs w:val="21"/>
              </w:rPr>
              <w:t>100%</w:t>
            </w:r>
          </w:p>
        </w:tc>
        <w:tc>
          <w:tcPr>
            <w:tcW w:w="1166" w:type="dxa"/>
            <w:vAlign w:val="center"/>
          </w:tcPr>
          <w:p>
            <w:pPr>
              <w:widowControl/>
              <w:jc w:val="center"/>
              <w:rPr>
                <w:color w:val="000000"/>
                <w:kern w:val="0"/>
                <w:szCs w:val="21"/>
              </w:rPr>
            </w:pPr>
            <w:r>
              <w:rPr>
                <w:color w:val="000000"/>
                <w:kern w:val="0"/>
                <w:szCs w:val="21"/>
              </w:rPr>
              <w:t>90-99%</w:t>
            </w:r>
          </w:p>
        </w:tc>
        <w:tc>
          <w:tcPr>
            <w:tcW w:w="1371" w:type="dxa"/>
            <w:vAlign w:val="center"/>
          </w:tcPr>
          <w:p>
            <w:pPr>
              <w:widowControl/>
              <w:jc w:val="center"/>
              <w:rPr>
                <w:color w:val="000000"/>
                <w:kern w:val="0"/>
                <w:szCs w:val="21"/>
              </w:rPr>
            </w:pPr>
            <w:r>
              <w:rPr>
                <w:color w:val="000000"/>
                <w:kern w:val="0"/>
                <w:szCs w:val="21"/>
              </w:rPr>
              <w:t>80-89%</w:t>
            </w:r>
          </w:p>
        </w:tc>
        <w:tc>
          <w:tcPr>
            <w:tcW w:w="1371" w:type="dxa"/>
            <w:vAlign w:val="center"/>
          </w:tcPr>
          <w:p>
            <w:pPr>
              <w:widowControl/>
              <w:jc w:val="center"/>
              <w:rPr>
                <w:color w:val="000000"/>
                <w:kern w:val="0"/>
                <w:szCs w:val="21"/>
              </w:rPr>
            </w:pPr>
            <w:r>
              <w:rPr>
                <w:color w:val="000000"/>
                <w:kern w:val="0"/>
                <w:szCs w:val="21"/>
              </w:rPr>
              <w:t>60-79%</w:t>
            </w:r>
          </w:p>
        </w:tc>
        <w:tc>
          <w:tcPr>
            <w:tcW w:w="912"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restart"/>
            <w:vAlign w:val="center"/>
          </w:tcPr>
          <w:p>
            <w:pPr>
              <w:widowControl/>
              <w:jc w:val="center"/>
              <w:rPr>
                <w:color w:val="000000"/>
                <w:kern w:val="0"/>
                <w:szCs w:val="21"/>
              </w:rPr>
            </w:pPr>
            <w:r>
              <w:rPr>
                <w:color w:val="000000"/>
                <w:kern w:val="0"/>
                <w:szCs w:val="21"/>
              </w:rPr>
              <w:t>环境条件</w:t>
            </w:r>
          </w:p>
        </w:tc>
        <w:tc>
          <w:tcPr>
            <w:tcW w:w="835" w:type="dxa"/>
            <w:vMerge w:val="restart"/>
            <w:vAlign w:val="center"/>
          </w:tcPr>
          <w:p>
            <w:pPr>
              <w:widowControl/>
              <w:jc w:val="center"/>
              <w:rPr>
                <w:color w:val="000000"/>
                <w:kern w:val="0"/>
                <w:szCs w:val="21"/>
              </w:rPr>
            </w:pPr>
            <w:r>
              <w:rPr>
                <w:color w:val="000000"/>
                <w:kern w:val="0"/>
                <w:szCs w:val="21"/>
              </w:rPr>
              <w:t>自然条件优劣度</w:t>
            </w:r>
          </w:p>
        </w:tc>
        <w:tc>
          <w:tcPr>
            <w:tcW w:w="1578" w:type="dxa"/>
            <w:vAlign w:val="center"/>
          </w:tcPr>
          <w:p>
            <w:pPr>
              <w:widowControl/>
              <w:jc w:val="center"/>
              <w:rPr>
                <w:color w:val="000000"/>
                <w:kern w:val="0"/>
                <w:szCs w:val="21"/>
              </w:rPr>
            </w:pPr>
            <w:r>
              <w:rPr>
                <w:color w:val="000000"/>
                <w:kern w:val="0"/>
                <w:szCs w:val="21"/>
              </w:rPr>
              <w:t>地质状况</w:t>
            </w:r>
          </w:p>
        </w:tc>
        <w:tc>
          <w:tcPr>
            <w:tcW w:w="994" w:type="dxa"/>
            <w:vAlign w:val="center"/>
          </w:tcPr>
          <w:p>
            <w:pPr>
              <w:widowControl/>
              <w:jc w:val="center"/>
              <w:rPr>
                <w:color w:val="000000"/>
                <w:kern w:val="0"/>
                <w:szCs w:val="21"/>
              </w:rPr>
            </w:pPr>
            <w:r>
              <w:rPr>
                <w:color w:val="000000"/>
                <w:kern w:val="0"/>
                <w:szCs w:val="21"/>
              </w:rPr>
              <w:t>&gt;30吨/m2</w:t>
            </w:r>
          </w:p>
        </w:tc>
        <w:tc>
          <w:tcPr>
            <w:tcW w:w="1166" w:type="dxa"/>
            <w:vAlign w:val="center"/>
          </w:tcPr>
          <w:p>
            <w:pPr>
              <w:widowControl/>
              <w:jc w:val="center"/>
              <w:rPr>
                <w:color w:val="000000"/>
                <w:kern w:val="0"/>
                <w:szCs w:val="21"/>
              </w:rPr>
            </w:pPr>
            <w:r>
              <w:rPr>
                <w:color w:val="000000"/>
                <w:kern w:val="0"/>
                <w:szCs w:val="21"/>
              </w:rPr>
              <w:t>25-30吨/m2</w:t>
            </w:r>
          </w:p>
        </w:tc>
        <w:tc>
          <w:tcPr>
            <w:tcW w:w="1371" w:type="dxa"/>
            <w:vAlign w:val="center"/>
          </w:tcPr>
          <w:p>
            <w:pPr>
              <w:widowControl/>
              <w:jc w:val="center"/>
              <w:rPr>
                <w:color w:val="000000"/>
                <w:kern w:val="0"/>
                <w:szCs w:val="21"/>
              </w:rPr>
            </w:pPr>
            <w:r>
              <w:rPr>
                <w:color w:val="000000"/>
                <w:kern w:val="0"/>
                <w:szCs w:val="21"/>
              </w:rPr>
              <w:t>20-25吨/m2</w:t>
            </w:r>
          </w:p>
        </w:tc>
        <w:tc>
          <w:tcPr>
            <w:tcW w:w="1371" w:type="dxa"/>
            <w:vAlign w:val="center"/>
          </w:tcPr>
          <w:p>
            <w:pPr>
              <w:widowControl/>
              <w:jc w:val="center"/>
              <w:rPr>
                <w:color w:val="000000"/>
                <w:kern w:val="0"/>
                <w:szCs w:val="21"/>
              </w:rPr>
            </w:pPr>
            <w:r>
              <w:rPr>
                <w:color w:val="000000"/>
                <w:kern w:val="0"/>
                <w:szCs w:val="21"/>
              </w:rPr>
              <w:t>15-20吨/m2</w:t>
            </w:r>
          </w:p>
        </w:tc>
        <w:tc>
          <w:tcPr>
            <w:tcW w:w="912" w:type="dxa"/>
            <w:vAlign w:val="center"/>
          </w:tcPr>
          <w:p>
            <w:pPr>
              <w:widowControl/>
              <w:jc w:val="center"/>
              <w:rPr>
                <w:color w:val="000000"/>
                <w:kern w:val="0"/>
                <w:szCs w:val="21"/>
              </w:rPr>
            </w:pPr>
            <w:r>
              <w:rPr>
                <w:color w:val="000000"/>
                <w:kern w:val="0"/>
                <w:szCs w:val="21"/>
              </w:rPr>
              <w:t>&lt;15吨/m2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continue"/>
            <w:vAlign w:val="center"/>
          </w:tcPr>
          <w:p>
            <w:pPr>
              <w:widowControl/>
              <w:jc w:val="left"/>
              <w:rPr>
                <w:color w:val="000000"/>
                <w:kern w:val="0"/>
                <w:szCs w:val="21"/>
              </w:rPr>
            </w:pPr>
          </w:p>
        </w:tc>
        <w:tc>
          <w:tcPr>
            <w:tcW w:w="835" w:type="dxa"/>
            <w:vMerge w:val="continue"/>
            <w:vAlign w:val="center"/>
          </w:tcPr>
          <w:p>
            <w:pPr>
              <w:widowControl/>
              <w:jc w:val="left"/>
              <w:rPr>
                <w:color w:val="000000"/>
                <w:kern w:val="0"/>
                <w:szCs w:val="21"/>
              </w:rPr>
            </w:pPr>
          </w:p>
        </w:tc>
        <w:tc>
          <w:tcPr>
            <w:tcW w:w="1578" w:type="dxa"/>
            <w:vAlign w:val="center"/>
          </w:tcPr>
          <w:p>
            <w:pPr>
              <w:widowControl/>
              <w:jc w:val="center"/>
              <w:rPr>
                <w:color w:val="000000"/>
                <w:kern w:val="0"/>
                <w:szCs w:val="21"/>
              </w:rPr>
            </w:pPr>
            <w:r>
              <w:rPr>
                <w:color w:val="000000"/>
                <w:kern w:val="0"/>
                <w:szCs w:val="21"/>
              </w:rPr>
              <w:t>洪水淹没状况</w:t>
            </w:r>
          </w:p>
        </w:tc>
        <w:tc>
          <w:tcPr>
            <w:tcW w:w="994" w:type="dxa"/>
            <w:vAlign w:val="center"/>
          </w:tcPr>
          <w:p>
            <w:pPr>
              <w:widowControl/>
              <w:jc w:val="center"/>
              <w:rPr>
                <w:color w:val="000000"/>
                <w:kern w:val="0"/>
                <w:szCs w:val="21"/>
              </w:rPr>
            </w:pPr>
            <w:r>
              <w:rPr>
                <w:color w:val="000000"/>
                <w:kern w:val="0"/>
                <w:szCs w:val="21"/>
              </w:rPr>
              <w:t>低</w:t>
            </w:r>
          </w:p>
        </w:tc>
        <w:tc>
          <w:tcPr>
            <w:tcW w:w="1166" w:type="dxa"/>
            <w:vAlign w:val="center"/>
          </w:tcPr>
          <w:p>
            <w:pPr>
              <w:widowControl/>
              <w:jc w:val="center"/>
              <w:rPr>
                <w:color w:val="000000"/>
                <w:kern w:val="0"/>
                <w:szCs w:val="21"/>
              </w:rPr>
            </w:pPr>
            <w:r>
              <w:rPr>
                <w:color w:val="000000"/>
                <w:kern w:val="0"/>
                <w:szCs w:val="21"/>
              </w:rPr>
              <w:t>较低</w:t>
            </w:r>
          </w:p>
        </w:tc>
        <w:tc>
          <w:tcPr>
            <w:tcW w:w="1371" w:type="dxa"/>
            <w:vAlign w:val="center"/>
          </w:tcPr>
          <w:p>
            <w:pPr>
              <w:widowControl/>
              <w:jc w:val="center"/>
              <w:rPr>
                <w:color w:val="000000"/>
                <w:kern w:val="0"/>
                <w:szCs w:val="21"/>
              </w:rPr>
            </w:pPr>
            <w:r>
              <w:rPr>
                <w:color w:val="000000"/>
                <w:kern w:val="0"/>
                <w:szCs w:val="21"/>
              </w:rPr>
              <w:t>一般</w:t>
            </w:r>
          </w:p>
        </w:tc>
        <w:tc>
          <w:tcPr>
            <w:tcW w:w="1371" w:type="dxa"/>
            <w:vAlign w:val="center"/>
          </w:tcPr>
          <w:p>
            <w:pPr>
              <w:widowControl/>
              <w:jc w:val="center"/>
              <w:rPr>
                <w:color w:val="000000"/>
                <w:kern w:val="0"/>
                <w:szCs w:val="21"/>
              </w:rPr>
            </w:pPr>
            <w:r>
              <w:rPr>
                <w:color w:val="000000"/>
                <w:kern w:val="0"/>
                <w:szCs w:val="21"/>
              </w:rPr>
              <w:t>较高</w:t>
            </w:r>
          </w:p>
        </w:tc>
        <w:tc>
          <w:tcPr>
            <w:tcW w:w="912" w:type="dxa"/>
            <w:vAlign w:val="center"/>
          </w:tcPr>
          <w:p>
            <w:pPr>
              <w:widowControl/>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Align w:val="center"/>
          </w:tcPr>
          <w:p>
            <w:pPr>
              <w:widowControl/>
              <w:jc w:val="center"/>
              <w:rPr>
                <w:color w:val="000000"/>
                <w:kern w:val="0"/>
                <w:szCs w:val="21"/>
              </w:rPr>
            </w:pPr>
            <w:r>
              <w:rPr>
                <w:color w:val="000000"/>
                <w:kern w:val="0"/>
                <w:szCs w:val="21"/>
              </w:rPr>
              <w:t>产业集聚效益</w:t>
            </w:r>
          </w:p>
        </w:tc>
        <w:tc>
          <w:tcPr>
            <w:tcW w:w="835" w:type="dxa"/>
            <w:vAlign w:val="center"/>
          </w:tcPr>
          <w:p>
            <w:pPr>
              <w:widowControl/>
              <w:jc w:val="center"/>
              <w:rPr>
                <w:color w:val="000000"/>
                <w:kern w:val="0"/>
                <w:szCs w:val="21"/>
              </w:rPr>
            </w:pPr>
            <w:r>
              <w:rPr>
                <w:color w:val="000000"/>
                <w:kern w:val="0"/>
                <w:szCs w:val="21"/>
              </w:rPr>
              <w:t>产业集聚影响度</w:t>
            </w:r>
          </w:p>
        </w:tc>
        <w:tc>
          <w:tcPr>
            <w:tcW w:w="1578" w:type="dxa"/>
            <w:vAlign w:val="center"/>
          </w:tcPr>
          <w:p>
            <w:pPr>
              <w:widowControl/>
              <w:jc w:val="center"/>
              <w:rPr>
                <w:color w:val="000000"/>
                <w:kern w:val="0"/>
                <w:szCs w:val="21"/>
              </w:rPr>
            </w:pPr>
            <w:r>
              <w:rPr>
                <w:color w:val="000000"/>
                <w:kern w:val="0"/>
                <w:szCs w:val="21"/>
              </w:rPr>
              <w:t>产业集聚影响度</w:t>
            </w:r>
          </w:p>
        </w:tc>
        <w:tc>
          <w:tcPr>
            <w:tcW w:w="994" w:type="dxa"/>
            <w:vAlign w:val="center"/>
          </w:tcPr>
          <w:p>
            <w:pPr>
              <w:widowControl/>
              <w:jc w:val="center"/>
              <w:rPr>
                <w:color w:val="000000"/>
                <w:kern w:val="0"/>
                <w:szCs w:val="21"/>
              </w:rPr>
            </w:pPr>
            <w:r>
              <w:rPr>
                <w:color w:val="000000"/>
                <w:kern w:val="0"/>
                <w:szCs w:val="21"/>
              </w:rPr>
              <w:t>高新产业联系紧密区</w:t>
            </w:r>
          </w:p>
        </w:tc>
        <w:tc>
          <w:tcPr>
            <w:tcW w:w="1166" w:type="dxa"/>
            <w:vAlign w:val="center"/>
          </w:tcPr>
          <w:p>
            <w:pPr>
              <w:widowControl/>
              <w:jc w:val="center"/>
              <w:rPr>
                <w:color w:val="000000"/>
                <w:kern w:val="0"/>
                <w:szCs w:val="21"/>
              </w:rPr>
            </w:pPr>
            <w:r>
              <w:rPr>
                <w:color w:val="000000"/>
                <w:kern w:val="0"/>
                <w:szCs w:val="21"/>
              </w:rPr>
              <w:t>高新产业联系一般区，一般产业联系紧密区</w:t>
            </w:r>
          </w:p>
        </w:tc>
        <w:tc>
          <w:tcPr>
            <w:tcW w:w="1371" w:type="dxa"/>
            <w:vAlign w:val="center"/>
          </w:tcPr>
          <w:p>
            <w:pPr>
              <w:widowControl/>
              <w:jc w:val="center"/>
              <w:rPr>
                <w:color w:val="000000"/>
                <w:kern w:val="0"/>
                <w:szCs w:val="21"/>
              </w:rPr>
            </w:pPr>
            <w:r>
              <w:rPr>
                <w:color w:val="000000"/>
                <w:kern w:val="0"/>
                <w:szCs w:val="21"/>
              </w:rPr>
              <w:t>高新产业联系松散区，一般产业联系一般区</w:t>
            </w:r>
          </w:p>
        </w:tc>
        <w:tc>
          <w:tcPr>
            <w:tcW w:w="1371" w:type="dxa"/>
            <w:vAlign w:val="center"/>
          </w:tcPr>
          <w:p>
            <w:pPr>
              <w:widowControl/>
              <w:jc w:val="center"/>
              <w:rPr>
                <w:color w:val="000000"/>
                <w:kern w:val="0"/>
                <w:szCs w:val="21"/>
              </w:rPr>
            </w:pPr>
            <w:r>
              <w:rPr>
                <w:color w:val="000000"/>
                <w:kern w:val="0"/>
                <w:szCs w:val="21"/>
              </w:rPr>
              <w:t>一般产业联系松散区</w:t>
            </w:r>
          </w:p>
        </w:tc>
        <w:tc>
          <w:tcPr>
            <w:tcW w:w="912" w:type="dxa"/>
            <w:vAlign w:val="center"/>
          </w:tcPr>
          <w:p>
            <w:pPr>
              <w:widowControl/>
              <w:jc w:val="center"/>
              <w:rPr>
                <w:color w:val="000000"/>
                <w:kern w:val="0"/>
                <w:szCs w:val="21"/>
              </w:rPr>
            </w:pPr>
            <w:r>
              <w:rPr>
                <w:color w:val="000000"/>
                <w:kern w:val="0"/>
                <w:szCs w:val="21"/>
              </w:rPr>
              <w:t>独立分散区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restart"/>
            <w:vAlign w:val="center"/>
          </w:tcPr>
          <w:p>
            <w:pPr>
              <w:widowControl/>
              <w:jc w:val="center"/>
              <w:rPr>
                <w:color w:val="000000"/>
                <w:kern w:val="0"/>
                <w:szCs w:val="21"/>
              </w:rPr>
            </w:pPr>
            <w:r>
              <w:rPr>
                <w:color w:val="000000"/>
                <w:kern w:val="0"/>
                <w:szCs w:val="21"/>
              </w:rPr>
              <w:t>城市规划</w:t>
            </w:r>
          </w:p>
        </w:tc>
        <w:tc>
          <w:tcPr>
            <w:tcW w:w="835" w:type="dxa"/>
            <w:vMerge w:val="restart"/>
            <w:vAlign w:val="center"/>
          </w:tcPr>
          <w:p>
            <w:pPr>
              <w:widowControl/>
              <w:jc w:val="center"/>
              <w:rPr>
                <w:color w:val="000000"/>
                <w:kern w:val="0"/>
                <w:szCs w:val="21"/>
              </w:rPr>
            </w:pPr>
            <w:r>
              <w:rPr>
                <w:color w:val="000000"/>
                <w:kern w:val="0"/>
                <w:szCs w:val="21"/>
              </w:rPr>
              <w:t>城市规划</w:t>
            </w:r>
          </w:p>
        </w:tc>
        <w:tc>
          <w:tcPr>
            <w:tcW w:w="1578" w:type="dxa"/>
            <w:vAlign w:val="center"/>
          </w:tcPr>
          <w:p>
            <w:pPr>
              <w:widowControl/>
              <w:jc w:val="center"/>
              <w:rPr>
                <w:color w:val="000000"/>
                <w:kern w:val="0"/>
                <w:szCs w:val="21"/>
              </w:rPr>
            </w:pPr>
            <w:r>
              <w:rPr>
                <w:color w:val="000000"/>
                <w:kern w:val="0"/>
                <w:szCs w:val="21"/>
              </w:rPr>
              <w:t>用地规划</w:t>
            </w:r>
          </w:p>
        </w:tc>
        <w:tc>
          <w:tcPr>
            <w:tcW w:w="994" w:type="dxa"/>
            <w:vAlign w:val="center"/>
          </w:tcPr>
          <w:p>
            <w:pPr>
              <w:widowControl/>
              <w:jc w:val="center"/>
              <w:rPr>
                <w:color w:val="000000"/>
                <w:kern w:val="0"/>
                <w:szCs w:val="21"/>
              </w:rPr>
            </w:pPr>
            <w:r>
              <w:rPr>
                <w:color w:val="000000"/>
                <w:kern w:val="0"/>
                <w:szCs w:val="21"/>
              </w:rPr>
              <w:t>主干道</w:t>
            </w:r>
          </w:p>
        </w:tc>
        <w:tc>
          <w:tcPr>
            <w:tcW w:w="1166" w:type="dxa"/>
            <w:vAlign w:val="center"/>
          </w:tcPr>
          <w:p>
            <w:pPr>
              <w:widowControl/>
              <w:jc w:val="center"/>
              <w:rPr>
                <w:color w:val="000000"/>
                <w:kern w:val="0"/>
                <w:szCs w:val="21"/>
              </w:rPr>
            </w:pPr>
            <w:r>
              <w:rPr>
                <w:color w:val="000000"/>
                <w:kern w:val="0"/>
                <w:szCs w:val="21"/>
              </w:rPr>
              <w:t>次干道</w:t>
            </w:r>
          </w:p>
        </w:tc>
        <w:tc>
          <w:tcPr>
            <w:tcW w:w="1371" w:type="dxa"/>
            <w:vAlign w:val="center"/>
          </w:tcPr>
          <w:p>
            <w:pPr>
              <w:widowControl/>
              <w:jc w:val="center"/>
              <w:rPr>
                <w:color w:val="000000"/>
                <w:kern w:val="0"/>
                <w:szCs w:val="21"/>
              </w:rPr>
            </w:pPr>
            <w:r>
              <w:rPr>
                <w:color w:val="000000"/>
                <w:kern w:val="0"/>
                <w:szCs w:val="21"/>
              </w:rPr>
              <w:t>快速路</w:t>
            </w:r>
          </w:p>
        </w:tc>
        <w:tc>
          <w:tcPr>
            <w:tcW w:w="1371" w:type="dxa"/>
            <w:vAlign w:val="center"/>
          </w:tcPr>
          <w:p>
            <w:pPr>
              <w:widowControl/>
              <w:jc w:val="center"/>
              <w:rPr>
                <w:color w:val="000000"/>
                <w:kern w:val="0"/>
                <w:szCs w:val="21"/>
              </w:rPr>
            </w:pPr>
            <w:r>
              <w:rPr>
                <w:color w:val="000000"/>
                <w:kern w:val="0"/>
                <w:szCs w:val="21"/>
              </w:rPr>
              <w:t>支路</w:t>
            </w:r>
          </w:p>
        </w:tc>
        <w:tc>
          <w:tcPr>
            <w:tcW w:w="912" w:type="dxa"/>
            <w:vAlign w:val="center"/>
          </w:tcPr>
          <w:p>
            <w:pPr>
              <w:widowControl/>
              <w:jc w:val="center"/>
              <w:rPr>
                <w:color w:val="000000"/>
                <w:kern w:val="0"/>
                <w:szCs w:val="21"/>
              </w:rPr>
            </w:pPr>
            <w:r>
              <w:rPr>
                <w:color w:val="000000"/>
                <w:kern w:val="0"/>
                <w:szCs w:val="21"/>
              </w:rPr>
              <w:t>街坊间支路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4" w:type="dxa"/>
            <w:vMerge w:val="continue"/>
            <w:vAlign w:val="center"/>
          </w:tcPr>
          <w:p>
            <w:pPr>
              <w:widowControl/>
              <w:jc w:val="left"/>
              <w:rPr>
                <w:color w:val="000000"/>
                <w:kern w:val="0"/>
                <w:szCs w:val="21"/>
              </w:rPr>
            </w:pPr>
          </w:p>
        </w:tc>
        <w:tc>
          <w:tcPr>
            <w:tcW w:w="835" w:type="dxa"/>
            <w:vMerge w:val="continue"/>
            <w:vAlign w:val="center"/>
          </w:tcPr>
          <w:p>
            <w:pPr>
              <w:widowControl/>
              <w:jc w:val="left"/>
              <w:rPr>
                <w:color w:val="000000"/>
                <w:kern w:val="0"/>
                <w:szCs w:val="21"/>
              </w:rPr>
            </w:pPr>
          </w:p>
        </w:tc>
        <w:tc>
          <w:tcPr>
            <w:tcW w:w="1578" w:type="dxa"/>
            <w:vAlign w:val="center"/>
          </w:tcPr>
          <w:p>
            <w:pPr>
              <w:widowControl/>
              <w:jc w:val="center"/>
              <w:rPr>
                <w:color w:val="000000"/>
                <w:kern w:val="0"/>
                <w:szCs w:val="21"/>
              </w:rPr>
            </w:pPr>
            <w:r>
              <w:rPr>
                <w:color w:val="000000"/>
                <w:kern w:val="0"/>
                <w:szCs w:val="21"/>
              </w:rPr>
              <w:t>道路规划</w:t>
            </w:r>
          </w:p>
        </w:tc>
        <w:tc>
          <w:tcPr>
            <w:tcW w:w="994" w:type="dxa"/>
            <w:vAlign w:val="center"/>
          </w:tcPr>
          <w:p>
            <w:pPr>
              <w:widowControl/>
              <w:jc w:val="center"/>
              <w:rPr>
                <w:color w:val="000000"/>
                <w:kern w:val="0"/>
                <w:szCs w:val="21"/>
              </w:rPr>
            </w:pPr>
            <w:r>
              <w:rPr>
                <w:color w:val="000000"/>
                <w:kern w:val="0"/>
                <w:szCs w:val="21"/>
              </w:rPr>
              <w:t>最佳用途</w:t>
            </w:r>
          </w:p>
        </w:tc>
        <w:tc>
          <w:tcPr>
            <w:tcW w:w="1166" w:type="dxa"/>
            <w:vAlign w:val="center"/>
          </w:tcPr>
          <w:p>
            <w:pPr>
              <w:widowControl/>
              <w:jc w:val="center"/>
              <w:rPr>
                <w:color w:val="000000"/>
                <w:kern w:val="0"/>
                <w:szCs w:val="21"/>
              </w:rPr>
            </w:pPr>
            <w:r>
              <w:rPr>
                <w:color w:val="000000"/>
                <w:kern w:val="0"/>
                <w:szCs w:val="21"/>
              </w:rPr>
              <w:t>较适用途</w:t>
            </w:r>
          </w:p>
        </w:tc>
        <w:tc>
          <w:tcPr>
            <w:tcW w:w="1371" w:type="dxa"/>
            <w:vAlign w:val="center"/>
          </w:tcPr>
          <w:p>
            <w:pPr>
              <w:widowControl/>
              <w:jc w:val="center"/>
              <w:rPr>
                <w:color w:val="000000"/>
                <w:kern w:val="0"/>
                <w:szCs w:val="21"/>
              </w:rPr>
            </w:pPr>
            <w:r>
              <w:rPr>
                <w:color w:val="000000"/>
                <w:kern w:val="0"/>
                <w:szCs w:val="21"/>
              </w:rPr>
              <w:t>一般用途</w:t>
            </w:r>
          </w:p>
        </w:tc>
        <w:tc>
          <w:tcPr>
            <w:tcW w:w="1371" w:type="dxa"/>
            <w:vAlign w:val="center"/>
          </w:tcPr>
          <w:p>
            <w:pPr>
              <w:widowControl/>
              <w:jc w:val="center"/>
              <w:rPr>
                <w:color w:val="000000"/>
                <w:kern w:val="0"/>
                <w:szCs w:val="21"/>
              </w:rPr>
            </w:pPr>
            <w:r>
              <w:rPr>
                <w:color w:val="000000"/>
                <w:kern w:val="0"/>
                <w:szCs w:val="21"/>
              </w:rPr>
              <w:t>不太适合用途</w:t>
            </w:r>
          </w:p>
        </w:tc>
        <w:tc>
          <w:tcPr>
            <w:tcW w:w="912" w:type="dxa"/>
            <w:vAlign w:val="center"/>
          </w:tcPr>
          <w:p>
            <w:pPr>
              <w:widowControl/>
              <w:jc w:val="center"/>
              <w:rPr>
                <w:color w:val="000000"/>
                <w:kern w:val="0"/>
                <w:szCs w:val="21"/>
              </w:rPr>
            </w:pPr>
            <w:r>
              <w:rPr>
                <w:color w:val="000000"/>
                <w:kern w:val="0"/>
                <w:szCs w:val="21"/>
              </w:rPr>
              <w:t>不适合用途</w:t>
            </w:r>
          </w:p>
        </w:tc>
      </w:tr>
    </w:tbl>
    <w:p>
      <w:pPr>
        <w:widowControl/>
        <w:ind w:firstLine="480" w:firstLineChars="200"/>
        <w:jc w:val="left"/>
        <w:rPr>
          <w:b/>
          <w:sz w:val="24"/>
          <w:szCs w:val="24"/>
        </w:rPr>
      </w:pPr>
      <w:r>
        <w:rPr>
          <w:bCs/>
          <w:sz w:val="24"/>
          <w:szCs w:val="24"/>
        </w:rPr>
        <w:br w:type="page"/>
      </w:r>
    </w:p>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表4-5-9  长沙县Ⅴ级工矿仓储用地宗地地价区域因素修正系数表（%）</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18"/>
        <w:gridCol w:w="2121"/>
        <w:gridCol w:w="937"/>
        <w:gridCol w:w="937"/>
        <w:gridCol w:w="937"/>
        <w:gridCol w:w="937"/>
        <w:gridCol w:w="937"/>
        <w:gridCol w:w="9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18"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因子层</w:t>
            </w:r>
          </w:p>
        </w:tc>
        <w:tc>
          <w:tcPr>
            <w:tcW w:w="212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Cs w:val="21"/>
              </w:rPr>
            </w:pPr>
            <w:r>
              <w:rPr>
                <w:b/>
                <w:bCs/>
                <w:color w:val="000000"/>
                <w:kern w:val="0"/>
                <w:szCs w:val="21"/>
              </w:rPr>
              <w:t>指标层</w:t>
            </w:r>
          </w:p>
        </w:tc>
        <w:tc>
          <w:tcPr>
            <w:tcW w:w="937" w:type="dxa"/>
            <w:tcBorders>
              <w:top w:val="single" w:color="auto" w:sz="4" w:space="0"/>
              <w:left w:val="nil"/>
              <w:bottom w:val="nil"/>
              <w:right w:val="single" w:color="auto" w:sz="4" w:space="0"/>
            </w:tcBorders>
            <w:vAlign w:val="center"/>
          </w:tcPr>
          <w:p>
            <w:pPr>
              <w:widowControl/>
              <w:jc w:val="center"/>
              <w:rPr>
                <w:b/>
                <w:bCs/>
                <w:kern w:val="0"/>
                <w:sz w:val="20"/>
              </w:rPr>
            </w:pPr>
            <w:r>
              <w:rPr>
                <w:b/>
                <w:bCs/>
                <w:kern w:val="0"/>
                <w:sz w:val="20"/>
              </w:rPr>
              <w:t>权重</w:t>
            </w:r>
          </w:p>
        </w:tc>
        <w:tc>
          <w:tcPr>
            <w:tcW w:w="937"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优</w:t>
            </w:r>
          </w:p>
        </w:tc>
        <w:tc>
          <w:tcPr>
            <w:tcW w:w="937"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较优</w:t>
            </w:r>
          </w:p>
        </w:tc>
        <w:tc>
          <w:tcPr>
            <w:tcW w:w="937"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一般</w:t>
            </w:r>
          </w:p>
        </w:tc>
        <w:tc>
          <w:tcPr>
            <w:tcW w:w="937"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较劣</w:t>
            </w:r>
          </w:p>
        </w:tc>
        <w:tc>
          <w:tcPr>
            <w:tcW w:w="937" w:type="dxa"/>
            <w:tcBorders>
              <w:top w:val="single" w:color="auto" w:sz="4" w:space="0"/>
              <w:left w:val="nil"/>
              <w:bottom w:val="single" w:color="auto" w:sz="4" w:space="0"/>
              <w:right w:val="single" w:color="auto" w:sz="4" w:space="0"/>
            </w:tcBorders>
            <w:vAlign w:val="center"/>
          </w:tcPr>
          <w:p>
            <w:pPr>
              <w:widowControl/>
              <w:jc w:val="center"/>
              <w:rPr>
                <w:b/>
                <w:bCs/>
                <w:kern w:val="0"/>
                <w:sz w:val="20"/>
              </w:rPr>
            </w:pPr>
            <w:r>
              <w:rPr>
                <w:b/>
                <w:bCs/>
                <w:kern w:val="0"/>
                <w:sz w:val="20"/>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1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道路通达度</w:t>
            </w: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临近道路状况</w:t>
            </w:r>
          </w:p>
        </w:tc>
        <w:tc>
          <w:tcPr>
            <w:tcW w:w="937" w:type="dxa"/>
            <w:tcBorders>
              <w:top w:val="single" w:color="auto" w:sz="4" w:space="0"/>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0.1813</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2.4639</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1.2319</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-1.3380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-2.6760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1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对外交通便利度</w:t>
            </w: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距最近长途汽车站距离</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0.0577</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0.7841</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0.3921</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-0.4258</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-0.8517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shd w:val="clear" w:color="auto" w:fill="FFFFFF"/>
              <w:jc w:val="center"/>
              <w:rPr>
                <w:color w:val="000000"/>
                <w:kern w:val="0"/>
                <w:szCs w:val="21"/>
              </w:rPr>
            </w:pPr>
            <w:r>
              <w:rPr>
                <w:rFonts w:hint="eastAsia" w:cs="宋体"/>
                <w:color w:val="000000"/>
                <w:kern w:val="0"/>
                <w:szCs w:val="21"/>
              </w:rPr>
              <w:t>临高速出入口距离</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0.0534</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0.7257</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0.3629</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-0.3941</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-0.7882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shd w:val="clear" w:color="auto" w:fill="FFFFFF"/>
              <w:jc w:val="center"/>
              <w:rPr>
                <w:color w:val="000000"/>
                <w:kern w:val="0"/>
                <w:szCs w:val="21"/>
              </w:rPr>
            </w:pPr>
            <w:r>
              <w:rPr>
                <w:rFonts w:hint="eastAsia" w:cs="宋体"/>
                <w:color w:val="000000"/>
                <w:kern w:val="0"/>
                <w:szCs w:val="21"/>
              </w:rPr>
              <w:t>临机场距离</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0.0324</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0.4403</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0.2202</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-0.2391</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1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基础设施完善度</w:t>
            </w: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排水状况</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0.0706</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0.9595</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0.4797</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-0.5210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-1.0421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供水状况</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0.0706</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0.9595</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0.4797</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-0.5210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-1.0421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供电状况</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0.0706</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0.9595</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0.4797</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-0.5210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-1.0421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供气状况</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0.0706</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0.9595</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0.4797</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-0.5210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-1.0421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1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自然条件优劣度</w:t>
            </w: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地质状况</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0.0667</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0.9065</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0.4532</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-0.4922</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洪水淹没状况</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0.0674</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0.9160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0.4580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-0.4974</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-0.9948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18" w:type="dxa"/>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产业集聚影响度</w:t>
            </w: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产业集聚影响度</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0.1547</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2.1024</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1.0512</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-1.1417</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-2.2834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18" w:type="dxa"/>
            <w:vMerge w:val="restart"/>
            <w:tcBorders>
              <w:top w:val="nil"/>
              <w:left w:val="single" w:color="auto" w:sz="4" w:space="0"/>
              <w:bottom w:val="single" w:color="auto" w:sz="4" w:space="0"/>
              <w:right w:val="single" w:color="auto" w:sz="4" w:space="0"/>
            </w:tcBorders>
            <w:vAlign w:val="center"/>
          </w:tcPr>
          <w:p>
            <w:pPr>
              <w:widowControl/>
              <w:jc w:val="center"/>
              <w:rPr>
                <w:color w:val="000000"/>
                <w:kern w:val="0"/>
                <w:szCs w:val="21"/>
              </w:rPr>
            </w:pPr>
            <w:r>
              <w:rPr>
                <w:color w:val="000000"/>
                <w:kern w:val="0"/>
                <w:szCs w:val="21"/>
              </w:rPr>
              <w:t>城市规划</w:t>
            </w: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用地规划</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0.0611</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0.8303</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0.4152</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-0.4509</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-0.9018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31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121" w:type="dxa"/>
            <w:tcBorders>
              <w:top w:val="nil"/>
              <w:left w:val="nil"/>
              <w:bottom w:val="single" w:color="auto" w:sz="4" w:space="0"/>
              <w:right w:val="single" w:color="auto" w:sz="4" w:space="0"/>
            </w:tcBorders>
            <w:vAlign w:val="center"/>
          </w:tcPr>
          <w:p>
            <w:pPr>
              <w:widowControl/>
              <w:jc w:val="center"/>
              <w:rPr>
                <w:color w:val="000000"/>
                <w:kern w:val="0"/>
                <w:szCs w:val="21"/>
              </w:rPr>
            </w:pPr>
            <w:r>
              <w:rPr>
                <w:color w:val="000000"/>
                <w:kern w:val="0"/>
                <w:szCs w:val="21"/>
              </w:rPr>
              <w:t>道路规划</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0.0429</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0.5830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0.2915</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rFonts w:eastAsia="Tahoma"/>
                <w:color w:val="000000"/>
                <w:kern w:val="0"/>
                <w:sz w:val="20"/>
                <w:lang/>
              </w:rPr>
              <w:t>0</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-0.3166</w:t>
            </w:r>
          </w:p>
        </w:tc>
        <w:tc>
          <w:tcPr>
            <w:tcW w:w="937" w:type="dxa"/>
            <w:tcBorders>
              <w:top w:val="nil"/>
              <w:left w:val="nil"/>
              <w:bottom w:val="single" w:color="auto" w:sz="4" w:space="0"/>
              <w:right w:val="single" w:color="auto" w:sz="4" w:space="0"/>
            </w:tcBorders>
            <w:vAlign w:val="center"/>
          </w:tcPr>
          <w:p>
            <w:pPr>
              <w:widowControl/>
              <w:jc w:val="center"/>
              <w:textAlignment w:val="bottom"/>
              <w:rPr>
                <w:kern w:val="0"/>
                <w:sz w:val="20"/>
              </w:rPr>
            </w:pPr>
            <w:r>
              <w:rPr>
                <w:color w:val="000000"/>
                <w:kern w:val="0"/>
                <w:sz w:val="20"/>
                <w:lang/>
              </w:rPr>
              <w:t>-0.6332</w:t>
            </w:r>
          </w:p>
        </w:tc>
      </w:tr>
    </w:tbl>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表4-5-10 长沙县Ⅴ级工矿仓储用地宗地地价区域因素修正系数指标说明表</w:t>
      </w:r>
    </w:p>
    <w:tbl>
      <w:tblPr>
        <w:tblW w:w="9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855"/>
        <w:gridCol w:w="1633"/>
        <w:gridCol w:w="890"/>
        <w:gridCol w:w="1161"/>
        <w:gridCol w:w="1371"/>
        <w:gridCol w:w="1371"/>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857" w:type="dxa"/>
            <w:vAlign w:val="center"/>
          </w:tcPr>
          <w:p>
            <w:pPr>
              <w:widowControl/>
              <w:jc w:val="center"/>
              <w:rPr>
                <w:b/>
                <w:bCs/>
                <w:color w:val="000000"/>
                <w:kern w:val="0"/>
                <w:szCs w:val="21"/>
              </w:rPr>
            </w:pPr>
            <w:r>
              <w:rPr>
                <w:b/>
                <w:bCs/>
                <w:color w:val="000000"/>
                <w:kern w:val="0"/>
                <w:szCs w:val="21"/>
              </w:rPr>
              <w:t>因素层</w:t>
            </w:r>
          </w:p>
        </w:tc>
        <w:tc>
          <w:tcPr>
            <w:tcW w:w="855" w:type="dxa"/>
            <w:vAlign w:val="center"/>
          </w:tcPr>
          <w:p>
            <w:pPr>
              <w:widowControl/>
              <w:jc w:val="center"/>
              <w:rPr>
                <w:b/>
                <w:bCs/>
                <w:color w:val="000000"/>
                <w:kern w:val="0"/>
                <w:szCs w:val="21"/>
              </w:rPr>
            </w:pPr>
            <w:r>
              <w:rPr>
                <w:b/>
                <w:bCs/>
                <w:color w:val="000000"/>
                <w:kern w:val="0"/>
                <w:szCs w:val="21"/>
              </w:rPr>
              <w:t>因子层</w:t>
            </w:r>
          </w:p>
        </w:tc>
        <w:tc>
          <w:tcPr>
            <w:tcW w:w="1633" w:type="dxa"/>
            <w:vAlign w:val="center"/>
          </w:tcPr>
          <w:p>
            <w:pPr>
              <w:widowControl/>
              <w:jc w:val="center"/>
              <w:rPr>
                <w:b/>
                <w:bCs/>
                <w:color w:val="000000"/>
                <w:kern w:val="0"/>
                <w:szCs w:val="21"/>
              </w:rPr>
            </w:pPr>
            <w:r>
              <w:rPr>
                <w:b/>
                <w:bCs/>
                <w:color w:val="000000"/>
                <w:kern w:val="0"/>
                <w:szCs w:val="21"/>
              </w:rPr>
              <w:t>指标层</w:t>
            </w:r>
          </w:p>
        </w:tc>
        <w:tc>
          <w:tcPr>
            <w:tcW w:w="890" w:type="dxa"/>
            <w:vAlign w:val="center"/>
          </w:tcPr>
          <w:p>
            <w:pPr>
              <w:widowControl/>
              <w:jc w:val="center"/>
              <w:rPr>
                <w:b/>
                <w:bCs/>
                <w:color w:val="000000"/>
                <w:kern w:val="0"/>
                <w:szCs w:val="21"/>
              </w:rPr>
            </w:pPr>
            <w:r>
              <w:rPr>
                <w:b/>
                <w:bCs/>
                <w:color w:val="000000"/>
                <w:kern w:val="0"/>
                <w:szCs w:val="21"/>
              </w:rPr>
              <w:t>优</w:t>
            </w:r>
          </w:p>
        </w:tc>
        <w:tc>
          <w:tcPr>
            <w:tcW w:w="1161" w:type="dxa"/>
            <w:vAlign w:val="center"/>
          </w:tcPr>
          <w:p>
            <w:pPr>
              <w:widowControl/>
              <w:jc w:val="center"/>
              <w:rPr>
                <w:b/>
                <w:bCs/>
                <w:color w:val="000000"/>
                <w:kern w:val="0"/>
                <w:szCs w:val="21"/>
              </w:rPr>
            </w:pPr>
            <w:r>
              <w:rPr>
                <w:b/>
                <w:bCs/>
                <w:color w:val="000000"/>
                <w:kern w:val="0"/>
                <w:szCs w:val="21"/>
              </w:rPr>
              <w:t>较优</w:t>
            </w:r>
          </w:p>
        </w:tc>
        <w:tc>
          <w:tcPr>
            <w:tcW w:w="1371" w:type="dxa"/>
            <w:vAlign w:val="center"/>
          </w:tcPr>
          <w:p>
            <w:pPr>
              <w:widowControl/>
              <w:jc w:val="center"/>
              <w:rPr>
                <w:b/>
                <w:bCs/>
                <w:color w:val="000000"/>
                <w:kern w:val="0"/>
                <w:szCs w:val="21"/>
              </w:rPr>
            </w:pPr>
            <w:r>
              <w:rPr>
                <w:b/>
                <w:bCs/>
                <w:color w:val="000000"/>
                <w:kern w:val="0"/>
                <w:szCs w:val="21"/>
              </w:rPr>
              <w:t>一般</w:t>
            </w:r>
          </w:p>
        </w:tc>
        <w:tc>
          <w:tcPr>
            <w:tcW w:w="1371" w:type="dxa"/>
            <w:vAlign w:val="center"/>
          </w:tcPr>
          <w:p>
            <w:pPr>
              <w:widowControl/>
              <w:jc w:val="center"/>
              <w:rPr>
                <w:b/>
                <w:bCs/>
                <w:color w:val="000000"/>
                <w:kern w:val="0"/>
                <w:szCs w:val="21"/>
              </w:rPr>
            </w:pPr>
            <w:r>
              <w:rPr>
                <w:b/>
                <w:bCs/>
                <w:color w:val="000000"/>
                <w:kern w:val="0"/>
                <w:szCs w:val="21"/>
              </w:rPr>
              <w:t>较劣</w:t>
            </w:r>
          </w:p>
        </w:tc>
        <w:tc>
          <w:tcPr>
            <w:tcW w:w="923" w:type="dxa"/>
            <w:vAlign w:val="center"/>
          </w:tcPr>
          <w:p>
            <w:pPr>
              <w:widowControl/>
              <w:jc w:val="center"/>
              <w:rPr>
                <w:b/>
                <w:bCs/>
                <w:color w:val="000000"/>
                <w:kern w:val="0"/>
                <w:szCs w:val="21"/>
              </w:rPr>
            </w:pPr>
            <w:r>
              <w:rPr>
                <w:b/>
                <w:bCs/>
                <w:color w:val="000000"/>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57" w:type="dxa"/>
            <w:vMerge w:val="restart"/>
            <w:vAlign w:val="center"/>
          </w:tcPr>
          <w:p>
            <w:pPr>
              <w:widowControl/>
              <w:jc w:val="center"/>
              <w:rPr>
                <w:color w:val="000000"/>
                <w:kern w:val="0"/>
                <w:szCs w:val="21"/>
              </w:rPr>
            </w:pPr>
            <w:r>
              <w:rPr>
                <w:color w:val="000000"/>
                <w:kern w:val="0"/>
                <w:szCs w:val="21"/>
              </w:rPr>
              <w:t>交通条件</w:t>
            </w:r>
          </w:p>
        </w:tc>
        <w:tc>
          <w:tcPr>
            <w:tcW w:w="855" w:type="dxa"/>
            <w:vAlign w:val="center"/>
          </w:tcPr>
          <w:p>
            <w:pPr>
              <w:widowControl/>
              <w:jc w:val="center"/>
              <w:rPr>
                <w:color w:val="000000"/>
                <w:kern w:val="0"/>
                <w:szCs w:val="21"/>
              </w:rPr>
            </w:pPr>
            <w:r>
              <w:rPr>
                <w:color w:val="000000"/>
                <w:kern w:val="0"/>
                <w:szCs w:val="21"/>
              </w:rPr>
              <w:t>道路通达度</w:t>
            </w:r>
          </w:p>
        </w:tc>
        <w:tc>
          <w:tcPr>
            <w:tcW w:w="1633" w:type="dxa"/>
            <w:vAlign w:val="center"/>
          </w:tcPr>
          <w:p>
            <w:pPr>
              <w:widowControl/>
              <w:jc w:val="center"/>
              <w:rPr>
                <w:color w:val="000000"/>
                <w:kern w:val="0"/>
                <w:szCs w:val="21"/>
              </w:rPr>
            </w:pPr>
            <w:r>
              <w:rPr>
                <w:color w:val="000000"/>
                <w:kern w:val="0"/>
                <w:szCs w:val="21"/>
              </w:rPr>
              <w:t>临近道路状况</w:t>
            </w:r>
          </w:p>
        </w:tc>
        <w:tc>
          <w:tcPr>
            <w:tcW w:w="890" w:type="dxa"/>
            <w:vAlign w:val="center"/>
          </w:tcPr>
          <w:p>
            <w:pPr>
              <w:widowControl/>
              <w:jc w:val="center"/>
              <w:rPr>
                <w:kern w:val="0"/>
                <w:szCs w:val="21"/>
              </w:rPr>
            </w:pPr>
            <w:r>
              <w:rPr>
                <w:kern w:val="0"/>
                <w:szCs w:val="21"/>
              </w:rPr>
              <w:t>临繁华主干道</w:t>
            </w:r>
          </w:p>
        </w:tc>
        <w:tc>
          <w:tcPr>
            <w:tcW w:w="1161" w:type="dxa"/>
            <w:vAlign w:val="center"/>
          </w:tcPr>
          <w:p>
            <w:pPr>
              <w:widowControl/>
              <w:jc w:val="center"/>
              <w:rPr>
                <w:kern w:val="0"/>
                <w:szCs w:val="21"/>
              </w:rPr>
            </w:pPr>
            <w:r>
              <w:rPr>
                <w:kern w:val="0"/>
                <w:szCs w:val="21"/>
              </w:rPr>
              <w:t>临主干道</w:t>
            </w:r>
          </w:p>
        </w:tc>
        <w:tc>
          <w:tcPr>
            <w:tcW w:w="1371" w:type="dxa"/>
            <w:vAlign w:val="center"/>
          </w:tcPr>
          <w:p>
            <w:pPr>
              <w:widowControl/>
              <w:jc w:val="center"/>
              <w:rPr>
                <w:kern w:val="0"/>
                <w:szCs w:val="21"/>
              </w:rPr>
            </w:pPr>
            <w:r>
              <w:rPr>
                <w:kern w:val="0"/>
                <w:szCs w:val="21"/>
              </w:rPr>
              <w:t>临繁华次干道</w:t>
            </w:r>
          </w:p>
        </w:tc>
        <w:tc>
          <w:tcPr>
            <w:tcW w:w="1371" w:type="dxa"/>
            <w:vAlign w:val="center"/>
          </w:tcPr>
          <w:p>
            <w:pPr>
              <w:widowControl/>
              <w:jc w:val="center"/>
              <w:rPr>
                <w:kern w:val="0"/>
                <w:szCs w:val="21"/>
              </w:rPr>
            </w:pPr>
            <w:r>
              <w:rPr>
                <w:kern w:val="0"/>
                <w:szCs w:val="21"/>
              </w:rPr>
              <w:t>临次干道</w:t>
            </w:r>
          </w:p>
        </w:tc>
        <w:tc>
          <w:tcPr>
            <w:tcW w:w="923" w:type="dxa"/>
            <w:vAlign w:val="center"/>
          </w:tcPr>
          <w:p>
            <w:pPr>
              <w:widowControl/>
              <w:jc w:val="center"/>
              <w:rPr>
                <w:kern w:val="0"/>
                <w:szCs w:val="21"/>
              </w:rPr>
            </w:pPr>
            <w:r>
              <w:rPr>
                <w:kern w:val="0"/>
                <w:szCs w:val="21"/>
              </w:rPr>
              <w:t>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857" w:type="dxa"/>
            <w:vMerge w:val="continue"/>
            <w:vAlign w:val="center"/>
          </w:tcPr>
          <w:p>
            <w:pPr>
              <w:widowControl/>
              <w:jc w:val="left"/>
              <w:rPr>
                <w:color w:val="000000"/>
                <w:kern w:val="0"/>
                <w:szCs w:val="21"/>
              </w:rPr>
            </w:pPr>
          </w:p>
        </w:tc>
        <w:tc>
          <w:tcPr>
            <w:tcW w:w="855" w:type="dxa"/>
            <w:vMerge w:val="restart"/>
            <w:vAlign w:val="center"/>
          </w:tcPr>
          <w:p>
            <w:pPr>
              <w:widowControl/>
              <w:jc w:val="center"/>
              <w:rPr>
                <w:color w:val="000000"/>
                <w:kern w:val="0"/>
                <w:szCs w:val="21"/>
              </w:rPr>
            </w:pPr>
            <w:r>
              <w:rPr>
                <w:color w:val="000000"/>
                <w:kern w:val="0"/>
                <w:szCs w:val="21"/>
              </w:rPr>
              <w:t>对外交通便利度</w:t>
            </w:r>
          </w:p>
        </w:tc>
        <w:tc>
          <w:tcPr>
            <w:tcW w:w="1633" w:type="dxa"/>
            <w:vAlign w:val="center"/>
          </w:tcPr>
          <w:p>
            <w:pPr>
              <w:widowControl/>
              <w:jc w:val="center"/>
              <w:rPr>
                <w:color w:val="000000"/>
                <w:kern w:val="0"/>
                <w:szCs w:val="21"/>
              </w:rPr>
            </w:pPr>
            <w:r>
              <w:rPr>
                <w:color w:val="000000"/>
                <w:kern w:val="0"/>
                <w:szCs w:val="21"/>
              </w:rPr>
              <w:t>距最近长途汽车站距离</w:t>
            </w:r>
            <w:r>
              <w:rPr>
                <w:rFonts w:hint="eastAsia"/>
                <w:color w:val="000000"/>
                <w:kern w:val="0"/>
                <w:szCs w:val="21"/>
              </w:rPr>
              <w:t>(m)</w:t>
            </w:r>
          </w:p>
        </w:tc>
        <w:tc>
          <w:tcPr>
            <w:tcW w:w="890" w:type="dxa"/>
            <w:vAlign w:val="center"/>
          </w:tcPr>
          <w:p>
            <w:pPr>
              <w:widowControl/>
              <w:jc w:val="center"/>
              <w:rPr>
                <w:color w:val="000000"/>
                <w:kern w:val="0"/>
                <w:szCs w:val="21"/>
              </w:rPr>
            </w:pPr>
            <w:r>
              <w:rPr>
                <w:color w:val="000000"/>
                <w:kern w:val="0"/>
                <w:szCs w:val="21"/>
              </w:rPr>
              <w:t>&lt;700</w:t>
            </w:r>
          </w:p>
        </w:tc>
        <w:tc>
          <w:tcPr>
            <w:tcW w:w="1161" w:type="dxa"/>
            <w:vAlign w:val="center"/>
          </w:tcPr>
          <w:p>
            <w:pPr>
              <w:widowControl/>
              <w:jc w:val="center"/>
              <w:rPr>
                <w:color w:val="000000"/>
                <w:kern w:val="0"/>
                <w:szCs w:val="21"/>
              </w:rPr>
            </w:pPr>
            <w:r>
              <w:rPr>
                <w:color w:val="000000"/>
                <w:kern w:val="0"/>
                <w:szCs w:val="21"/>
              </w:rPr>
              <w:t>700-4800</w:t>
            </w:r>
          </w:p>
        </w:tc>
        <w:tc>
          <w:tcPr>
            <w:tcW w:w="1371" w:type="dxa"/>
            <w:vAlign w:val="center"/>
          </w:tcPr>
          <w:p>
            <w:pPr>
              <w:widowControl/>
              <w:jc w:val="center"/>
              <w:rPr>
                <w:color w:val="000000"/>
                <w:kern w:val="0"/>
                <w:szCs w:val="21"/>
              </w:rPr>
            </w:pPr>
            <w:r>
              <w:rPr>
                <w:color w:val="000000"/>
                <w:kern w:val="0"/>
                <w:szCs w:val="21"/>
              </w:rPr>
              <w:t>4800-8900</w:t>
            </w:r>
          </w:p>
        </w:tc>
        <w:tc>
          <w:tcPr>
            <w:tcW w:w="1371" w:type="dxa"/>
            <w:vAlign w:val="center"/>
          </w:tcPr>
          <w:p>
            <w:pPr>
              <w:widowControl/>
              <w:jc w:val="center"/>
              <w:rPr>
                <w:color w:val="000000"/>
                <w:kern w:val="0"/>
                <w:szCs w:val="21"/>
              </w:rPr>
            </w:pPr>
            <w:r>
              <w:rPr>
                <w:color w:val="000000"/>
                <w:kern w:val="0"/>
                <w:szCs w:val="21"/>
              </w:rPr>
              <w:t>8900-13000</w:t>
            </w:r>
          </w:p>
        </w:tc>
        <w:tc>
          <w:tcPr>
            <w:tcW w:w="923" w:type="dxa"/>
            <w:vAlign w:val="center"/>
          </w:tcPr>
          <w:p>
            <w:pPr>
              <w:widowControl/>
              <w:jc w:val="center"/>
              <w:rPr>
                <w:color w:val="000000"/>
                <w:kern w:val="0"/>
                <w:szCs w:val="21"/>
              </w:rPr>
            </w:pPr>
            <w:r>
              <w:rPr>
                <w:color w:val="000000"/>
                <w:kern w:val="0"/>
                <w:szCs w:val="21"/>
              </w:rPr>
              <w:t>&lt;13000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57" w:type="dxa"/>
            <w:vMerge w:val="continue"/>
            <w:vAlign w:val="center"/>
          </w:tcPr>
          <w:p>
            <w:pPr>
              <w:widowControl/>
              <w:jc w:val="left"/>
              <w:rPr>
                <w:color w:val="000000"/>
                <w:kern w:val="0"/>
                <w:szCs w:val="21"/>
              </w:rPr>
            </w:pPr>
          </w:p>
        </w:tc>
        <w:tc>
          <w:tcPr>
            <w:tcW w:w="855" w:type="dxa"/>
            <w:vMerge w:val="continue"/>
            <w:vAlign w:val="center"/>
          </w:tcPr>
          <w:p>
            <w:pPr>
              <w:widowControl/>
              <w:jc w:val="left"/>
              <w:rPr>
                <w:color w:val="000000"/>
                <w:kern w:val="0"/>
                <w:szCs w:val="21"/>
              </w:rPr>
            </w:pPr>
          </w:p>
        </w:tc>
        <w:tc>
          <w:tcPr>
            <w:tcW w:w="1633" w:type="dxa"/>
            <w:vAlign w:val="center"/>
          </w:tcPr>
          <w:p>
            <w:pPr>
              <w:widowControl/>
              <w:shd w:val="clear" w:color="auto" w:fill="FFFFFF"/>
              <w:jc w:val="center"/>
              <w:rPr>
                <w:color w:val="000000"/>
                <w:kern w:val="0"/>
                <w:szCs w:val="21"/>
              </w:rPr>
            </w:pPr>
            <w:r>
              <w:rPr>
                <w:rFonts w:hint="eastAsia" w:cs="宋体"/>
                <w:color w:val="000000"/>
                <w:kern w:val="0"/>
                <w:szCs w:val="21"/>
              </w:rPr>
              <w:t>临高速出入口距离（</w:t>
            </w:r>
            <w:r>
              <w:rPr>
                <w:color w:val="000000"/>
                <w:kern w:val="0"/>
                <w:szCs w:val="21"/>
              </w:rPr>
              <w:t>m</w:t>
            </w:r>
            <w:r>
              <w:rPr>
                <w:rFonts w:hint="eastAsia" w:cs="宋体"/>
                <w:color w:val="000000"/>
                <w:kern w:val="0"/>
                <w:szCs w:val="21"/>
              </w:rPr>
              <w:t>）</w:t>
            </w:r>
          </w:p>
        </w:tc>
        <w:tc>
          <w:tcPr>
            <w:tcW w:w="890" w:type="dxa"/>
            <w:vAlign w:val="center"/>
          </w:tcPr>
          <w:p>
            <w:pPr>
              <w:shd w:val="clear" w:color="auto" w:fill="FFFFFF"/>
              <w:ind w:left="-105" w:leftChars="-50" w:right="-105" w:rightChars="-50"/>
              <w:jc w:val="center"/>
              <w:rPr>
                <w:color w:val="000000"/>
                <w:kern w:val="0"/>
                <w:szCs w:val="21"/>
              </w:rPr>
            </w:pPr>
            <w:r>
              <w:rPr>
                <w:szCs w:val="21"/>
              </w:rPr>
              <w:t>≤</w:t>
            </w:r>
            <w:r>
              <w:rPr>
                <w:rFonts w:hint="eastAsia"/>
                <w:szCs w:val="21"/>
              </w:rPr>
              <w:t>20</w:t>
            </w:r>
            <w:r>
              <w:rPr>
                <w:szCs w:val="21"/>
              </w:rPr>
              <w:t>00</w:t>
            </w:r>
          </w:p>
        </w:tc>
        <w:tc>
          <w:tcPr>
            <w:tcW w:w="1161" w:type="dxa"/>
            <w:vAlign w:val="center"/>
          </w:tcPr>
          <w:p>
            <w:pPr>
              <w:shd w:val="clear" w:color="auto" w:fill="FFFFFF"/>
              <w:ind w:left="-105" w:leftChars="-50" w:right="-105" w:rightChars="-50"/>
              <w:jc w:val="center"/>
              <w:rPr>
                <w:color w:val="000000"/>
                <w:kern w:val="0"/>
                <w:szCs w:val="21"/>
              </w:rPr>
            </w:pPr>
            <w:r>
              <w:rPr>
                <w:rFonts w:hint="eastAsia"/>
                <w:szCs w:val="21"/>
              </w:rPr>
              <w:t>20</w:t>
            </w:r>
            <w:r>
              <w:rPr>
                <w:szCs w:val="21"/>
              </w:rPr>
              <w:t>00</w:t>
            </w:r>
            <w:r>
              <w:rPr>
                <w:rFonts w:hint="eastAsia"/>
                <w:szCs w:val="21"/>
              </w:rPr>
              <w:t>-3</w:t>
            </w:r>
            <w:r>
              <w:rPr>
                <w:szCs w:val="21"/>
              </w:rPr>
              <w:t>000</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3</w:t>
            </w:r>
            <w:r>
              <w:rPr>
                <w:szCs w:val="21"/>
              </w:rPr>
              <w:t>000</w:t>
            </w:r>
            <w:r>
              <w:rPr>
                <w:rFonts w:hint="eastAsia"/>
                <w:szCs w:val="21"/>
              </w:rPr>
              <w:t>-40</w:t>
            </w:r>
            <w:r>
              <w:rPr>
                <w:szCs w:val="21"/>
              </w:rPr>
              <w:t>00</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40</w:t>
            </w:r>
            <w:r>
              <w:rPr>
                <w:szCs w:val="21"/>
              </w:rPr>
              <w:t>00</w:t>
            </w:r>
            <w:r>
              <w:rPr>
                <w:rFonts w:hint="eastAsia"/>
                <w:szCs w:val="21"/>
              </w:rPr>
              <w:t>-50</w:t>
            </w:r>
            <w:r>
              <w:rPr>
                <w:szCs w:val="21"/>
              </w:rPr>
              <w:t>00</w:t>
            </w:r>
          </w:p>
        </w:tc>
        <w:tc>
          <w:tcPr>
            <w:tcW w:w="923" w:type="dxa"/>
            <w:vAlign w:val="center"/>
          </w:tcPr>
          <w:p>
            <w:pPr>
              <w:shd w:val="clear" w:color="auto" w:fill="FFFFFF"/>
              <w:ind w:left="-105" w:leftChars="-50" w:right="-105" w:rightChars="-50"/>
              <w:jc w:val="center"/>
              <w:rPr>
                <w:color w:val="000000"/>
                <w:kern w:val="0"/>
                <w:szCs w:val="21"/>
              </w:rPr>
            </w:pPr>
            <w:r>
              <w:rPr>
                <w:szCs w:val="21"/>
              </w:rPr>
              <w:t>&gt;</w:t>
            </w:r>
            <w:r>
              <w:rPr>
                <w:rFonts w:hint="eastAsia"/>
                <w:szCs w:val="21"/>
              </w:rPr>
              <w:t>50</w:t>
            </w:r>
            <w:r>
              <w:rPr>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857" w:type="dxa"/>
            <w:vMerge w:val="continue"/>
            <w:vAlign w:val="center"/>
          </w:tcPr>
          <w:p>
            <w:pPr>
              <w:widowControl/>
              <w:jc w:val="left"/>
              <w:rPr>
                <w:color w:val="000000"/>
                <w:kern w:val="0"/>
                <w:szCs w:val="21"/>
              </w:rPr>
            </w:pPr>
          </w:p>
        </w:tc>
        <w:tc>
          <w:tcPr>
            <w:tcW w:w="855" w:type="dxa"/>
            <w:vMerge w:val="continue"/>
            <w:vAlign w:val="center"/>
          </w:tcPr>
          <w:p>
            <w:pPr>
              <w:widowControl/>
              <w:jc w:val="left"/>
              <w:rPr>
                <w:color w:val="000000"/>
                <w:kern w:val="0"/>
                <w:szCs w:val="21"/>
              </w:rPr>
            </w:pPr>
          </w:p>
        </w:tc>
        <w:tc>
          <w:tcPr>
            <w:tcW w:w="1633" w:type="dxa"/>
            <w:vAlign w:val="center"/>
          </w:tcPr>
          <w:p>
            <w:pPr>
              <w:widowControl/>
              <w:shd w:val="clear" w:color="auto" w:fill="FFFFFF"/>
              <w:jc w:val="center"/>
              <w:rPr>
                <w:color w:val="000000"/>
                <w:kern w:val="0"/>
                <w:szCs w:val="21"/>
              </w:rPr>
            </w:pPr>
            <w:r>
              <w:rPr>
                <w:rFonts w:hint="eastAsia" w:cs="宋体"/>
                <w:color w:val="000000"/>
                <w:kern w:val="0"/>
                <w:szCs w:val="21"/>
              </w:rPr>
              <w:t>临机场距离（k</w:t>
            </w:r>
            <w:r>
              <w:rPr>
                <w:color w:val="000000"/>
                <w:kern w:val="0"/>
                <w:szCs w:val="21"/>
              </w:rPr>
              <w:t>m</w:t>
            </w:r>
            <w:r>
              <w:rPr>
                <w:rFonts w:hint="eastAsia" w:cs="宋体"/>
                <w:color w:val="000000"/>
                <w:kern w:val="0"/>
                <w:szCs w:val="21"/>
              </w:rPr>
              <w:t>）</w:t>
            </w:r>
          </w:p>
        </w:tc>
        <w:tc>
          <w:tcPr>
            <w:tcW w:w="890" w:type="dxa"/>
            <w:vAlign w:val="center"/>
          </w:tcPr>
          <w:p>
            <w:pPr>
              <w:shd w:val="clear" w:color="auto" w:fill="FFFFFF"/>
              <w:ind w:left="-105" w:leftChars="-50" w:right="-105" w:rightChars="-50"/>
              <w:jc w:val="center"/>
              <w:rPr>
                <w:color w:val="000000"/>
                <w:kern w:val="0"/>
                <w:szCs w:val="21"/>
              </w:rPr>
            </w:pPr>
            <w:r>
              <w:rPr>
                <w:szCs w:val="21"/>
              </w:rPr>
              <w:t>≤</w:t>
            </w:r>
            <w:r>
              <w:rPr>
                <w:rFonts w:hint="eastAsia"/>
                <w:szCs w:val="21"/>
              </w:rPr>
              <w:t>8</w:t>
            </w:r>
          </w:p>
        </w:tc>
        <w:tc>
          <w:tcPr>
            <w:tcW w:w="1161" w:type="dxa"/>
            <w:vAlign w:val="center"/>
          </w:tcPr>
          <w:p>
            <w:pPr>
              <w:shd w:val="clear" w:color="auto" w:fill="FFFFFF"/>
              <w:ind w:left="-105" w:leftChars="-50" w:right="-105" w:rightChars="-50"/>
              <w:jc w:val="center"/>
              <w:rPr>
                <w:color w:val="000000"/>
                <w:kern w:val="0"/>
                <w:szCs w:val="21"/>
              </w:rPr>
            </w:pPr>
            <w:r>
              <w:rPr>
                <w:rFonts w:hint="eastAsia"/>
                <w:szCs w:val="21"/>
              </w:rPr>
              <w:t>8-</w:t>
            </w:r>
            <w:r>
              <w:rPr>
                <w:szCs w:val="21"/>
              </w:rPr>
              <w:t>1</w:t>
            </w:r>
            <w:r>
              <w:rPr>
                <w:rFonts w:hint="eastAsia"/>
                <w:szCs w:val="21"/>
              </w:rPr>
              <w:t>1</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11-14</w:t>
            </w:r>
          </w:p>
        </w:tc>
        <w:tc>
          <w:tcPr>
            <w:tcW w:w="1371" w:type="dxa"/>
            <w:vAlign w:val="center"/>
          </w:tcPr>
          <w:p>
            <w:pPr>
              <w:shd w:val="clear" w:color="auto" w:fill="FFFFFF"/>
              <w:ind w:left="-105" w:leftChars="-50" w:right="-105" w:rightChars="-50"/>
              <w:jc w:val="center"/>
              <w:rPr>
                <w:color w:val="000000"/>
                <w:kern w:val="0"/>
                <w:szCs w:val="21"/>
              </w:rPr>
            </w:pPr>
            <w:r>
              <w:rPr>
                <w:rFonts w:hint="eastAsia"/>
                <w:szCs w:val="21"/>
              </w:rPr>
              <w:t>14-17</w:t>
            </w:r>
          </w:p>
        </w:tc>
        <w:tc>
          <w:tcPr>
            <w:tcW w:w="923" w:type="dxa"/>
            <w:vAlign w:val="center"/>
          </w:tcPr>
          <w:p>
            <w:pPr>
              <w:shd w:val="clear" w:color="auto" w:fill="FFFFFF"/>
              <w:ind w:left="-105" w:leftChars="-50" w:right="-105" w:rightChars="-50"/>
              <w:jc w:val="center"/>
              <w:rPr>
                <w:color w:val="000000"/>
                <w:kern w:val="0"/>
                <w:szCs w:val="21"/>
              </w:rPr>
            </w:pPr>
            <w:r>
              <w:rPr>
                <w:szCs w:val="21"/>
              </w:rPr>
              <w:t>&gt;</w:t>
            </w:r>
            <w:r>
              <w:rPr>
                <w:rFonts w:hint="eastAsia"/>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857" w:type="dxa"/>
            <w:vMerge w:val="restart"/>
            <w:vAlign w:val="center"/>
          </w:tcPr>
          <w:p>
            <w:pPr>
              <w:widowControl/>
              <w:jc w:val="center"/>
              <w:rPr>
                <w:color w:val="000000"/>
                <w:kern w:val="0"/>
                <w:szCs w:val="21"/>
              </w:rPr>
            </w:pPr>
            <w:r>
              <w:rPr>
                <w:color w:val="000000"/>
                <w:kern w:val="0"/>
                <w:szCs w:val="21"/>
              </w:rPr>
              <w:t>基本设施状况</w:t>
            </w:r>
          </w:p>
        </w:tc>
        <w:tc>
          <w:tcPr>
            <w:tcW w:w="855" w:type="dxa"/>
            <w:vMerge w:val="restart"/>
            <w:vAlign w:val="center"/>
          </w:tcPr>
          <w:p>
            <w:pPr>
              <w:widowControl/>
              <w:jc w:val="center"/>
              <w:rPr>
                <w:color w:val="000000"/>
                <w:kern w:val="0"/>
                <w:szCs w:val="21"/>
              </w:rPr>
            </w:pPr>
            <w:r>
              <w:rPr>
                <w:color w:val="000000"/>
                <w:kern w:val="0"/>
                <w:szCs w:val="21"/>
              </w:rPr>
              <w:t>基础设施完善度</w:t>
            </w:r>
          </w:p>
        </w:tc>
        <w:tc>
          <w:tcPr>
            <w:tcW w:w="1633" w:type="dxa"/>
            <w:vAlign w:val="center"/>
          </w:tcPr>
          <w:p>
            <w:pPr>
              <w:widowControl/>
              <w:jc w:val="center"/>
              <w:rPr>
                <w:color w:val="000000"/>
                <w:kern w:val="0"/>
                <w:szCs w:val="21"/>
              </w:rPr>
            </w:pPr>
            <w:r>
              <w:rPr>
                <w:color w:val="000000"/>
                <w:kern w:val="0"/>
                <w:szCs w:val="21"/>
              </w:rPr>
              <w:t>排水状况</w:t>
            </w:r>
          </w:p>
        </w:tc>
        <w:tc>
          <w:tcPr>
            <w:tcW w:w="890" w:type="dxa"/>
            <w:vAlign w:val="center"/>
          </w:tcPr>
          <w:p>
            <w:pPr>
              <w:widowControl/>
              <w:jc w:val="center"/>
              <w:rPr>
                <w:color w:val="000000"/>
                <w:kern w:val="0"/>
                <w:szCs w:val="21"/>
              </w:rPr>
            </w:pPr>
            <w:r>
              <w:rPr>
                <w:color w:val="000000"/>
                <w:kern w:val="0"/>
                <w:szCs w:val="21"/>
              </w:rPr>
              <w:t>好</w:t>
            </w:r>
          </w:p>
        </w:tc>
        <w:tc>
          <w:tcPr>
            <w:tcW w:w="1161" w:type="dxa"/>
            <w:vAlign w:val="center"/>
          </w:tcPr>
          <w:p>
            <w:pPr>
              <w:widowControl/>
              <w:jc w:val="center"/>
              <w:rPr>
                <w:color w:val="000000"/>
                <w:kern w:val="0"/>
                <w:szCs w:val="21"/>
              </w:rPr>
            </w:pPr>
            <w:r>
              <w:rPr>
                <w:color w:val="000000"/>
                <w:kern w:val="0"/>
                <w:szCs w:val="21"/>
              </w:rPr>
              <w:t>较好</w:t>
            </w:r>
          </w:p>
        </w:tc>
        <w:tc>
          <w:tcPr>
            <w:tcW w:w="1371" w:type="dxa"/>
            <w:vAlign w:val="center"/>
          </w:tcPr>
          <w:p>
            <w:pPr>
              <w:widowControl/>
              <w:jc w:val="center"/>
              <w:rPr>
                <w:color w:val="000000"/>
                <w:kern w:val="0"/>
                <w:szCs w:val="21"/>
              </w:rPr>
            </w:pPr>
            <w:r>
              <w:rPr>
                <w:color w:val="000000"/>
                <w:kern w:val="0"/>
                <w:szCs w:val="21"/>
              </w:rPr>
              <w:t>一般</w:t>
            </w:r>
          </w:p>
        </w:tc>
        <w:tc>
          <w:tcPr>
            <w:tcW w:w="1371" w:type="dxa"/>
            <w:vAlign w:val="center"/>
          </w:tcPr>
          <w:p>
            <w:pPr>
              <w:widowControl/>
              <w:jc w:val="center"/>
              <w:rPr>
                <w:color w:val="000000"/>
                <w:kern w:val="0"/>
                <w:szCs w:val="21"/>
              </w:rPr>
            </w:pPr>
            <w:r>
              <w:rPr>
                <w:color w:val="000000"/>
                <w:kern w:val="0"/>
                <w:szCs w:val="21"/>
              </w:rPr>
              <w:t>较差</w:t>
            </w:r>
          </w:p>
        </w:tc>
        <w:tc>
          <w:tcPr>
            <w:tcW w:w="923" w:type="dxa"/>
            <w:vAlign w:val="center"/>
          </w:tcPr>
          <w:p>
            <w:pPr>
              <w:widowControl/>
              <w:jc w:val="center"/>
              <w:rPr>
                <w:color w:val="000000"/>
                <w:kern w:val="0"/>
                <w:szCs w:val="21"/>
              </w:rPr>
            </w:pPr>
            <w:r>
              <w:rPr>
                <w:color w:val="000000"/>
                <w:kern w:val="0"/>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57" w:type="dxa"/>
            <w:vMerge w:val="continue"/>
            <w:vAlign w:val="center"/>
          </w:tcPr>
          <w:p>
            <w:pPr>
              <w:widowControl/>
              <w:jc w:val="left"/>
              <w:rPr>
                <w:color w:val="000000"/>
                <w:kern w:val="0"/>
                <w:szCs w:val="21"/>
              </w:rPr>
            </w:pPr>
          </w:p>
        </w:tc>
        <w:tc>
          <w:tcPr>
            <w:tcW w:w="855" w:type="dxa"/>
            <w:vMerge w:val="continue"/>
            <w:vAlign w:val="center"/>
          </w:tcPr>
          <w:p>
            <w:pPr>
              <w:widowControl/>
              <w:jc w:val="left"/>
              <w:rPr>
                <w:color w:val="000000"/>
                <w:kern w:val="0"/>
                <w:szCs w:val="21"/>
              </w:rPr>
            </w:pPr>
          </w:p>
        </w:tc>
        <w:tc>
          <w:tcPr>
            <w:tcW w:w="1633" w:type="dxa"/>
            <w:vAlign w:val="center"/>
          </w:tcPr>
          <w:p>
            <w:pPr>
              <w:widowControl/>
              <w:jc w:val="center"/>
              <w:rPr>
                <w:color w:val="000000"/>
                <w:kern w:val="0"/>
                <w:szCs w:val="21"/>
              </w:rPr>
            </w:pPr>
            <w:r>
              <w:rPr>
                <w:color w:val="000000"/>
                <w:kern w:val="0"/>
                <w:szCs w:val="21"/>
              </w:rPr>
              <w:t>供水状况</w:t>
            </w:r>
          </w:p>
        </w:tc>
        <w:tc>
          <w:tcPr>
            <w:tcW w:w="890" w:type="dxa"/>
            <w:vAlign w:val="center"/>
          </w:tcPr>
          <w:p>
            <w:pPr>
              <w:widowControl/>
              <w:jc w:val="center"/>
              <w:rPr>
                <w:color w:val="000000"/>
                <w:kern w:val="0"/>
                <w:szCs w:val="21"/>
              </w:rPr>
            </w:pPr>
            <w:r>
              <w:rPr>
                <w:color w:val="000000"/>
                <w:kern w:val="0"/>
                <w:szCs w:val="21"/>
              </w:rPr>
              <w:t>1</w:t>
            </w:r>
          </w:p>
        </w:tc>
        <w:tc>
          <w:tcPr>
            <w:tcW w:w="1161" w:type="dxa"/>
            <w:vAlign w:val="center"/>
          </w:tcPr>
          <w:p>
            <w:pPr>
              <w:widowControl/>
              <w:jc w:val="center"/>
              <w:rPr>
                <w:color w:val="000000"/>
                <w:kern w:val="0"/>
                <w:szCs w:val="21"/>
              </w:rPr>
            </w:pPr>
            <w:r>
              <w:rPr>
                <w:color w:val="000000"/>
                <w:kern w:val="0"/>
                <w:szCs w:val="21"/>
              </w:rPr>
              <w:t>90-99%</w:t>
            </w:r>
          </w:p>
        </w:tc>
        <w:tc>
          <w:tcPr>
            <w:tcW w:w="1371" w:type="dxa"/>
            <w:vAlign w:val="center"/>
          </w:tcPr>
          <w:p>
            <w:pPr>
              <w:widowControl/>
              <w:jc w:val="center"/>
              <w:rPr>
                <w:color w:val="000000"/>
                <w:kern w:val="0"/>
                <w:szCs w:val="21"/>
              </w:rPr>
            </w:pPr>
            <w:r>
              <w:rPr>
                <w:color w:val="000000"/>
                <w:kern w:val="0"/>
                <w:szCs w:val="21"/>
              </w:rPr>
              <w:t>80-89%</w:t>
            </w:r>
          </w:p>
        </w:tc>
        <w:tc>
          <w:tcPr>
            <w:tcW w:w="1371" w:type="dxa"/>
            <w:vAlign w:val="center"/>
          </w:tcPr>
          <w:p>
            <w:pPr>
              <w:widowControl/>
              <w:jc w:val="center"/>
              <w:rPr>
                <w:color w:val="000000"/>
                <w:kern w:val="0"/>
                <w:szCs w:val="21"/>
              </w:rPr>
            </w:pPr>
            <w:r>
              <w:rPr>
                <w:color w:val="000000"/>
                <w:kern w:val="0"/>
                <w:szCs w:val="21"/>
              </w:rPr>
              <w:t>60-79%</w:t>
            </w:r>
          </w:p>
        </w:tc>
        <w:tc>
          <w:tcPr>
            <w:tcW w:w="923"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857" w:type="dxa"/>
            <w:vMerge w:val="continue"/>
            <w:vAlign w:val="center"/>
          </w:tcPr>
          <w:p>
            <w:pPr>
              <w:widowControl/>
              <w:jc w:val="left"/>
              <w:rPr>
                <w:color w:val="000000"/>
                <w:kern w:val="0"/>
                <w:szCs w:val="21"/>
              </w:rPr>
            </w:pPr>
          </w:p>
        </w:tc>
        <w:tc>
          <w:tcPr>
            <w:tcW w:w="855" w:type="dxa"/>
            <w:vMerge w:val="continue"/>
            <w:vAlign w:val="center"/>
          </w:tcPr>
          <w:p>
            <w:pPr>
              <w:widowControl/>
              <w:jc w:val="left"/>
              <w:rPr>
                <w:color w:val="000000"/>
                <w:kern w:val="0"/>
                <w:szCs w:val="21"/>
              </w:rPr>
            </w:pPr>
          </w:p>
        </w:tc>
        <w:tc>
          <w:tcPr>
            <w:tcW w:w="1633" w:type="dxa"/>
            <w:vAlign w:val="center"/>
          </w:tcPr>
          <w:p>
            <w:pPr>
              <w:widowControl/>
              <w:jc w:val="center"/>
              <w:rPr>
                <w:color w:val="000000"/>
                <w:kern w:val="0"/>
                <w:szCs w:val="21"/>
              </w:rPr>
            </w:pPr>
            <w:r>
              <w:rPr>
                <w:color w:val="000000"/>
                <w:kern w:val="0"/>
                <w:szCs w:val="21"/>
              </w:rPr>
              <w:t>供电状况</w:t>
            </w:r>
          </w:p>
        </w:tc>
        <w:tc>
          <w:tcPr>
            <w:tcW w:w="890" w:type="dxa"/>
            <w:vAlign w:val="center"/>
          </w:tcPr>
          <w:p>
            <w:pPr>
              <w:widowControl/>
              <w:jc w:val="center"/>
              <w:rPr>
                <w:color w:val="000000"/>
                <w:kern w:val="0"/>
                <w:szCs w:val="21"/>
              </w:rPr>
            </w:pPr>
            <w:r>
              <w:rPr>
                <w:color w:val="000000"/>
                <w:kern w:val="0"/>
                <w:szCs w:val="21"/>
              </w:rPr>
              <w:t>1</w:t>
            </w:r>
          </w:p>
        </w:tc>
        <w:tc>
          <w:tcPr>
            <w:tcW w:w="1161" w:type="dxa"/>
            <w:vAlign w:val="center"/>
          </w:tcPr>
          <w:p>
            <w:pPr>
              <w:widowControl/>
              <w:jc w:val="center"/>
              <w:rPr>
                <w:color w:val="000000"/>
                <w:kern w:val="0"/>
                <w:szCs w:val="21"/>
              </w:rPr>
            </w:pPr>
            <w:r>
              <w:rPr>
                <w:color w:val="000000"/>
                <w:kern w:val="0"/>
                <w:szCs w:val="21"/>
              </w:rPr>
              <w:t>90-99%</w:t>
            </w:r>
          </w:p>
        </w:tc>
        <w:tc>
          <w:tcPr>
            <w:tcW w:w="1371" w:type="dxa"/>
            <w:vAlign w:val="center"/>
          </w:tcPr>
          <w:p>
            <w:pPr>
              <w:widowControl/>
              <w:jc w:val="center"/>
              <w:rPr>
                <w:color w:val="000000"/>
                <w:kern w:val="0"/>
                <w:szCs w:val="21"/>
              </w:rPr>
            </w:pPr>
            <w:r>
              <w:rPr>
                <w:color w:val="000000"/>
                <w:kern w:val="0"/>
                <w:szCs w:val="21"/>
              </w:rPr>
              <w:t>80-89%</w:t>
            </w:r>
          </w:p>
        </w:tc>
        <w:tc>
          <w:tcPr>
            <w:tcW w:w="1371" w:type="dxa"/>
            <w:vAlign w:val="center"/>
          </w:tcPr>
          <w:p>
            <w:pPr>
              <w:widowControl/>
              <w:jc w:val="center"/>
              <w:rPr>
                <w:color w:val="000000"/>
                <w:kern w:val="0"/>
                <w:szCs w:val="21"/>
              </w:rPr>
            </w:pPr>
            <w:r>
              <w:rPr>
                <w:color w:val="000000"/>
                <w:kern w:val="0"/>
                <w:szCs w:val="21"/>
              </w:rPr>
              <w:t>60-79%</w:t>
            </w:r>
          </w:p>
        </w:tc>
        <w:tc>
          <w:tcPr>
            <w:tcW w:w="923"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57" w:type="dxa"/>
            <w:vMerge w:val="continue"/>
            <w:vAlign w:val="center"/>
          </w:tcPr>
          <w:p>
            <w:pPr>
              <w:widowControl/>
              <w:jc w:val="left"/>
              <w:rPr>
                <w:color w:val="000000"/>
                <w:kern w:val="0"/>
                <w:szCs w:val="21"/>
              </w:rPr>
            </w:pPr>
          </w:p>
        </w:tc>
        <w:tc>
          <w:tcPr>
            <w:tcW w:w="855" w:type="dxa"/>
            <w:vMerge w:val="continue"/>
            <w:vAlign w:val="center"/>
          </w:tcPr>
          <w:p>
            <w:pPr>
              <w:widowControl/>
              <w:jc w:val="left"/>
              <w:rPr>
                <w:color w:val="000000"/>
                <w:kern w:val="0"/>
                <w:szCs w:val="21"/>
              </w:rPr>
            </w:pPr>
          </w:p>
        </w:tc>
        <w:tc>
          <w:tcPr>
            <w:tcW w:w="1633" w:type="dxa"/>
            <w:vAlign w:val="center"/>
          </w:tcPr>
          <w:p>
            <w:pPr>
              <w:widowControl/>
              <w:jc w:val="center"/>
              <w:rPr>
                <w:color w:val="000000"/>
                <w:kern w:val="0"/>
                <w:szCs w:val="21"/>
              </w:rPr>
            </w:pPr>
            <w:r>
              <w:rPr>
                <w:color w:val="000000"/>
                <w:kern w:val="0"/>
                <w:szCs w:val="21"/>
              </w:rPr>
              <w:t>供气状况</w:t>
            </w:r>
          </w:p>
        </w:tc>
        <w:tc>
          <w:tcPr>
            <w:tcW w:w="890" w:type="dxa"/>
            <w:vAlign w:val="center"/>
          </w:tcPr>
          <w:p>
            <w:pPr>
              <w:widowControl/>
              <w:jc w:val="center"/>
              <w:rPr>
                <w:color w:val="000000"/>
                <w:kern w:val="0"/>
                <w:szCs w:val="21"/>
              </w:rPr>
            </w:pPr>
            <w:r>
              <w:rPr>
                <w:color w:val="000000"/>
                <w:kern w:val="0"/>
                <w:szCs w:val="21"/>
              </w:rPr>
              <w:t>1</w:t>
            </w:r>
          </w:p>
        </w:tc>
        <w:tc>
          <w:tcPr>
            <w:tcW w:w="1161" w:type="dxa"/>
            <w:vAlign w:val="center"/>
          </w:tcPr>
          <w:p>
            <w:pPr>
              <w:widowControl/>
              <w:jc w:val="center"/>
              <w:rPr>
                <w:color w:val="000000"/>
                <w:kern w:val="0"/>
                <w:szCs w:val="21"/>
              </w:rPr>
            </w:pPr>
            <w:r>
              <w:rPr>
                <w:color w:val="000000"/>
                <w:kern w:val="0"/>
                <w:szCs w:val="21"/>
              </w:rPr>
              <w:t>90-99%</w:t>
            </w:r>
          </w:p>
        </w:tc>
        <w:tc>
          <w:tcPr>
            <w:tcW w:w="1371" w:type="dxa"/>
            <w:vAlign w:val="center"/>
          </w:tcPr>
          <w:p>
            <w:pPr>
              <w:widowControl/>
              <w:jc w:val="center"/>
              <w:rPr>
                <w:color w:val="000000"/>
                <w:kern w:val="0"/>
                <w:szCs w:val="21"/>
              </w:rPr>
            </w:pPr>
            <w:r>
              <w:rPr>
                <w:color w:val="000000"/>
                <w:kern w:val="0"/>
                <w:szCs w:val="21"/>
              </w:rPr>
              <w:t>80-89%</w:t>
            </w:r>
          </w:p>
        </w:tc>
        <w:tc>
          <w:tcPr>
            <w:tcW w:w="1371" w:type="dxa"/>
            <w:vAlign w:val="center"/>
          </w:tcPr>
          <w:p>
            <w:pPr>
              <w:widowControl/>
              <w:jc w:val="center"/>
              <w:rPr>
                <w:color w:val="000000"/>
                <w:kern w:val="0"/>
                <w:szCs w:val="21"/>
              </w:rPr>
            </w:pPr>
            <w:r>
              <w:rPr>
                <w:color w:val="000000"/>
                <w:kern w:val="0"/>
                <w:szCs w:val="21"/>
              </w:rPr>
              <w:t>60-79%</w:t>
            </w:r>
          </w:p>
        </w:tc>
        <w:tc>
          <w:tcPr>
            <w:tcW w:w="923" w:type="dxa"/>
            <w:vAlign w:val="center"/>
          </w:tcPr>
          <w:p>
            <w:pPr>
              <w:widowControl/>
              <w:jc w:val="center"/>
              <w:rPr>
                <w:color w:val="000000"/>
                <w:kern w:val="0"/>
                <w:szCs w:val="21"/>
              </w:rPr>
            </w:pPr>
            <w:r>
              <w:rPr>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857" w:type="dxa"/>
            <w:vMerge w:val="restart"/>
            <w:vAlign w:val="center"/>
          </w:tcPr>
          <w:p>
            <w:pPr>
              <w:widowControl/>
              <w:jc w:val="center"/>
              <w:rPr>
                <w:color w:val="000000"/>
                <w:kern w:val="0"/>
                <w:szCs w:val="21"/>
              </w:rPr>
            </w:pPr>
            <w:r>
              <w:rPr>
                <w:color w:val="000000"/>
                <w:kern w:val="0"/>
                <w:szCs w:val="21"/>
              </w:rPr>
              <w:t>环境条件</w:t>
            </w:r>
          </w:p>
        </w:tc>
        <w:tc>
          <w:tcPr>
            <w:tcW w:w="855" w:type="dxa"/>
            <w:vMerge w:val="restart"/>
            <w:vAlign w:val="center"/>
          </w:tcPr>
          <w:p>
            <w:pPr>
              <w:widowControl/>
              <w:jc w:val="center"/>
              <w:rPr>
                <w:color w:val="000000"/>
                <w:kern w:val="0"/>
                <w:szCs w:val="21"/>
              </w:rPr>
            </w:pPr>
            <w:r>
              <w:rPr>
                <w:color w:val="000000"/>
                <w:kern w:val="0"/>
                <w:szCs w:val="21"/>
              </w:rPr>
              <w:t>自然条件优劣度</w:t>
            </w:r>
          </w:p>
        </w:tc>
        <w:tc>
          <w:tcPr>
            <w:tcW w:w="1633" w:type="dxa"/>
            <w:vAlign w:val="center"/>
          </w:tcPr>
          <w:p>
            <w:pPr>
              <w:widowControl/>
              <w:jc w:val="center"/>
              <w:rPr>
                <w:color w:val="000000"/>
                <w:kern w:val="0"/>
                <w:szCs w:val="21"/>
              </w:rPr>
            </w:pPr>
            <w:r>
              <w:rPr>
                <w:color w:val="000000"/>
                <w:kern w:val="0"/>
                <w:szCs w:val="21"/>
              </w:rPr>
              <w:t>地质状况</w:t>
            </w:r>
          </w:p>
        </w:tc>
        <w:tc>
          <w:tcPr>
            <w:tcW w:w="890" w:type="dxa"/>
            <w:vAlign w:val="center"/>
          </w:tcPr>
          <w:p>
            <w:pPr>
              <w:widowControl/>
              <w:jc w:val="center"/>
              <w:rPr>
                <w:color w:val="000000"/>
                <w:kern w:val="0"/>
                <w:szCs w:val="21"/>
              </w:rPr>
            </w:pPr>
            <w:r>
              <w:rPr>
                <w:color w:val="000000"/>
                <w:kern w:val="0"/>
                <w:szCs w:val="21"/>
              </w:rPr>
              <w:t>&gt;30吨/m2</w:t>
            </w:r>
          </w:p>
        </w:tc>
        <w:tc>
          <w:tcPr>
            <w:tcW w:w="1161" w:type="dxa"/>
            <w:vAlign w:val="center"/>
          </w:tcPr>
          <w:p>
            <w:pPr>
              <w:widowControl/>
              <w:jc w:val="center"/>
              <w:rPr>
                <w:color w:val="000000"/>
                <w:kern w:val="0"/>
                <w:szCs w:val="21"/>
              </w:rPr>
            </w:pPr>
            <w:r>
              <w:rPr>
                <w:color w:val="000000"/>
                <w:kern w:val="0"/>
                <w:szCs w:val="21"/>
              </w:rPr>
              <w:t>25-30吨/m2</w:t>
            </w:r>
          </w:p>
        </w:tc>
        <w:tc>
          <w:tcPr>
            <w:tcW w:w="1371" w:type="dxa"/>
            <w:vAlign w:val="center"/>
          </w:tcPr>
          <w:p>
            <w:pPr>
              <w:widowControl/>
              <w:jc w:val="center"/>
              <w:rPr>
                <w:color w:val="000000"/>
                <w:kern w:val="0"/>
                <w:szCs w:val="21"/>
              </w:rPr>
            </w:pPr>
            <w:r>
              <w:rPr>
                <w:color w:val="000000"/>
                <w:kern w:val="0"/>
                <w:szCs w:val="21"/>
              </w:rPr>
              <w:t>20-25吨/m2</w:t>
            </w:r>
          </w:p>
        </w:tc>
        <w:tc>
          <w:tcPr>
            <w:tcW w:w="1371" w:type="dxa"/>
            <w:vAlign w:val="center"/>
          </w:tcPr>
          <w:p>
            <w:pPr>
              <w:widowControl/>
              <w:jc w:val="center"/>
              <w:rPr>
                <w:color w:val="000000"/>
                <w:kern w:val="0"/>
                <w:szCs w:val="21"/>
              </w:rPr>
            </w:pPr>
            <w:r>
              <w:rPr>
                <w:color w:val="000000"/>
                <w:kern w:val="0"/>
                <w:szCs w:val="21"/>
              </w:rPr>
              <w:t>15-20吨/m2</w:t>
            </w:r>
          </w:p>
        </w:tc>
        <w:tc>
          <w:tcPr>
            <w:tcW w:w="923" w:type="dxa"/>
            <w:vAlign w:val="center"/>
          </w:tcPr>
          <w:p>
            <w:pPr>
              <w:widowControl/>
              <w:jc w:val="center"/>
              <w:rPr>
                <w:color w:val="000000"/>
                <w:kern w:val="0"/>
                <w:szCs w:val="21"/>
              </w:rPr>
            </w:pPr>
            <w:r>
              <w:rPr>
                <w:color w:val="000000"/>
                <w:kern w:val="0"/>
                <w:szCs w:val="21"/>
              </w:rPr>
              <w:t>&lt;15吨/m2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857" w:type="dxa"/>
            <w:vMerge w:val="continue"/>
            <w:vAlign w:val="center"/>
          </w:tcPr>
          <w:p>
            <w:pPr>
              <w:widowControl/>
              <w:jc w:val="left"/>
              <w:rPr>
                <w:color w:val="000000"/>
                <w:kern w:val="0"/>
                <w:szCs w:val="21"/>
              </w:rPr>
            </w:pPr>
          </w:p>
        </w:tc>
        <w:tc>
          <w:tcPr>
            <w:tcW w:w="855" w:type="dxa"/>
            <w:vMerge w:val="continue"/>
            <w:vAlign w:val="center"/>
          </w:tcPr>
          <w:p>
            <w:pPr>
              <w:widowControl/>
              <w:jc w:val="left"/>
              <w:rPr>
                <w:color w:val="000000"/>
                <w:kern w:val="0"/>
                <w:szCs w:val="21"/>
              </w:rPr>
            </w:pPr>
          </w:p>
        </w:tc>
        <w:tc>
          <w:tcPr>
            <w:tcW w:w="1633" w:type="dxa"/>
            <w:vAlign w:val="center"/>
          </w:tcPr>
          <w:p>
            <w:pPr>
              <w:widowControl/>
              <w:jc w:val="center"/>
              <w:rPr>
                <w:color w:val="000000"/>
                <w:kern w:val="0"/>
                <w:szCs w:val="21"/>
              </w:rPr>
            </w:pPr>
            <w:r>
              <w:rPr>
                <w:color w:val="000000"/>
                <w:kern w:val="0"/>
                <w:szCs w:val="21"/>
              </w:rPr>
              <w:t>洪水淹没状况</w:t>
            </w:r>
          </w:p>
        </w:tc>
        <w:tc>
          <w:tcPr>
            <w:tcW w:w="890" w:type="dxa"/>
            <w:vAlign w:val="center"/>
          </w:tcPr>
          <w:p>
            <w:pPr>
              <w:widowControl/>
              <w:jc w:val="center"/>
              <w:rPr>
                <w:color w:val="000000"/>
                <w:kern w:val="0"/>
                <w:szCs w:val="21"/>
              </w:rPr>
            </w:pPr>
            <w:r>
              <w:rPr>
                <w:color w:val="000000"/>
                <w:kern w:val="0"/>
                <w:szCs w:val="21"/>
              </w:rPr>
              <w:t>低</w:t>
            </w:r>
          </w:p>
        </w:tc>
        <w:tc>
          <w:tcPr>
            <w:tcW w:w="1161" w:type="dxa"/>
            <w:vAlign w:val="center"/>
          </w:tcPr>
          <w:p>
            <w:pPr>
              <w:widowControl/>
              <w:jc w:val="center"/>
              <w:rPr>
                <w:color w:val="000000"/>
                <w:kern w:val="0"/>
                <w:szCs w:val="21"/>
              </w:rPr>
            </w:pPr>
            <w:r>
              <w:rPr>
                <w:color w:val="000000"/>
                <w:kern w:val="0"/>
                <w:szCs w:val="21"/>
              </w:rPr>
              <w:t>较低</w:t>
            </w:r>
          </w:p>
        </w:tc>
        <w:tc>
          <w:tcPr>
            <w:tcW w:w="1371" w:type="dxa"/>
            <w:vAlign w:val="center"/>
          </w:tcPr>
          <w:p>
            <w:pPr>
              <w:widowControl/>
              <w:jc w:val="center"/>
              <w:rPr>
                <w:color w:val="000000"/>
                <w:kern w:val="0"/>
                <w:szCs w:val="21"/>
              </w:rPr>
            </w:pPr>
            <w:r>
              <w:rPr>
                <w:color w:val="000000"/>
                <w:kern w:val="0"/>
                <w:szCs w:val="21"/>
              </w:rPr>
              <w:t>一般</w:t>
            </w:r>
          </w:p>
        </w:tc>
        <w:tc>
          <w:tcPr>
            <w:tcW w:w="1371" w:type="dxa"/>
            <w:vAlign w:val="center"/>
          </w:tcPr>
          <w:p>
            <w:pPr>
              <w:widowControl/>
              <w:jc w:val="center"/>
              <w:rPr>
                <w:color w:val="000000"/>
                <w:kern w:val="0"/>
                <w:szCs w:val="21"/>
              </w:rPr>
            </w:pPr>
            <w:r>
              <w:rPr>
                <w:color w:val="000000"/>
                <w:kern w:val="0"/>
                <w:szCs w:val="21"/>
              </w:rPr>
              <w:t>较高</w:t>
            </w:r>
          </w:p>
        </w:tc>
        <w:tc>
          <w:tcPr>
            <w:tcW w:w="923" w:type="dxa"/>
            <w:vAlign w:val="center"/>
          </w:tcPr>
          <w:p>
            <w:pPr>
              <w:widowControl/>
              <w:jc w:val="center"/>
              <w:rPr>
                <w:color w:val="000000"/>
                <w:kern w:val="0"/>
                <w:szCs w:val="21"/>
              </w:rPr>
            </w:pPr>
            <w:r>
              <w:rPr>
                <w:color w:val="000000"/>
                <w:kern w:val="0"/>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57" w:type="dxa"/>
            <w:vAlign w:val="center"/>
          </w:tcPr>
          <w:p>
            <w:pPr>
              <w:widowControl/>
              <w:jc w:val="center"/>
              <w:rPr>
                <w:color w:val="000000"/>
                <w:kern w:val="0"/>
                <w:szCs w:val="21"/>
              </w:rPr>
            </w:pPr>
            <w:r>
              <w:rPr>
                <w:color w:val="000000"/>
                <w:kern w:val="0"/>
                <w:szCs w:val="21"/>
              </w:rPr>
              <w:t>产业集聚效益</w:t>
            </w:r>
          </w:p>
        </w:tc>
        <w:tc>
          <w:tcPr>
            <w:tcW w:w="855" w:type="dxa"/>
            <w:vAlign w:val="center"/>
          </w:tcPr>
          <w:p>
            <w:pPr>
              <w:widowControl/>
              <w:jc w:val="center"/>
              <w:rPr>
                <w:color w:val="000000"/>
                <w:kern w:val="0"/>
                <w:szCs w:val="21"/>
              </w:rPr>
            </w:pPr>
            <w:r>
              <w:rPr>
                <w:color w:val="000000"/>
                <w:kern w:val="0"/>
                <w:szCs w:val="21"/>
              </w:rPr>
              <w:t>产业集聚影响度</w:t>
            </w:r>
          </w:p>
        </w:tc>
        <w:tc>
          <w:tcPr>
            <w:tcW w:w="1633" w:type="dxa"/>
            <w:vAlign w:val="center"/>
          </w:tcPr>
          <w:p>
            <w:pPr>
              <w:widowControl/>
              <w:jc w:val="center"/>
              <w:rPr>
                <w:color w:val="000000"/>
                <w:kern w:val="0"/>
                <w:szCs w:val="21"/>
              </w:rPr>
            </w:pPr>
            <w:r>
              <w:rPr>
                <w:color w:val="000000"/>
                <w:kern w:val="0"/>
                <w:szCs w:val="21"/>
              </w:rPr>
              <w:t>产业集聚影响度</w:t>
            </w:r>
          </w:p>
        </w:tc>
        <w:tc>
          <w:tcPr>
            <w:tcW w:w="890" w:type="dxa"/>
            <w:vAlign w:val="center"/>
          </w:tcPr>
          <w:p>
            <w:pPr>
              <w:widowControl/>
              <w:jc w:val="center"/>
              <w:rPr>
                <w:color w:val="000000"/>
                <w:kern w:val="0"/>
                <w:szCs w:val="21"/>
              </w:rPr>
            </w:pPr>
            <w:r>
              <w:rPr>
                <w:color w:val="000000"/>
                <w:kern w:val="0"/>
                <w:szCs w:val="21"/>
              </w:rPr>
              <w:t>高新产业联系紧密区</w:t>
            </w:r>
          </w:p>
        </w:tc>
        <w:tc>
          <w:tcPr>
            <w:tcW w:w="1161" w:type="dxa"/>
            <w:vAlign w:val="center"/>
          </w:tcPr>
          <w:p>
            <w:pPr>
              <w:widowControl/>
              <w:jc w:val="center"/>
              <w:rPr>
                <w:color w:val="000000"/>
                <w:kern w:val="0"/>
                <w:szCs w:val="21"/>
              </w:rPr>
            </w:pPr>
            <w:r>
              <w:rPr>
                <w:color w:val="000000"/>
                <w:kern w:val="0"/>
                <w:szCs w:val="21"/>
              </w:rPr>
              <w:t>高新产业联系一般区，一般产业联系紧密区</w:t>
            </w:r>
          </w:p>
        </w:tc>
        <w:tc>
          <w:tcPr>
            <w:tcW w:w="1371" w:type="dxa"/>
            <w:vAlign w:val="center"/>
          </w:tcPr>
          <w:p>
            <w:pPr>
              <w:widowControl/>
              <w:jc w:val="center"/>
              <w:rPr>
                <w:color w:val="000000"/>
                <w:kern w:val="0"/>
                <w:szCs w:val="21"/>
              </w:rPr>
            </w:pPr>
            <w:r>
              <w:rPr>
                <w:color w:val="000000"/>
                <w:kern w:val="0"/>
                <w:szCs w:val="21"/>
              </w:rPr>
              <w:t>高新产业联系松散区，一般产业联系一般区</w:t>
            </w:r>
          </w:p>
        </w:tc>
        <w:tc>
          <w:tcPr>
            <w:tcW w:w="1371" w:type="dxa"/>
            <w:vAlign w:val="center"/>
          </w:tcPr>
          <w:p>
            <w:pPr>
              <w:widowControl/>
              <w:jc w:val="center"/>
              <w:rPr>
                <w:color w:val="000000"/>
                <w:kern w:val="0"/>
                <w:szCs w:val="21"/>
              </w:rPr>
            </w:pPr>
            <w:r>
              <w:rPr>
                <w:color w:val="000000"/>
                <w:kern w:val="0"/>
                <w:szCs w:val="21"/>
              </w:rPr>
              <w:t>一般产业联系松散区</w:t>
            </w:r>
          </w:p>
        </w:tc>
        <w:tc>
          <w:tcPr>
            <w:tcW w:w="923" w:type="dxa"/>
            <w:vAlign w:val="center"/>
          </w:tcPr>
          <w:p>
            <w:pPr>
              <w:widowControl/>
              <w:jc w:val="center"/>
              <w:rPr>
                <w:color w:val="000000"/>
                <w:kern w:val="0"/>
                <w:szCs w:val="21"/>
              </w:rPr>
            </w:pPr>
            <w:r>
              <w:rPr>
                <w:color w:val="000000"/>
                <w:kern w:val="0"/>
                <w:szCs w:val="21"/>
              </w:rPr>
              <w:t>独立分散区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857" w:type="dxa"/>
            <w:vMerge w:val="restart"/>
            <w:vAlign w:val="center"/>
          </w:tcPr>
          <w:p>
            <w:pPr>
              <w:widowControl/>
              <w:jc w:val="center"/>
              <w:rPr>
                <w:color w:val="000000"/>
                <w:kern w:val="0"/>
                <w:szCs w:val="21"/>
              </w:rPr>
            </w:pPr>
            <w:r>
              <w:rPr>
                <w:color w:val="000000"/>
                <w:kern w:val="0"/>
                <w:szCs w:val="21"/>
              </w:rPr>
              <w:t>城市规划</w:t>
            </w:r>
          </w:p>
        </w:tc>
        <w:tc>
          <w:tcPr>
            <w:tcW w:w="855" w:type="dxa"/>
            <w:vMerge w:val="restart"/>
            <w:vAlign w:val="center"/>
          </w:tcPr>
          <w:p>
            <w:pPr>
              <w:widowControl/>
              <w:jc w:val="center"/>
              <w:rPr>
                <w:color w:val="000000"/>
                <w:kern w:val="0"/>
                <w:szCs w:val="21"/>
              </w:rPr>
            </w:pPr>
            <w:r>
              <w:rPr>
                <w:color w:val="000000"/>
                <w:kern w:val="0"/>
                <w:szCs w:val="21"/>
              </w:rPr>
              <w:t>城市规划</w:t>
            </w:r>
          </w:p>
        </w:tc>
        <w:tc>
          <w:tcPr>
            <w:tcW w:w="1633" w:type="dxa"/>
            <w:vAlign w:val="center"/>
          </w:tcPr>
          <w:p>
            <w:pPr>
              <w:widowControl/>
              <w:jc w:val="center"/>
              <w:rPr>
                <w:color w:val="000000"/>
                <w:kern w:val="0"/>
                <w:szCs w:val="21"/>
              </w:rPr>
            </w:pPr>
            <w:r>
              <w:rPr>
                <w:color w:val="000000"/>
                <w:kern w:val="0"/>
                <w:szCs w:val="21"/>
              </w:rPr>
              <w:t>用地规划</w:t>
            </w:r>
          </w:p>
        </w:tc>
        <w:tc>
          <w:tcPr>
            <w:tcW w:w="890" w:type="dxa"/>
            <w:vAlign w:val="center"/>
          </w:tcPr>
          <w:p>
            <w:pPr>
              <w:widowControl/>
              <w:jc w:val="center"/>
              <w:rPr>
                <w:color w:val="000000"/>
                <w:kern w:val="0"/>
                <w:szCs w:val="21"/>
              </w:rPr>
            </w:pPr>
            <w:r>
              <w:rPr>
                <w:color w:val="000000"/>
                <w:kern w:val="0"/>
                <w:szCs w:val="21"/>
              </w:rPr>
              <w:t>主干道</w:t>
            </w:r>
          </w:p>
        </w:tc>
        <w:tc>
          <w:tcPr>
            <w:tcW w:w="1161" w:type="dxa"/>
            <w:vAlign w:val="center"/>
          </w:tcPr>
          <w:p>
            <w:pPr>
              <w:widowControl/>
              <w:jc w:val="center"/>
              <w:rPr>
                <w:color w:val="000000"/>
                <w:kern w:val="0"/>
                <w:szCs w:val="21"/>
              </w:rPr>
            </w:pPr>
            <w:r>
              <w:rPr>
                <w:color w:val="000000"/>
                <w:kern w:val="0"/>
                <w:szCs w:val="21"/>
              </w:rPr>
              <w:t>次干道</w:t>
            </w:r>
          </w:p>
        </w:tc>
        <w:tc>
          <w:tcPr>
            <w:tcW w:w="1371" w:type="dxa"/>
            <w:vAlign w:val="center"/>
          </w:tcPr>
          <w:p>
            <w:pPr>
              <w:widowControl/>
              <w:jc w:val="center"/>
              <w:rPr>
                <w:color w:val="000000"/>
                <w:kern w:val="0"/>
                <w:szCs w:val="21"/>
              </w:rPr>
            </w:pPr>
            <w:r>
              <w:rPr>
                <w:color w:val="000000"/>
                <w:kern w:val="0"/>
                <w:szCs w:val="21"/>
              </w:rPr>
              <w:t>快速路</w:t>
            </w:r>
          </w:p>
        </w:tc>
        <w:tc>
          <w:tcPr>
            <w:tcW w:w="1371" w:type="dxa"/>
            <w:vAlign w:val="center"/>
          </w:tcPr>
          <w:p>
            <w:pPr>
              <w:widowControl/>
              <w:jc w:val="center"/>
              <w:rPr>
                <w:color w:val="000000"/>
                <w:kern w:val="0"/>
                <w:szCs w:val="21"/>
              </w:rPr>
            </w:pPr>
            <w:r>
              <w:rPr>
                <w:color w:val="000000"/>
                <w:kern w:val="0"/>
                <w:szCs w:val="21"/>
              </w:rPr>
              <w:t>支路</w:t>
            </w:r>
          </w:p>
        </w:tc>
        <w:tc>
          <w:tcPr>
            <w:tcW w:w="923" w:type="dxa"/>
            <w:vAlign w:val="center"/>
          </w:tcPr>
          <w:p>
            <w:pPr>
              <w:widowControl/>
              <w:jc w:val="center"/>
              <w:rPr>
                <w:color w:val="000000"/>
                <w:kern w:val="0"/>
                <w:szCs w:val="21"/>
              </w:rPr>
            </w:pPr>
            <w:r>
              <w:rPr>
                <w:color w:val="000000"/>
                <w:kern w:val="0"/>
                <w:szCs w:val="21"/>
              </w:rPr>
              <w:t>街坊间支路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57" w:type="dxa"/>
            <w:vMerge w:val="continue"/>
            <w:vAlign w:val="center"/>
          </w:tcPr>
          <w:p>
            <w:pPr>
              <w:widowControl/>
              <w:jc w:val="left"/>
              <w:rPr>
                <w:color w:val="000000"/>
                <w:kern w:val="0"/>
                <w:szCs w:val="21"/>
              </w:rPr>
            </w:pPr>
          </w:p>
        </w:tc>
        <w:tc>
          <w:tcPr>
            <w:tcW w:w="855" w:type="dxa"/>
            <w:vMerge w:val="continue"/>
            <w:vAlign w:val="center"/>
          </w:tcPr>
          <w:p>
            <w:pPr>
              <w:widowControl/>
              <w:jc w:val="left"/>
              <w:rPr>
                <w:color w:val="000000"/>
                <w:kern w:val="0"/>
                <w:szCs w:val="21"/>
              </w:rPr>
            </w:pPr>
          </w:p>
        </w:tc>
        <w:tc>
          <w:tcPr>
            <w:tcW w:w="1633" w:type="dxa"/>
            <w:vAlign w:val="center"/>
          </w:tcPr>
          <w:p>
            <w:pPr>
              <w:widowControl/>
              <w:jc w:val="center"/>
              <w:rPr>
                <w:color w:val="000000"/>
                <w:kern w:val="0"/>
                <w:szCs w:val="21"/>
              </w:rPr>
            </w:pPr>
            <w:r>
              <w:rPr>
                <w:color w:val="000000"/>
                <w:kern w:val="0"/>
                <w:szCs w:val="21"/>
              </w:rPr>
              <w:t>道路规划</w:t>
            </w:r>
          </w:p>
        </w:tc>
        <w:tc>
          <w:tcPr>
            <w:tcW w:w="890" w:type="dxa"/>
            <w:vAlign w:val="center"/>
          </w:tcPr>
          <w:p>
            <w:pPr>
              <w:widowControl/>
              <w:jc w:val="center"/>
              <w:rPr>
                <w:color w:val="000000"/>
                <w:kern w:val="0"/>
                <w:szCs w:val="21"/>
              </w:rPr>
            </w:pPr>
            <w:r>
              <w:rPr>
                <w:color w:val="000000"/>
                <w:kern w:val="0"/>
                <w:szCs w:val="21"/>
              </w:rPr>
              <w:t>最佳用途</w:t>
            </w:r>
          </w:p>
        </w:tc>
        <w:tc>
          <w:tcPr>
            <w:tcW w:w="1161" w:type="dxa"/>
            <w:vAlign w:val="center"/>
          </w:tcPr>
          <w:p>
            <w:pPr>
              <w:widowControl/>
              <w:jc w:val="center"/>
              <w:rPr>
                <w:color w:val="000000"/>
                <w:kern w:val="0"/>
                <w:szCs w:val="21"/>
              </w:rPr>
            </w:pPr>
            <w:r>
              <w:rPr>
                <w:color w:val="000000"/>
                <w:kern w:val="0"/>
                <w:szCs w:val="21"/>
              </w:rPr>
              <w:t>较适用途</w:t>
            </w:r>
          </w:p>
        </w:tc>
        <w:tc>
          <w:tcPr>
            <w:tcW w:w="1371" w:type="dxa"/>
            <w:vAlign w:val="center"/>
          </w:tcPr>
          <w:p>
            <w:pPr>
              <w:widowControl/>
              <w:jc w:val="center"/>
              <w:rPr>
                <w:color w:val="000000"/>
                <w:kern w:val="0"/>
                <w:szCs w:val="21"/>
              </w:rPr>
            </w:pPr>
            <w:r>
              <w:rPr>
                <w:color w:val="000000"/>
                <w:kern w:val="0"/>
                <w:szCs w:val="21"/>
              </w:rPr>
              <w:t>一般用途</w:t>
            </w:r>
          </w:p>
        </w:tc>
        <w:tc>
          <w:tcPr>
            <w:tcW w:w="1371" w:type="dxa"/>
            <w:vAlign w:val="center"/>
          </w:tcPr>
          <w:p>
            <w:pPr>
              <w:widowControl/>
              <w:jc w:val="center"/>
              <w:rPr>
                <w:color w:val="000000"/>
                <w:kern w:val="0"/>
                <w:szCs w:val="21"/>
              </w:rPr>
            </w:pPr>
            <w:r>
              <w:rPr>
                <w:color w:val="000000"/>
                <w:kern w:val="0"/>
                <w:szCs w:val="21"/>
              </w:rPr>
              <w:t>不太适合用途</w:t>
            </w:r>
          </w:p>
        </w:tc>
        <w:tc>
          <w:tcPr>
            <w:tcW w:w="923" w:type="dxa"/>
            <w:vAlign w:val="center"/>
          </w:tcPr>
          <w:p>
            <w:pPr>
              <w:widowControl/>
              <w:jc w:val="center"/>
              <w:rPr>
                <w:color w:val="000000"/>
                <w:kern w:val="0"/>
                <w:szCs w:val="21"/>
              </w:rPr>
            </w:pPr>
            <w:r>
              <w:rPr>
                <w:color w:val="000000"/>
                <w:kern w:val="0"/>
                <w:szCs w:val="21"/>
              </w:rPr>
              <w:t>不适合用途</w:t>
            </w:r>
          </w:p>
        </w:tc>
      </w:tr>
    </w:tbl>
    <w:p>
      <w:pPr>
        <w:spacing w:line="360" w:lineRule="auto"/>
        <w:ind w:firstLine="560" w:firstLineChars="200"/>
        <w:outlineLvl w:val="2"/>
        <w:rPr>
          <w:rFonts w:eastAsia="黑体"/>
          <w:sz w:val="28"/>
          <w:szCs w:val="28"/>
        </w:rPr>
      </w:pPr>
      <w:bookmarkStart w:id="847" w:name="_Toc469296517"/>
      <w:bookmarkStart w:id="848" w:name="_Toc467846899"/>
      <w:bookmarkStart w:id="849" w:name="_Toc470721367"/>
      <w:r>
        <w:rPr>
          <w:rFonts w:eastAsia="黑体"/>
          <w:sz w:val="28"/>
          <w:szCs w:val="28"/>
        </w:rPr>
        <w:br w:type="page"/>
      </w:r>
      <w:bookmarkStart w:id="850" w:name="_Toc21983"/>
      <w:bookmarkStart w:id="851" w:name="_Toc11486"/>
      <w:r>
        <w:rPr>
          <w:rFonts w:eastAsia="黑体"/>
          <w:sz w:val="28"/>
          <w:szCs w:val="28"/>
        </w:rPr>
        <w:t>二、宗地地价个别因素修正</w:t>
      </w:r>
      <w:bookmarkEnd w:id="847"/>
      <w:bookmarkEnd w:id="848"/>
      <w:bookmarkEnd w:id="849"/>
      <w:bookmarkEnd w:id="850"/>
      <w:bookmarkEnd w:id="851"/>
    </w:p>
    <w:p>
      <w:pPr>
        <w:tabs>
          <w:tab w:val="right" w:pos="9298"/>
        </w:tabs>
        <w:spacing w:line="460" w:lineRule="exact"/>
        <w:ind w:firstLine="480" w:firstLineChars="200"/>
        <w:rPr>
          <w:rFonts w:eastAsia="黑体"/>
          <w:sz w:val="24"/>
        </w:rPr>
      </w:pPr>
      <w:r>
        <w:rPr>
          <w:rFonts w:eastAsia="黑体"/>
          <w:sz w:val="24"/>
        </w:rPr>
        <w:t>（一）出让年期修正（K</w:t>
      </w:r>
      <w:r>
        <w:rPr>
          <w:rFonts w:eastAsia="黑体"/>
          <w:sz w:val="24"/>
          <w:vertAlign w:val="subscript"/>
        </w:rPr>
        <w:t>n</w:t>
      </w:r>
      <w:r>
        <w:rPr>
          <w:rFonts w:eastAsia="黑体"/>
          <w:sz w:val="24"/>
        </w:rPr>
        <w:t>）</w:t>
      </w:r>
    </w:p>
    <w:p>
      <w:pPr>
        <w:spacing w:line="460" w:lineRule="exact"/>
        <w:ind w:firstLine="480" w:firstLineChars="200"/>
        <w:rPr>
          <w:sz w:val="24"/>
        </w:rPr>
      </w:pPr>
      <w:r>
        <w:rPr>
          <w:sz w:val="24"/>
        </w:rPr>
        <w:t>工矿仓储用地法定最高出让年期为50年，土地还原利率为6%。通过使用年期修正系数公式编制系数表。</w:t>
      </w:r>
    </w:p>
    <w:p>
      <w:pPr>
        <w:pStyle w:val="131"/>
        <w:spacing w:beforeLines="50" w:afterLines="50"/>
        <w:ind w:firstLine="0" w:firstLineChars="0"/>
        <w:rPr>
          <w:rFonts w:ascii="Times New Roman" w:hAnsi="Times New Roman"/>
          <w:sz w:val="24"/>
        </w:rPr>
      </w:pPr>
      <w:r>
        <w:rPr>
          <w:rFonts w:ascii="Times New Roman" w:hAnsi="Times New Roman"/>
          <w:sz w:val="24"/>
        </w:rPr>
        <w:t>表4-5-13   工矿仓储用地使用年期修正系数表</w:t>
      </w:r>
    </w:p>
    <w:tbl>
      <w:tblPr>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287"/>
        <w:gridCol w:w="1288"/>
        <w:gridCol w:w="1288"/>
        <w:gridCol w:w="1287"/>
        <w:gridCol w:w="1288"/>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使用年期</w:t>
            </w:r>
          </w:p>
        </w:tc>
        <w:tc>
          <w:tcPr>
            <w:tcW w:w="1287" w:type="dxa"/>
            <w:vAlign w:val="center"/>
          </w:tcPr>
          <w:p>
            <w:pPr>
              <w:jc w:val="center"/>
              <w:rPr>
                <w:color w:val="000000"/>
                <w:szCs w:val="21"/>
              </w:rPr>
            </w:pPr>
            <w:r>
              <w:rPr>
                <w:color w:val="000000"/>
                <w:szCs w:val="21"/>
              </w:rPr>
              <w:t>1</w:t>
            </w:r>
          </w:p>
        </w:tc>
        <w:tc>
          <w:tcPr>
            <w:tcW w:w="1288" w:type="dxa"/>
            <w:vAlign w:val="center"/>
          </w:tcPr>
          <w:p>
            <w:pPr>
              <w:jc w:val="center"/>
              <w:rPr>
                <w:color w:val="000000"/>
                <w:szCs w:val="21"/>
              </w:rPr>
            </w:pPr>
            <w:r>
              <w:rPr>
                <w:color w:val="000000"/>
                <w:szCs w:val="21"/>
              </w:rPr>
              <w:t>2</w:t>
            </w:r>
          </w:p>
        </w:tc>
        <w:tc>
          <w:tcPr>
            <w:tcW w:w="1288" w:type="dxa"/>
            <w:vAlign w:val="center"/>
          </w:tcPr>
          <w:p>
            <w:pPr>
              <w:jc w:val="center"/>
              <w:rPr>
                <w:color w:val="000000"/>
                <w:szCs w:val="21"/>
              </w:rPr>
            </w:pPr>
            <w:r>
              <w:rPr>
                <w:color w:val="000000"/>
                <w:szCs w:val="21"/>
              </w:rPr>
              <w:t>3</w:t>
            </w:r>
          </w:p>
        </w:tc>
        <w:tc>
          <w:tcPr>
            <w:tcW w:w="1287" w:type="dxa"/>
            <w:vAlign w:val="center"/>
          </w:tcPr>
          <w:p>
            <w:pPr>
              <w:jc w:val="center"/>
              <w:rPr>
                <w:color w:val="000000"/>
                <w:szCs w:val="21"/>
              </w:rPr>
            </w:pPr>
            <w:r>
              <w:rPr>
                <w:color w:val="000000"/>
                <w:szCs w:val="21"/>
              </w:rPr>
              <w:t>4</w:t>
            </w:r>
          </w:p>
        </w:tc>
        <w:tc>
          <w:tcPr>
            <w:tcW w:w="1288" w:type="dxa"/>
            <w:vAlign w:val="center"/>
          </w:tcPr>
          <w:p>
            <w:pPr>
              <w:jc w:val="center"/>
              <w:rPr>
                <w:color w:val="000000"/>
                <w:szCs w:val="21"/>
              </w:rPr>
            </w:pPr>
            <w:r>
              <w:rPr>
                <w:color w:val="000000"/>
                <w:szCs w:val="21"/>
              </w:rPr>
              <w:t>5</w:t>
            </w:r>
          </w:p>
        </w:tc>
        <w:tc>
          <w:tcPr>
            <w:tcW w:w="1287" w:type="dxa"/>
            <w:vAlign w:val="center"/>
          </w:tcPr>
          <w:p>
            <w:pPr>
              <w:jc w:val="center"/>
              <w:rPr>
                <w:color w:val="000000"/>
                <w:szCs w:val="21"/>
              </w:rPr>
            </w:pPr>
            <w:r>
              <w:rPr>
                <w:color w:val="00000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修正系数</w:t>
            </w:r>
          </w:p>
        </w:tc>
        <w:tc>
          <w:tcPr>
            <w:tcW w:w="1287" w:type="dxa"/>
            <w:vAlign w:val="center"/>
          </w:tcPr>
          <w:p>
            <w:pPr>
              <w:jc w:val="center"/>
              <w:rPr>
                <w:color w:val="000000"/>
                <w:sz w:val="22"/>
                <w:szCs w:val="22"/>
              </w:rPr>
            </w:pPr>
            <w:r>
              <w:rPr>
                <w:color w:val="000000"/>
                <w:sz w:val="22"/>
                <w:szCs w:val="22"/>
              </w:rPr>
              <w:t>0.0599</w:t>
            </w:r>
          </w:p>
        </w:tc>
        <w:tc>
          <w:tcPr>
            <w:tcW w:w="1288" w:type="dxa"/>
            <w:vAlign w:val="center"/>
          </w:tcPr>
          <w:p>
            <w:pPr>
              <w:jc w:val="center"/>
              <w:rPr>
                <w:color w:val="000000"/>
                <w:sz w:val="22"/>
                <w:szCs w:val="22"/>
              </w:rPr>
            </w:pPr>
            <w:r>
              <w:rPr>
                <w:color w:val="000000"/>
                <w:sz w:val="22"/>
                <w:szCs w:val="22"/>
              </w:rPr>
              <w:t>0.1163</w:t>
            </w:r>
          </w:p>
        </w:tc>
        <w:tc>
          <w:tcPr>
            <w:tcW w:w="1288" w:type="dxa"/>
            <w:vAlign w:val="center"/>
          </w:tcPr>
          <w:p>
            <w:pPr>
              <w:jc w:val="center"/>
              <w:rPr>
                <w:color w:val="000000"/>
                <w:sz w:val="22"/>
                <w:szCs w:val="22"/>
              </w:rPr>
            </w:pPr>
            <w:r>
              <w:rPr>
                <w:color w:val="000000"/>
                <w:sz w:val="22"/>
                <w:szCs w:val="22"/>
              </w:rPr>
              <w:t>0.1696</w:t>
            </w:r>
          </w:p>
        </w:tc>
        <w:tc>
          <w:tcPr>
            <w:tcW w:w="1287" w:type="dxa"/>
            <w:vAlign w:val="center"/>
          </w:tcPr>
          <w:p>
            <w:pPr>
              <w:jc w:val="center"/>
              <w:rPr>
                <w:color w:val="000000"/>
                <w:sz w:val="22"/>
                <w:szCs w:val="22"/>
              </w:rPr>
            </w:pPr>
            <w:r>
              <w:rPr>
                <w:color w:val="000000"/>
                <w:sz w:val="22"/>
                <w:szCs w:val="22"/>
              </w:rPr>
              <w:t>0.2198</w:t>
            </w:r>
          </w:p>
        </w:tc>
        <w:tc>
          <w:tcPr>
            <w:tcW w:w="1288" w:type="dxa"/>
            <w:vAlign w:val="center"/>
          </w:tcPr>
          <w:p>
            <w:pPr>
              <w:jc w:val="center"/>
              <w:rPr>
                <w:color w:val="000000"/>
                <w:sz w:val="22"/>
                <w:szCs w:val="22"/>
              </w:rPr>
            </w:pPr>
            <w:r>
              <w:rPr>
                <w:color w:val="000000"/>
                <w:sz w:val="22"/>
                <w:szCs w:val="22"/>
              </w:rPr>
              <w:t>0.2673</w:t>
            </w:r>
          </w:p>
        </w:tc>
        <w:tc>
          <w:tcPr>
            <w:tcW w:w="1287" w:type="dxa"/>
            <w:vAlign w:val="center"/>
          </w:tcPr>
          <w:p>
            <w:pPr>
              <w:jc w:val="center"/>
              <w:rPr>
                <w:color w:val="000000"/>
                <w:sz w:val="22"/>
                <w:szCs w:val="22"/>
              </w:rPr>
            </w:pPr>
            <w:r>
              <w:rPr>
                <w:color w:val="000000"/>
                <w:sz w:val="22"/>
                <w:szCs w:val="22"/>
              </w:rPr>
              <w:t>0.3120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使用年期</w:t>
            </w:r>
          </w:p>
        </w:tc>
        <w:tc>
          <w:tcPr>
            <w:tcW w:w="1287" w:type="dxa"/>
            <w:vAlign w:val="center"/>
          </w:tcPr>
          <w:p>
            <w:pPr>
              <w:jc w:val="center"/>
              <w:rPr>
                <w:color w:val="000000"/>
                <w:szCs w:val="21"/>
              </w:rPr>
            </w:pPr>
            <w:r>
              <w:rPr>
                <w:color w:val="000000"/>
                <w:szCs w:val="21"/>
              </w:rPr>
              <w:t>7</w:t>
            </w:r>
          </w:p>
        </w:tc>
        <w:tc>
          <w:tcPr>
            <w:tcW w:w="1288" w:type="dxa"/>
            <w:vAlign w:val="center"/>
          </w:tcPr>
          <w:p>
            <w:pPr>
              <w:jc w:val="center"/>
              <w:rPr>
                <w:color w:val="000000"/>
                <w:szCs w:val="21"/>
              </w:rPr>
            </w:pPr>
            <w:r>
              <w:rPr>
                <w:color w:val="000000"/>
                <w:szCs w:val="21"/>
              </w:rPr>
              <w:t>8</w:t>
            </w:r>
          </w:p>
        </w:tc>
        <w:tc>
          <w:tcPr>
            <w:tcW w:w="1288" w:type="dxa"/>
            <w:vAlign w:val="center"/>
          </w:tcPr>
          <w:p>
            <w:pPr>
              <w:jc w:val="center"/>
              <w:rPr>
                <w:color w:val="000000"/>
                <w:szCs w:val="21"/>
              </w:rPr>
            </w:pPr>
            <w:r>
              <w:rPr>
                <w:color w:val="000000"/>
                <w:szCs w:val="21"/>
              </w:rPr>
              <w:t>9</w:t>
            </w:r>
          </w:p>
        </w:tc>
        <w:tc>
          <w:tcPr>
            <w:tcW w:w="1287" w:type="dxa"/>
            <w:vAlign w:val="center"/>
          </w:tcPr>
          <w:p>
            <w:pPr>
              <w:jc w:val="center"/>
              <w:rPr>
                <w:color w:val="000000"/>
                <w:szCs w:val="21"/>
              </w:rPr>
            </w:pPr>
            <w:r>
              <w:rPr>
                <w:color w:val="000000"/>
                <w:szCs w:val="21"/>
              </w:rPr>
              <w:t>10</w:t>
            </w:r>
          </w:p>
        </w:tc>
        <w:tc>
          <w:tcPr>
            <w:tcW w:w="1288" w:type="dxa"/>
            <w:vAlign w:val="center"/>
          </w:tcPr>
          <w:p>
            <w:pPr>
              <w:jc w:val="center"/>
              <w:rPr>
                <w:color w:val="000000"/>
                <w:szCs w:val="21"/>
              </w:rPr>
            </w:pPr>
            <w:r>
              <w:rPr>
                <w:color w:val="000000"/>
                <w:szCs w:val="21"/>
              </w:rPr>
              <w:t>11</w:t>
            </w:r>
          </w:p>
        </w:tc>
        <w:tc>
          <w:tcPr>
            <w:tcW w:w="1287" w:type="dxa"/>
            <w:vAlign w:val="center"/>
          </w:tcPr>
          <w:p>
            <w:pPr>
              <w:jc w:val="center"/>
              <w:rPr>
                <w:color w:val="000000"/>
                <w:szCs w:val="21"/>
              </w:rPr>
            </w:pPr>
            <w:r>
              <w:rPr>
                <w:color w:val="00000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修正系数</w:t>
            </w:r>
          </w:p>
        </w:tc>
        <w:tc>
          <w:tcPr>
            <w:tcW w:w="1287" w:type="dxa"/>
            <w:vAlign w:val="center"/>
          </w:tcPr>
          <w:p>
            <w:pPr>
              <w:jc w:val="center"/>
              <w:rPr>
                <w:color w:val="000000"/>
                <w:sz w:val="22"/>
                <w:szCs w:val="22"/>
              </w:rPr>
            </w:pPr>
            <w:r>
              <w:rPr>
                <w:color w:val="000000"/>
                <w:sz w:val="22"/>
                <w:szCs w:val="22"/>
              </w:rPr>
              <w:t>0.3542</w:t>
            </w:r>
          </w:p>
        </w:tc>
        <w:tc>
          <w:tcPr>
            <w:tcW w:w="1288" w:type="dxa"/>
            <w:vAlign w:val="center"/>
          </w:tcPr>
          <w:p>
            <w:pPr>
              <w:jc w:val="center"/>
              <w:rPr>
                <w:color w:val="000000"/>
                <w:sz w:val="22"/>
                <w:szCs w:val="22"/>
              </w:rPr>
            </w:pPr>
            <w:r>
              <w:rPr>
                <w:color w:val="000000"/>
                <w:sz w:val="22"/>
                <w:szCs w:val="22"/>
              </w:rPr>
              <w:t>0.3940</w:t>
            </w:r>
          </w:p>
        </w:tc>
        <w:tc>
          <w:tcPr>
            <w:tcW w:w="1288" w:type="dxa"/>
            <w:vAlign w:val="center"/>
          </w:tcPr>
          <w:p>
            <w:pPr>
              <w:jc w:val="center"/>
              <w:rPr>
                <w:color w:val="000000"/>
                <w:sz w:val="22"/>
                <w:szCs w:val="22"/>
              </w:rPr>
            </w:pPr>
            <w:r>
              <w:rPr>
                <w:color w:val="000000"/>
                <w:sz w:val="22"/>
                <w:szCs w:val="22"/>
              </w:rPr>
              <w:t>0.4315</w:t>
            </w:r>
          </w:p>
        </w:tc>
        <w:tc>
          <w:tcPr>
            <w:tcW w:w="1287" w:type="dxa"/>
            <w:vAlign w:val="center"/>
          </w:tcPr>
          <w:p>
            <w:pPr>
              <w:jc w:val="center"/>
              <w:rPr>
                <w:color w:val="000000"/>
                <w:sz w:val="22"/>
                <w:szCs w:val="22"/>
              </w:rPr>
            </w:pPr>
            <w:r>
              <w:rPr>
                <w:color w:val="000000"/>
                <w:sz w:val="22"/>
                <w:szCs w:val="22"/>
              </w:rPr>
              <w:t>0.4670</w:t>
            </w:r>
          </w:p>
        </w:tc>
        <w:tc>
          <w:tcPr>
            <w:tcW w:w="1288" w:type="dxa"/>
            <w:vAlign w:val="center"/>
          </w:tcPr>
          <w:p>
            <w:pPr>
              <w:jc w:val="center"/>
              <w:rPr>
                <w:color w:val="000000"/>
                <w:sz w:val="22"/>
                <w:szCs w:val="22"/>
              </w:rPr>
            </w:pPr>
            <w:r>
              <w:rPr>
                <w:color w:val="000000"/>
                <w:sz w:val="22"/>
                <w:szCs w:val="22"/>
              </w:rPr>
              <w:t>0.5004</w:t>
            </w:r>
          </w:p>
        </w:tc>
        <w:tc>
          <w:tcPr>
            <w:tcW w:w="1287" w:type="dxa"/>
            <w:vAlign w:val="center"/>
          </w:tcPr>
          <w:p>
            <w:pPr>
              <w:jc w:val="center"/>
              <w:rPr>
                <w:color w:val="000000"/>
                <w:sz w:val="22"/>
                <w:szCs w:val="22"/>
              </w:rPr>
            </w:pPr>
            <w:r>
              <w:rPr>
                <w:color w:val="000000"/>
                <w:sz w:val="22"/>
                <w:szCs w:val="22"/>
              </w:rPr>
              <w:t>0.5319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使用年期</w:t>
            </w:r>
          </w:p>
        </w:tc>
        <w:tc>
          <w:tcPr>
            <w:tcW w:w="1287" w:type="dxa"/>
            <w:vAlign w:val="center"/>
          </w:tcPr>
          <w:p>
            <w:pPr>
              <w:jc w:val="center"/>
              <w:rPr>
                <w:color w:val="000000"/>
                <w:szCs w:val="21"/>
              </w:rPr>
            </w:pPr>
            <w:r>
              <w:rPr>
                <w:color w:val="000000"/>
                <w:szCs w:val="21"/>
              </w:rPr>
              <w:t>13</w:t>
            </w:r>
          </w:p>
        </w:tc>
        <w:tc>
          <w:tcPr>
            <w:tcW w:w="1288" w:type="dxa"/>
            <w:vAlign w:val="center"/>
          </w:tcPr>
          <w:p>
            <w:pPr>
              <w:jc w:val="center"/>
              <w:rPr>
                <w:color w:val="000000"/>
                <w:szCs w:val="21"/>
              </w:rPr>
            </w:pPr>
            <w:r>
              <w:rPr>
                <w:color w:val="000000"/>
                <w:szCs w:val="21"/>
              </w:rPr>
              <w:t>14</w:t>
            </w:r>
          </w:p>
        </w:tc>
        <w:tc>
          <w:tcPr>
            <w:tcW w:w="1288" w:type="dxa"/>
            <w:vAlign w:val="center"/>
          </w:tcPr>
          <w:p>
            <w:pPr>
              <w:jc w:val="center"/>
              <w:rPr>
                <w:color w:val="000000"/>
                <w:szCs w:val="21"/>
              </w:rPr>
            </w:pPr>
            <w:r>
              <w:rPr>
                <w:color w:val="000000"/>
                <w:szCs w:val="21"/>
              </w:rPr>
              <w:t>15</w:t>
            </w:r>
          </w:p>
        </w:tc>
        <w:tc>
          <w:tcPr>
            <w:tcW w:w="1287" w:type="dxa"/>
            <w:vAlign w:val="center"/>
          </w:tcPr>
          <w:p>
            <w:pPr>
              <w:jc w:val="center"/>
              <w:rPr>
                <w:color w:val="000000"/>
                <w:szCs w:val="21"/>
              </w:rPr>
            </w:pPr>
            <w:r>
              <w:rPr>
                <w:color w:val="000000"/>
                <w:szCs w:val="21"/>
              </w:rPr>
              <w:t>16</w:t>
            </w:r>
          </w:p>
        </w:tc>
        <w:tc>
          <w:tcPr>
            <w:tcW w:w="1288" w:type="dxa"/>
            <w:vAlign w:val="center"/>
          </w:tcPr>
          <w:p>
            <w:pPr>
              <w:jc w:val="center"/>
              <w:rPr>
                <w:color w:val="000000"/>
                <w:szCs w:val="21"/>
              </w:rPr>
            </w:pPr>
            <w:r>
              <w:rPr>
                <w:color w:val="000000"/>
                <w:szCs w:val="21"/>
              </w:rPr>
              <w:t>17</w:t>
            </w:r>
          </w:p>
        </w:tc>
        <w:tc>
          <w:tcPr>
            <w:tcW w:w="1287" w:type="dxa"/>
            <w:vAlign w:val="center"/>
          </w:tcPr>
          <w:p>
            <w:pPr>
              <w:jc w:val="center"/>
              <w:rPr>
                <w:color w:val="000000"/>
                <w:szCs w:val="21"/>
              </w:rPr>
            </w:pPr>
            <w:r>
              <w:rPr>
                <w:color w:val="00000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修正系数</w:t>
            </w:r>
          </w:p>
        </w:tc>
        <w:tc>
          <w:tcPr>
            <w:tcW w:w="1287" w:type="dxa"/>
            <w:vAlign w:val="center"/>
          </w:tcPr>
          <w:p>
            <w:pPr>
              <w:jc w:val="center"/>
              <w:rPr>
                <w:color w:val="000000"/>
                <w:sz w:val="22"/>
                <w:szCs w:val="22"/>
              </w:rPr>
            </w:pPr>
            <w:r>
              <w:rPr>
                <w:color w:val="000000"/>
                <w:sz w:val="22"/>
                <w:szCs w:val="22"/>
              </w:rPr>
              <w:t>0.5617</w:t>
            </w:r>
          </w:p>
        </w:tc>
        <w:tc>
          <w:tcPr>
            <w:tcW w:w="1288" w:type="dxa"/>
            <w:vAlign w:val="center"/>
          </w:tcPr>
          <w:p>
            <w:pPr>
              <w:jc w:val="center"/>
              <w:rPr>
                <w:color w:val="000000"/>
                <w:sz w:val="22"/>
                <w:szCs w:val="22"/>
              </w:rPr>
            </w:pPr>
            <w:r>
              <w:rPr>
                <w:color w:val="000000"/>
                <w:sz w:val="22"/>
                <w:szCs w:val="22"/>
              </w:rPr>
              <w:t>0.5897</w:t>
            </w:r>
          </w:p>
        </w:tc>
        <w:tc>
          <w:tcPr>
            <w:tcW w:w="1288" w:type="dxa"/>
            <w:vAlign w:val="center"/>
          </w:tcPr>
          <w:p>
            <w:pPr>
              <w:jc w:val="center"/>
              <w:rPr>
                <w:color w:val="000000"/>
                <w:sz w:val="22"/>
                <w:szCs w:val="22"/>
              </w:rPr>
            </w:pPr>
            <w:r>
              <w:rPr>
                <w:color w:val="000000"/>
                <w:sz w:val="22"/>
                <w:szCs w:val="22"/>
              </w:rPr>
              <w:t>0.6162</w:t>
            </w:r>
          </w:p>
        </w:tc>
        <w:tc>
          <w:tcPr>
            <w:tcW w:w="1287" w:type="dxa"/>
            <w:vAlign w:val="center"/>
          </w:tcPr>
          <w:p>
            <w:pPr>
              <w:jc w:val="center"/>
              <w:rPr>
                <w:color w:val="000000"/>
                <w:sz w:val="22"/>
                <w:szCs w:val="22"/>
              </w:rPr>
            </w:pPr>
            <w:r>
              <w:rPr>
                <w:color w:val="000000"/>
                <w:sz w:val="22"/>
                <w:szCs w:val="22"/>
              </w:rPr>
              <w:t>0.6412</w:t>
            </w:r>
          </w:p>
        </w:tc>
        <w:tc>
          <w:tcPr>
            <w:tcW w:w="1288" w:type="dxa"/>
            <w:vAlign w:val="center"/>
          </w:tcPr>
          <w:p>
            <w:pPr>
              <w:jc w:val="center"/>
              <w:rPr>
                <w:color w:val="000000"/>
                <w:sz w:val="22"/>
                <w:szCs w:val="22"/>
              </w:rPr>
            </w:pPr>
            <w:r>
              <w:rPr>
                <w:color w:val="000000"/>
                <w:sz w:val="22"/>
                <w:szCs w:val="22"/>
              </w:rPr>
              <w:t>0.6647</w:t>
            </w:r>
          </w:p>
        </w:tc>
        <w:tc>
          <w:tcPr>
            <w:tcW w:w="1287" w:type="dxa"/>
            <w:vAlign w:val="center"/>
          </w:tcPr>
          <w:p>
            <w:pPr>
              <w:jc w:val="center"/>
              <w:rPr>
                <w:color w:val="000000"/>
                <w:sz w:val="22"/>
                <w:szCs w:val="22"/>
              </w:rPr>
            </w:pPr>
            <w:r>
              <w:rPr>
                <w:color w:val="000000"/>
                <w:sz w:val="22"/>
                <w:szCs w:val="22"/>
              </w:rPr>
              <w:t>0.6869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36" w:type="dxa"/>
            <w:vAlign w:val="center"/>
          </w:tcPr>
          <w:p>
            <w:pPr>
              <w:widowControl/>
              <w:jc w:val="center"/>
              <w:rPr>
                <w:kern w:val="0"/>
              </w:rPr>
            </w:pPr>
            <w:r>
              <w:rPr>
                <w:kern w:val="0"/>
              </w:rPr>
              <w:t>使用年期</w:t>
            </w:r>
          </w:p>
        </w:tc>
        <w:tc>
          <w:tcPr>
            <w:tcW w:w="1287" w:type="dxa"/>
            <w:vAlign w:val="center"/>
          </w:tcPr>
          <w:p>
            <w:pPr>
              <w:jc w:val="center"/>
              <w:rPr>
                <w:color w:val="000000"/>
                <w:szCs w:val="21"/>
              </w:rPr>
            </w:pPr>
            <w:r>
              <w:rPr>
                <w:color w:val="000000"/>
                <w:szCs w:val="21"/>
              </w:rPr>
              <w:t>19</w:t>
            </w:r>
          </w:p>
        </w:tc>
        <w:tc>
          <w:tcPr>
            <w:tcW w:w="1288" w:type="dxa"/>
            <w:vAlign w:val="center"/>
          </w:tcPr>
          <w:p>
            <w:pPr>
              <w:jc w:val="center"/>
              <w:rPr>
                <w:color w:val="000000"/>
                <w:szCs w:val="21"/>
              </w:rPr>
            </w:pPr>
            <w:r>
              <w:rPr>
                <w:color w:val="000000"/>
                <w:szCs w:val="21"/>
              </w:rPr>
              <w:t>20</w:t>
            </w:r>
          </w:p>
        </w:tc>
        <w:tc>
          <w:tcPr>
            <w:tcW w:w="1288" w:type="dxa"/>
            <w:vAlign w:val="center"/>
          </w:tcPr>
          <w:p>
            <w:pPr>
              <w:jc w:val="center"/>
              <w:rPr>
                <w:color w:val="000000"/>
                <w:szCs w:val="21"/>
              </w:rPr>
            </w:pPr>
            <w:r>
              <w:rPr>
                <w:color w:val="000000"/>
                <w:szCs w:val="21"/>
              </w:rPr>
              <w:t>21</w:t>
            </w:r>
          </w:p>
        </w:tc>
        <w:tc>
          <w:tcPr>
            <w:tcW w:w="1287" w:type="dxa"/>
            <w:vAlign w:val="center"/>
          </w:tcPr>
          <w:p>
            <w:pPr>
              <w:jc w:val="center"/>
              <w:rPr>
                <w:color w:val="000000"/>
                <w:szCs w:val="21"/>
              </w:rPr>
            </w:pPr>
            <w:r>
              <w:rPr>
                <w:color w:val="000000"/>
                <w:szCs w:val="21"/>
              </w:rPr>
              <w:t>22</w:t>
            </w:r>
          </w:p>
        </w:tc>
        <w:tc>
          <w:tcPr>
            <w:tcW w:w="1288" w:type="dxa"/>
            <w:vAlign w:val="center"/>
          </w:tcPr>
          <w:p>
            <w:pPr>
              <w:jc w:val="center"/>
              <w:rPr>
                <w:color w:val="000000"/>
                <w:szCs w:val="21"/>
              </w:rPr>
            </w:pPr>
            <w:r>
              <w:rPr>
                <w:color w:val="000000"/>
                <w:szCs w:val="21"/>
              </w:rPr>
              <w:t>23</w:t>
            </w:r>
          </w:p>
        </w:tc>
        <w:tc>
          <w:tcPr>
            <w:tcW w:w="1287" w:type="dxa"/>
            <w:vAlign w:val="center"/>
          </w:tcPr>
          <w:p>
            <w:pPr>
              <w:jc w:val="center"/>
              <w:rPr>
                <w:color w:val="000000"/>
                <w:szCs w:val="21"/>
              </w:rPr>
            </w:pPr>
            <w:r>
              <w:rPr>
                <w:color w:val="000000"/>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修正系数</w:t>
            </w:r>
          </w:p>
        </w:tc>
        <w:tc>
          <w:tcPr>
            <w:tcW w:w="1287" w:type="dxa"/>
            <w:vAlign w:val="center"/>
          </w:tcPr>
          <w:p>
            <w:pPr>
              <w:jc w:val="center"/>
              <w:rPr>
                <w:color w:val="000000"/>
                <w:sz w:val="22"/>
                <w:szCs w:val="22"/>
              </w:rPr>
            </w:pPr>
            <w:r>
              <w:rPr>
                <w:color w:val="000000"/>
                <w:sz w:val="22"/>
                <w:szCs w:val="22"/>
              </w:rPr>
              <w:t>0.7079</w:t>
            </w:r>
          </w:p>
        </w:tc>
        <w:tc>
          <w:tcPr>
            <w:tcW w:w="1288" w:type="dxa"/>
            <w:vAlign w:val="center"/>
          </w:tcPr>
          <w:p>
            <w:pPr>
              <w:jc w:val="center"/>
              <w:rPr>
                <w:color w:val="000000"/>
                <w:sz w:val="22"/>
                <w:szCs w:val="22"/>
              </w:rPr>
            </w:pPr>
            <w:r>
              <w:rPr>
                <w:color w:val="000000"/>
                <w:sz w:val="22"/>
                <w:szCs w:val="22"/>
              </w:rPr>
              <w:t>0.7277</w:t>
            </w:r>
          </w:p>
        </w:tc>
        <w:tc>
          <w:tcPr>
            <w:tcW w:w="1288" w:type="dxa"/>
            <w:vAlign w:val="center"/>
          </w:tcPr>
          <w:p>
            <w:pPr>
              <w:jc w:val="center"/>
              <w:rPr>
                <w:color w:val="000000"/>
                <w:sz w:val="22"/>
                <w:szCs w:val="22"/>
              </w:rPr>
            </w:pPr>
            <w:r>
              <w:rPr>
                <w:color w:val="000000"/>
                <w:sz w:val="22"/>
                <w:szCs w:val="22"/>
              </w:rPr>
              <w:t>0.7464</w:t>
            </w:r>
          </w:p>
        </w:tc>
        <w:tc>
          <w:tcPr>
            <w:tcW w:w="1287" w:type="dxa"/>
            <w:vAlign w:val="center"/>
          </w:tcPr>
          <w:p>
            <w:pPr>
              <w:jc w:val="center"/>
              <w:rPr>
                <w:color w:val="000000"/>
                <w:sz w:val="22"/>
                <w:szCs w:val="22"/>
              </w:rPr>
            </w:pPr>
            <w:r>
              <w:rPr>
                <w:color w:val="000000"/>
                <w:sz w:val="22"/>
                <w:szCs w:val="22"/>
              </w:rPr>
              <w:t>0.7640</w:t>
            </w:r>
          </w:p>
        </w:tc>
        <w:tc>
          <w:tcPr>
            <w:tcW w:w="1288" w:type="dxa"/>
            <w:vAlign w:val="center"/>
          </w:tcPr>
          <w:p>
            <w:pPr>
              <w:jc w:val="center"/>
              <w:rPr>
                <w:color w:val="000000"/>
                <w:sz w:val="22"/>
                <w:szCs w:val="22"/>
              </w:rPr>
            </w:pPr>
            <w:r>
              <w:rPr>
                <w:color w:val="000000"/>
                <w:sz w:val="22"/>
                <w:szCs w:val="22"/>
              </w:rPr>
              <w:t>0.7806</w:t>
            </w:r>
          </w:p>
        </w:tc>
        <w:tc>
          <w:tcPr>
            <w:tcW w:w="1287" w:type="dxa"/>
            <w:vAlign w:val="center"/>
          </w:tcPr>
          <w:p>
            <w:pPr>
              <w:jc w:val="center"/>
              <w:rPr>
                <w:color w:val="000000"/>
                <w:sz w:val="22"/>
                <w:szCs w:val="22"/>
              </w:rPr>
            </w:pPr>
            <w:r>
              <w:rPr>
                <w:color w:val="000000"/>
                <w:sz w:val="22"/>
                <w:szCs w:val="22"/>
              </w:rPr>
              <w:t>0.7962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使用年期</w:t>
            </w:r>
          </w:p>
        </w:tc>
        <w:tc>
          <w:tcPr>
            <w:tcW w:w="1287" w:type="dxa"/>
            <w:vAlign w:val="center"/>
          </w:tcPr>
          <w:p>
            <w:pPr>
              <w:jc w:val="center"/>
              <w:rPr>
                <w:color w:val="000000"/>
                <w:szCs w:val="21"/>
              </w:rPr>
            </w:pPr>
            <w:r>
              <w:rPr>
                <w:color w:val="000000"/>
                <w:szCs w:val="21"/>
              </w:rPr>
              <w:t>25</w:t>
            </w:r>
          </w:p>
        </w:tc>
        <w:tc>
          <w:tcPr>
            <w:tcW w:w="1288" w:type="dxa"/>
            <w:vAlign w:val="center"/>
          </w:tcPr>
          <w:p>
            <w:pPr>
              <w:jc w:val="center"/>
              <w:rPr>
                <w:color w:val="000000"/>
                <w:szCs w:val="21"/>
              </w:rPr>
            </w:pPr>
            <w:r>
              <w:rPr>
                <w:color w:val="000000"/>
                <w:szCs w:val="21"/>
              </w:rPr>
              <w:t>26</w:t>
            </w:r>
          </w:p>
        </w:tc>
        <w:tc>
          <w:tcPr>
            <w:tcW w:w="1288" w:type="dxa"/>
            <w:vAlign w:val="center"/>
          </w:tcPr>
          <w:p>
            <w:pPr>
              <w:jc w:val="center"/>
              <w:rPr>
                <w:color w:val="000000"/>
                <w:szCs w:val="21"/>
              </w:rPr>
            </w:pPr>
            <w:r>
              <w:rPr>
                <w:color w:val="000000"/>
                <w:szCs w:val="21"/>
              </w:rPr>
              <w:t>27</w:t>
            </w:r>
          </w:p>
        </w:tc>
        <w:tc>
          <w:tcPr>
            <w:tcW w:w="1287" w:type="dxa"/>
            <w:vAlign w:val="center"/>
          </w:tcPr>
          <w:p>
            <w:pPr>
              <w:jc w:val="center"/>
              <w:rPr>
                <w:color w:val="000000"/>
                <w:szCs w:val="21"/>
              </w:rPr>
            </w:pPr>
            <w:r>
              <w:rPr>
                <w:color w:val="000000"/>
                <w:szCs w:val="21"/>
              </w:rPr>
              <w:t>28</w:t>
            </w:r>
          </w:p>
        </w:tc>
        <w:tc>
          <w:tcPr>
            <w:tcW w:w="1288" w:type="dxa"/>
            <w:vAlign w:val="center"/>
          </w:tcPr>
          <w:p>
            <w:pPr>
              <w:jc w:val="center"/>
              <w:rPr>
                <w:color w:val="000000"/>
                <w:szCs w:val="21"/>
              </w:rPr>
            </w:pPr>
            <w:r>
              <w:rPr>
                <w:color w:val="000000"/>
                <w:szCs w:val="21"/>
              </w:rPr>
              <w:t>29</w:t>
            </w:r>
          </w:p>
        </w:tc>
        <w:tc>
          <w:tcPr>
            <w:tcW w:w="1287" w:type="dxa"/>
            <w:vAlign w:val="center"/>
          </w:tcPr>
          <w:p>
            <w:pPr>
              <w:jc w:val="center"/>
              <w:rPr>
                <w:color w:val="000000"/>
                <w:szCs w:val="21"/>
              </w:rPr>
            </w:pPr>
            <w:r>
              <w:rPr>
                <w:color w:val="00000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修正系数</w:t>
            </w:r>
          </w:p>
        </w:tc>
        <w:tc>
          <w:tcPr>
            <w:tcW w:w="1287" w:type="dxa"/>
            <w:vAlign w:val="center"/>
          </w:tcPr>
          <w:p>
            <w:pPr>
              <w:jc w:val="center"/>
              <w:rPr>
                <w:color w:val="000000"/>
                <w:sz w:val="22"/>
                <w:szCs w:val="22"/>
              </w:rPr>
            </w:pPr>
            <w:r>
              <w:rPr>
                <w:color w:val="000000"/>
                <w:sz w:val="22"/>
                <w:szCs w:val="22"/>
              </w:rPr>
              <w:t>0.8110</w:t>
            </w:r>
          </w:p>
        </w:tc>
        <w:tc>
          <w:tcPr>
            <w:tcW w:w="1288" w:type="dxa"/>
            <w:vAlign w:val="center"/>
          </w:tcPr>
          <w:p>
            <w:pPr>
              <w:jc w:val="center"/>
              <w:rPr>
                <w:color w:val="000000"/>
                <w:sz w:val="22"/>
                <w:szCs w:val="22"/>
              </w:rPr>
            </w:pPr>
            <w:r>
              <w:rPr>
                <w:color w:val="000000"/>
                <w:sz w:val="22"/>
                <w:szCs w:val="22"/>
              </w:rPr>
              <w:t>0.8250</w:t>
            </w:r>
          </w:p>
        </w:tc>
        <w:tc>
          <w:tcPr>
            <w:tcW w:w="1288" w:type="dxa"/>
            <w:vAlign w:val="center"/>
          </w:tcPr>
          <w:p>
            <w:pPr>
              <w:jc w:val="center"/>
              <w:rPr>
                <w:color w:val="000000"/>
                <w:sz w:val="22"/>
                <w:szCs w:val="22"/>
              </w:rPr>
            </w:pPr>
            <w:r>
              <w:rPr>
                <w:color w:val="000000"/>
                <w:sz w:val="22"/>
                <w:szCs w:val="22"/>
              </w:rPr>
              <w:t>0.8381</w:t>
            </w:r>
          </w:p>
        </w:tc>
        <w:tc>
          <w:tcPr>
            <w:tcW w:w="1287" w:type="dxa"/>
            <w:vAlign w:val="center"/>
          </w:tcPr>
          <w:p>
            <w:pPr>
              <w:jc w:val="center"/>
              <w:rPr>
                <w:color w:val="000000"/>
                <w:sz w:val="22"/>
                <w:szCs w:val="22"/>
              </w:rPr>
            </w:pPr>
            <w:r>
              <w:rPr>
                <w:color w:val="000000"/>
                <w:sz w:val="22"/>
                <w:szCs w:val="22"/>
              </w:rPr>
              <w:t>0.8505</w:t>
            </w:r>
          </w:p>
        </w:tc>
        <w:tc>
          <w:tcPr>
            <w:tcW w:w="1288" w:type="dxa"/>
            <w:vAlign w:val="center"/>
          </w:tcPr>
          <w:p>
            <w:pPr>
              <w:jc w:val="center"/>
              <w:rPr>
                <w:color w:val="000000"/>
                <w:sz w:val="22"/>
                <w:szCs w:val="22"/>
              </w:rPr>
            </w:pPr>
            <w:r>
              <w:rPr>
                <w:color w:val="000000"/>
                <w:sz w:val="22"/>
                <w:szCs w:val="22"/>
              </w:rPr>
              <w:t>0.8623</w:t>
            </w:r>
          </w:p>
        </w:tc>
        <w:tc>
          <w:tcPr>
            <w:tcW w:w="1287" w:type="dxa"/>
            <w:vAlign w:val="center"/>
          </w:tcPr>
          <w:p>
            <w:pPr>
              <w:jc w:val="center"/>
              <w:rPr>
                <w:color w:val="000000"/>
                <w:sz w:val="22"/>
                <w:szCs w:val="22"/>
              </w:rPr>
            </w:pPr>
            <w:r>
              <w:rPr>
                <w:color w:val="000000"/>
                <w:sz w:val="22"/>
                <w:szCs w:val="22"/>
              </w:rPr>
              <w:t>0.8733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使用年期</w:t>
            </w:r>
          </w:p>
        </w:tc>
        <w:tc>
          <w:tcPr>
            <w:tcW w:w="1287" w:type="dxa"/>
            <w:vAlign w:val="center"/>
          </w:tcPr>
          <w:p>
            <w:pPr>
              <w:jc w:val="center"/>
              <w:rPr>
                <w:color w:val="000000"/>
                <w:szCs w:val="21"/>
              </w:rPr>
            </w:pPr>
            <w:r>
              <w:rPr>
                <w:color w:val="000000"/>
                <w:szCs w:val="21"/>
              </w:rPr>
              <w:t>31</w:t>
            </w:r>
          </w:p>
        </w:tc>
        <w:tc>
          <w:tcPr>
            <w:tcW w:w="1288" w:type="dxa"/>
            <w:vAlign w:val="center"/>
          </w:tcPr>
          <w:p>
            <w:pPr>
              <w:jc w:val="center"/>
              <w:rPr>
                <w:color w:val="000000"/>
                <w:szCs w:val="21"/>
              </w:rPr>
            </w:pPr>
            <w:r>
              <w:rPr>
                <w:color w:val="000000"/>
                <w:szCs w:val="21"/>
              </w:rPr>
              <w:t>32</w:t>
            </w:r>
          </w:p>
        </w:tc>
        <w:tc>
          <w:tcPr>
            <w:tcW w:w="1288" w:type="dxa"/>
            <w:vAlign w:val="center"/>
          </w:tcPr>
          <w:p>
            <w:pPr>
              <w:jc w:val="center"/>
              <w:rPr>
                <w:color w:val="000000"/>
                <w:szCs w:val="21"/>
              </w:rPr>
            </w:pPr>
            <w:r>
              <w:rPr>
                <w:color w:val="000000"/>
                <w:szCs w:val="21"/>
              </w:rPr>
              <w:t>33</w:t>
            </w:r>
          </w:p>
        </w:tc>
        <w:tc>
          <w:tcPr>
            <w:tcW w:w="1287" w:type="dxa"/>
            <w:vAlign w:val="center"/>
          </w:tcPr>
          <w:p>
            <w:pPr>
              <w:jc w:val="center"/>
              <w:rPr>
                <w:color w:val="000000"/>
                <w:szCs w:val="21"/>
              </w:rPr>
            </w:pPr>
            <w:r>
              <w:rPr>
                <w:color w:val="000000"/>
                <w:szCs w:val="21"/>
              </w:rPr>
              <w:t>34</w:t>
            </w:r>
          </w:p>
        </w:tc>
        <w:tc>
          <w:tcPr>
            <w:tcW w:w="1288" w:type="dxa"/>
            <w:vAlign w:val="center"/>
          </w:tcPr>
          <w:p>
            <w:pPr>
              <w:jc w:val="center"/>
              <w:rPr>
                <w:color w:val="000000"/>
                <w:szCs w:val="21"/>
              </w:rPr>
            </w:pPr>
            <w:r>
              <w:rPr>
                <w:color w:val="000000"/>
                <w:szCs w:val="21"/>
              </w:rPr>
              <w:t>35</w:t>
            </w:r>
          </w:p>
        </w:tc>
        <w:tc>
          <w:tcPr>
            <w:tcW w:w="1287" w:type="dxa"/>
            <w:vAlign w:val="center"/>
          </w:tcPr>
          <w:p>
            <w:pPr>
              <w:jc w:val="center"/>
              <w:rPr>
                <w:color w:val="000000"/>
                <w:szCs w:val="21"/>
              </w:rPr>
            </w:pPr>
            <w:r>
              <w:rPr>
                <w:color w:val="00000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修正系数</w:t>
            </w:r>
          </w:p>
        </w:tc>
        <w:tc>
          <w:tcPr>
            <w:tcW w:w="1287" w:type="dxa"/>
            <w:vAlign w:val="center"/>
          </w:tcPr>
          <w:p>
            <w:pPr>
              <w:jc w:val="center"/>
              <w:rPr>
                <w:color w:val="000000"/>
                <w:sz w:val="22"/>
                <w:szCs w:val="22"/>
              </w:rPr>
            </w:pPr>
            <w:r>
              <w:rPr>
                <w:color w:val="000000"/>
                <w:sz w:val="22"/>
                <w:szCs w:val="22"/>
              </w:rPr>
              <w:t>0.8837</w:t>
            </w:r>
          </w:p>
        </w:tc>
        <w:tc>
          <w:tcPr>
            <w:tcW w:w="1288" w:type="dxa"/>
            <w:vAlign w:val="center"/>
          </w:tcPr>
          <w:p>
            <w:pPr>
              <w:jc w:val="center"/>
              <w:rPr>
                <w:color w:val="000000"/>
                <w:sz w:val="22"/>
                <w:szCs w:val="22"/>
              </w:rPr>
            </w:pPr>
            <w:r>
              <w:rPr>
                <w:color w:val="000000"/>
                <w:sz w:val="22"/>
                <w:szCs w:val="22"/>
              </w:rPr>
              <w:t>0.8936</w:t>
            </w:r>
          </w:p>
        </w:tc>
        <w:tc>
          <w:tcPr>
            <w:tcW w:w="1288" w:type="dxa"/>
            <w:vAlign w:val="center"/>
          </w:tcPr>
          <w:p>
            <w:pPr>
              <w:jc w:val="center"/>
              <w:rPr>
                <w:color w:val="000000"/>
                <w:sz w:val="22"/>
                <w:szCs w:val="22"/>
              </w:rPr>
            </w:pPr>
            <w:r>
              <w:rPr>
                <w:color w:val="000000"/>
                <w:sz w:val="22"/>
                <w:szCs w:val="22"/>
              </w:rPr>
              <w:t>0.9028</w:t>
            </w:r>
          </w:p>
        </w:tc>
        <w:tc>
          <w:tcPr>
            <w:tcW w:w="1287" w:type="dxa"/>
            <w:vAlign w:val="center"/>
          </w:tcPr>
          <w:p>
            <w:pPr>
              <w:jc w:val="center"/>
              <w:rPr>
                <w:color w:val="000000"/>
                <w:sz w:val="22"/>
                <w:szCs w:val="22"/>
              </w:rPr>
            </w:pPr>
            <w:r>
              <w:rPr>
                <w:color w:val="000000"/>
                <w:sz w:val="22"/>
                <w:szCs w:val="22"/>
              </w:rPr>
              <w:t>0.9116</w:t>
            </w:r>
          </w:p>
        </w:tc>
        <w:tc>
          <w:tcPr>
            <w:tcW w:w="1288" w:type="dxa"/>
            <w:vAlign w:val="center"/>
          </w:tcPr>
          <w:p>
            <w:pPr>
              <w:jc w:val="center"/>
              <w:rPr>
                <w:color w:val="000000"/>
                <w:sz w:val="22"/>
                <w:szCs w:val="22"/>
              </w:rPr>
            </w:pPr>
            <w:r>
              <w:rPr>
                <w:color w:val="000000"/>
                <w:sz w:val="22"/>
                <w:szCs w:val="22"/>
              </w:rPr>
              <w:t>0.9198</w:t>
            </w:r>
          </w:p>
        </w:tc>
        <w:tc>
          <w:tcPr>
            <w:tcW w:w="1287" w:type="dxa"/>
            <w:vAlign w:val="center"/>
          </w:tcPr>
          <w:p>
            <w:pPr>
              <w:jc w:val="center"/>
              <w:rPr>
                <w:color w:val="000000"/>
                <w:sz w:val="22"/>
                <w:szCs w:val="22"/>
              </w:rPr>
            </w:pPr>
            <w:r>
              <w:rPr>
                <w:color w:val="000000"/>
                <w:sz w:val="22"/>
                <w:szCs w:val="22"/>
              </w:rPr>
              <w:t>0.9276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使用年期</w:t>
            </w:r>
          </w:p>
        </w:tc>
        <w:tc>
          <w:tcPr>
            <w:tcW w:w="1287" w:type="dxa"/>
            <w:vAlign w:val="center"/>
          </w:tcPr>
          <w:p>
            <w:pPr>
              <w:jc w:val="center"/>
              <w:rPr>
                <w:color w:val="000000"/>
                <w:szCs w:val="21"/>
              </w:rPr>
            </w:pPr>
            <w:r>
              <w:rPr>
                <w:color w:val="000000"/>
                <w:szCs w:val="21"/>
              </w:rPr>
              <w:t>37</w:t>
            </w:r>
          </w:p>
        </w:tc>
        <w:tc>
          <w:tcPr>
            <w:tcW w:w="1288" w:type="dxa"/>
            <w:vAlign w:val="center"/>
          </w:tcPr>
          <w:p>
            <w:pPr>
              <w:jc w:val="center"/>
              <w:rPr>
                <w:color w:val="000000"/>
                <w:szCs w:val="21"/>
              </w:rPr>
            </w:pPr>
            <w:r>
              <w:rPr>
                <w:color w:val="000000"/>
                <w:szCs w:val="21"/>
              </w:rPr>
              <w:t>38</w:t>
            </w:r>
          </w:p>
        </w:tc>
        <w:tc>
          <w:tcPr>
            <w:tcW w:w="1288" w:type="dxa"/>
            <w:vAlign w:val="center"/>
          </w:tcPr>
          <w:p>
            <w:pPr>
              <w:jc w:val="center"/>
              <w:rPr>
                <w:color w:val="000000"/>
                <w:szCs w:val="21"/>
              </w:rPr>
            </w:pPr>
            <w:r>
              <w:rPr>
                <w:color w:val="000000"/>
                <w:szCs w:val="21"/>
              </w:rPr>
              <w:t>39</w:t>
            </w:r>
          </w:p>
        </w:tc>
        <w:tc>
          <w:tcPr>
            <w:tcW w:w="1287" w:type="dxa"/>
            <w:vAlign w:val="center"/>
          </w:tcPr>
          <w:p>
            <w:pPr>
              <w:jc w:val="center"/>
              <w:rPr>
                <w:color w:val="000000"/>
                <w:szCs w:val="21"/>
              </w:rPr>
            </w:pPr>
            <w:r>
              <w:rPr>
                <w:color w:val="000000"/>
                <w:szCs w:val="21"/>
              </w:rPr>
              <w:t>40</w:t>
            </w:r>
          </w:p>
        </w:tc>
        <w:tc>
          <w:tcPr>
            <w:tcW w:w="1288" w:type="dxa"/>
            <w:vAlign w:val="center"/>
          </w:tcPr>
          <w:p>
            <w:pPr>
              <w:jc w:val="center"/>
              <w:rPr>
                <w:color w:val="000000"/>
                <w:szCs w:val="21"/>
              </w:rPr>
            </w:pPr>
            <w:r>
              <w:rPr>
                <w:color w:val="000000"/>
                <w:szCs w:val="21"/>
              </w:rPr>
              <w:t>41</w:t>
            </w:r>
          </w:p>
        </w:tc>
        <w:tc>
          <w:tcPr>
            <w:tcW w:w="1287" w:type="dxa"/>
            <w:vAlign w:val="center"/>
          </w:tcPr>
          <w:p>
            <w:pPr>
              <w:jc w:val="center"/>
              <w:rPr>
                <w:color w:val="000000"/>
                <w:szCs w:val="21"/>
              </w:rPr>
            </w:pPr>
            <w:r>
              <w:rPr>
                <w:color w:val="000000"/>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修正系数</w:t>
            </w:r>
          </w:p>
        </w:tc>
        <w:tc>
          <w:tcPr>
            <w:tcW w:w="1287" w:type="dxa"/>
            <w:vAlign w:val="center"/>
          </w:tcPr>
          <w:p>
            <w:pPr>
              <w:jc w:val="center"/>
              <w:rPr>
                <w:color w:val="000000"/>
                <w:sz w:val="22"/>
                <w:szCs w:val="22"/>
              </w:rPr>
            </w:pPr>
            <w:r>
              <w:rPr>
                <w:color w:val="000000"/>
                <w:sz w:val="22"/>
                <w:szCs w:val="22"/>
              </w:rPr>
              <w:t>0.9350</w:t>
            </w:r>
          </w:p>
        </w:tc>
        <w:tc>
          <w:tcPr>
            <w:tcW w:w="1288" w:type="dxa"/>
            <w:vAlign w:val="center"/>
          </w:tcPr>
          <w:p>
            <w:pPr>
              <w:jc w:val="center"/>
              <w:rPr>
                <w:color w:val="000000"/>
                <w:sz w:val="22"/>
                <w:szCs w:val="22"/>
              </w:rPr>
            </w:pPr>
            <w:r>
              <w:rPr>
                <w:color w:val="000000"/>
                <w:sz w:val="22"/>
                <w:szCs w:val="22"/>
              </w:rPr>
              <w:t>0.9419</w:t>
            </w:r>
          </w:p>
        </w:tc>
        <w:tc>
          <w:tcPr>
            <w:tcW w:w="1288" w:type="dxa"/>
            <w:vAlign w:val="center"/>
          </w:tcPr>
          <w:p>
            <w:pPr>
              <w:jc w:val="center"/>
              <w:rPr>
                <w:color w:val="000000"/>
                <w:sz w:val="22"/>
                <w:szCs w:val="22"/>
              </w:rPr>
            </w:pPr>
            <w:r>
              <w:rPr>
                <w:color w:val="000000"/>
                <w:sz w:val="22"/>
                <w:szCs w:val="22"/>
              </w:rPr>
              <w:t>0.9484</w:t>
            </w:r>
          </w:p>
        </w:tc>
        <w:tc>
          <w:tcPr>
            <w:tcW w:w="1287" w:type="dxa"/>
            <w:vAlign w:val="center"/>
          </w:tcPr>
          <w:p>
            <w:pPr>
              <w:jc w:val="center"/>
              <w:rPr>
                <w:color w:val="000000"/>
                <w:sz w:val="22"/>
                <w:szCs w:val="22"/>
              </w:rPr>
            </w:pPr>
            <w:r>
              <w:rPr>
                <w:color w:val="000000"/>
                <w:sz w:val="22"/>
                <w:szCs w:val="22"/>
              </w:rPr>
              <w:t>0.9546</w:t>
            </w:r>
          </w:p>
        </w:tc>
        <w:tc>
          <w:tcPr>
            <w:tcW w:w="1288" w:type="dxa"/>
            <w:vAlign w:val="center"/>
          </w:tcPr>
          <w:p>
            <w:pPr>
              <w:jc w:val="center"/>
              <w:rPr>
                <w:color w:val="000000"/>
                <w:sz w:val="22"/>
                <w:szCs w:val="22"/>
              </w:rPr>
            </w:pPr>
            <w:r>
              <w:rPr>
                <w:color w:val="000000"/>
                <w:sz w:val="22"/>
                <w:szCs w:val="22"/>
              </w:rPr>
              <w:t>0.9604</w:t>
            </w:r>
          </w:p>
        </w:tc>
        <w:tc>
          <w:tcPr>
            <w:tcW w:w="1287" w:type="dxa"/>
            <w:vAlign w:val="center"/>
          </w:tcPr>
          <w:p>
            <w:pPr>
              <w:jc w:val="center"/>
              <w:rPr>
                <w:color w:val="000000"/>
                <w:sz w:val="22"/>
                <w:szCs w:val="22"/>
              </w:rPr>
            </w:pPr>
            <w:r>
              <w:rPr>
                <w:color w:val="000000"/>
                <w:sz w:val="22"/>
                <w:szCs w:val="22"/>
              </w:rPr>
              <w:t>0.9659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使用年期</w:t>
            </w:r>
          </w:p>
        </w:tc>
        <w:tc>
          <w:tcPr>
            <w:tcW w:w="1287" w:type="dxa"/>
            <w:vAlign w:val="center"/>
          </w:tcPr>
          <w:p>
            <w:pPr>
              <w:jc w:val="center"/>
              <w:rPr>
                <w:color w:val="000000"/>
                <w:szCs w:val="21"/>
              </w:rPr>
            </w:pPr>
            <w:r>
              <w:rPr>
                <w:color w:val="000000"/>
                <w:szCs w:val="21"/>
              </w:rPr>
              <w:t>43</w:t>
            </w:r>
          </w:p>
        </w:tc>
        <w:tc>
          <w:tcPr>
            <w:tcW w:w="1288" w:type="dxa"/>
            <w:vAlign w:val="center"/>
          </w:tcPr>
          <w:p>
            <w:pPr>
              <w:jc w:val="center"/>
              <w:rPr>
                <w:color w:val="000000"/>
                <w:szCs w:val="21"/>
              </w:rPr>
            </w:pPr>
            <w:r>
              <w:rPr>
                <w:color w:val="000000"/>
                <w:szCs w:val="21"/>
              </w:rPr>
              <w:t>44</w:t>
            </w:r>
          </w:p>
        </w:tc>
        <w:tc>
          <w:tcPr>
            <w:tcW w:w="1288" w:type="dxa"/>
            <w:vAlign w:val="center"/>
          </w:tcPr>
          <w:p>
            <w:pPr>
              <w:jc w:val="center"/>
              <w:rPr>
                <w:color w:val="000000"/>
                <w:szCs w:val="21"/>
              </w:rPr>
            </w:pPr>
            <w:r>
              <w:rPr>
                <w:color w:val="000000"/>
                <w:szCs w:val="21"/>
              </w:rPr>
              <w:t>45</w:t>
            </w:r>
          </w:p>
        </w:tc>
        <w:tc>
          <w:tcPr>
            <w:tcW w:w="1287" w:type="dxa"/>
            <w:vAlign w:val="center"/>
          </w:tcPr>
          <w:p>
            <w:pPr>
              <w:jc w:val="center"/>
              <w:rPr>
                <w:color w:val="000000"/>
                <w:szCs w:val="21"/>
              </w:rPr>
            </w:pPr>
            <w:r>
              <w:rPr>
                <w:color w:val="000000"/>
                <w:szCs w:val="21"/>
              </w:rPr>
              <w:t>46</w:t>
            </w:r>
          </w:p>
        </w:tc>
        <w:tc>
          <w:tcPr>
            <w:tcW w:w="1288" w:type="dxa"/>
            <w:vAlign w:val="center"/>
          </w:tcPr>
          <w:p>
            <w:pPr>
              <w:jc w:val="center"/>
              <w:rPr>
                <w:color w:val="000000"/>
                <w:szCs w:val="21"/>
              </w:rPr>
            </w:pPr>
            <w:r>
              <w:rPr>
                <w:color w:val="000000"/>
                <w:szCs w:val="21"/>
              </w:rPr>
              <w:t>47</w:t>
            </w:r>
          </w:p>
        </w:tc>
        <w:tc>
          <w:tcPr>
            <w:tcW w:w="1287" w:type="dxa"/>
            <w:vAlign w:val="center"/>
          </w:tcPr>
          <w:p>
            <w:pPr>
              <w:jc w:val="center"/>
              <w:rPr>
                <w:color w:val="000000"/>
                <w:szCs w:val="21"/>
              </w:rPr>
            </w:pPr>
            <w:r>
              <w:rPr>
                <w:color w:val="000000"/>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修正系数</w:t>
            </w:r>
          </w:p>
        </w:tc>
        <w:tc>
          <w:tcPr>
            <w:tcW w:w="1287" w:type="dxa"/>
            <w:vAlign w:val="center"/>
          </w:tcPr>
          <w:p>
            <w:pPr>
              <w:jc w:val="center"/>
              <w:rPr>
                <w:color w:val="000000"/>
                <w:sz w:val="22"/>
                <w:szCs w:val="22"/>
              </w:rPr>
            </w:pPr>
            <w:r>
              <w:rPr>
                <w:color w:val="000000"/>
                <w:sz w:val="22"/>
                <w:szCs w:val="22"/>
              </w:rPr>
              <w:t>0.9711</w:t>
            </w:r>
          </w:p>
        </w:tc>
        <w:tc>
          <w:tcPr>
            <w:tcW w:w="1288" w:type="dxa"/>
            <w:vAlign w:val="center"/>
          </w:tcPr>
          <w:p>
            <w:pPr>
              <w:jc w:val="center"/>
              <w:rPr>
                <w:color w:val="000000"/>
                <w:sz w:val="22"/>
                <w:szCs w:val="22"/>
              </w:rPr>
            </w:pPr>
            <w:r>
              <w:rPr>
                <w:color w:val="000000"/>
                <w:sz w:val="22"/>
                <w:szCs w:val="22"/>
              </w:rPr>
              <w:t>0.9760</w:t>
            </w:r>
          </w:p>
        </w:tc>
        <w:tc>
          <w:tcPr>
            <w:tcW w:w="1288" w:type="dxa"/>
            <w:vAlign w:val="center"/>
          </w:tcPr>
          <w:p>
            <w:pPr>
              <w:jc w:val="center"/>
              <w:rPr>
                <w:color w:val="000000"/>
                <w:sz w:val="22"/>
                <w:szCs w:val="22"/>
              </w:rPr>
            </w:pPr>
            <w:r>
              <w:rPr>
                <w:color w:val="000000"/>
                <w:sz w:val="22"/>
                <w:szCs w:val="22"/>
              </w:rPr>
              <w:t>0.9806</w:t>
            </w:r>
          </w:p>
        </w:tc>
        <w:tc>
          <w:tcPr>
            <w:tcW w:w="1287" w:type="dxa"/>
            <w:vAlign w:val="center"/>
          </w:tcPr>
          <w:p>
            <w:pPr>
              <w:jc w:val="center"/>
              <w:rPr>
                <w:color w:val="000000"/>
                <w:sz w:val="22"/>
                <w:szCs w:val="22"/>
              </w:rPr>
            </w:pPr>
            <w:r>
              <w:rPr>
                <w:color w:val="000000"/>
                <w:sz w:val="22"/>
                <w:szCs w:val="22"/>
              </w:rPr>
              <w:t>0.9849</w:t>
            </w:r>
          </w:p>
        </w:tc>
        <w:tc>
          <w:tcPr>
            <w:tcW w:w="1288" w:type="dxa"/>
            <w:vAlign w:val="center"/>
          </w:tcPr>
          <w:p>
            <w:pPr>
              <w:jc w:val="center"/>
              <w:rPr>
                <w:color w:val="000000"/>
                <w:sz w:val="22"/>
                <w:szCs w:val="22"/>
              </w:rPr>
            </w:pPr>
            <w:r>
              <w:rPr>
                <w:color w:val="000000"/>
                <w:sz w:val="22"/>
                <w:szCs w:val="22"/>
              </w:rPr>
              <w:t>0.9890</w:t>
            </w:r>
          </w:p>
        </w:tc>
        <w:tc>
          <w:tcPr>
            <w:tcW w:w="1287" w:type="dxa"/>
            <w:vAlign w:val="center"/>
          </w:tcPr>
          <w:p>
            <w:pPr>
              <w:jc w:val="center"/>
              <w:rPr>
                <w:color w:val="000000"/>
                <w:sz w:val="22"/>
                <w:szCs w:val="22"/>
              </w:rPr>
            </w:pPr>
            <w:r>
              <w:rPr>
                <w:color w:val="000000"/>
                <w:sz w:val="22"/>
                <w:szCs w:val="22"/>
              </w:rPr>
              <w:t>0.9929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使用年期</w:t>
            </w:r>
          </w:p>
        </w:tc>
        <w:tc>
          <w:tcPr>
            <w:tcW w:w="1287" w:type="dxa"/>
            <w:vAlign w:val="center"/>
          </w:tcPr>
          <w:p>
            <w:pPr>
              <w:jc w:val="center"/>
              <w:rPr>
                <w:color w:val="000000"/>
                <w:szCs w:val="21"/>
              </w:rPr>
            </w:pPr>
            <w:r>
              <w:rPr>
                <w:color w:val="000000"/>
                <w:szCs w:val="21"/>
              </w:rPr>
              <w:t>49</w:t>
            </w:r>
          </w:p>
        </w:tc>
        <w:tc>
          <w:tcPr>
            <w:tcW w:w="1288" w:type="dxa"/>
            <w:vAlign w:val="center"/>
          </w:tcPr>
          <w:p>
            <w:pPr>
              <w:jc w:val="center"/>
              <w:rPr>
                <w:color w:val="000000"/>
                <w:szCs w:val="21"/>
              </w:rPr>
            </w:pPr>
            <w:r>
              <w:rPr>
                <w:color w:val="000000"/>
                <w:szCs w:val="21"/>
              </w:rPr>
              <w:t>50</w:t>
            </w:r>
          </w:p>
        </w:tc>
        <w:tc>
          <w:tcPr>
            <w:tcW w:w="1288" w:type="dxa"/>
            <w:vAlign w:val="center"/>
          </w:tcPr>
          <w:p>
            <w:pPr>
              <w:jc w:val="center"/>
              <w:rPr>
                <w:color w:val="000000"/>
                <w:szCs w:val="21"/>
              </w:rPr>
            </w:pPr>
          </w:p>
        </w:tc>
        <w:tc>
          <w:tcPr>
            <w:tcW w:w="1287" w:type="dxa"/>
            <w:vAlign w:val="center"/>
          </w:tcPr>
          <w:p>
            <w:pPr>
              <w:jc w:val="center"/>
              <w:rPr>
                <w:color w:val="000000"/>
                <w:szCs w:val="21"/>
              </w:rPr>
            </w:pPr>
          </w:p>
        </w:tc>
        <w:tc>
          <w:tcPr>
            <w:tcW w:w="1288" w:type="dxa"/>
            <w:vAlign w:val="center"/>
          </w:tcPr>
          <w:p>
            <w:pPr>
              <w:jc w:val="center"/>
              <w:rPr>
                <w:color w:val="000000"/>
                <w:szCs w:val="21"/>
              </w:rPr>
            </w:pPr>
          </w:p>
        </w:tc>
        <w:tc>
          <w:tcPr>
            <w:tcW w:w="1287"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36" w:type="dxa"/>
            <w:vAlign w:val="center"/>
          </w:tcPr>
          <w:p>
            <w:pPr>
              <w:widowControl/>
              <w:jc w:val="center"/>
              <w:rPr>
                <w:kern w:val="0"/>
              </w:rPr>
            </w:pPr>
            <w:r>
              <w:rPr>
                <w:kern w:val="0"/>
              </w:rPr>
              <w:t>修正系数</w:t>
            </w:r>
          </w:p>
        </w:tc>
        <w:tc>
          <w:tcPr>
            <w:tcW w:w="1287" w:type="dxa"/>
            <w:vAlign w:val="center"/>
          </w:tcPr>
          <w:p>
            <w:pPr>
              <w:jc w:val="center"/>
              <w:rPr>
                <w:color w:val="000000"/>
                <w:szCs w:val="21"/>
              </w:rPr>
            </w:pPr>
            <w:r>
              <w:rPr>
                <w:color w:val="000000"/>
                <w:szCs w:val="21"/>
              </w:rPr>
              <w:t>0.9966</w:t>
            </w:r>
          </w:p>
        </w:tc>
        <w:tc>
          <w:tcPr>
            <w:tcW w:w="1288" w:type="dxa"/>
            <w:vAlign w:val="center"/>
          </w:tcPr>
          <w:p>
            <w:pPr>
              <w:jc w:val="center"/>
              <w:rPr>
                <w:color w:val="000000"/>
                <w:szCs w:val="21"/>
              </w:rPr>
            </w:pPr>
            <w:r>
              <w:rPr>
                <w:color w:val="000000"/>
                <w:szCs w:val="21"/>
              </w:rPr>
              <w:t>1.0000</w:t>
            </w:r>
          </w:p>
        </w:tc>
        <w:tc>
          <w:tcPr>
            <w:tcW w:w="1288" w:type="dxa"/>
            <w:vAlign w:val="center"/>
          </w:tcPr>
          <w:p>
            <w:pPr>
              <w:jc w:val="center"/>
              <w:rPr>
                <w:color w:val="000000"/>
                <w:szCs w:val="21"/>
              </w:rPr>
            </w:pPr>
          </w:p>
        </w:tc>
        <w:tc>
          <w:tcPr>
            <w:tcW w:w="1287" w:type="dxa"/>
            <w:vAlign w:val="center"/>
          </w:tcPr>
          <w:p>
            <w:pPr>
              <w:jc w:val="center"/>
              <w:rPr>
                <w:color w:val="000000"/>
                <w:szCs w:val="21"/>
              </w:rPr>
            </w:pPr>
          </w:p>
        </w:tc>
        <w:tc>
          <w:tcPr>
            <w:tcW w:w="1288" w:type="dxa"/>
            <w:vAlign w:val="center"/>
          </w:tcPr>
          <w:p>
            <w:pPr>
              <w:jc w:val="center"/>
              <w:rPr>
                <w:color w:val="000000"/>
                <w:szCs w:val="21"/>
              </w:rPr>
            </w:pPr>
          </w:p>
        </w:tc>
        <w:tc>
          <w:tcPr>
            <w:tcW w:w="1287" w:type="dxa"/>
            <w:vAlign w:val="center"/>
          </w:tcPr>
          <w:p>
            <w:pPr>
              <w:jc w:val="center"/>
              <w:rPr>
                <w:color w:val="000000"/>
                <w:szCs w:val="21"/>
              </w:rPr>
            </w:pPr>
          </w:p>
        </w:tc>
      </w:tr>
    </w:tbl>
    <w:p>
      <w:pPr>
        <w:tabs>
          <w:tab w:val="right" w:pos="9298"/>
        </w:tabs>
        <w:ind w:firstLine="420" w:firstLineChars="200"/>
        <w:rPr>
          <w:szCs w:val="21"/>
        </w:rPr>
      </w:pPr>
      <w:r>
        <w:rPr>
          <w:szCs w:val="21"/>
        </w:rPr>
        <w:t>备注：本表为基于基准日</w:t>
      </w:r>
      <w:r>
        <w:rPr>
          <w:rFonts w:hint="eastAsia"/>
          <w:szCs w:val="21"/>
          <w:lang w:eastAsia="zh-CN"/>
        </w:rPr>
        <w:t>2018年3月1日</w:t>
      </w:r>
      <w:r>
        <w:rPr>
          <w:szCs w:val="21"/>
        </w:rPr>
        <w:t>时确定的还原利率来测算的，在宗地评估中，可根据实际测算的还原利率动态调整。</w:t>
      </w:r>
    </w:p>
    <w:p>
      <w:pPr>
        <w:tabs>
          <w:tab w:val="right" w:pos="9298"/>
        </w:tabs>
        <w:spacing w:line="460" w:lineRule="exact"/>
        <w:ind w:firstLine="480" w:firstLineChars="200"/>
        <w:rPr>
          <w:rFonts w:eastAsia="黑体"/>
          <w:sz w:val="24"/>
        </w:rPr>
      </w:pPr>
      <w:r>
        <w:rPr>
          <w:rFonts w:eastAsia="黑体"/>
          <w:sz w:val="24"/>
        </w:rPr>
        <w:t>（二）交易期日修正(</w:t>
      </w:r>
      <w:r>
        <w:rPr>
          <w:sz w:val="24"/>
        </w:rPr>
        <w:t>K</w:t>
      </w:r>
      <w:r>
        <w:rPr>
          <w:sz w:val="24"/>
          <w:vertAlign w:val="subscript"/>
        </w:rPr>
        <w:t>t</w:t>
      </w:r>
      <w:r>
        <w:rPr>
          <w:rFonts w:eastAsia="黑体"/>
          <w:sz w:val="24"/>
        </w:rPr>
        <w:t>)</w:t>
      </w:r>
    </w:p>
    <w:p>
      <w:pPr>
        <w:spacing w:line="460" w:lineRule="exact"/>
        <w:ind w:firstLine="480" w:firstLineChars="200"/>
        <w:rPr>
          <w:sz w:val="24"/>
        </w:rPr>
      </w:pPr>
      <w:r>
        <w:rPr>
          <w:sz w:val="24"/>
        </w:rPr>
        <w:t>待估宗地的基准日与基准地价的基准期日如不相同,则需根据地价的实际变化程度进行期日修正。期日修正系数K</w:t>
      </w:r>
      <w:r>
        <w:rPr>
          <w:sz w:val="24"/>
          <w:vertAlign w:val="subscript"/>
        </w:rPr>
        <w:t>t</w:t>
      </w:r>
      <w:r>
        <w:rPr>
          <w:sz w:val="24"/>
        </w:rPr>
        <w:t>与P</w:t>
      </w:r>
      <w:r>
        <w:rPr>
          <w:sz w:val="24"/>
          <w:vertAlign w:val="subscript"/>
        </w:rPr>
        <w:t>i</w:t>
      </w:r>
      <w:r>
        <w:rPr>
          <w:sz w:val="24"/>
        </w:rPr>
        <w:t>、P</w:t>
      </w:r>
      <w:r>
        <w:rPr>
          <w:sz w:val="24"/>
          <w:vertAlign w:val="subscript"/>
        </w:rPr>
        <w:t>o</w:t>
      </w:r>
      <w:r>
        <w:rPr>
          <w:sz w:val="24"/>
        </w:rPr>
        <w:t>关系如下式：</w:t>
      </w:r>
    </w:p>
    <w:p>
      <w:pPr>
        <w:spacing w:line="360" w:lineRule="auto"/>
        <w:ind w:firstLine="480" w:firstLineChars="200"/>
        <w:jc w:val="center"/>
        <w:rPr>
          <w:sz w:val="24"/>
        </w:rPr>
      </w:pPr>
      <w:r>
        <w:rPr>
          <w:sz w:val="24"/>
        </w:rPr>
        <w:t>K</w:t>
      </w:r>
      <w:r>
        <w:rPr>
          <w:sz w:val="24"/>
          <w:vertAlign w:val="subscript"/>
        </w:rPr>
        <w:t>t</w:t>
      </w:r>
      <w:r>
        <w:rPr>
          <w:sz w:val="24"/>
        </w:rPr>
        <w:t>=Pi/Po</w:t>
      </w:r>
    </w:p>
    <w:p>
      <w:pPr>
        <w:spacing w:line="360" w:lineRule="auto"/>
        <w:ind w:firstLine="480" w:firstLineChars="200"/>
        <w:rPr>
          <w:sz w:val="24"/>
        </w:rPr>
      </w:pPr>
      <w:r>
        <w:rPr>
          <w:sz w:val="24"/>
        </w:rPr>
        <w:t>式中：K</w:t>
      </w:r>
      <w:r>
        <w:rPr>
          <w:sz w:val="24"/>
          <w:vertAlign w:val="subscript"/>
        </w:rPr>
        <w:t>t</w:t>
      </w:r>
      <w:r>
        <w:rPr>
          <w:sz w:val="24"/>
        </w:rPr>
        <w:t>------将基准地价评估期日修正到待估宗地评估期日的系数</w:t>
      </w:r>
    </w:p>
    <w:p>
      <w:pPr>
        <w:spacing w:line="360" w:lineRule="auto"/>
        <w:ind w:firstLine="480" w:firstLineChars="200"/>
        <w:rPr>
          <w:sz w:val="24"/>
        </w:rPr>
      </w:pPr>
      <w:r>
        <w:rPr>
          <w:sz w:val="24"/>
        </w:rPr>
        <w:t>P</w:t>
      </w:r>
      <w:r>
        <w:rPr>
          <w:sz w:val="24"/>
          <w:vertAlign w:val="subscript"/>
        </w:rPr>
        <w:t>i</w:t>
      </w:r>
      <w:r>
        <w:rPr>
          <w:sz w:val="24"/>
        </w:rPr>
        <w:t>------待估宗地所在土地级别评估期日的地价</w:t>
      </w:r>
    </w:p>
    <w:p>
      <w:pPr>
        <w:spacing w:line="360" w:lineRule="auto"/>
        <w:ind w:firstLine="480" w:firstLineChars="200"/>
        <w:rPr>
          <w:sz w:val="24"/>
        </w:rPr>
      </w:pPr>
      <w:r>
        <w:rPr>
          <w:sz w:val="24"/>
        </w:rPr>
        <w:t>P</w:t>
      </w:r>
      <w:r>
        <w:rPr>
          <w:sz w:val="24"/>
          <w:vertAlign w:val="subscript"/>
        </w:rPr>
        <w:t>o</w:t>
      </w:r>
      <w:r>
        <w:rPr>
          <w:sz w:val="24"/>
        </w:rPr>
        <w:t>------基准地价评估期日待估宗地所在土地级别的土地交易平均价格</w:t>
      </w:r>
    </w:p>
    <w:p>
      <w:pPr>
        <w:tabs>
          <w:tab w:val="right" w:pos="9298"/>
        </w:tabs>
        <w:spacing w:line="460" w:lineRule="exact"/>
        <w:ind w:firstLine="480" w:firstLineChars="200"/>
        <w:rPr>
          <w:rFonts w:eastAsia="黑体"/>
          <w:sz w:val="24"/>
        </w:rPr>
      </w:pPr>
      <w:r>
        <w:rPr>
          <w:rFonts w:eastAsia="黑体"/>
          <w:sz w:val="24"/>
        </w:rPr>
        <w:t>（</w:t>
      </w:r>
      <w:r>
        <w:rPr>
          <w:rFonts w:hint="eastAsia" w:eastAsia="黑体"/>
          <w:sz w:val="24"/>
        </w:rPr>
        <w:t>三</w:t>
      </w:r>
      <w:r>
        <w:rPr>
          <w:rFonts w:eastAsia="黑体"/>
          <w:sz w:val="24"/>
        </w:rPr>
        <w:t>）土地开发程度修正(</w:t>
      </w:r>
      <w:r>
        <w:rPr>
          <w:sz w:val="24"/>
        </w:rPr>
        <w:t>K</w:t>
      </w:r>
      <w:r>
        <w:rPr>
          <w:sz w:val="24"/>
          <w:vertAlign w:val="subscript"/>
        </w:rPr>
        <w:t>f</w:t>
      </w:r>
      <w:r>
        <w:rPr>
          <w:rFonts w:eastAsia="黑体"/>
          <w:sz w:val="24"/>
        </w:rPr>
        <w:t>)</w:t>
      </w:r>
    </w:p>
    <w:p>
      <w:pPr>
        <w:spacing w:line="460" w:lineRule="exact"/>
        <w:ind w:firstLine="480" w:firstLineChars="200"/>
        <w:rPr>
          <w:sz w:val="24"/>
        </w:rPr>
      </w:pPr>
      <w:r>
        <w:rPr>
          <w:sz w:val="24"/>
        </w:rPr>
        <w:t>工矿仓储用地土地开发配套程度费用分配率同商服用地。</w:t>
      </w:r>
    </w:p>
    <w:p>
      <w:pPr>
        <w:tabs>
          <w:tab w:val="right" w:pos="9298"/>
        </w:tabs>
        <w:spacing w:line="460" w:lineRule="exact"/>
        <w:ind w:firstLine="480" w:firstLineChars="200"/>
        <w:rPr>
          <w:rFonts w:eastAsia="黑体"/>
          <w:sz w:val="24"/>
        </w:rPr>
      </w:pPr>
      <w:r>
        <w:rPr>
          <w:rFonts w:eastAsia="黑体"/>
          <w:sz w:val="24"/>
        </w:rPr>
        <w:t>（</w:t>
      </w:r>
      <w:r>
        <w:rPr>
          <w:rFonts w:hint="eastAsia" w:eastAsia="黑体"/>
          <w:sz w:val="24"/>
        </w:rPr>
        <w:t>四</w:t>
      </w:r>
      <w:r>
        <w:rPr>
          <w:rFonts w:eastAsia="黑体"/>
          <w:sz w:val="24"/>
        </w:rPr>
        <w:t>）工矿仓储用地宗地形状与面积修正(</w:t>
      </w:r>
      <w:r>
        <w:rPr>
          <w:sz w:val="24"/>
        </w:rPr>
        <w:t>K</w:t>
      </w:r>
      <w:r>
        <w:rPr>
          <w:sz w:val="24"/>
          <w:vertAlign w:val="subscript"/>
        </w:rPr>
        <w:t>s</w:t>
      </w:r>
      <w:r>
        <w:rPr>
          <w:rFonts w:eastAsia="黑体"/>
          <w:sz w:val="24"/>
        </w:rPr>
        <w:t>)</w:t>
      </w:r>
    </w:p>
    <w:p>
      <w:pPr>
        <w:widowControl/>
        <w:ind w:firstLine="482" w:firstLineChars="200"/>
        <w:jc w:val="left"/>
        <w:rPr>
          <w:b/>
          <w:sz w:val="24"/>
        </w:rPr>
      </w:pPr>
      <w:r>
        <w:rPr>
          <w:b/>
          <w:sz w:val="24"/>
        </w:rPr>
        <w:br w:type="page"/>
      </w:r>
    </w:p>
    <w:p>
      <w:pPr>
        <w:pStyle w:val="131"/>
        <w:spacing w:beforeLines="50" w:afterLines="50"/>
        <w:ind w:firstLine="0" w:firstLineChars="0"/>
        <w:rPr>
          <w:rFonts w:ascii="Times New Roman" w:hAnsi="Times New Roman"/>
          <w:sz w:val="24"/>
        </w:rPr>
      </w:pPr>
      <w:r>
        <w:rPr>
          <w:rFonts w:ascii="Times New Roman" w:hAnsi="Times New Roman"/>
          <w:sz w:val="24"/>
        </w:rPr>
        <w:t>表4-5-14 工矿仓储用地宗地形状与面积修正系数表</w:t>
      </w:r>
    </w:p>
    <w:tbl>
      <w:tblPr>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203"/>
        <w:gridCol w:w="1827"/>
        <w:gridCol w:w="1827"/>
        <w:gridCol w:w="1827"/>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76" w:type="dxa"/>
            <w:vAlign w:val="center"/>
          </w:tcPr>
          <w:p>
            <w:pPr>
              <w:widowControl/>
              <w:spacing w:line="360" w:lineRule="auto"/>
              <w:jc w:val="center"/>
              <w:rPr>
                <w:kern w:val="0"/>
              </w:rPr>
            </w:pPr>
            <w:r>
              <w:rPr>
                <w:kern w:val="0"/>
              </w:rPr>
              <w:t>指标标准</w:t>
            </w:r>
          </w:p>
        </w:tc>
        <w:tc>
          <w:tcPr>
            <w:tcW w:w="1203" w:type="dxa"/>
            <w:vAlign w:val="center"/>
          </w:tcPr>
          <w:p>
            <w:pPr>
              <w:widowControl/>
              <w:spacing w:line="360" w:lineRule="auto"/>
              <w:jc w:val="center"/>
              <w:rPr>
                <w:kern w:val="0"/>
              </w:rPr>
            </w:pPr>
            <w:r>
              <w:t>＞</w:t>
            </w:r>
            <w:r>
              <w:rPr>
                <w:kern w:val="0"/>
              </w:rPr>
              <w:t>9000m</w:t>
            </w:r>
            <w:r>
              <w:rPr>
                <w:kern w:val="0"/>
                <w:vertAlign w:val="superscript"/>
              </w:rPr>
              <w:t>2</w:t>
            </w:r>
          </w:p>
        </w:tc>
        <w:tc>
          <w:tcPr>
            <w:tcW w:w="1827" w:type="dxa"/>
            <w:vAlign w:val="center"/>
          </w:tcPr>
          <w:p>
            <w:pPr>
              <w:widowControl/>
              <w:spacing w:line="360" w:lineRule="auto"/>
              <w:jc w:val="center"/>
              <w:rPr>
                <w:kern w:val="0"/>
              </w:rPr>
            </w:pPr>
            <w:r>
              <w:rPr>
                <w:kern w:val="0"/>
              </w:rPr>
              <w:t>[6000，9000]m</w:t>
            </w:r>
            <w:r>
              <w:rPr>
                <w:kern w:val="0"/>
                <w:vertAlign w:val="superscript"/>
              </w:rPr>
              <w:t>2</w:t>
            </w:r>
          </w:p>
        </w:tc>
        <w:tc>
          <w:tcPr>
            <w:tcW w:w="1827" w:type="dxa"/>
            <w:vAlign w:val="center"/>
          </w:tcPr>
          <w:p>
            <w:pPr>
              <w:widowControl/>
              <w:spacing w:line="360" w:lineRule="auto"/>
              <w:jc w:val="center"/>
              <w:rPr>
                <w:kern w:val="0"/>
              </w:rPr>
            </w:pPr>
            <w:r>
              <w:rPr>
                <w:kern w:val="0"/>
              </w:rPr>
              <w:t>[3000，6000]m</w:t>
            </w:r>
            <w:r>
              <w:rPr>
                <w:kern w:val="0"/>
                <w:vertAlign w:val="superscript"/>
              </w:rPr>
              <w:t>2</w:t>
            </w:r>
          </w:p>
        </w:tc>
        <w:tc>
          <w:tcPr>
            <w:tcW w:w="1827" w:type="dxa"/>
            <w:vAlign w:val="center"/>
          </w:tcPr>
          <w:p>
            <w:pPr>
              <w:widowControl/>
              <w:spacing w:line="360" w:lineRule="auto"/>
              <w:jc w:val="center"/>
              <w:rPr>
                <w:kern w:val="0"/>
              </w:rPr>
            </w:pPr>
            <w:r>
              <w:rPr>
                <w:kern w:val="0"/>
              </w:rPr>
              <w:t>[1000，3000]m</w:t>
            </w:r>
            <w:r>
              <w:rPr>
                <w:kern w:val="0"/>
                <w:vertAlign w:val="superscript"/>
              </w:rPr>
              <w:t>2</w:t>
            </w:r>
          </w:p>
        </w:tc>
        <w:tc>
          <w:tcPr>
            <w:tcW w:w="1201" w:type="dxa"/>
            <w:vAlign w:val="center"/>
          </w:tcPr>
          <w:p>
            <w:pPr>
              <w:widowControl/>
              <w:spacing w:line="360" w:lineRule="auto"/>
              <w:jc w:val="center"/>
              <w:rPr>
                <w:kern w:val="0"/>
              </w:rPr>
            </w:pPr>
            <w:r>
              <w:t>＜</w:t>
            </w:r>
            <w:r>
              <w:rPr>
                <w:kern w:val="0"/>
              </w:rPr>
              <w:t>1000m</w:t>
            </w:r>
            <w:r>
              <w:rPr>
                <w:kern w:val="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176" w:type="dxa"/>
            <w:vAlign w:val="center"/>
          </w:tcPr>
          <w:p>
            <w:pPr>
              <w:widowControl/>
              <w:spacing w:line="360" w:lineRule="auto"/>
              <w:jc w:val="center"/>
              <w:rPr>
                <w:kern w:val="0"/>
              </w:rPr>
            </w:pPr>
            <w:r>
              <w:rPr>
                <w:kern w:val="0"/>
              </w:rPr>
              <w:t>修正系数</w:t>
            </w:r>
          </w:p>
        </w:tc>
        <w:tc>
          <w:tcPr>
            <w:tcW w:w="1203" w:type="dxa"/>
            <w:vAlign w:val="center"/>
          </w:tcPr>
          <w:p>
            <w:pPr>
              <w:widowControl/>
              <w:spacing w:line="360" w:lineRule="auto"/>
              <w:jc w:val="center"/>
              <w:rPr>
                <w:kern w:val="0"/>
              </w:rPr>
            </w:pPr>
            <w:r>
              <w:rPr>
                <w:kern w:val="0"/>
              </w:rPr>
              <w:t>1.05</w:t>
            </w:r>
          </w:p>
        </w:tc>
        <w:tc>
          <w:tcPr>
            <w:tcW w:w="1827" w:type="dxa"/>
            <w:vAlign w:val="center"/>
          </w:tcPr>
          <w:p>
            <w:pPr>
              <w:widowControl/>
              <w:spacing w:line="360" w:lineRule="auto"/>
              <w:jc w:val="center"/>
              <w:rPr>
                <w:kern w:val="0"/>
              </w:rPr>
            </w:pPr>
            <w:r>
              <w:rPr>
                <w:kern w:val="0"/>
              </w:rPr>
              <w:t>1.02</w:t>
            </w:r>
          </w:p>
        </w:tc>
        <w:tc>
          <w:tcPr>
            <w:tcW w:w="1827" w:type="dxa"/>
            <w:vAlign w:val="center"/>
          </w:tcPr>
          <w:p>
            <w:pPr>
              <w:widowControl/>
              <w:spacing w:line="360" w:lineRule="auto"/>
              <w:jc w:val="center"/>
              <w:rPr>
                <w:kern w:val="0"/>
              </w:rPr>
            </w:pPr>
            <w:r>
              <w:rPr>
                <w:kern w:val="0"/>
              </w:rPr>
              <w:t>1.00</w:t>
            </w:r>
          </w:p>
        </w:tc>
        <w:tc>
          <w:tcPr>
            <w:tcW w:w="1827" w:type="dxa"/>
            <w:vAlign w:val="center"/>
          </w:tcPr>
          <w:p>
            <w:pPr>
              <w:widowControl/>
              <w:spacing w:line="360" w:lineRule="auto"/>
              <w:jc w:val="center"/>
              <w:rPr>
                <w:kern w:val="0"/>
              </w:rPr>
            </w:pPr>
            <w:r>
              <w:rPr>
                <w:kern w:val="0"/>
              </w:rPr>
              <w:t>0.97</w:t>
            </w:r>
          </w:p>
        </w:tc>
        <w:tc>
          <w:tcPr>
            <w:tcW w:w="1201" w:type="dxa"/>
            <w:vAlign w:val="center"/>
          </w:tcPr>
          <w:p>
            <w:pPr>
              <w:widowControl/>
              <w:spacing w:line="360" w:lineRule="auto"/>
              <w:jc w:val="center"/>
              <w:rPr>
                <w:kern w:val="0"/>
              </w:rPr>
            </w:pPr>
            <w:r>
              <w:rPr>
                <w:kern w:val="0"/>
              </w:rPr>
              <w:t>0.94</w:t>
            </w:r>
          </w:p>
        </w:tc>
      </w:tr>
    </w:tbl>
    <w:p>
      <w:pPr>
        <w:tabs>
          <w:tab w:val="right" w:pos="9298"/>
        </w:tabs>
        <w:spacing w:line="460" w:lineRule="exact"/>
        <w:ind w:firstLine="480" w:firstLineChars="200"/>
        <w:rPr>
          <w:rFonts w:eastAsia="黑体"/>
          <w:sz w:val="24"/>
        </w:rPr>
      </w:pPr>
      <w:r>
        <w:rPr>
          <w:rFonts w:eastAsia="黑体"/>
          <w:sz w:val="24"/>
        </w:rPr>
        <w:t>（</w:t>
      </w:r>
      <w:r>
        <w:rPr>
          <w:rFonts w:hint="eastAsia" w:eastAsia="黑体"/>
          <w:sz w:val="24"/>
        </w:rPr>
        <w:t>五</w:t>
      </w:r>
      <w:r>
        <w:rPr>
          <w:rFonts w:eastAsia="黑体"/>
          <w:sz w:val="24"/>
        </w:rPr>
        <w:t>）宗地位置偏离度修正系数(</w:t>
      </w:r>
      <w:r>
        <w:rPr>
          <w:sz w:val="24"/>
        </w:rPr>
        <w:t>K</w:t>
      </w:r>
      <w:r>
        <w:rPr>
          <w:sz w:val="24"/>
          <w:vertAlign w:val="subscript"/>
        </w:rPr>
        <w:t>p</w:t>
      </w:r>
      <w:r>
        <w:rPr>
          <w:rFonts w:eastAsia="黑体"/>
          <w:sz w:val="24"/>
        </w:rPr>
        <w:t>)</w:t>
      </w:r>
    </w:p>
    <w:p>
      <w:pPr>
        <w:pStyle w:val="131"/>
        <w:spacing w:beforeLines="50" w:afterLines="50"/>
        <w:ind w:firstLine="0" w:firstLineChars="0"/>
        <w:rPr>
          <w:rFonts w:ascii="Times New Roman" w:hAnsi="Times New Roman"/>
          <w:sz w:val="24"/>
        </w:rPr>
      </w:pPr>
      <w:r>
        <w:rPr>
          <w:rFonts w:ascii="Times New Roman" w:hAnsi="Times New Roman"/>
          <w:sz w:val="24"/>
        </w:rPr>
        <w:t>表4-5-15 工矿仓储用地宗地位置偏离度修正系数表</w:t>
      </w:r>
    </w:p>
    <w:tbl>
      <w:tblPr>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5"/>
        <w:gridCol w:w="1283"/>
        <w:gridCol w:w="1510"/>
        <w:gridCol w:w="1510"/>
        <w:gridCol w:w="1510"/>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965" w:type="dxa"/>
            <w:vAlign w:val="center"/>
          </w:tcPr>
          <w:p>
            <w:pPr>
              <w:spacing w:line="360" w:lineRule="auto"/>
              <w:jc w:val="center"/>
            </w:pPr>
            <w:r>
              <w:t>指标标准</w:t>
            </w:r>
          </w:p>
        </w:tc>
        <w:tc>
          <w:tcPr>
            <w:tcW w:w="1283" w:type="dxa"/>
            <w:vAlign w:val="center"/>
          </w:tcPr>
          <w:p>
            <w:pPr>
              <w:spacing w:line="360" w:lineRule="auto"/>
              <w:jc w:val="center"/>
            </w:pPr>
            <w:r>
              <w:t>＜0.2</w:t>
            </w:r>
          </w:p>
        </w:tc>
        <w:tc>
          <w:tcPr>
            <w:tcW w:w="1510" w:type="dxa"/>
            <w:vAlign w:val="center"/>
          </w:tcPr>
          <w:p>
            <w:pPr>
              <w:spacing w:line="360" w:lineRule="auto"/>
              <w:jc w:val="center"/>
            </w:pPr>
            <w:r>
              <w:t>0.2-0.4</w:t>
            </w:r>
          </w:p>
        </w:tc>
        <w:tc>
          <w:tcPr>
            <w:tcW w:w="1510" w:type="dxa"/>
            <w:vAlign w:val="center"/>
          </w:tcPr>
          <w:p>
            <w:pPr>
              <w:spacing w:line="360" w:lineRule="auto"/>
              <w:jc w:val="center"/>
            </w:pPr>
            <w:r>
              <w:t>0.3-0.6</w:t>
            </w:r>
          </w:p>
        </w:tc>
        <w:tc>
          <w:tcPr>
            <w:tcW w:w="1510" w:type="dxa"/>
            <w:vAlign w:val="center"/>
          </w:tcPr>
          <w:p>
            <w:pPr>
              <w:spacing w:line="360" w:lineRule="auto"/>
              <w:jc w:val="center"/>
            </w:pPr>
            <w:r>
              <w:t>0.6-0.8</w:t>
            </w:r>
          </w:p>
        </w:tc>
        <w:tc>
          <w:tcPr>
            <w:tcW w:w="1283" w:type="dxa"/>
            <w:vAlign w:val="center"/>
          </w:tcPr>
          <w:p>
            <w:pPr>
              <w:spacing w:line="360" w:lineRule="auto"/>
              <w:jc w:val="center"/>
            </w:pPr>
            <w: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965" w:type="dxa"/>
            <w:vAlign w:val="center"/>
          </w:tcPr>
          <w:p>
            <w:pPr>
              <w:spacing w:line="360" w:lineRule="auto"/>
              <w:jc w:val="center"/>
            </w:pPr>
            <w:r>
              <w:t>修正系数</w:t>
            </w:r>
          </w:p>
        </w:tc>
        <w:tc>
          <w:tcPr>
            <w:tcW w:w="1283" w:type="dxa"/>
            <w:vAlign w:val="center"/>
          </w:tcPr>
          <w:p>
            <w:pPr>
              <w:spacing w:line="360" w:lineRule="auto"/>
              <w:jc w:val="center"/>
            </w:pPr>
            <w:r>
              <w:t>1.04</w:t>
            </w:r>
          </w:p>
        </w:tc>
        <w:tc>
          <w:tcPr>
            <w:tcW w:w="1510" w:type="dxa"/>
            <w:vAlign w:val="center"/>
          </w:tcPr>
          <w:p>
            <w:pPr>
              <w:spacing w:line="360" w:lineRule="auto"/>
              <w:jc w:val="center"/>
            </w:pPr>
            <w:r>
              <w:t>1.02</w:t>
            </w:r>
          </w:p>
        </w:tc>
        <w:tc>
          <w:tcPr>
            <w:tcW w:w="1510" w:type="dxa"/>
            <w:vAlign w:val="center"/>
          </w:tcPr>
          <w:p>
            <w:pPr>
              <w:spacing w:line="360" w:lineRule="auto"/>
              <w:jc w:val="center"/>
            </w:pPr>
            <w:r>
              <w:t>1.00</w:t>
            </w:r>
          </w:p>
        </w:tc>
        <w:tc>
          <w:tcPr>
            <w:tcW w:w="1510" w:type="dxa"/>
            <w:vAlign w:val="center"/>
          </w:tcPr>
          <w:p>
            <w:pPr>
              <w:spacing w:line="360" w:lineRule="auto"/>
              <w:jc w:val="center"/>
            </w:pPr>
            <w:r>
              <w:t>0.98</w:t>
            </w:r>
          </w:p>
        </w:tc>
        <w:tc>
          <w:tcPr>
            <w:tcW w:w="1283" w:type="dxa"/>
            <w:vAlign w:val="center"/>
          </w:tcPr>
          <w:p>
            <w:pPr>
              <w:spacing w:line="360" w:lineRule="auto"/>
              <w:jc w:val="center"/>
            </w:pPr>
            <w:r>
              <w:t>0.96</w:t>
            </w:r>
          </w:p>
        </w:tc>
      </w:tr>
    </w:tbl>
    <w:p>
      <w:pPr>
        <w:spacing w:line="360" w:lineRule="auto"/>
        <w:jc w:val="center"/>
        <w:textAlignment w:val="baseline"/>
        <w:outlineLvl w:val="1"/>
        <w:rPr>
          <w:sz w:val="30"/>
          <w:szCs w:val="30"/>
        </w:rPr>
      </w:pPr>
      <w:bookmarkStart w:id="852" w:name="_Toc525807062"/>
      <w:r>
        <w:rPr>
          <w:rFonts w:eastAsia="黑体"/>
          <w:sz w:val="32"/>
          <w:szCs w:val="22"/>
        </w:rPr>
        <w:br w:type="page"/>
      </w:r>
      <w:bookmarkStart w:id="853" w:name="_Toc27773"/>
      <w:bookmarkStart w:id="854" w:name="_Toc14692"/>
      <w:bookmarkStart w:id="855" w:name="_Toc15629"/>
      <w:r>
        <w:rPr>
          <w:rFonts w:eastAsia="黑体"/>
          <w:sz w:val="32"/>
          <w:szCs w:val="22"/>
        </w:rPr>
        <w:t>第六章  公共管理与公共服务用地地价修正体系</w:t>
      </w:r>
      <w:bookmarkEnd w:id="852"/>
      <w:bookmarkEnd w:id="853"/>
      <w:bookmarkEnd w:id="854"/>
      <w:bookmarkEnd w:id="855"/>
    </w:p>
    <w:p>
      <w:pPr>
        <w:adjustRightInd w:val="0"/>
        <w:snapToGrid w:val="0"/>
        <w:spacing w:line="360" w:lineRule="auto"/>
        <w:ind w:firstLine="560" w:firstLineChars="200"/>
        <w:jc w:val="left"/>
        <w:textAlignment w:val="baseline"/>
        <w:outlineLvl w:val="2"/>
        <w:rPr>
          <w:sz w:val="28"/>
          <w:lang w:val="zh-CN"/>
        </w:rPr>
      </w:pPr>
      <w:bookmarkStart w:id="856" w:name="_Toc4838"/>
      <w:bookmarkStart w:id="857" w:name="_Toc495648926"/>
      <w:bookmarkStart w:id="858" w:name="_Toc525807063"/>
      <w:bookmarkStart w:id="859" w:name="_Toc8687"/>
      <w:r>
        <w:rPr>
          <w:rFonts w:eastAsia="黑体"/>
          <w:sz w:val="28"/>
          <w:szCs w:val="28"/>
          <w:lang w:val="zh-CN"/>
        </w:rPr>
        <w:t>一、宗地地价区域因素修正</w:t>
      </w:r>
      <w:bookmarkEnd w:id="856"/>
      <w:bookmarkEnd w:id="857"/>
      <w:bookmarkEnd w:id="858"/>
      <w:bookmarkEnd w:id="859"/>
    </w:p>
    <w:p>
      <w:pPr>
        <w:pStyle w:val="131"/>
        <w:spacing w:beforeLines="50" w:afterLines="50"/>
        <w:ind w:firstLine="0" w:firstLineChars="0"/>
        <w:rPr>
          <w:rFonts w:ascii="Times New Roman" w:hAnsi="Times New Roman"/>
          <w:bCs w:val="0"/>
          <w:sz w:val="24"/>
          <w:szCs w:val="24"/>
        </w:rPr>
      </w:pPr>
      <w:r>
        <w:rPr>
          <w:rFonts w:ascii="Times New Roman" w:hAnsi="Times New Roman"/>
          <w:bCs w:val="0"/>
          <w:sz w:val="24"/>
          <w:szCs w:val="24"/>
        </w:rPr>
        <w:t>表4-6-1  Ⅰ级公共管理与公共服务一类用地宗地地价区域因素修正系数表</w:t>
      </w:r>
    </w:p>
    <w:tbl>
      <w:tblPr>
        <w:tblW w:w="10303" w:type="dxa"/>
        <w:jc w:val="center"/>
        <w:tblInd w:w="1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988"/>
        <w:gridCol w:w="1248"/>
        <w:gridCol w:w="1006"/>
        <w:gridCol w:w="1276"/>
        <w:gridCol w:w="875"/>
        <w:gridCol w:w="749"/>
        <w:gridCol w:w="708"/>
        <w:gridCol w:w="709"/>
        <w:gridCol w:w="851"/>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blHeader/>
          <w:jc w:val="center"/>
        </w:trPr>
        <w:tc>
          <w:tcPr>
            <w:tcW w:w="1054" w:type="dxa"/>
            <w:vAlign w:val="center"/>
          </w:tcPr>
          <w:p>
            <w:pPr>
              <w:spacing w:line="400" w:lineRule="exact"/>
              <w:jc w:val="center"/>
              <w:rPr>
                <w:b/>
                <w:bCs/>
                <w:szCs w:val="21"/>
              </w:rPr>
            </w:pPr>
            <w:r>
              <w:rPr>
                <w:b/>
                <w:bCs/>
                <w:szCs w:val="21"/>
              </w:rPr>
              <w:t>因素层</w:t>
            </w:r>
          </w:p>
        </w:tc>
        <w:tc>
          <w:tcPr>
            <w:tcW w:w="988" w:type="dxa"/>
            <w:vAlign w:val="center"/>
          </w:tcPr>
          <w:p>
            <w:pPr>
              <w:spacing w:line="400" w:lineRule="exact"/>
              <w:jc w:val="center"/>
              <w:rPr>
                <w:b/>
                <w:bCs/>
                <w:szCs w:val="21"/>
              </w:rPr>
            </w:pPr>
            <w:r>
              <w:rPr>
                <w:b/>
                <w:bCs/>
                <w:szCs w:val="21"/>
              </w:rPr>
              <w:t>权重</w:t>
            </w:r>
          </w:p>
        </w:tc>
        <w:tc>
          <w:tcPr>
            <w:tcW w:w="1248" w:type="dxa"/>
            <w:vAlign w:val="center"/>
          </w:tcPr>
          <w:p>
            <w:pPr>
              <w:spacing w:line="400" w:lineRule="exact"/>
              <w:jc w:val="center"/>
              <w:rPr>
                <w:b/>
                <w:bCs/>
                <w:szCs w:val="21"/>
              </w:rPr>
            </w:pPr>
            <w:r>
              <w:rPr>
                <w:b/>
                <w:bCs/>
                <w:szCs w:val="21"/>
              </w:rPr>
              <w:t>因子层</w:t>
            </w:r>
          </w:p>
        </w:tc>
        <w:tc>
          <w:tcPr>
            <w:tcW w:w="1006" w:type="dxa"/>
            <w:vAlign w:val="center"/>
          </w:tcPr>
          <w:p>
            <w:pPr>
              <w:spacing w:line="400" w:lineRule="exact"/>
              <w:jc w:val="center"/>
              <w:rPr>
                <w:b/>
                <w:bCs/>
                <w:szCs w:val="21"/>
              </w:rPr>
            </w:pPr>
            <w:r>
              <w:rPr>
                <w:b/>
                <w:bCs/>
                <w:szCs w:val="21"/>
              </w:rPr>
              <w:t>权重</w:t>
            </w:r>
          </w:p>
        </w:tc>
        <w:tc>
          <w:tcPr>
            <w:tcW w:w="1276" w:type="dxa"/>
            <w:vAlign w:val="center"/>
          </w:tcPr>
          <w:p>
            <w:pPr>
              <w:spacing w:line="400" w:lineRule="exact"/>
              <w:jc w:val="center"/>
              <w:rPr>
                <w:b/>
                <w:bCs/>
                <w:szCs w:val="21"/>
              </w:rPr>
            </w:pPr>
            <w:r>
              <w:rPr>
                <w:b/>
                <w:bCs/>
                <w:szCs w:val="21"/>
              </w:rPr>
              <w:t>指标层</w:t>
            </w:r>
          </w:p>
        </w:tc>
        <w:tc>
          <w:tcPr>
            <w:tcW w:w="875" w:type="dxa"/>
            <w:vAlign w:val="center"/>
          </w:tcPr>
          <w:p>
            <w:pPr>
              <w:spacing w:line="400" w:lineRule="exact"/>
              <w:jc w:val="center"/>
              <w:rPr>
                <w:b/>
                <w:bCs/>
                <w:szCs w:val="21"/>
              </w:rPr>
            </w:pPr>
            <w:r>
              <w:rPr>
                <w:b/>
                <w:bCs/>
                <w:szCs w:val="21"/>
              </w:rPr>
              <w:t>权重</w:t>
            </w:r>
          </w:p>
        </w:tc>
        <w:tc>
          <w:tcPr>
            <w:tcW w:w="749" w:type="dxa"/>
            <w:vAlign w:val="center"/>
          </w:tcPr>
          <w:p>
            <w:pPr>
              <w:spacing w:line="400" w:lineRule="exact"/>
              <w:jc w:val="center"/>
              <w:rPr>
                <w:b/>
                <w:bCs/>
                <w:szCs w:val="21"/>
              </w:rPr>
            </w:pPr>
            <w:r>
              <w:rPr>
                <w:b/>
                <w:bCs/>
                <w:szCs w:val="21"/>
              </w:rPr>
              <w:t>优</w:t>
            </w:r>
          </w:p>
        </w:tc>
        <w:tc>
          <w:tcPr>
            <w:tcW w:w="708" w:type="dxa"/>
            <w:vAlign w:val="center"/>
          </w:tcPr>
          <w:p>
            <w:pPr>
              <w:spacing w:line="400" w:lineRule="exact"/>
              <w:jc w:val="center"/>
              <w:rPr>
                <w:b/>
                <w:bCs/>
                <w:szCs w:val="21"/>
              </w:rPr>
            </w:pPr>
            <w:r>
              <w:rPr>
                <w:b/>
                <w:bCs/>
                <w:szCs w:val="21"/>
              </w:rPr>
              <w:t>较优</w:t>
            </w:r>
          </w:p>
        </w:tc>
        <w:tc>
          <w:tcPr>
            <w:tcW w:w="709" w:type="dxa"/>
            <w:vAlign w:val="center"/>
          </w:tcPr>
          <w:p>
            <w:pPr>
              <w:spacing w:line="400" w:lineRule="exact"/>
              <w:jc w:val="center"/>
              <w:rPr>
                <w:b/>
                <w:bCs/>
                <w:szCs w:val="21"/>
              </w:rPr>
            </w:pPr>
            <w:r>
              <w:rPr>
                <w:b/>
                <w:bCs/>
                <w:szCs w:val="21"/>
              </w:rPr>
              <w:t>一般</w:t>
            </w:r>
          </w:p>
        </w:tc>
        <w:tc>
          <w:tcPr>
            <w:tcW w:w="851" w:type="dxa"/>
            <w:vAlign w:val="center"/>
          </w:tcPr>
          <w:p>
            <w:pPr>
              <w:spacing w:line="400" w:lineRule="exact"/>
              <w:jc w:val="center"/>
              <w:rPr>
                <w:b/>
                <w:bCs/>
                <w:szCs w:val="21"/>
              </w:rPr>
            </w:pPr>
            <w:r>
              <w:rPr>
                <w:b/>
                <w:bCs/>
                <w:szCs w:val="21"/>
              </w:rPr>
              <w:t>较劣</w:t>
            </w:r>
          </w:p>
        </w:tc>
        <w:tc>
          <w:tcPr>
            <w:tcW w:w="839"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restart"/>
            <w:vAlign w:val="center"/>
          </w:tcPr>
          <w:p>
            <w:pPr>
              <w:spacing w:line="400" w:lineRule="exact"/>
              <w:jc w:val="center"/>
              <w:rPr>
                <w:szCs w:val="21"/>
              </w:rPr>
            </w:pPr>
            <w:r>
              <w:rPr>
                <w:szCs w:val="21"/>
              </w:rPr>
              <w:t>基本设施状况</w:t>
            </w:r>
          </w:p>
        </w:tc>
        <w:tc>
          <w:tcPr>
            <w:tcW w:w="988" w:type="dxa"/>
            <w:vMerge w:val="restart"/>
            <w:vAlign w:val="center"/>
          </w:tcPr>
          <w:p>
            <w:pPr>
              <w:spacing w:line="400" w:lineRule="exact"/>
              <w:jc w:val="center"/>
              <w:rPr>
                <w:color w:val="000000"/>
                <w:szCs w:val="21"/>
              </w:rPr>
            </w:pPr>
            <w:r>
              <w:rPr>
                <w:color w:val="000000"/>
                <w:szCs w:val="21"/>
              </w:rPr>
              <w:t>0.1918</w:t>
            </w:r>
          </w:p>
        </w:tc>
        <w:tc>
          <w:tcPr>
            <w:tcW w:w="1248" w:type="dxa"/>
            <w:vMerge w:val="restart"/>
            <w:vAlign w:val="center"/>
          </w:tcPr>
          <w:p>
            <w:pPr>
              <w:spacing w:line="400" w:lineRule="exact"/>
              <w:jc w:val="center"/>
              <w:rPr>
                <w:color w:val="000000"/>
                <w:szCs w:val="21"/>
              </w:rPr>
            </w:pPr>
            <w:r>
              <w:rPr>
                <w:color w:val="000000"/>
                <w:szCs w:val="21"/>
              </w:rPr>
              <w:t>公用设施完备度</w:t>
            </w:r>
          </w:p>
        </w:tc>
        <w:tc>
          <w:tcPr>
            <w:tcW w:w="1006" w:type="dxa"/>
            <w:vMerge w:val="restart"/>
            <w:vAlign w:val="center"/>
          </w:tcPr>
          <w:p>
            <w:pPr>
              <w:spacing w:line="400" w:lineRule="exact"/>
              <w:jc w:val="center"/>
              <w:rPr>
                <w:color w:val="000000"/>
                <w:szCs w:val="21"/>
              </w:rPr>
            </w:pPr>
            <w:r>
              <w:rPr>
                <w:color w:val="000000"/>
                <w:szCs w:val="21"/>
              </w:rPr>
              <w:t>0.1918</w:t>
            </w:r>
          </w:p>
        </w:tc>
        <w:tc>
          <w:tcPr>
            <w:tcW w:w="1276" w:type="dxa"/>
            <w:vAlign w:val="center"/>
          </w:tcPr>
          <w:p>
            <w:pPr>
              <w:spacing w:line="400" w:lineRule="exact"/>
              <w:jc w:val="center"/>
              <w:rPr>
                <w:color w:val="000000"/>
                <w:szCs w:val="21"/>
              </w:rPr>
            </w:pPr>
            <w:r>
              <w:rPr>
                <w:color w:val="000000"/>
                <w:szCs w:val="21"/>
              </w:rPr>
              <w:t>距中小学距离</w:t>
            </w:r>
          </w:p>
        </w:tc>
        <w:tc>
          <w:tcPr>
            <w:tcW w:w="875" w:type="dxa"/>
            <w:vAlign w:val="center"/>
          </w:tcPr>
          <w:p>
            <w:pPr>
              <w:spacing w:line="400" w:lineRule="exact"/>
              <w:jc w:val="center"/>
              <w:rPr>
                <w:color w:val="000000"/>
                <w:szCs w:val="21"/>
              </w:rPr>
            </w:pPr>
            <w:r>
              <w:rPr>
                <w:color w:val="000000"/>
                <w:szCs w:val="21"/>
              </w:rPr>
              <w:t>0.0639</w:t>
            </w:r>
          </w:p>
        </w:tc>
        <w:tc>
          <w:tcPr>
            <w:tcW w:w="749" w:type="dxa"/>
            <w:vAlign w:val="center"/>
          </w:tcPr>
          <w:p>
            <w:pPr>
              <w:spacing w:line="400" w:lineRule="exact"/>
              <w:jc w:val="center"/>
              <w:rPr>
                <w:color w:val="000000"/>
                <w:szCs w:val="21"/>
              </w:rPr>
            </w:pPr>
            <w:r>
              <w:rPr>
                <w:color w:val="000000"/>
                <w:szCs w:val="21"/>
              </w:rPr>
              <w:t xml:space="preserve">1.275 </w:t>
            </w:r>
          </w:p>
        </w:tc>
        <w:tc>
          <w:tcPr>
            <w:tcW w:w="708" w:type="dxa"/>
            <w:vAlign w:val="center"/>
          </w:tcPr>
          <w:p>
            <w:pPr>
              <w:spacing w:line="400" w:lineRule="exact"/>
              <w:jc w:val="center"/>
              <w:rPr>
                <w:color w:val="000000"/>
                <w:szCs w:val="21"/>
              </w:rPr>
            </w:pPr>
            <w:r>
              <w:rPr>
                <w:color w:val="000000"/>
                <w:szCs w:val="21"/>
              </w:rPr>
              <w:t xml:space="preserve">0.637 </w:t>
            </w:r>
          </w:p>
        </w:tc>
        <w:tc>
          <w:tcPr>
            <w:tcW w:w="709" w:type="dxa"/>
            <w:vAlign w:val="center"/>
          </w:tcPr>
          <w:p>
            <w:pPr>
              <w:spacing w:line="400" w:lineRule="exact"/>
              <w:jc w:val="center"/>
              <w:rPr>
                <w:color w:val="000000"/>
                <w:szCs w:val="21"/>
              </w:rPr>
            </w:pPr>
            <w:r>
              <w:rPr>
                <w:color w:val="000000"/>
                <w:szCs w:val="21"/>
              </w:rPr>
              <w:t xml:space="preserve">0.000 </w:t>
            </w:r>
          </w:p>
        </w:tc>
        <w:tc>
          <w:tcPr>
            <w:tcW w:w="851" w:type="dxa"/>
            <w:vAlign w:val="center"/>
          </w:tcPr>
          <w:p>
            <w:pPr>
              <w:spacing w:line="400" w:lineRule="exact"/>
              <w:jc w:val="center"/>
              <w:rPr>
                <w:color w:val="000000"/>
                <w:szCs w:val="21"/>
              </w:rPr>
            </w:pPr>
            <w:r>
              <w:rPr>
                <w:color w:val="000000"/>
                <w:szCs w:val="21"/>
              </w:rPr>
              <w:t xml:space="preserve">-0.614 </w:t>
            </w:r>
          </w:p>
        </w:tc>
        <w:tc>
          <w:tcPr>
            <w:tcW w:w="839" w:type="dxa"/>
            <w:vAlign w:val="center"/>
          </w:tcPr>
          <w:p>
            <w:pPr>
              <w:spacing w:line="400" w:lineRule="exact"/>
              <w:jc w:val="center"/>
              <w:rPr>
                <w:color w:val="000000"/>
                <w:szCs w:val="21"/>
              </w:rPr>
            </w:pPr>
            <w:r>
              <w:rPr>
                <w:color w:val="000000"/>
                <w:szCs w:val="21"/>
              </w:rPr>
              <w:t xml:space="preserve">-1.228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continue"/>
            <w:vAlign w:val="center"/>
          </w:tcPr>
          <w:p>
            <w:pPr>
              <w:spacing w:line="400" w:lineRule="exact"/>
              <w:jc w:val="center"/>
              <w:rPr>
                <w:szCs w:val="21"/>
              </w:rPr>
            </w:pPr>
          </w:p>
        </w:tc>
        <w:tc>
          <w:tcPr>
            <w:tcW w:w="988" w:type="dxa"/>
            <w:vMerge w:val="continue"/>
            <w:vAlign w:val="center"/>
          </w:tcPr>
          <w:p>
            <w:pPr>
              <w:spacing w:line="400" w:lineRule="exact"/>
              <w:jc w:val="center"/>
              <w:rPr>
                <w:szCs w:val="21"/>
              </w:rPr>
            </w:pPr>
          </w:p>
        </w:tc>
        <w:tc>
          <w:tcPr>
            <w:tcW w:w="1248" w:type="dxa"/>
            <w:vMerge w:val="continue"/>
            <w:vAlign w:val="center"/>
          </w:tcPr>
          <w:p>
            <w:pPr>
              <w:spacing w:line="400" w:lineRule="exact"/>
              <w:jc w:val="center"/>
              <w:rPr>
                <w:szCs w:val="21"/>
              </w:rPr>
            </w:pPr>
          </w:p>
        </w:tc>
        <w:tc>
          <w:tcPr>
            <w:tcW w:w="1006" w:type="dxa"/>
            <w:vMerge w:val="continue"/>
            <w:vAlign w:val="center"/>
          </w:tcPr>
          <w:p>
            <w:pPr>
              <w:spacing w:line="400" w:lineRule="exact"/>
              <w:jc w:val="center"/>
              <w:rPr>
                <w:szCs w:val="21"/>
              </w:rPr>
            </w:pPr>
          </w:p>
        </w:tc>
        <w:tc>
          <w:tcPr>
            <w:tcW w:w="1276" w:type="dxa"/>
            <w:vAlign w:val="center"/>
          </w:tcPr>
          <w:p>
            <w:pPr>
              <w:spacing w:line="400" w:lineRule="exact"/>
              <w:jc w:val="center"/>
              <w:rPr>
                <w:szCs w:val="21"/>
              </w:rPr>
            </w:pPr>
            <w:r>
              <w:rPr>
                <w:color w:val="000000"/>
                <w:szCs w:val="21"/>
              </w:rPr>
              <w:t>距医院距离</w:t>
            </w:r>
          </w:p>
        </w:tc>
        <w:tc>
          <w:tcPr>
            <w:tcW w:w="875" w:type="dxa"/>
            <w:vAlign w:val="center"/>
          </w:tcPr>
          <w:p>
            <w:pPr>
              <w:spacing w:line="400" w:lineRule="exact"/>
              <w:jc w:val="center"/>
              <w:rPr>
                <w:szCs w:val="21"/>
              </w:rPr>
            </w:pPr>
            <w:r>
              <w:rPr>
                <w:color w:val="000000"/>
                <w:szCs w:val="21"/>
              </w:rPr>
              <w:t>0.0639</w:t>
            </w:r>
          </w:p>
        </w:tc>
        <w:tc>
          <w:tcPr>
            <w:tcW w:w="749" w:type="dxa"/>
            <w:vAlign w:val="center"/>
          </w:tcPr>
          <w:p>
            <w:pPr>
              <w:spacing w:line="400" w:lineRule="exact"/>
              <w:jc w:val="center"/>
              <w:rPr>
                <w:color w:val="000000"/>
                <w:szCs w:val="21"/>
              </w:rPr>
            </w:pPr>
            <w:r>
              <w:rPr>
                <w:color w:val="000000"/>
                <w:szCs w:val="21"/>
              </w:rPr>
              <w:t xml:space="preserve">1.275 </w:t>
            </w:r>
          </w:p>
        </w:tc>
        <w:tc>
          <w:tcPr>
            <w:tcW w:w="708" w:type="dxa"/>
            <w:vAlign w:val="center"/>
          </w:tcPr>
          <w:p>
            <w:pPr>
              <w:spacing w:line="400" w:lineRule="exact"/>
              <w:jc w:val="center"/>
              <w:rPr>
                <w:color w:val="000000"/>
                <w:szCs w:val="21"/>
              </w:rPr>
            </w:pPr>
            <w:r>
              <w:rPr>
                <w:color w:val="000000"/>
                <w:szCs w:val="21"/>
              </w:rPr>
              <w:t xml:space="preserve">0.637 </w:t>
            </w:r>
          </w:p>
        </w:tc>
        <w:tc>
          <w:tcPr>
            <w:tcW w:w="709" w:type="dxa"/>
            <w:vAlign w:val="center"/>
          </w:tcPr>
          <w:p>
            <w:pPr>
              <w:spacing w:line="400" w:lineRule="exact"/>
              <w:jc w:val="center"/>
              <w:rPr>
                <w:color w:val="000000"/>
                <w:szCs w:val="21"/>
              </w:rPr>
            </w:pPr>
            <w:r>
              <w:rPr>
                <w:color w:val="000000"/>
                <w:szCs w:val="21"/>
              </w:rPr>
              <w:t xml:space="preserve">0.000 </w:t>
            </w:r>
          </w:p>
        </w:tc>
        <w:tc>
          <w:tcPr>
            <w:tcW w:w="851" w:type="dxa"/>
            <w:vAlign w:val="center"/>
          </w:tcPr>
          <w:p>
            <w:pPr>
              <w:spacing w:line="400" w:lineRule="exact"/>
              <w:jc w:val="center"/>
              <w:rPr>
                <w:color w:val="000000"/>
                <w:szCs w:val="21"/>
              </w:rPr>
            </w:pPr>
            <w:r>
              <w:rPr>
                <w:color w:val="000000"/>
                <w:szCs w:val="21"/>
              </w:rPr>
              <w:t xml:space="preserve">-0.614 </w:t>
            </w:r>
          </w:p>
        </w:tc>
        <w:tc>
          <w:tcPr>
            <w:tcW w:w="839" w:type="dxa"/>
            <w:vAlign w:val="center"/>
          </w:tcPr>
          <w:p>
            <w:pPr>
              <w:spacing w:line="400" w:lineRule="exact"/>
              <w:jc w:val="center"/>
              <w:rPr>
                <w:color w:val="000000"/>
                <w:szCs w:val="21"/>
              </w:rPr>
            </w:pPr>
            <w:r>
              <w:rPr>
                <w:color w:val="000000"/>
                <w:szCs w:val="21"/>
              </w:rPr>
              <w:t xml:space="preserve">-1.228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continue"/>
            <w:vAlign w:val="center"/>
          </w:tcPr>
          <w:p>
            <w:pPr>
              <w:spacing w:line="400" w:lineRule="exact"/>
              <w:jc w:val="center"/>
              <w:rPr>
                <w:szCs w:val="21"/>
              </w:rPr>
            </w:pPr>
          </w:p>
        </w:tc>
        <w:tc>
          <w:tcPr>
            <w:tcW w:w="988" w:type="dxa"/>
            <w:vMerge w:val="continue"/>
            <w:vAlign w:val="center"/>
          </w:tcPr>
          <w:p>
            <w:pPr>
              <w:spacing w:line="400" w:lineRule="exact"/>
              <w:jc w:val="center"/>
              <w:rPr>
                <w:szCs w:val="21"/>
              </w:rPr>
            </w:pPr>
          </w:p>
        </w:tc>
        <w:tc>
          <w:tcPr>
            <w:tcW w:w="1248" w:type="dxa"/>
            <w:vMerge w:val="continue"/>
            <w:vAlign w:val="center"/>
          </w:tcPr>
          <w:p>
            <w:pPr>
              <w:spacing w:line="400" w:lineRule="exact"/>
              <w:jc w:val="center"/>
              <w:rPr>
                <w:szCs w:val="21"/>
              </w:rPr>
            </w:pPr>
          </w:p>
        </w:tc>
        <w:tc>
          <w:tcPr>
            <w:tcW w:w="1006" w:type="dxa"/>
            <w:vMerge w:val="continue"/>
            <w:vAlign w:val="center"/>
          </w:tcPr>
          <w:p>
            <w:pPr>
              <w:spacing w:line="400" w:lineRule="exact"/>
              <w:jc w:val="center"/>
              <w:rPr>
                <w:szCs w:val="21"/>
              </w:rPr>
            </w:pPr>
          </w:p>
        </w:tc>
        <w:tc>
          <w:tcPr>
            <w:tcW w:w="1276" w:type="dxa"/>
            <w:vAlign w:val="center"/>
          </w:tcPr>
          <w:p>
            <w:pPr>
              <w:spacing w:line="400" w:lineRule="exact"/>
              <w:jc w:val="center"/>
              <w:rPr>
                <w:szCs w:val="21"/>
              </w:rPr>
            </w:pPr>
            <w:r>
              <w:rPr>
                <w:color w:val="000000"/>
                <w:szCs w:val="21"/>
              </w:rPr>
              <w:t>距文体设施用地距离</w:t>
            </w:r>
          </w:p>
        </w:tc>
        <w:tc>
          <w:tcPr>
            <w:tcW w:w="875" w:type="dxa"/>
            <w:vAlign w:val="center"/>
          </w:tcPr>
          <w:p>
            <w:pPr>
              <w:spacing w:line="400" w:lineRule="exact"/>
              <w:jc w:val="center"/>
              <w:rPr>
                <w:szCs w:val="21"/>
              </w:rPr>
            </w:pPr>
            <w:r>
              <w:rPr>
                <w:color w:val="000000"/>
                <w:szCs w:val="21"/>
              </w:rPr>
              <w:t>0.064</w:t>
            </w:r>
          </w:p>
        </w:tc>
        <w:tc>
          <w:tcPr>
            <w:tcW w:w="749" w:type="dxa"/>
            <w:vAlign w:val="center"/>
          </w:tcPr>
          <w:p>
            <w:pPr>
              <w:spacing w:line="400" w:lineRule="exact"/>
              <w:jc w:val="center"/>
              <w:rPr>
                <w:color w:val="000000"/>
                <w:szCs w:val="21"/>
              </w:rPr>
            </w:pPr>
            <w:r>
              <w:rPr>
                <w:color w:val="000000"/>
                <w:szCs w:val="21"/>
              </w:rPr>
              <w:t xml:space="preserve">1.277 </w:t>
            </w:r>
          </w:p>
        </w:tc>
        <w:tc>
          <w:tcPr>
            <w:tcW w:w="708" w:type="dxa"/>
            <w:vAlign w:val="center"/>
          </w:tcPr>
          <w:p>
            <w:pPr>
              <w:spacing w:line="400" w:lineRule="exact"/>
              <w:jc w:val="center"/>
              <w:rPr>
                <w:color w:val="000000"/>
                <w:szCs w:val="21"/>
              </w:rPr>
            </w:pPr>
            <w:r>
              <w:rPr>
                <w:color w:val="000000"/>
                <w:szCs w:val="21"/>
              </w:rPr>
              <w:t xml:space="preserve">0.638 </w:t>
            </w:r>
          </w:p>
        </w:tc>
        <w:tc>
          <w:tcPr>
            <w:tcW w:w="709" w:type="dxa"/>
            <w:vAlign w:val="center"/>
          </w:tcPr>
          <w:p>
            <w:pPr>
              <w:spacing w:line="400" w:lineRule="exact"/>
              <w:jc w:val="center"/>
              <w:rPr>
                <w:color w:val="000000"/>
                <w:szCs w:val="21"/>
              </w:rPr>
            </w:pPr>
            <w:r>
              <w:rPr>
                <w:color w:val="000000"/>
                <w:szCs w:val="21"/>
              </w:rPr>
              <w:t xml:space="preserve">0.000 </w:t>
            </w:r>
          </w:p>
        </w:tc>
        <w:tc>
          <w:tcPr>
            <w:tcW w:w="851" w:type="dxa"/>
            <w:vAlign w:val="center"/>
          </w:tcPr>
          <w:p>
            <w:pPr>
              <w:spacing w:line="400" w:lineRule="exact"/>
              <w:jc w:val="center"/>
              <w:rPr>
                <w:color w:val="000000"/>
                <w:szCs w:val="21"/>
              </w:rPr>
            </w:pPr>
            <w:r>
              <w:rPr>
                <w:color w:val="000000"/>
                <w:szCs w:val="21"/>
              </w:rPr>
              <w:t xml:space="preserve">-0.615 </w:t>
            </w:r>
          </w:p>
        </w:tc>
        <w:tc>
          <w:tcPr>
            <w:tcW w:w="839" w:type="dxa"/>
            <w:vAlign w:val="center"/>
          </w:tcPr>
          <w:p>
            <w:pPr>
              <w:spacing w:line="400" w:lineRule="exact"/>
              <w:jc w:val="center"/>
              <w:rPr>
                <w:color w:val="000000"/>
                <w:szCs w:val="21"/>
              </w:rPr>
            </w:pPr>
            <w:r>
              <w:rPr>
                <w:color w:val="000000"/>
                <w:szCs w:val="21"/>
              </w:rPr>
              <w:t xml:space="preserve">-1.230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7" w:hRule="atLeast"/>
          <w:jc w:val="center"/>
        </w:trPr>
        <w:tc>
          <w:tcPr>
            <w:tcW w:w="1054" w:type="dxa"/>
            <w:vAlign w:val="center"/>
          </w:tcPr>
          <w:p>
            <w:pPr>
              <w:spacing w:line="400" w:lineRule="exact"/>
              <w:jc w:val="center"/>
              <w:rPr>
                <w:szCs w:val="21"/>
              </w:rPr>
            </w:pPr>
            <w:r>
              <w:rPr>
                <w:szCs w:val="21"/>
              </w:rPr>
              <w:t>繁华程度</w:t>
            </w:r>
          </w:p>
        </w:tc>
        <w:tc>
          <w:tcPr>
            <w:tcW w:w="988" w:type="dxa"/>
            <w:vAlign w:val="center"/>
          </w:tcPr>
          <w:p>
            <w:pPr>
              <w:spacing w:line="400" w:lineRule="exact"/>
              <w:jc w:val="center"/>
              <w:rPr>
                <w:color w:val="000000"/>
                <w:szCs w:val="21"/>
              </w:rPr>
            </w:pPr>
            <w:r>
              <w:rPr>
                <w:color w:val="000000"/>
                <w:szCs w:val="21"/>
              </w:rPr>
              <w:t>0.3123</w:t>
            </w:r>
          </w:p>
        </w:tc>
        <w:tc>
          <w:tcPr>
            <w:tcW w:w="1248" w:type="dxa"/>
            <w:vAlign w:val="center"/>
          </w:tcPr>
          <w:p>
            <w:pPr>
              <w:spacing w:line="400" w:lineRule="exact"/>
              <w:jc w:val="center"/>
              <w:rPr>
                <w:color w:val="000000"/>
                <w:szCs w:val="21"/>
              </w:rPr>
            </w:pPr>
            <w:r>
              <w:rPr>
                <w:color w:val="000000"/>
                <w:szCs w:val="21"/>
              </w:rPr>
              <w:t>商服繁华影响度</w:t>
            </w:r>
          </w:p>
        </w:tc>
        <w:tc>
          <w:tcPr>
            <w:tcW w:w="1006" w:type="dxa"/>
            <w:vAlign w:val="center"/>
          </w:tcPr>
          <w:p>
            <w:pPr>
              <w:spacing w:line="400" w:lineRule="exact"/>
              <w:jc w:val="center"/>
              <w:rPr>
                <w:color w:val="000000"/>
                <w:szCs w:val="21"/>
              </w:rPr>
            </w:pPr>
            <w:r>
              <w:rPr>
                <w:color w:val="000000"/>
                <w:szCs w:val="21"/>
              </w:rPr>
              <w:t>0.3123</w:t>
            </w:r>
          </w:p>
        </w:tc>
        <w:tc>
          <w:tcPr>
            <w:tcW w:w="1276" w:type="dxa"/>
            <w:vAlign w:val="center"/>
          </w:tcPr>
          <w:p>
            <w:pPr>
              <w:spacing w:line="400" w:lineRule="exact"/>
              <w:jc w:val="center"/>
              <w:rPr>
                <w:color w:val="000000"/>
                <w:szCs w:val="21"/>
              </w:rPr>
            </w:pPr>
            <w:r>
              <w:rPr>
                <w:color w:val="000000"/>
                <w:szCs w:val="21"/>
              </w:rPr>
              <w:t>距商服中心距离</w:t>
            </w:r>
          </w:p>
        </w:tc>
        <w:tc>
          <w:tcPr>
            <w:tcW w:w="875" w:type="dxa"/>
            <w:vAlign w:val="center"/>
          </w:tcPr>
          <w:p>
            <w:pPr>
              <w:spacing w:line="400" w:lineRule="exact"/>
              <w:jc w:val="center"/>
              <w:rPr>
                <w:color w:val="000000"/>
                <w:szCs w:val="21"/>
              </w:rPr>
            </w:pPr>
            <w:r>
              <w:rPr>
                <w:color w:val="000000"/>
                <w:szCs w:val="21"/>
              </w:rPr>
              <w:t>0.3123</w:t>
            </w:r>
          </w:p>
        </w:tc>
        <w:tc>
          <w:tcPr>
            <w:tcW w:w="749" w:type="dxa"/>
            <w:vAlign w:val="center"/>
          </w:tcPr>
          <w:p>
            <w:pPr>
              <w:spacing w:line="400" w:lineRule="exact"/>
              <w:jc w:val="center"/>
              <w:rPr>
                <w:color w:val="000000"/>
                <w:szCs w:val="21"/>
              </w:rPr>
            </w:pPr>
            <w:r>
              <w:rPr>
                <w:color w:val="000000"/>
                <w:szCs w:val="21"/>
              </w:rPr>
              <w:t xml:space="preserve">6.230 </w:t>
            </w:r>
          </w:p>
        </w:tc>
        <w:tc>
          <w:tcPr>
            <w:tcW w:w="708" w:type="dxa"/>
            <w:vAlign w:val="center"/>
          </w:tcPr>
          <w:p>
            <w:pPr>
              <w:spacing w:line="400" w:lineRule="exact"/>
              <w:jc w:val="center"/>
              <w:rPr>
                <w:color w:val="000000"/>
                <w:szCs w:val="21"/>
              </w:rPr>
            </w:pPr>
            <w:r>
              <w:rPr>
                <w:color w:val="000000"/>
                <w:szCs w:val="21"/>
              </w:rPr>
              <w:t xml:space="preserve">3.115 </w:t>
            </w:r>
          </w:p>
        </w:tc>
        <w:tc>
          <w:tcPr>
            <w:tcW w:w="709" w:type="dxa"/>
            <w:vAlign w:val="center"/>
          </w:tcPr>
          <w:p>
            <w:pPr>
              <w:spacing w:line="400" w:lineRule="exact"/>
              <w:jc w:val="center"/>
              <w:rPr>
                <w:color w:val="000000"/>
                <w:szCs w:val="21"/>
              </w:rPr>
            </w:pPr>
            <w:r>
              <w:rPr>
                <w:color w:val="000000"/>
                <w:szCs w:val="21"/>
              </w:rPr>
              <w:t xml:space="preserve">0.000 </w:t>
            </w:r>
          </w:p>
        </w:tc>
        <w:tc>
          <w:tcPr>
            <w:tcW w:w="851" w:type="dxa"/>
            <w:vAlign w:val="center"/>
          </w:tcPr>
          <w:p>
            <w:pPr>
              <w:spacing w:line="400" w:lineRule="exact"/>
              <w:jc w:val="center"/>
              <w:rPr>
                <w:color w:val="000000"/>
                <w:szCs w:val="21"/>
              </w:rPr>
            </w:pPr>
            <w:r>
              <w:rPr>
                <w:color w:val="000000"/>
                <w:szCs w:val="21"/>
              </w:rPr>
              <w:t xml:space="preserve">-3.001 </w:t>
            </w:r>
          </w:p>
        </w:tc>
        <w:tc>
          <w:tcPr>
            <w:tcW w:w="839" w:type="dxa"/>
            <w:vAlign w:val="center"/>
          </w:tcPr>
          <w:p>
            <w:pPr>
              <w:spacing w:line="400" w:lineRule="exact"/>
              <w:jc w:val="center"/>
              <w:rPr>
                <w:color w:val="000000"/>
                <w:szCs w:val="21"/>
              </w:rPr>
            </w:pPr>
            <w:r>
              <w:rPr>
                <w:color w:val="000000"/>
                <w:szCs w:val="21"/>
              </w:rPr>
              <w:t xml:space="preserve">-6.002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Align w:val="center"/>
          </w:tcPr>
          <w:p>
            <w:pPr>
              <w:spacing w:line="400" w:lineRule="exact"/>
              <w:jc w:val="center"/>
              <w:rPr>
                <w:szCs w:val="21"/>
              </w:rPr>
            </w:pPr>
            <w:r>
              <w:rPr>
                <w:szCs w:val="21"/>
              </w:rPr>
              <w:t>人口状况</w:t>
            </w:r>
          </w:p>
        </w:tc>
        <w:tc>
          <w:tcPr>
            <w:tcW w:w="988" w:type="dxa"/>
            <w:vAlign w:val="center"/>
          </w:tcPr>
          <w:p>
            <w:pPr>
              <w:spacing w:line="400" w:lineRule="exact"/>
              <w:jc w:val="center"/>
              <w:rPr>
                <w:color w:val="000000"/>
                <w:szCs w:val="21"/>
              </w:rPr>
            </w:pPr>
            <w:r>
              <w:rPr>
                <w:color w:val="000000"/>
                <w:szCs w:val="21"/>
              </w:rPr>
              <w:t>0.1567</w:t>
            </w:r>
          </w:p>
        </w:tc>
        <w:tc>
          <w:tcPr>
            <w:tcW w:w="1248" w:type="dxa"/>
            <w:vAlign w:val="center"/>
          </w:tcPr>
          <w:p>
            <w:pPr>
              <w:spacing w:line="400" w:lineRule="exact"/>
              <w:jc w:val="center"/>
              <w:rPr>
                <w:color w:val="000000"/>
                <w:szCs w:val="21"/>
              </w:rPr>
            </w:pPr>
            <w:r>
              <w:rPr>
                <w:color w:val="000000"/>
                <w:szCs w:val="21"/>
              </w:rPr>
              <w:t>人口密度</w:t>
            </w:r>
          </w:p>
        </w:tc>
        <w:tc>
          <w:tcPr>
            <w:tcW w:w="1006" w:type="dxa"/>
            <w:vAlign w:val="center"/>
          </w:tcPr>
          <w:p>
            <w:pPr>
              <w:spacing w:line="400" w:lineRule="exact"/>
              <w:jc w:val="center"/>
              <w:rPr>
                <w:color w:val="000000"/>
                <w:szCs w:val="21"/>
              </w:rPr>
            </w:pPr>
            <w:r>
              <w:rPr>
                <w:color w:val="000000"/>
                <w:szCs w:val="21"/>
              </w:rPr>
              <w:t>0.1567</w:t>
            </w:r>
          </w:p>
        </w:tc>
        <w:tc>
          <w:tcPr>
            <w:tcW w:w="1276" w:type="dxa"/>
            <w:vAlign w:val="center"/>
          </w:tcPr>
          <w:p>
            <w:pPr>
              <w:spacing w:line="400" w:lineRule="exact"/>
              <w:jc w:val="center"/>
              <w:rPr>
                <w:color w:val="000000"/>
                <w:szCs w:val="21"/>
              </w:rPr>
            </w:pPr>
            <w:r>
              <w:rPr>
                <w:color w:val="000000"/>
                <w:szCs w:val="21"/>
              </w:rPr>
              <w:t>人口密度</w:t>
            </w:r>
          </w:p>
        </w:tc>
        <w:tc>
          <w:tcPr>
            <w:tcW w:w="875" w:type="dxa"/>
            <w:vAlign w:val="center"/>
          </w:tcPr>
          <w:p>
            <w:pPr>
              <w:spacing w:line="400" w:lineRule="exact"/>
              <w:jc w:val="center"/>
              <w:rPr>
                <w:color w:val="000000"/>
                <w:szCs w:val="21"/>
              </w:rPr>
            </w:pPr>
            <w:r>
              <w:rPr>
                <w:color w:val="000000"/>
                <w:szCs w:val="21"/>
              </w:rPr>
              <w:t>0.1567</w:t>
            </w:r>
          </w:p>
        </w:tc>
        <w:tc>
          <w:tcPr>
            <w:tcW w:w="749" w:type="dxa"/>
            <w:vAlign w:val="center"/>
          </w:tcPr>
          <w:p>
            <w:pPr>
              <w:spacing w:line="400" w:lineRule="exact"/>
              <w:jc w:val="center"/>
              <w:rPr>
                <w:color w:val="000000"/>
                <w:szCs w:val="21"/>
              </w:rPr>
            </w:pPr>
            <w:r>
              <w:rPr>
                <w:color w:val="000000"/>
                <w:szCs w:val="21"/>
              </w:rPr>
              <w:t xml:space="preserve">3.126 </w:t>
            </w:r>
          </w:p>
        </w:tc>
        <w:tc>
          <w:tcPr>
            <w:tcW w:w="708" w:type="dxa"/>
            <w:vAlign w:val="center"/>
          </w:tcPr>
          <w:p>
            <w:pPr>
              <w:spacing w:line="400" w:lineRule="exact"/>
              <w:jc w:val="center"/>
              <w:rPr>
                <w:color w:val="000000"/>
                <w:szCs w:val="21"/>
              </w:rPr>
            </w:pPr>
            <w:r>
              <w:rPr>
                <w:color w:val="000000"/>
                <w:szCs w:val="21"/>
              </w:rPr>
              <w:t xml:space="preserve">1.563 </w:t>
            </w:r>
          </w:p>
        </w:tc>
        <w:tc>
          <w:tcPr>
            <w:tcW w:w="709" w:type="dxa"/>
            <w:vAlign w:val="center"/>
          </w:tcPr>
          <w:p>
            <w:pPr>
              <w:spacing w:line="400" w:lineRule="exact"/>
              <w:jc w:val="center"/>
              <w:rPr>
                <w:color w:val="000000"/>
                <w:szCs w:val="21"/>
              </w:rPr>
            </w:pPr>
            <w:r>
              <w:rPr>
                <w:color w:val="000000"/>
                <w:szCs w:val="21"/>
              </w:rPr>
              <w:t xml:space="preserve">0.000 </w:t>
            </w:r>
          </w:p>
        </w:tc>
        <w:tc>
          <w:tcPr>
            <w:tcW w:w="851" w:type="dxa"/>
            <w:vAlign w:val="center"/>
          </w:tcPr>
          <w:p>
            <w:pPr>
              <w:spacing w:line="400" w:lineRule="exact"/>
              <w:jc w:val="center"/>
              <w:rPr>
                <w:color w:val="000000"/>
                <w:szCs w:val="21"/>
              </w:rPr>
            </w:pPr>
            <w:r>
              <w:rPr>
                <w:color w:val="000000"/>
                <w:szCs w:val="21"/>
              </w:rPr>
              <w:t xml:space="preserve">-1.506 </w:t>
            </w:r>
          </w:p>
        </w:tc>
        <w:tc>
          <w:tcPr>
            <w:tcW w:w="839" w:type="dxa"/>
            <w:vAlign w:val="center"/>
          </w:tcPr>
          <w:p>
            <w:pPr>
              <w:spacing w:line="400" w:lineRule="exact"/>
              <w:jc w:val="center"/>
              <w:rPr>
                <w:color w:val="000000"/>
                <w:szCs w:val="21"/>
              </w:rPr>
            </w:pPr>
            <w:r>
              <w:rPr>
                <w:color w:val="000000"/>
                <w:szCs w:val="21"/>
              </w:rPr>
              <w:t xml:space="preserve">-3.012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restart"/>
            <w:vAlign w:val="center"/>
          </w:tcPr>
          <w:p>
            <w:pPr>
              <w:spacing w:line="400" w:lineRule="exact"/>
              <w:jc w:val="center"/>
              <w:rPr>
                <w:szCs w:val="21"/>
              </w:rPr>
            </w:pPr>
            <w:r>
              <w:rPr>
                <w:szCs w:val="21"/>
              </w:rPr>
              <w:t>交通条件</w:t>
            </w:r>
          </w:p>
        </w:tc>
        <w:tc>
          <w:tcPr>
            <w:tcW w:w="988" w:type="dxa"/>
            <w:vMerge w:val="restart"/>
            <w:vAlign w:val="center"/>
          </w:tcPr>
          <w:p>
            <w:pPr>
              <w:spacing w:line="400" w:lineRule="exact"/>
              <w:jc w:val="center"/>
              <w:rPr>
                <w:color w:val="000000"/>
                <w:szCs w:val="21"/>
              </w:rPr>
            </w:pPr>
            <w:r>
              <w:rPr>
                <w:color w:val="000000"/>
                <w:szCs w:val="21"/>
              </w:rPr>
              <w:t>0.2384</w:t>
            </w:r>
          </w:p>
        </w:tc>
        <w:tc>
          <w:tcPr>
            <w:tcW w:w="1248" w:type="dxa"/>
            <w:vAlign w:val="center"/>
          </w:tcPr>
          <w:p>
            <w:pPr>
              <w:spacing w:line="400" w:lineRule="exact"/>
              <w:jc w:val="center"/>
              <w:rPr>
                <w:color w:val="000000"/>
                <w:szCs w:val="21"/>
              </w:rPr>
            </w:pPr>
            <w:r>
              <w:rPr>
                <w:color w:val="000000"/>
                <w:szCs w:val="21"/>
              </w:rPr>
              <w:t>道路通达度</w:t>
            </w:r>
          </w:p>
        </w:tc>
        <w:tc>
          <w:tcPr>
            <w:tcW w:w="1006" w:type="dxa"/>
            <w:vAlign w:val="center"/>
          </w:tcPr>
          <w:p>
            <w:pPr>
              <w:spacing w:line="400" w:lineRule="exact"/>
              <w:jc w:val="center"/>
              <w:rPr>
                <w:color w:val="000000"/>
                <w:szCs w:val="21"/>
              </w:rPr>
            </w:pPr>
            <w:r>
              <w:rPr>
                <w:color w:val="000000"/>
                <w:szCs w:val="21"/>
              </w:rPr>
              <w:t>0.0794</w:t>
            </w:r>
          </w:p>
        </w:tc>
        <w:tc>
          <w:tcPr>
            <w:tcW w:w="1276" w:type="dxa"/>
            <w:vAlign w:val="center"/>
          </w:tcPr>
          <w:p>
            <w:pPr>
              <w:spacing w:line="400" w:lineRule="exact"/>
              <w:jc w:val="center"/>
              <w:rPr>
                <w:color w:val="000000"/>
                <w:szCs w:val="21"/>
              </w:rPr>
            </w:pPr>
            <w:r>
              <w:rPr>
                <w:color w:val="000000"/>
                <w:szCs w:val="21"/>
              </w:rPr>
              <w:t>临近道路状况</w:t>
            </w:r>
          </w:p>
        </w:tc>
        <w:tc>
          <w:tcPr>
            <w:tcW w:w="875" w:type="dxa"/>
            <w:vAlign w:val="center"/>
          </w:tcPr>
          <w:p>
            <w:pPr>
              <w:spacing w:line="400" w:lineRule="exact"/>
              <w:jc w:val="center"/>
              <w:rPr>
                <w:color w:val="000000"/>
                <w:szCs w:val="21"/>
              </w:rPr>
            </w:pPr>
            <w:r>
              <w:rPr>
                <w:color w:val="000000"/>
                <w:szCs w:val="21"/>
              </w:rPr>
              <w:t>0.0794</w:t>
            </w:r>
          </w:p>
        </w:tc>
        <w:tc>
          <w:tcPr>
            <w:tcW w:w="749" w:type="dxa"/>
            <w:vAlign w:val="center"/>
          </w:tcPr>
          <w:p>
            <w:pPr>
              <w:spacing w:line="400" w:lineRule="exact"/>
              <w:jc w:val="center"/>
              <w:rPr>
                <w:color w:val="000000"/>
                <w:szCs w:val="21"/>
              </w:rPr>
            </w:pPr>
            <w:r>
              <w:rPr>
                <w:color w:val="000000"/>
                <w:szCs w:val="21"/>
              </w:rPr>
              <w:t xml:space="preserve">1.584 </w:t>
            </w:r>
          </w:p>
        </w:tc>
        <w:tc>
          <w:tcPr>
            <w:tcW w:w="708" w:type="dxa"/>
            <w:vAlign w:val="center"/>
          </w:tcPr>
          <w:p>
            <w:pPr>
              <w:spacing w:line="400" w:lineRule="exact"/>
              <w:jc w:val="center"/>
              <w:rPr>
                <w:color w:val="000000"/>
                <w:szCs w:val="21"/>
              </w:rPr>
            </w:pPr>
            <w:r>
              <w:rPr>
                <w:color w:val="000000"/>
                <w:szCs w:val="21"/>
              </w:rPr>
              <w:t xml:space="preserve">0.792 </w:t>
            </w:r>
          </w:p>
        </w:tc>
        <w:tc>
          <w:tcPr>
            <w:tcW w:w="709" w:type="dxa"/>
            <w:vAlign w:val="center"/>
          </w:tcPr>
          <w:p>
            <w:pPr>
              <w:spacing w:line="400" w:lineRule="exact"/>
              <w:jc w:val="center"/>
              <w:rPr>
                <w:color w:val="000000"/>
                <w:szCs w:val="21"/>
              </w:rPr>
            </w:pPr>
            <w:r>
              <w:rPr>
                <w:color w:val="000000"/>
                <w:szCs w:val="21"/>
              </w:rPr>
              <w:t xml:space="preserve">0.000 </w:t>
            </w:r>
          </w:p>
        </w:tc>
        <w:tc>
          <w:tcPr>
            <w:tcW w:w="851" w:type="dxa"/>
            <w:vAlign w:val="center"/>
          </w:tcPr>
          <w:p>
            <w:pPr>
              <w:spacing w:line="400" w:lineRule="exact"/>
              <w:jc w:val="center"/>
              <w:rPr>
                <w:color w:val="000000"/>
                <w:szCs w:val="21"/>
              </w:rPr>
            </w:pPr>
            <w:r>
              <w:rPr>
                <w:color w:val="000000"/>
                <w:szCs w:val="21"/>
              </w:rPr>
              <w:t xml:space="preserve">-0.763 </w:t>
            </w:r>
          </w:p>
        </w:tc>
        <w:tc>
          <w:tcPr>
            <w:tcW w:w="839" w:type="dxa"/>
            <w:vAlign w:val="center"/>
          </w:tcPr>
          <w:p>
            <w:pPr>
              <w:spacing w:line="400" w:lineRule="exact"/>
              <w:jc w:val="center"/>
              <w:rPr>
                <w:color w:val="000000"/>
                <w:szCs w:val="21"/>
              </w:rPr>
            </w:pPr>
            <w:r>
              <w:rPr>
                <w:color w:val="000000"/>
                <w:szCs w:val="21"/>
              </w:rPr>
              <w:t xml:space="preserve">-1.526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continue"/>
            <w:vAlign w:val="center"/>
          </w:tcPr>
          <w:p>
            <w:pPr>
              <w:spacing w:line="400" w:lineRule="exact"/>
              <w:jc w:val="center"/>
              <w:rPr>
                <w:szCs w:val="21"/>
              </w:rPr>
            </w:pPr>
          </w:p>
        </w:tc>
        <w:tc>
          <w:tcPr>
            <w:tcW w:w="988" w:type="dxa"/>
            <w:vMerge w:val="continue"/>
            <w:vAlign w:val="center"/>
          </w:tcPr>
          <w:p>
            <w:pPr>
              <w:spacing w:line="400" w:lineRule="exact"/>
              <w:jc w:val="center"/>
              <w:rPr>
                <w:szCs w:val="21"/>
              </w:rPr>
            </w:pPr>
          </w:p>
        </w:tc>
        <w:tc>
          <w:tcPr>
            <w:tcW w:w="1248" w:type="dxa"/>
            <w:vAlign w:val="center"/>
          </w:tcPr>
          <w:p>
            <w:pPr>
              <w:spacing w:line="400" w:lineRule="exact"/>
              <w:jc w:val="center"/>
              <w:rPr>
                <w:szCs w:val="21"/>
              </w:rPr>
            </w:pPr>
            <w:r>
              <w:rPr>
                <w:color w:val="000000"/>
                <w:szCs w:val="21"/>
              </w:rPr>
              <w:t>公交便捷度</w:t>
            </w:r>
          </w:p>
        </w:tc>
        <w:tc>
          <w:tcPr>
            <w:tcW w:w="1006" w:type="dxa"/>
            <w:vAlign w:val="center"/>
          </w:tcPr>
          <w:p>
            <w:pPr>
              <w:spacing w:line="400" w:lineRule="exact"/>
              <w:jc w:val="center"/>
              <w:rPr>
                <w:szCs w:val="21"/>
              </w:rPr>
            </w:pPr>
            <w:r>
              <w:rPr>
                <w:color w:val="000000"/>
                <w:szCs w:val="21"/>
              </w:rPr>
              <w:t>0.0795</w:t>
            </w:r>
          </w:p>
        </w:tc>
        <w:tc>
          <w:tcPr>
            <w:tcW w:w="1276" w:type="dxa"/>
            <w:vAlign w:val="center"/>
          </w:tcPr>
          <w:p>
            <w:pPr>
              <w:spacing w:line="400" w:lineRule="exact"/>
              <w:jc w:val="center"/>
              <w:rPr>
                <w:szCs w:val="21"/>
              </w:rPr>
            </w:pPr>
            <w:r>
              <w:rPr>
                <w:color w:val="000000"/>
                <w:szCs w:val="21"/>
              </w:rPr>
              <w:t>距最近公交站点距离</w:t>
            </w:r>
          </w:p>
        </w:tc>
        <w:tc>
          <w:tcPr>
            <w:tcW w:w="875" w:type="dxa"/>
            <w:vAlign w:val="center"/>
          </w:tcPr>
          <w:p>
            <w:pPr>
              <w:spacing w:line="400" w:lineRule="exact"/>
              <w:jc w:val="center"/>
              <w:rPr>
                <w:szCs w:val="21"/>
              </w:rPr>
            </w:pPr>
            <w:r>
              <w:rPr>
                <w:color w:val="000000"/>
                <w:szCs w:val="21"/>
              </w:rPr>
              <w:t>0.0795</w:t>
            </w:r>
          </w:p>
        </w:tc>
        <w:tc>
          <w:tcPr>
            <w:tcW w:w="749" w:type="dxa"/>
            <w:vAlign w:val="center"/>
          </w:tcPr>
          <w:p>
            <w:pPr>
              <w:spacing w:line="400" w:lineRule="exact"/>
              <w:jc w:val="center"/>
              <w:rPr>
                <w:color w:val="000000"/>
                <w:szCs w:val="21"/>
              </w:rPr>
            </w:pPr>
            <w:r>
              <w:rPr>
                <w:color w:val="000000"/>
                <w:szCs w:val="21"/>
              </w:rPr>
              <w:t xml:space="preserve">1.586 </w:t>
            </w:r>
          </w:p>
        </w:tc>
        <w:tc>
          <w:tcPr>
            <w:tcW w:w="708" w:type="dxa"/>
            <w:vAlign w:val="center"/>
          </w:tcPr>
          <w:p>
            <w:pPr>
              <w:spacing w:line="400" w:lineRule="exact"/>
              <w:jc w:val="center"/>
              <w:rPr>
                <w:color w:val="000000"/>
                <w:szCs w:val="21"/>
              </w:rPr>
            </w:pPr>
            <w:r>
              <w:rPr>
                <w:color w:val="000000"/>
                <w:szCs w:val="21"/>
              </w:rPr>
              <w:t xml:space="preserve">0.793 </w:t>
            </w:r>
          </w:p>
        </w:tc>
        <w:tc>
          <w:tcPr>
            <w:tcW w:w="709" w:type="dxa"/>
            <w:vAlign w:val="center"/>
          </w:tcPr>
          <w:p>
            <w:pPr>
              <w:spacing w:line="400" w:lineRule="exact"/>
              <w:jc w:val="center"/>
              <w:rPr>
                <w:color w:val="000000"/>
                <w:szCs w:val="21"/>
              </w:rPr>
            </w:pPr>
            <w:r>
              <w:rPr>
                <w:color w:val="000000"/>
                <w:szCs w:val="21"/>
              </w:rPr>
              <w:t xml:space="preserve">0.000 </w:t>
            </w:r>
          </w:p>
        </w:tc>
        <w:tc>
          <w:tcPr>
            <w:tcW w:w="851" w:type="dxa"/>
            <w:vAlign w:val="center"/>
          </w:tcPr>
          <w:p>
            <w:pPr>
              <w:spacing w:line="400" w:lineRule="exact"/>
              <w:jc w:val="center"/>
              <w:rPr>
                <w:color w:val="000000"/>
                <w:szCs w:val="21"/>
              </w:rPr>
            </w:pPr>
            <w:r>
              <w:rPr>
                <w:color w:val="000000"/>
                <w:szCs w:val="21"/>
              </w:rPr>
              <w:t xml:space="preserve">-0.764 </w:t>
            </w:r>
          </w:p>
        </w:tc>
        <w:tc>
          <w:tcPr>
            <w:tcW w:w="839" w:type="dxa"/>
            <w:vAlign w:val="center"/>
          </w:tcPr>
          <w:p>
            <w:pPr>
              <w:spacing w:line="400" w:lineRule="exact"/>
              <w:jc w:val="center"/>
              <w:rPr>
                <w:color w:val="000000"/>
                <w:szCs w:val="21"/>
              </w:rPr>
            </w:pPr>
            <w:r>
              <w:rPr>
                <w:color w:val="000000"/>
                <w:szCs w:val="21"/>
              </w:rPr>
              <w:t xml:space="preserve">-1.528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1054" w:type="dxa"/>
            <w:vMerge w:val="continue"/>
            <w:vAlign w:val="center"/>
          </w:tcPr>
          <w:p>
            <w:pPr>
              <w:spacing w:line="400" w:lineRule="exact"/>
              <w:jc w:val="center"/>
              <w:rPr>
                <w:szCs w:val="21"/>
              </w:rPr>
            </w:pPr>
          </w:p>
        </w:tc>
        <w:tc>
          <w:tcPr>
            <w:tcW w:w="988" w:type="dxa"/>
            <w:vMerge w:val="continue"/>
            <w:vAlign w:val="center"/>
          </w:tcPr>
          <w:p>
            <w:pPr>
              <w:spacing w:line="400" w:lineRule="exact"/>
              <w:jc w:val="center"/>
              <w:rPr>
                <w:szCs w:val="21"/>
              </w:rPr>
            </w:pPr>
          </w:p>
        </w:tc>
        <w:tc>
          <w:tcPr>
            <w:tcW w:w="1248" w:type="dxa"/>
            <w:vAlign w:val="center"/>
          </w:tcPr>
          <w:p>
            <w:pPr>
              <w:spacing w:line="400" w:lineRule="exact"/>
              <w:jc w:val="center"/>
              <w:rPr>
                <w:szCs w:val="21"/>
              </w:rPr>
            </w:pPr>
            <w:r>
              <w:rPr>
                <w:color w:val="000000"/>
                <w:szCs w:val="21"/>
              </w:rPr>
              <w:t>对外交通便利度</w:t>
            </w:r>
          </w:p>
        </w:tc>
        <w:tc>
          <w:tcPr>
            <w:tcW w:w="1006" w:type="dxa"/>
            <w:vAlign w:val="center"/>
          </w:tcPr>
          <w:p>
            <w:pPr>
              <w:spacing w:line="400" w:lineRule="exact"/>
              <w:jc w:val="center"/>
              <w:rPr>
                <w:szCs w:val="21"/>
              </w:rPr>
            </w:pPr>
            <w:r>
              <w:rPr>
                <w:color w:val="000000"/>
                <w:szCs w:val="21"/>
              </w:rPr>
              <w:t>0.0795</w:t>
            </w:r>
          </w:p>
        </w:tc>
        <w:tc>
          <w:tcPr>
            <w:tcW w:w="1276" w:type="dxa"/>
            <w:vAlign w:val="center"/>
          </w:tcPr>
          <w:p>
            <w:pPr>
              <w:spacing w:line="400" w:lineRule="exact"/>
              <w:jc w:val="center"/>
              <w:rPr>
                <w:szCs w:val="21"/>
              </w:rPr>
            </w:pPr>
            <w:r>
              <w:rPr>
                <w:color w:val="000000"/>
                <w:szCs w:val="21"/>
              </w:rPr>
              <w:t>距最近汽车站距离</w:t>
            </w:r>
          </w:p>
        </w:tc>
        <w:tc>
          <w:tcPr>
            <w:tcW w:w="875" w:type="dxa"/>
            <w:vAlign w:val="center"/>
          </w:tcPr>
          <w:p>
            <w:pPr>
              <w:spacing w:line="400" w:lineRule="exact"/>
              <w:jc w:val="center"/>
              <w:rPr>
                <w:szCs w:val="21"/>
              </w:rPr>
            </w:pPr>
            <w:r>
              <w:rPr>
                <w:color w:val="000000"/>
                <w:szCs w:val="21"/>
              </w:rPr>
              <w:t>0.0795</w:t>
            </w:r>
          </w:p>
        </w:tc>
        <w:tc>
          <w:tcPr>
            <w:tcW w:w="749" w:type="dxa"/>
            <w:vAlign w:val="center"/>
          </w:tcPr>
          <w:p>
            <w:pPr>
              <w:spacing w:line="400" w:lineRule="exact"/>
              <w:jc w:val="center"/>
              <w:rPr>
                <w:color w:val="000000"/>
                <w:szCs w:val="21"/>
              </w:rPr>
            </w:pPr>
            <w:r>
              <w:rPr>
                <w:color w:val="000000"/>
                <w:szCs w:val="21"/>
              </w:rPr>
              <w:t xml:space="preserve">1.586 </w:t>
            </w:r>
          </w:p>
        </w:tc>
        <w:tc>
          <w:tcPr>
            <w:tcW w:w="708" w:type="dxa"/>
            <w:vAlign w:val="center"/>
          </w:tcPr>
          <w:p>
            <w:pPr>
              <w:spacing w:line="400" w:lineRule="exact"/>
              <w:jc w:val="center"/>
              <w:rPr>
                <w:color w:val="000000"/>
                <w:szCs w:val="21"/>
              </w:rPr>
            </w:pPr>
            <w:r>
              <w:rPr>
                <w:color w:val="000000"/>
                <w:szCs w:val="21"/>
              </w:rPr>
              <w:t xml:space="preserve">0.793 </w:t>
            </w:r>
          </w:p>
        </w:tc>
        <w:tc>
          <w:tcPr>
            <w:tcW w:w="709" w:type="dxa"/>
            <w:vAlign w:val="center"/>
          </w:tcPr>
          <w:p>
            <w:pPr>
              <w:spacing w:line="400" w:lineRule="exact"/>
              <w:jc w:val="center"/>
              <w:rPr>
                <w:color w:val="000000"/>
                <w:szCs w:val="21"/>
              </w:rPr>
            </w:pPr>
            <w:r>
              <w:rPr>
                <w:color w:val="000000"/>
                <w:szCs w:val="21"/>
              </w:rPr>
              <w:t xml:space="preserve">0.000 </w:t>
            </w:r>
          </w:p>
        </w:tc>
        <w:tc>
          <w:tcPr>
            <w:tcW w:w="851" w:type="dxa"/>
            <w:vAlign w:val="center"/>
          </w:tcPr>
          <w:p>
            <w:pPr>
              <w:spacing w:line="400" w:lineRule="exact"/>
              <w:jc w:val="center"/>
              <w:rPr>
                <w:color w:val="000000"/>
                <w:szCs w:val="21"/>
              </w:rPr>
            </w:pPr>
            <w:r>
              <w:rPr>
                <w:color w:val="000000"/>
                <w:szCs w:val="21"/>
              </w:rPr>
              <w:t xml:space="preserve">-0.764 </w:t>
            </w:r>
          </w:p>
        </w:tc>
        <w:tc>
          <w:tcPr>
            <w:tcW w:w="839" w:type="dxa"/>
            <w:vAlign w:val="center"/>
          </w:tcPr>
          <w:p>
            <w:pPr>
              <w:spacing w:line="400" w:lineRule="exact"/>
              <w:jc w:val="center"/>
              <w:rPr>
                <w:color w:val="000000"/>
                <w:szCs w:val="21"/>
              </w:rPr>
            </w:pPr>
            <w:r>
              <w:rPr>
                <w:color w:val="000000"/>
                <w:szCs w:val="21"/>
              </w:rPr>
              <w:t xml:space="preserve">-1.528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7" w:hRule="atLeast"/>
          <w:jc w:val="center"/>
        </w:trPr>
        <w:tc>
          <w:tcPr>
            <w:tcW w:w="1054" w:type="dxa"/>
            <w:vAlign w:val="center"/>
          </w:tcPr>
          <w:p>
            <w:pPr>
              <w:spacing w:line="400" w:lineRule="exact"/>
              <w:jc w:val="center"/>
              <w:rPr>
                <w:szCs w:val="21"/>
              </w:rPr>
            </w:pPr>
            <w:r>
              <w:rPr>
                <w:szCs w:val="21"/>
              </w:rPr>
              <w:t>城市规划</w:t>
            </w:r>
          </w:p>
        </w:tc>
        <w:tc>
          <w:tcPr>
            <w:tcW w:w="988" w:type="dxa"/>
            <w:vAlign w:val="center"/>
          </w:tcPr>
          <w:p>
            <w:pPr>
              <w:spacing w:line="400" w:lineRule="exact"/>
              <w:jc w:val="center"/>
              <w:rPr>
                <w:color w:val="000000"/>
                <w:szCs w:val="21"/>
              </w:rPr>
            </w:pPr>
            <w:r>
              <w:rPr>
                <w:color w:val="000000"/>
                <w:szCs w:val="21"/>
              </w:rPr>
              <w:t>0.1008</w:t>
            </w:r>
          </w:p>
        </w:tc>
        <w:tc>
          <w:tcPr>
            <w:tcW w:w="1248" w:type="dxa"/>
            <w:vAlign w:val="center"/>
          </w:tcPr>
          <w:p>
            <w:pPr>
              <w:spacing w:line="400" w:lineRule="exact"/>
              <w:jc w:val="center"/>
              <w:rPr>
                <w:color w:val="000000"/>
                <w:szCs w:val="21"/>
              </w:rPr>
            </w:pPr>
            <w:r>
              <w:rPr>
                <w:color w:val="000000"/>
                <w:szCs w:val="21"/>
              </w:rPr>
              <w:t>城市规划</w:t>
            </w:r>
          </w:p>
        </w:tc>
        <w:tc>
          <w:tcPr>
            <w:tcW w:w="1006" w:type="dxa"/>
            <w:vAlign w:val="center"/>
          </w:tcPr>
          <w:p>
            <w:pPr>
              <w:spacing w:line="400" w:lineRule="exact"/>
              <w:jc w:val="center"/>
              <w:rPr>
                <w:color w:val="000000"/>
                <w:szCs w:val="21"/>
              </w:rPr>
            </w:pPr>
            <w:r>
              <w:rPr>
                <w:color w:val="000000"/>
                <w:szCs w:val="21"/>
              </w:rPr>
              <w:t>0.1008</w:t>
            </w:r>
          </w:p>
        </w:tc>
        <w:tc>
          <w:tcPr>
            <w:tcW w:w="1276" w:type="dxa"/>
            <w:vAlign w:val="center"/>
          </w:tcPr>
          <w:p>
            <w:pPr>
              <w:spacing w:line="400" w:lineRule="exact"/>
              <w:jc w:val="center"/>
              <w:rPr>
                <w:color w:val="000000"/>
                <w:szCs w:val="21"/>
              </w:rPr>
            </w:pPr>
            <w:r>
              <w:rPr>
                <w:color w:val="000000"/>
                <w:szCs w:val="21"/>
              </w:rPr>
              <w:t>公共设施用地规划</w:t>
            </w:r>
          </w:p>
        </w:tc>
        <w:tc>
          <w:tcPr>
            <w:tcW w:w="875" w:type="dxa"/>
            <w:vAlign w:val="center"/>
          </w:tcPr>
          <w:p>
            <w:pPr>
              <w:spacing w:line="400" w:lineRule="exact"/>
              <w:jc w:val="center"/>
              <w:rPr>
                <w:color w:val="000000"/>
                <w:szCs w:val="21"/>
              </w:rPr>
            </w:pPr>
            <w:r>
              <w:rPr>
                <w:color w:val="000000"/>
                <w:szCs w:val="21"/>
              </w:rPr>
              <w:t>0.1008</w:t>
            </w:r>
          </w:p>
        </w:tc>
        <w:tc>
          <w:tcPr>
            <w:tcW w:w="749" w:type="dxa"/>
            <w:vAlign w:val="center"/>
          </w:tcPr>
          <w:p>
            <w:pPr>
              <w:spacing w:line="400" w:lineRule="exact"/>
              <w:jc w:val="center"/>
              <w:rPr>
                <w:color w:val="000000"/>
                <w:szCs w:val="21"/>
              </w:rPr>
            </w:pPr>
            <w:r>
              <w:rPr>
                <w:color w:val="000000"/>
                <w:szCs w:val="21"/>
              </w:rPr>
              <w:t xml:space="preserve">2.011 </w:t>
            </w:r>
          </w:p>
        </w:tc>
        <w:tc>
          <w:tcPr>
            <w:tcW w:w="708" w:type="dxa"/>
            <w:vAlign w:val="center"/>
          </w:tcPr>
          <w:p>
            <w:pPr>
              <w:spacing w:line="400" w:lineRule="exact"/>
              <w:jc w:val="center"/>
              <w:rPr>
                <w:color w:val="000000"/>
                <w:szCs w:val="21"/>
              </w:rPr>
            </w:pPr>
            <w:r>
              <w:rPr>
                <w:color w:val="000000"/>
                <w:szCs w:val="21"/>
              </w:rPr>
              <w:t xml:space="preserve">1.005 </w:t>
            </w:r>
          </w:p>
        </w:tc>
        <w:tc>
          <w:tcPr>
            <w:tcW w:w="709" w:type="dxa"/>
            <w:vAlign w:val="center"/>
          </w:tcPr>
          <w:p>
            <w:pPr>
              <w:spacing w:line="400" w:lineRule="exact"/>
              <w:jc w:val="center"/>
              <w:rPr>
                <w:color w:val="000000"/>
                <w:szCs w:val="21"/>
              </w:rPr>
            </w:pPr>
            <w:r>
              <w:rPr>
                <w:color w:val="000000"/>
                <w:szCs w:val="21"/>
              </w:rPr>
              <w:t xml:space="preserve">0.000 </w:t>
            </w:r>
          </w:p>
        </w:tc>
        <w:tc>
          <w:tcPr>
            <w:tcW w:w="851" w:type="dxa"/>
            <w:vAlign w:val="center"/>
          </w:tcPr>
          <w:p>
            <w:pPr>
              <w:spacing w:line="400" w:lineRule="exact"/>
              <w:jc w:val="center"/>
              <w:rPr>
                <w:color w:val="000000"/>
                <w:szCs w:val="21"/>
              </w:rPr>
            </w:pPr>
            <w:r>
              <w:rPr>
                <w:color w:val="000000"/>
                <w:szCs w:val="21"/>
              </w:rPr>
              <w:t xml:space="preserve">-0.969 </w:t>
            </w:r>
          </w:p>
        </w:tc>
        <w:tc>
          <w:tcPr>
            <w:tcW w:w="839" w:type="dxa"/>
            <w:vAlign w:val="center"/>
          </w:tcPr>
          <w:p>
            <w:pPr>
              <w:spacing w:line="400" w:lineRule="exact"/>
              <w:jc w:val="center"/>
              <w:rPr>
                <w:color w:val="000000"/>
                <w:szCs w:val="21"/>
              </w:rPr>
            </w:pPr>
            <w:r>
              <w:rPr>
                <w:color w:val="000000"/>
                <w:szCs w:val="21"/>
              </w:rPr>
              <w:t xml:space="preserve">-1.937 </w:t>
            </w:r>
          </w:p>
        </w:tc>
      </w:tr>
    </w:tbl>
    <w:p>
      <w:pPr>
        <w:pStyle w:val="131"/>
        <w:spacing w:beforeLines="50" w:afterLines="50"/>
        <w:ind w:firstLine="0" w:firstLineChars="0"/>
        <w:rPr>
          <w:rFonts w:ascii="Times New Roman" w:hAnsi="Times New Roman"/>
          <w:spacing w:val="-20"/>
          <w:sz w:val="24"/>
        </w:rPr>
      </w:pPr>
      <w:r>
        <w:rPr>
          <w:rFonts w:ascii="Times New Roman" w:hAnsi="Times New Roman"/>
          <w:sz w:val="24"/>
        </w:rPr>
        <w:t>表4-6-2  Ⅰ级公共管理与公共服务一类用地宗地地价区域因素修正系数指标说明表</w:t>
      </w:r>
    </w:p>
    <w:tbl>
      <w:tblPr>
        <w:tblW w:w="9302" w:type="dxa"/>
        <w:jc w:val="center"/>
        <w:tblInd w:w="-5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275"/>
        <w:gridCol w:w="1537"/>
        <w:gridCol w:w="857"/>
        <w:gridCol w:w="1231"/>
        <w:gridCol w:w="1126"/>
        <w:gridCol w:w="1126"/>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1103" w:type="dxa"/>
            <w:vAlign w:val="center"/>
          </w:tcPr>
          <w:p>
            <w:pPr>
              <w:spacing w:line="400" w:lineRule="exact"/>
              <w:jc w:val="center"/>
              <w:rPr>
                <w:b/>
                <w:bCs/>
                <w:szCs w:val="21"/>
              </w:rPr>
            </w:pPr>
            <w:r>
              <w:rPr>
                <w:b/>
                <w:bCs/>
                <w:szCs w:val="21"/>
              </w:rPr>
              <w:t>因素层</w:t>
            </w:r>
          </w:p>
        </w:tc>
        <w:tc>
          <w:tcPr>
            <w:tcW w:w="1275" w:type="dxa"/>
            <w:vAlign w:val="center"/>
          </w:tcPr>
          <w:p>
            <w:pPr>
              <w:spacing w:line="400" w:lineRule="exact"/>
              <w:jc w:val="center"/>
              <w:rPr>
                <w:b/>
                <w:bCs/>
                <w:szCs w:val="21"/>
              </w:rPr>
            </w:pPr>
            <w:r>
              <w:rPr>
                <w:b/>
                <w:bCs/>
                <w:szCs w:val="21"/>
              </w:rPr>
              <w:t>因子层</w:t>
            </w:r>
          </w:p>
        </w:tc>
        <w:tc>
          <w:tcPr>
            <w:tcW w:w="1537" w:type="dxa"/>
            <w:vAlign w:val="center"/>
          </w:tcPr>
          <w:p>
            <w:pPr>
              <w:spacing w:line="400" w:lineRule="exact"/>
              <w:jc w:val="center"/>
              <w:rPr>
                <w:b/>
                <w:bCs/>
                <w:szCs w:val="21"/>
              </w:rPr>
            </w:pPr>
            <w:r>
              <w:rPr>
                <w:b/>
                <w:bCs/>
                <w:szCs w:val="21"/>
              </w:rPr>
              <w:t>指标层</w:t>
            </w:r>
          </w:p>
        </w:tc>
        <w:tc>
          <w:tcPr>
            <w:tcW w:w="857" w:type="dxa"/>
            <w:vAlign w:val="center"/>
          </w:tcPr>
          <w:p>
            <w:pPr>
              <w:spacing w:line="400" w:lineRule="exact"/>
              <w:jc w:val="center"/>
              <w:rPr>
                <w:b/>
                <w:bCs/>
                <w:szCs w:val="21"/>
              </w:rPr>
            </w:pPr>
            <w:r>
              <w:rPr>
                <w:b/>
                <w:bCs/>
                <w:szCs w:val="21"/>
              </w:rPr>
              <w:t>优</w:t>
            </w:r>
          </w:p>
        </w:tc>
        <w:tc>
          <w:tcPr>
            <w:tcW w:w="1231" w:type="dxa"/>
            <w:vAlign w:val="center"/>
          </w:tcPr>
          <w:p>
            <w:pPr>
              <w:spacing w:line="400" w:lineRule="exact"/>
              <w:jc w:val="center"/>
              <w:rPr>
                <w:b/>
                <w:bCs/>
                <w:szCs w:val="21"/>
              </w:rPr>
            </w:pPr>
            <w:r>
              <w:rPr>
                <w:b/>
                <w:bCs/>
                <w:szCs w:val="21"/>
              </w:rPr>
              <w:t>较优</w:t>
            </w:r>
          </w:p>
        </w:tc>
        <w:tc>
          <w:tcPr>
            <w:tcW w:w="1126" w:type="dxa"/>
            <w:vAlign w:val="center"/>
          </w:tcPr>
          <w:p>
            <w:pPr>
              <w:spacing w:line="400" w:lineRule="exact"/>
              <w:jc w:val="center"/>
              <w:rPr>
                <w:b/>
                <w:bCs/>
                <w:szCs w:val="21"/>
              </w:rPr>
            </w:pPr>
            <w:r>
              <w:rPr>
                <w:b/>
                <w:bCs/>
                <w:szCs w:val="21"/>
              </w:rPr>
              <w:t>一般</w:t>
            </w:r>
          </w:p>
        </w:tc>
        <w:tc>
          <w:tcPr>
            <w:tcW w:w="1126" w:type="dxa"/>
            <w:vAlign w:val="center"/>
          </w:tcPr>
          <w:p>
            <w:pPr>
              <w:spacing w:line="400" w:lineRule="exact"/>
              <w:jc w:val="center"/>
              <w:rPr>
                <w:b/>
                <w:bCs/>
                <w:szCs w:val="21"/>
              </w:rPr>
            </w:pPr>
            <w:r>
              <w:rPr>
                <w:b/>
                <w:bCs/>
                <w:szCs w:val="21"/>
              </w:rPr>
              <w:t>较劣</w:t>
            </w:r>
          </w:p>
        </w:tc>
        <w:tc>
          <w:tcPr>
            <w:tcW w:w="1047"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103" w:type="dxa"/>
            <w:vMerge w:val="restart"/>
            <w:vAlign w:val="center"/>
          </w:tcPr>
          <w:p>
            <w:pPr>
              <w:widowControl/>
              <w:spacing w:line="400" w:lineRule="exact"/>
              <w:jc w:val="center"/>
              <w:rPr>
                <w:color w:val="000000"/>
                <w:kern w:val="0"/>
                <w:szCs w:val="21"/>
              </w:rPr>
            </w:pPr>
            <w:r>
              <w:rPr>
                <w:color w:val="000000"/>
                <w:kern w:val="0"/>
                <w:szCs w:val="21"/>
              </w:rPr>
              <w:t>基本设施状况</w:t>
            </w:r>
          </w:p>
        </w:tc>
        <w:tc>
          <w:tcPr>
            <w:tcW w:w="1275" w:type="dxa"/>
            <w:vMerge w:val="restart"/>
            <w:vAlign w:val="center"/>
          </w:tcPr>
          <w:p>
            <w:pPr>
              <w:widowControl/>
              <w:spacing w:line="400" w:lineRule="exact"/>
              <w:jc w:val="center"/>
              <w:rPr>
                <w:color w:val="000000"/>
                <w:kern w:val="0"/>
                <w:szCs w:val="21"/>
              </w:rPr>
            </w:pPr>
            <w:r>
              <w:rPr>
                <w:color w:val="000000"/>
                <w:kern w:val="0"/>
                <w:szCs w:val="21"/>
              </w:rPr>
              <w:t>公用设施完备度</w:t>
            </w:r>
          </w:p>
        </w:tc>
        <w:tc>
          <w:tcPr>
            <w:tcW w:w="1537" w:type="dxa"/>
            <w:vAlign w:val="center"/>
          </w:tcPr>
          <w:p>
            <w:pPr>
              <w:widowControl/>
              <w:spacing w:line="400" w:lineRule="exact"/>
              <w:jc w:val="center"/>
              <w:rPr>
                <w:color w:val="000000"/>
                <w:kern w:val="0"/>
                <w:szCs w:val="21"/>
              </w:rPr>
            </w:pPr>
            <w:r>
              <w:rPr>
                <w:color w:val="000000"/>
                <w:kern w:val="0"/>
                <w:szCs w:val="21"/>
              </w:rPr>
              <w:t>距中小学距离</w:t>
            </w:r>
          </w:p>
        </w:tc>
        <w:tc>
          <w:tcPr>
            <w:tcW w:w="857" w:type="dxa"/>
            <w:vAlign w:val="center"/>
          </w:tcPr>
          <w:p>
            <w:pPr>
              <w:widowControl/>
              <w:spacing w:line="400" w:lineRule="exact"/>
              <w:jc w:val="center"/>
              <w:rPr>
                <w:color w:val="000000"/>
                <w:kern w:val="0"/>
                <w:szCs w:val="21"/>
              </w:rPr>
            </w:pPr>
            <w:r>
              <w:rPr>
                <w:color w:val="000000"/>
                <w:kern w:val="0"/>
                <w:szCs w:val="21"/>
              </w:rPr>
              <w:t>&lt;50</w:t>
            </w:r>
          </w:p>
        </w:tc>
        <w:tc>
          <w:tcPr>
            <w:tcW w:w="1231" w:type="dxa"/>
            <w:vAlign w:val="center"/>
          </w:tcPr>
          <w:p>
            <w:pPr>
              <w:widowControl/>
              <w:spacing w:line="400" w:lineRule="exact"/>
              <w:jc w:val="center"/>
              <w:rPr>
                <w:color w:val="000000"/>
                <w:kern w:val="0"/>
                <w:szCs w:val="21"/>
              </w:rPr>
            </w:pPr>
            <w:r>
              <w:rPr>
                <w:color w:val="000000"/>
                <w:kern w:val="0"/>
                <w:szCs w:val="21"/>
              </w:rPr>
              <w:t>50-150</w:t>
            </w:r>
          </w:p>
        </w:tc>
        <w:tc>
          <w:tcPr>
            <w:tcW w:w="1126" w:type="dxa"/>
            <w:vAlign w:val="center"/>
          </w:tcPr>
          <w:p>
            <w:pPr>
              <w:widowControl/>
              <w:spacing w:line="400" w:lineRule="exact"/>
              <w:jc w:val="center"/>
              <w:rPr>
                <w:color w:val="000000"/>
                <w:kern w:val="0"/>
                <w:szCs w:val="21"/>
              </w:rPr>
            </w:pPr>
            <w:r>
              <w:rPr>
                <w:color w:val="000000"/>
                <w:kern w:val="0"/>
                <w:szCs w:val="21"/>
              </w:rPr>
              <w:t>150-250</w:t>
            </w:r>
          </w:p>
        </w:tc>
        <w:tc>
          <w:tcPr>
            <w:tcW w:w="1126" w:type="dxa"/>
            <w:vAlign w:val="center"/>
          </w:tcPr>
          <w:p>
            <w:pPr>
              <w:widowControl/>
              <w:spacing w:line="400" w:lineRule="exact"/>
              <w:jc w:val="center"/>
              <w:rPr>
                <w:color w:val="000000"/>
                <w:kern w:val="0"/>
                <w:szCs w:val="21"/>
              </w:rPr>
            </w:pPr>
            <w:r>
              <w:rPr>
                <w:color w:val="000000"/>
                <w:kern w:val="0"/>
                <w:szCs w:val="21"/>
              </w:rPr>
              <w:t>250-350</w:t>
            </w:r>
          </w:p>
        </w:tc>
        <w:tc>
          <w:tcPr>
            <w:tcW w:w="1047" w:type="dxa"/>
            <w:vAlign w:val="center"/>
          </w:tcPr>
          <w:p>
            <w:pPr>
              <w:widowControl/>
              <w:spacing w:line="400" w:lineRule="exact"/>
              <w:jc w:val="center"/>
              <w:rPr>
                <w:color w:val="000000"/>
                <w:kern w:val="0"/>
                <w:szCs w:val="21"/>
              </w:rPr>
            </w:pPr>
            <w:r>
              <w:rPr>
                <w:color w:val="000000"/>
                <w:kern w:val="0"/>
                <w:szCs w:val="21"/>
              </w:rPr>
              <w:t>&gt;350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103" w:type="dxa"/>
            <w:vMerge w:val="continue"/>
            <w:vAlign w:val="center"/>
          </w:tcPr>
          <w:p>
            <w:pPr>
              <w:widowControl/>
              <w:spacing w:line="400" w:lineRule="exact"/>
              <w:jc w:val="left"/>
              <w:rPr>
                <w:color w:val="000000"/>
                <w:kern w:val="0"/>
                <w:szCs w:val="21"/>
              </w:rPr>
            </w:pPr>
          </w:p>
        </w:tc>
        <w:tc>
          <w:tcPr>
            <w:tcW w:w="1275" w:type="dxa"/>
            <w:vMerge w:val="continue"/>
            <w:vAlign w:val="center"/>
          </w:tcPr>
          <w:p>
            <w:pPr>
              <w:widowControl/>
              <w:spacing w:line="400" w:lineRule="exact"/>
              <w:jc w:val="left"/>
              <w:rPr>
                <w:color w:val="000000"/>
                <w:kern w:val="0"/>
                <w:szCs w:val="21"/>
              </w:rPr>
            </w:pPr>
          </w:p>
        </w:tc>
        <w:tc>
          <w:tcPr>
            <w:tcW w:w="1537" w:type="dxa"/>
            <w:vAlign w:val="center"/>
          </w:tcPr>
          <w:p>
            <w:pPr>
              <w:widowControl/>
              <w:spacing w:line="400" w:lineRule="exact"/>
              <w:jc w:val="center"/>
              <w:rPr>
                <w:color w:val="000000"/>
                <w:kern w:val="0"/>
                <w:szCs w:val="21"/>
              </w:rPr>
            </w:pPr>
            <w:r>
              <w:rPr>
                <w:color w:val="000000"/>
                <w:kern w:val="0"/>
                <w:szCs w:val="21"/>
              </w:rPr>
              <w:t>距医院距离</w:t>
            </w:r>
          </w:p>
        </w:tc>
        <w:tc>
          <w:tcPr>
            <w:tcW w:w="857" w:type="dxa"/>
            <w:vAlign w:val="center"/>
          </w:tcPr>
          <w:p>
            <w:pPr>
              <w:widowControl/>
              <w:spacing w:line="400" w:lineRule="exact"/>
              <w:jc w:val="center"/>
              <w:rPr>
                <w:color w:val="000000"/>
                <w:kern w:val="0"/>
                <w:szCs w:val="21"/>
              </w:rPr>
            </w:pPr>
            <w:r>
              <w:rPr>
                <w:color w:val="000000"/>
                <w:kern w:val="0"/>
                <w:szCs w:val="21"/>
              </w:rPr>
              <w:t>&lt;100</w:t>
            </w:r>
          </w:p>
        </w:tc>
        <w:tc>
          <w:tcPr>
            <w:tcW w:w="1231" w:type="dxa"/>
            <w:vAlign w:val="center"/>
          </w:tcPr>
          <w:p>
            <w:pPr>
              <w:widowControl/>
              <w:spacing w:line="400" w:lineRule="exact"/>
              <w:jc w:val="center"/>
              <w:rPr>
                <w:color w:val="000000"/>
                <w:kern w:val="0"/>
                <w:szCs w:val="21"/>
              </w:rPr>
            </w:pPr>
            <w:r>
              <w:rPr>
                <w:color w:val="000000"/>
                <w:kern w:val="0"/>
                <w:szCs w:val="21"/>
              </w:rPr>
              <w:t>100-250</w:t>
            </w:r>
          </w:p>
        </w:tc>
        <w:tc>
          <w:tcPr>
            <w:tcW w:w="1126" w:type="dxa"/>
            <w:vAlign w:val="center"/>
          </w:tcPr>
          <w:p>
            <w:pPr>
              <w:widowControl/>
              <w:spacing w:line="400" w:lineRule="exact"/>
              <w:jc w:val="center"/>
              <w:rPr>
                <w:color w:val="000000"/>
                <w:kern w:val="0"/>
                <w:szCs w:val="21"/>
              </w:rPr>
            </w:pPr>
            <w:r>
              <w:rPr>
                <w:color w:val="000000"/>
                <w:kern w:val="0"/>
                <w:szCs w:val="21"/>
              </w:rPr>
              <w:t>250-400</w:t>
            </w:r>
          </w:p>
        </w:tc>
        <w:tc>
          <w:tcPr>
            <w:tcW w:w="1126" w:type="dxa"/>
            <w:vAlign w:val="center"/>
          </w:tcPr>
          <w:p>
            <w:pPr>
              <w:widowControl/>
              <w:spacing w:line="400" w:lineRule="exact"/>
              <w:jc w:val="center"/>
              <w:rPr>
                <w:color w:val="000000"/>
                <w:kern w:val="0"/>
                <w:szCs w:val="21"/>
              </w:rPr>
            </w:pPr>
            <w:r>
              <w:rPr>
                <w:color w:val="000000"/>
                <w:kern w:val="0"/>
                <w:szCs w:val="21"/>
              </w:rPr>
              <w:t>400-550</w:t>
            </w:r>
          </w:p>
        </w:tc>
        <w:tc>
          <w:tcPr>
            <w:tcW w:w="1047" w:type="dxa"/>
            <w:vAlign w:val="center"/>
          </w:tcPr>
          <w:p>
            <w:pPr>
              <w:widowControl/>
              <w:spacing w:line="400" w:lineRule="exact"/>
              <w:jc w:val="center"/>
              <w:rPr>
                <w:color w:val="000000"/>
                <w:kern w:val="0"/>
                <w:szCs w:val="21"/>
              </w:rPr>
            </w:pPr>
            <w:r>
              <w:rPr>
                <w:color w:val="000000"/>
                <w:kern w:val="0"/>
                <w:szCs w:val="21"/>
              </w:rPr>
              <w:t>&gt;550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103" w:type="dxa"/>
            <w:vMerge w:val="continue"/>
            <w:vAlign w:val="center"/>
          </w:tcPr>
          <w:p>
            <w:pPr>
              <w:widowControl/>
              <w:spacing w:line="400" w:lineRule="exact"/>
              <w:jc w:val="left"/>
              <w:rPr>
                <w:color w:val="000000"/>
                <w:kern w:val="0"/>
                <w:szCs w:val="21"/>
              </w:rPr>
            </w:pPr>
          </w:p>
        </w:tc>
        <w:tc>
          <w:tcPr>
            <w:tcW w:w="1275" w:type="dxa"/>
            <w:vMerge w:val="continue"/>
            <w:vAlign w:val="center"/>
          </w:tcPr>
          <w:p>
            <w:pPr>
              <w:widowControl/>
              <w:spacing w:line="400" w:lineRule="exact"/>
              <w:jc w:val="left"/>
              <w:rPr>
                <w:color w:val="000000"/>
                <w:kern w:val="0"/>
                <w:szCs w:val="21"/>
              </w:rPr>
            </w:pPr>
          </w:p>
        </w:tc>
        <w:tc>
          <w:tcPr>
            <w:tcW w:w="1537" w:type="dxa"/>
            <w:vAlign w:val="center"/>
          </w:tcPr>
          <w:p>
            <w:pPr>
              <w:widowControl/>
              <w:spacing w:line="400" w:lineRule="exact"/>
              <w:jc w:val="center"/>
              <w:rPr>
                <w:color w:val="000000"/>
                <w:kern w:val="0"/>
                <w:szCs w:val="21"/>
              </w:rPr>
            </w:pPr>
            <w:r>
              <w:rPr>
                <w:color w:val="000000"/>
                <w:kern w:val="0"/>
                <w:szCs w:val="21"/>
              </w:rPr>
              <w:t>距文体设施用地距离</w:t>
            </w:r>
          </w:p>
        </w:tc>
        <w:tc>
          <w:tcPr>
            <w:tcW w:w="857" w:type="dxa"/>
            <w:vAlign w:val="center"/>
          </w:tcPr>
          <w:p>
            <w:pPr>
              <w:widowControl/>
              <w:spacing w:line="400" w:lineRule="exact"/>
              <w:jc w:val="center"/>
              <w:rPr>
                <w:color w:val="000000"/>
                <w:kern w:val="0"/>
                <w:szCs w:val="21"/>
              </w:rPr>
            </w:pPr>
            <w:r>
              <w:rPr>
                <w:color w:val="000000"/>
                <w:kern w:val="0"/>
                <w:szCs w:val="21"/>
              </w:rPr>
              <w:t>&lt;100</w:t>
            </w:r>
          </w:p>
        </w:tc>
        <w:tc>
          <w:tcPr>
            <w:tcW w:w="1231" w:type="dxa"/>
            <w:vAlign w:val="center"/>
          </w:tcPr>
          <w:p>
            <w:pPr>
              <w:widowControl/>
              <w:spacing w:line="400" w:lineRule="exact"/>
              <w:jc w:val="center"/>
              <w:rPr>
                <w:color w:val="000000"/>
                <w:kern w:val="0"/>
                <w:szCs w:val="21"/>
              </w:rPr>
            </w:pPr>
            <w:r>
              <w:rPr>
                <w:color w:val="000000"/>
                <w:kern w:val="0"/>
                <w:szCs w:val="21"/>
              </w:rPr>
              <w:t>100-250</w:t>
            </w:r>
          </w:p>
        </w:tc>
        <w:tc>
          <w:tcPr>
            <w:tcW w:w="1126" w:type="dxa"/>
            <w:vAlign w:val="center"/>
          </w:tcPr>
          <w:p>
            <w:pPr>
              <w:widowControl/>
              <w:spacing w:line="400" w:lineRule="exact"/>
              <w:jc w:val="center"/>
              <w:rPr>
                <w:color w:val="000000"/>
                <w:kern w:val="0"/>
                <w:szCs w:val="21"/>
              </w:rPr>
            </w:pPr>
            <w:r>
              <w:rPr>
                <w:color w:val="000000"/>
                <w:kern w:val="0"/>
                <w:szCs w:val="21"/>
              </w:rPr>
              <w:t>250-400</w:t>
            </w:r>
          </w:p>
        </w:tc>
        <w:tc>
          <w:tcPr>
            <w:tcW w:w="1126" w:type="dxa"/>
            <w:vAlign w:val="center"/>
          </w:tcPr>
          <w:p>
            <w:pPr>
              <w:widowControl/>
              <w:spacing w:line="400" w:lineRule="exact"/>
              <w:jc w:val="center"/>
              <w:rPr>
                <w:color w:val="000000"/>
                <w:kern w:val="0"/>
                <w:szCs w:val="21"/>
              </w:rPr>
            </w:pPr>
            <w:r>
              <w:rPr>
                <w:color w:val="000000"/>
                <w:kern w:val="0"/>
                <w:szCs w:val="21"/>
              </w:rPr>
              <w:t>400-550</w:t>
            </w:r>
          </w:p>
        </w:tc>
        <w:tc>
          <w:tcPr>
            <w:tcW w:w="1047" w:type="dxa"/>
            <w:vAlign w:val="center"/>
          </w:tcPr>
          <w:p>
            <w:pPr>
              <w:widowControl/>
              <w:spacing w:line="400" w:lineRule="exact"/>
              <w:jc w:val="center"/>
              <w:rPr>
                <w:color w:val="000000"/>
                <w:kern w:val="0"/>
                <w:szCs w:val="21"/>
              </w:rPr>
            </w:pPr>
            <w:r>
              <w:rPr>
                <w:color w:val="000000"/>
                <w:kern w:val="0"/>
                <w:szCs w:val="21"/>
              </w:rPr>
              <w:t>&gt;550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103" w:type="dxa"/>
            <w:vAlign w:val="center"/>
          </w:tcPr>
          <w:p>
            <w:pPr>
              <w:widowControl/>
              <w:spacing w:line="400" w:lineRule="exact"/>
              <w:jc w:val="center"/>
              <w:rPr>
                <w:color w:val="000000"/>
                <w:kern w:val="0"/>
                <w:szCs w:val="21"/>
              </w:rPr>
            </w:pPr>
            <w:r>
              <w:rPr>
                <w:color w:val="000000"/>
                <w:kern w:val="0"/>
                <w:szCs w:val="21"/>
              </w:rPr>
              <w:t>繁华程度</w:t>
            </w:r>
          </w:p>
        </w:tc>
        <w:tc>
          <w:tcPr>
            <w:tcW w:w="1275" w:type="dxa"/>
            <w:vAlign w:val="center"/>
          </w:tcPr>
          <w:p>
            <w:pPr>
              <w:widowControl/>
              <w:spacing w:line="400" w:lineRule="exact"/>
              <w:jc w:val="center"/>
              <w:rPr>
                <w:color w:val="000000"/>
                <w:kern w:val="0"/>
                <w:szCs w:val="21"/>
              </w:rPr>
            </w:pPr>
            <w:r>
              <w:rPr>
                <w:color w:val="000000"/>
                <w:kern w:val="0"/>
                <w:szCs w:val="21"/>
              </w:rPr>
              <w:t>商服繁华影响度</w:t>
            </w:r>
          </w:p>
        </w:tc>
        <w:tc>
          <w:tcPr>
            <w:tcW w:w="1537" w:type="dxa"/>
            <w:vAlign w:val="center"/>
          </w:tcPr>
          <w:p>
            <w:pPr>
              <w:widowControl/>
              <w:spacing w:line="400" w:lineRule="exact"/>
              <w:jc w:val="center"/>
              <w:rPr>
                <w:color w:val="000000"/>
                <w:kern w:val="0"/>
                <w:szCs w:val="21"/>
              </w:rPr>
            </w:pPr>
            <w:r>
              <w:rPr>
                <w:color w:val="000000"/>
                <w:kern w:val="0"/>
                <w:szCs w:val="21"/>
              </w:rPr>
              <w:t>距商服中心距离</w:t>
            </w:r>
          </w:p>
        </w:tc>
        <w:tc>
          <w:tcPr>
            <w:tcW w:w="857" w:type="dxa"/>
            <w:vAlign w:val="center"/>
          </w:tcPr>
          <w:p>
            <w:pPr>
              <w:widowControl/>
              <w:spacing w:line="400" w:lineRule="exact"/>
              <w:jc w:val="center"/>
              <w:rPr>
                <w:color w:val="000000"/>
                <w:kern w:val="0"/>
                <w:szCs w:val="21"/>
              </w:rPr>
            </w:pPr>
            <w:r>
              <w:rPr>
                <w:color w:val="000000"/>
                <w:kern w:val="0"/>
                <w:szCs w:val="21"/>
              </w:rPr>
              <w:t>&lt;100</w:t>
            </w:r>
          </w:p>
        </w:tc>
        <w:tc>
          <w:tcPr>
            <w:tcW w:w="1231" w:type="dxa"/>
            <w:vAlign w:val="center"/>
          </w:tcPr>
          <w:p>
            <w:pPr>
              <w:widowControl/>
              <w:spacing w:line="400" w:lineRule="exact"/>
              <w:jc w:val="center"/>
              <w:rPr>
                <w:color w:val="000000"/>
                <w:kern w:val="0"/>
                <w:szCs w:val="21"/>
              </w:rPr>
            </w:pPr>
            <w:r>
              <w:rPr>
                <w:color w:val="000000"/>
                <w:kern w:val="0"/>
                <w:szCs w:val="21"/>
              </w:rPr>
              <w:t>100-200</w:t>
            </w:r>
          </w:p>
        </w:tc>
        <w:tc>
          <w:tcPr>
            <w:tcW w:w="1126" w:type="dxa"/>
            <w:vAlign w:val="center"/>
          </w:tcPr>
          <w:p>
            <w:pPr>
              <w:widowControl/>
              <w:spacing w:line="400" w:lineRule="exact"/>
              <w:jc w:val="center"/>
              <w:rPr>
                <w:color w:val="000000"/>
                <w:kern w:val="0"/>
                <w:szCs w:val="21"/>
              </w:rPr>
            </w:pPr>
            <w:r>
              <w:rPr>
                <w:color w:val="000000"/>
                <w:kern w:val="0"/>
                <w:szCs w:val="21"/>
              </w:rPr>
              <w:t>200-300</w:t>
            </w:r>
          </w:p>
        </w:tc>
        <w:tc>
          <w:tcPr>
            <w:tcW w:w="1126" w:type="dxa"/>
            <w:vAlign w:val="center"/>
          </w:tcPr>
          <w:p>
            <w:pPr>
              <w:widowControl/>
              <w:spacing w:line="400" w:lineRule="exact"/>
              <w:jc w:val="center"/>
              <w:rPr>
                <w:color w:val="000000"/>
                <w:kern w:val="0"/>
                <w:szCs w:val="21"/>
              </w:rPr>
            </w:pPr>
            <w:r>
              <w:rPr>
                <w:color w:val="000000"/>
                <w:kern w:val="0"/>
                <w:szCs w:val="21"/>
              </w:rPr>
              <w:t>300-400</w:t>
            </w:r>
          </w:p>
        </w:tc>
        <w:tc>
          <w:tcPr>
            <w:tcW w:w="1047" w:type="dxa"/>
            <w:vAlign w:val="center"/>
          </w:tcPr>
          <w:p>
            <w:pPr>
              <w:widowControl/>
              <w:spacing w:line="400" w:lineRule="exact"/>
              <w:jc w:val="center"/>
              <w:rPr>
                <w:color w:val="000000"/>
                <w:kern w:val="0"/>
                <w:szCs w:val="21"/>
              </w:rPr>
            </w:pPr>
            <w:r>
              <w:rPr>
                <w:color w:val="000000"/>
                <w:kern w:val="0"/>
                <w:szCs w:val="21"/>
              </w:rPr>
              <w:t>&gt;400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jc w:val="center"/>
        </w:trPr>
        <w:tc>
          <w:tcPr>
            <w:tcW w:w="1103" w:type="dxa"/>
            <w:vAlign w:val="center"/>
          </w:tcPr>
          <w:p>
            <w:pPr>
              <w:widowControl/>
              <w:spacing w:line="400" w:lineRule="exact"/>
              <w:jc w:val="center"/>
              <w:rPr>
                <w:color w:val="000000"/>
                <w:kern w:val="0"/>
                <w:szCs w:val="21"/>
              </w:rPr>
            </w:pPr>
            <w:r>
              <w:rPr>
                <w:color w:val="000000"/>
                <w:kern w:val="0"/>
                <w:szCs w:val="21"/>
              </w:rPr>
              <w:t>人口状况</w:t>
            </w:r>
          </w:p>
        </w:tc>
        <w:tc>
          <w:tcPr>
            <w:tcW w:w="1275" w:type="dxa"/>
            <w:vAlign w:val="center"/>
          </w:tcPr>
          <w:p>
            <w:pPr>
              <w:widowControl/>
              <w:spacing w:line="400" w:lineRule="exact"/>
              <w:jc w:val="center"/>
              <w:rPr>
                <w:color w:val="000000"/>
                <w:kern w:val="0"/>
                <w:szCs w:val="21"/>
              </w:rPr>
            </w:pPr>
            <w:r>
              <w:rPr>
                <w:color w:val="000000"/>
                <w:kern w:val="0"/>
                <w:szCs w:val="21"/>
              </w:rPr>
              <w:t>人口密度</w:t>
            </w:r>
          </w:p>
        </w:tc>
        <w:tc>
          <w:tcPr>
            <w:tcW w:w="1537" w:type="dxa"/>
            <w:vAlign w:val="center"/>
          </w:tcPr>
          <w:p>
            <w:pPr>
              <w:widowControl/>
              <w:spacing w:line="400" w:lineRule="exact"/>
              <w:jc w:val="center"/>
              <w:rPr>
                <w:color w:val="000000"/>
                <w:kern w:val="0"/>
                <w:szCs w:val="21"/>
              </w:rPr>
            </w:pPr>
            <w:r>
              <w:rPr>
                <w:color w:val="000000"/>
                <w:kern w:val="0"/>
                <w:szCs w:val="21"/>
              </w:rPr>
              <w:t>人口密度</w:t>
            </w:r>
          </w:p>
        </w:tc>
        <w:tc>
          <w:tcPr>
            <w:tcW w:w="857" w:type="dxa"/>
            <w:vAlign w:val="center"/>
          </w:tcPr>
          <w:p>
            <w:pPr>
              <w:spacing w:line="400" w:lineRule="exact"/>
              <w:jc w:val="center"/>
              <w:rPr>
                <w:color w:val="000000"/>
                <w:szCs w:val="21"/>
              </w:rPr>
            </w:pPr>
            <w:r>
              <w:rPr>
                <w:color w:val="000000"/>
                <w:szCs w:val="21"/>
              </w:rPr>
              <w:t>≥10000</w:t>
            </w:r>
          </w:p>
        </w:tc>
        <w:tc>
          <w:tcPr>
            <w:tcW w:w="1231" w:type="dxa"/>
            <w:vAlign w:val="center"/>
          </w:tcPr>
          <w:p>
            <w:pPr>
              <w:spacing w:line="400" w:lineRule="exact"/>
              <w:jc w:val="center"/>
              <w:rPr>
                <w:color w:val="000000"/>
                <w:szCs w:val="21"/>
              </w:rPr>
            </w:pPr>
            <w:r>
              <w:rPr>
                <w:color w:val="000000"/>
                <w:szCs w:val="21"/>
              </w:rPr>
              <w:t>10000-5000</w:t>
            </w:r>
          </w:p>
        </w:tc>
        <w:tc>
          <w:tcPr>
            <w:tcW w:w="1126" w:type="dxa"/>
            <w:vAlign w:val="center"/>
          </w:tcPr>
          <w:p>
            <w:pPr>
              <w:spacing w:line="400" w:lineRule="exact"/>
              <w:jc w:val="center"/>
              <w:rPr>
                <w:color w:val="000000"/>
                <w:szCs w:val="21"/>
              </w:rPr>
            </w:pPr>
            <w:r>
              <w:rPr>
                <w:color w:val="000000"/>
                <w:szCs w:val="21"/>
              </w:rPr>
              <w:t>5000-2000</w:t>
            </w:r>
          </w:p>
        </w:tc>
        <w:tc>
          <w:tcPr>
            <w:tcW w:w="1126" w:type="dxa"/>
            <w:vAlign w:val="center"/>
          </w:tcPr>
          <w:p>
            <w:pPr>
              <w:spacing w:line="400" w:lineRule="exact"/>
              <w:jc w:val="center"/>
              <w:rPr>
                <w:color w:val="000000"/>
                <w:szCs w:val="21"/>
              </w:rPr>
            </w:pPr>
            <w:r>
              <w:rPr>
                <w:color w:val="000000"/>
                <w:szCs w:val="21"/>
              </w:rPr>
              <w:t>2000-1000</w:t>
            </w:r>
          </w:p>
        </w:tc>
        <w:tc>
          <w:tcPr>
            <w:tcW w:w="1047" w:type="dxa"/>
            <w:vAlign w:val="center"/>
          </w:tcPr>
          <w:p>
            <w:pPr>
              <w:spacing w:line="400" w:lineRule="exact"/>
              <w:jc w:val="center"/>
              <w:rPr>
                <w:color w:val="000000"/>
                <w:szCs w:val="21"/>
              </w:rPr>
            </w:pPr>
            <w:r>
              <w:rPr>
                <w:color w:val="000000"/>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4" w:hRule="atLeast"/>
          <w:jc w:val="center"/>
        </w:trPr>
        <w:tc>
          <w:tcPr>
            <w:tcW w:w="1103" w:type="dxa"/>
            <w:vMerge w:val="restart"/>
            <w:vAlign w:val="center"/>
          </w:tcPr>
          <w:p>
            <w:pPr>
              <w:widowControl/>
              <w:spacing w:line="400" w:lineRule="exact"/>
              <w:jc w:val="center"/>
              <w:rPr>
                <w:color w:val="000000"/>
                <w:kern w:val="0"/>
                <w:szCs w:val="21"/>
              </w:rPr>
            </w:pPr>
            <w:r>
              <w:rPr>
                <w:color w:val="000000"/>
                <w:kern w:val="0"/>
                <w:szCs w:val="21"/>
              </w:rPr>
              <w:t>交通条件</w:t>
            </w:r>
          </w:p>
        </w:tc>
        <w:tc>
          <w:tcPr>
            <w:tcW w:w="1275" w:type="dxa"/>
            <w:vAlign w:val="center"/>
          </w:tcPr>
          <w:p>
            <w:pPr>
              <w:widowControl/>
              <w:spacing w:line="400" w:lineRule="exact"/>
              <w:jc w:val="center"/>
              <w:rPr>
                <w:color w:val="000000"/>
                <w:kern w:val="0"/>
                <w:szCs w:val="21"/>
              </w:rPr>
            </w:pPr>
            <w:r>
              <w:rPr>
                <w:color w:val="000000"/>
                <w:kern w:val="0"/>
                <w:szCs w:val="21"/>
              </w:rPr>
              <w:t>道路通达度</w:t>
            </w:r>
          </w:p>
        </w:tc>
        <w:tc>
          <w:tcPr>
            <w:tcW w:w="1537" w:type="dxa"/>
            <w:vAlign w:val="center"/>
          </w:tcPr>
          <w:p>
            <w:pPr>
              <w:widowControl/>
              <w:spacing w:line="400" w:lineRule="exact"/>
              <w:jc w:val="center"/>
              <w:rPr>
                <w:color w:val="000000"/>
                <w:kern w:val="0"/>
                <w:szCs w:val="21"/>
              </w:rPr>
            </w:pPr>
            <w:r>
              <w:rPr>
                <w:color w:val="000000"/>
                <w:kern w:val="0"/>
                <w:szCs w:val="21"/>
              </w:rPr>
              <w:t>临近道路状况</w:t>
            </w:r>
          </w:p>
        </w:tc>
        <w:tc>
          <w:tcPr>
            <w:tcW w:w="857" w:type="dxa"/>
            <w:vAlign w:val="center"/>
          </w:tcPr>
          <w:p>
            <w:pPr>
              <w:widowControl/>
              <w:spacing w:line="400" w:lineRule="exact"/>
              <w:jc w:val="center"/>
              <w:rPr>
                <w:color w:val="000000"/>
                <w:kern w:val="0"/>
                <w:szCs w:val="21"/>
              </w:rPr>
            </w:pPr>
            <w:r>
              <w:rPr>
                <w:color w:val="000000"/>
                <w:kern w:val="0"/>
                <w:szCs w:val="21"/>
              </w:rPr>
              <w:t>混合型主干道</w:t>
            </w:r>
          </w:p>
        </w:tc>
        <w:tc>
          <w:tcPr>
            <w:tcW w:w="1231" w:type="dxa"/>
            <w:vAlign w:val="center"/>
          </w:tcPr>
          <w:p>
            <w:pPr>
              <w:widowControl/>
              <w:spacing w:line="400" w:lineRule="exact"/>
              <w:jc w:val="center"/>
              <w:rPr>
                <w:color w:val="000000"/>
                <w:kern w:val="0"/>
                <w:szCs w:val="21"/>
              </w:rPr>
            </w:pPr>
            <w:r>
              <w:rPr>
                <w:color w:val="000000"/>
                <w:kern w:val="0"/>
                <w:szCs w:val="21"/>
              </w:rPr>
              <w:t>生活型或交通型主干道</w:t>
            </w:r>
          </w:p>
        </w:tc>
        <w:tc>
          <w:tcPr>
            <w:tcW w:w="1126" w:type="dxa"/>
            <w:vAlign w:val="center"/>
          </w:tcPr>
          <w:p>
            <w:pPr>
              <w:widowControl/>
              <w:spacing w:line="400" w:lineRule="exact"/>
              <w:jc w:val="center"/>
              <w:rPr>
                <w:color w:val="000000"/>
                <w:kern w:val="0"/>
                <w:szCs w:val="21"/>
              </w:rPr>
            </w:pPr>
            <w:r>
              <w:rPr>
                <w:color w:val="000000"/>
                <w:kern w:val="0"/>
                <w:szCs w:val="21"/>
              </w:rPr>
              <w:t>次主道</w:t>
            </w:r>
          </w:p>
        </w:tc>
        <w:tc>
          <w:tcPr>
            <w:tcW w:w="1126" w:type="dxa"/>
            <w:vAlign w:val="center"/>
          </w:tcPr>
          <w:p>
            <w:pPr>
              <w:widowControl/>
              <w:spacing w:line="400" w:lineRule="exact"/>
              <w:jc w:val="center"/>
              <w:rPr>
                <w:color w:val="000000"/>
                <w:kern w:val="0"/>
                <w:szCs w:val="21"/>
              </w:rPr>
            </w:pPr>
            <w:r>
              <w:rPr>
                <w:color w:val="000000"/>
                <w:kern w:val="0"/>
                <w:szCs w:val="21"/>
              </w:rPr>
              <w:t>支路</w:t>
            </w:r>
          </w:p>
        </w:tc>
        <w:tc>
          <w:tcPr>
            <w:tcW w:w="1047" w:type="dxa"/>
            <w:vAlign w:val="center"/>
          </w:tcPr>
          <w:p>
            <w:pPr>
              <w:widowControl/>
              <w:spacing w:line="400" w:lineRule="exact"/>
              <w:jc w:val="center"/>
              <w:rPr>
                <w:color w:val="000000"/>
                <w:kern w:val="0"/>
                <w:szCs w:val="21"/>
              </w:rPr>
            </w:pPr>
            <w:r>
              <w:rPr>
                <w:color w:val="000000"/>
                <w:kern w:val="0"/>
                <w:szCs w:val="21"/>
              </w:rPr>
              <w:t>巷道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103" w:type="dxa"/>
            <w:vMerge w:val="continue"/>
            <w:vAlign w:val="center"/>
          </w:tcPr>
          <w:p>
            <w:pPr>
              <w:widowControl/>
              <w:spacing w:line="400" w:lineRule="exact"/>
              <w:jc w:val="left"/>
              <w:rPr>
                <w:color w:val="000000"/>
                <w:kern w:val="0"/>
                <w:szCs w:val="21"/>
              </w:rPr>
            </w:pPr>
          </w:p>
        </w:tc>
        <w:tc>
          <w:tcPr>
            <w:tcW w:w="1275" w:type="dxa"/>
            <w:vAlign w:val="center"/>
          </w:tcPr>
          <w:p>
            <w:pPr>
              <w:widowControl/>
              <w:spacing w:line="400" w:lineRule="exact"/>
              <w:jc w:val="center"/>
              <w:rPr>
                <w:color w:val="000000"/>
                <w:kern w:val="0"/>
                <w:szCs w:val="21"/>
              </w:rPr>
            </w:pPr>
            <w:r>
              <w:rPr>
                <w:color w:val="000000"/>
                <w:kern w:val="0"/>
                <w:szCs w:val="21"/>
              </w:rPr>
              <w:t>公交便捷度</w:t>
            </w:r>
          </w:p>
        </w:tc>
        <w:tc>
          <w:tcPr>
            <w:tcW w:w="1537" w:type="dxa"/>
            <w:vAlign w:val="center"/>
          </w:tcPr>
          <w:p>
            <w:pPr>
              <w:widowControl/>
              <w:spacing w:line="400" w:lineRule="exact"/>
              <w:jc w:val="center"/>
              <w:rPr>
                <w:color w:val="000000"/>
                <w:kern w:val="0"/>
                <w:szCs w:val="21"/>
              </w:rPr>
            </w:pPr>
            <w:r>
              <w:rPr>
                <w:color w:val="000000"/>
                <w:kern w:val="0"/>
                <w:szCs w:val="21"/>
              </w:rPr>
              <w:t>距最近公交站点距离</w:t>
            </w:r>
          </w:p>
        </w:tc>
        <w:tc>
          <w:tcPr>
            <w:tcW w:w="857" w:type="dxa"/>
            <w:vAlign w:val="center"/>
          </w:tcPr>
          <w:p>
            <w:pPr>
              <w:widowControl/>
              <w:spacing w:line="400" w:lineRule="exact"/>
              <w:jc w:val="center"/>
              <w:rPr>
                <w:color w:val="000000"/>
                <w:kern w:val="0"/>
                <w:szCs w:val="21"/>
              </w:rPr>
            </w:pPr>
            <w:r>
              <w:rPr>
                <w:color w:val="000000"/>
                <w:kern w:val="0"/>
                <w:szCs w:val="21"/>
              </w:rPr>
              <w:t>&lt;50</w:t>
            </w:r>
          </w:p>
        </w:tc>
        <w:tc>
          <w:tcPr>
            <w:tcW w:w="1231" w:type="dxa"/>
            <w:vAlign w:val="center"/>
          </w:tcPr>
          <w:p>
            <w:pPr>
              <w:widowControl/>
              <w:spacing w:line="400" w:lineRule="exact"/>
              <w:jc w:val="center"/>
              <w:rPr>
                <w:color w:val="000000"/>
                <w:kern w:val="0"/>
                <w:szCs w:val="21"/>
              </w:rPr>
            </w:pPr>
            <w:r>
              <w:rPr>
                <w:color w:val="000000"/>
                <w:kern w:val="0"/>
                <w:szCs w:val="21"/>
              </w:rPr>
              <w:t>50-150</w:t>
            </w:r>
          </w:p>
        </w:tc>
        <w:tc>
          <w:tcPr>
            <w:tcW w:w="1126" w:type="dxa"/>
            <w:vAlign w:val="center"/>
          </w:tcPr>
          <w:p>
            <w:pPr>
              <w:widowControl/>
              <w:spacing w:line="400" w:lineRule="exact"/>
              <w:jc w:val="center"/>
              <w:rPr>
                <w:color w:val="000000"/>
                <w:kern w:val="0"/>
                <w:szCs w:val="21"/>
              </w:rPr>
            </w:pPr>
            <w:r>
              <w:rPr>
                <w:color w:val="000000"/>
                <w:kern w:val="0"/>
                <w:szCs w:val="21"/>
              </w:rPr>
              <w:t>150-250</w:t>
            </w:r>
          </w:p>
        </w:tc>
        <w:tc>
          <w:tcPr>
            <w:tcW w:w="1126" w:type="dxa"/>
            <w:vAlign w:val="center"/>
          </w:tcPr>
          <w:p>
            <w:pPr>
              <w:widowControl/>
              <w:spacing w:line="400" w:lineRule="exact"/>
              <w:jc w:val="center"/>
              <w:rPr>
                <w:color w:val="000000"/>
                <w:kern w:val="0"/>
                <w:szCs w:val="21"/>
              </w:rPr>
            </w:pPr>
            <w:r>
              <w:rPr>
                <w:color w:val="000000"/>
                <w:kern w:val="0"/>
                <w:szCs w:val="21"/>
              </w:rPr>
              <w:t>250-350</w:t>
            </w:r>
          </w:p>
        </w:tc>
        <w:tc>
          <w:tcPr>
            <w:tcW w:w="1047" w:type="dxa"/>
            <w:vAlign w:val="center"/>
          </w:tcPr>
          <w:p>
            <w:pPr>
              <w:widowControl/>
              <w:spacing w:line="400" w:lineRule="exact"/>
              <w:jc w:val="center"/>
              <w:rPr>
                <w:color w:val="000000"/>
                <w:kern w:val="0"/>
                <w:szCs w:val="21"/>
              </w:rPr>
            </w:pPr>
            <w:r>
              <w:rPr>
                <w:color w:val="000000"/>
                <w:kern w:val="0"/>
                <w:szCs w:val="21"/>
              </w:rPr>
              <w:t>&gt;350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103" w:type="dxa"/>
            <w:vMerge w:val="continue"/>
            <w:vAlign w:val="center"/>
          </w:tcPr>
          <w:p>
            <w:pPr>
              <w:widowControl/>
              <w:spacing w:line="400" w:lineRule="exact"/>
              <w:jc w:val="left"/>
              <w:rPr>
                <w:color w:val="000000"/>
                <w:kern w:val="0"/>
                <w:szCs w:val="21"/>
              </w:rPr>
            </w:pPr>
          </w:p>
        </w:tc>
        <w:tc>
          <w:tcPr>
            <w:tcW w:w="1275" w:type="dxa"/>
            <w:vAlign w:val="center"/>
          </w:tcPr>
          <w:p>
            <w:pPr>
              <w:widowControl/>
              <w:spacing w:line="400" w:lineRule="exact"/>
              <w:jc w:val="center"/>
              <w:rPr>
                <w:color w:val="000000"/>
                <w:kern w:val="0"/>
                <w:szCs w:val="21"/>
              </w:rPr>
            </w:pPr>
            <w:r>
              <w:rPr>
                <w:color w:val="000000"/>
                <w:kern w:val="0"/>
                <w:szCs w:val="21"/>
              </w:rPr>
              <w:t>对外交通便利度</w:t>
            </w:r>
          </w:p>
        </w:tc>
        <w:tc>
          <w:tcPr>
            <w:tcW w:w="1537" w:type="dxa"/>
            <w:vAlign w:val="center"/>
          </w:tcPr>
          <w:p>
            <w:pPr>
              <w:widowControl/>
              <w:spacing w:line="400" w:lineRule="exact"/>
              <w:jc w:val="center"/>
              <w:rPr>
                <w:color w:val="000000"/>
                <w:kern w:val="0"/>
                <w:szCs w:val="21"/>
              </w:rPr>
            </w:pPr>
            <w:r>
              <w:rPr>
                <w:color w:val="000000"/>
                <w:kern w:val="0"/>
                <w:szCs w:val="21"/>
              </w:rPr>
              <w:t>距最近汽车站距离</w:t>
            </w:r>
          </w:p>
        </w:tc>
        <w:tc>
          <w:tcPr>
            <w:tcW w:w="857" w:type="dxa"/>
            <w:vAlign w:val="center"/>
          </w:tcPr>
          <w:p>
            <w:pPr>
              <w:widowControl/>
              <w:spacing w:line="400" w:lineRule="exact"/>
              <w:jc w:val="center"/>
              <w:rPr>
                <w:color w:val="000000"/>
                <w:kern w:val="0"/>
                <w:szCs w:val="21"/>
              </w:rPr>
            </w:pPr>
            <w:r>
              <w:rPr>
                <w:color w:val="000000"/>
                <w:kern w:val="0"/>
                <w:szCs w:val="21"/>
              </w:rPr>
              <w:t>&lt;100</w:t>
            </w:r>
          </w:p>
        </w:tc>
        <w:tc>
          <w:tcPr>
            <w:tcW w:w="1231" w:type="dxa"/>
            <w:vAlign w:val="center"/>
          </w:tcPr>
          <w:p>
            <w:pPr>
              <w:widowControl/>
              <w:spacing w:line="400" w:lineRule="exact"/>
              <w:jc w:val="center"/>
              <w:rPr>
                <w:color w:val="000000"/>
                <w:kern w:val="0"/>
                <w:szCs w:val="21"/>
              </w:rPr>
            </w:pPr>
            <w:r>
              <w:rPr>
                <w:color w:val="000000"/>
                <w:kern w:val="0"/>
                <w:szCs w:val="21"/>
              </w:rPr>
              <w:t>100-400</w:t>
            </w:r>
          </w:p>
        </w:tc>
        <w:tc>
          <w:tcPr>
            <w:tcW w:w="1126" w:type="dxa"/>
            <w:vAlign w:val="center"/>
          </w:tcPr>
          <w:p>
            <w:pPr>
              <w:widowControl/>
              <w:spacing w:line="400" w:lineRule="exact"/>
              <w:jc w:val="center"/>
              <w:rPr>
                <w:color w:val="000000"/>
                <w:kern w:val="0"/>
                <w:szCs w:val="21"/>
              </w:rPr>
            </w:pPr>
            <w:r>
              <w:rPr>
                <w:color w:val="000000"/>
                <w:kern w:val="0"/>
                <w:szCs w:val="21"/>
              </w:rPr>
              <w:t>400-700</w:t>
            </w:r>
          </w:p>
        </w:tc>
        <w:tc>
          <w:tcPr>
            <w:tcW w:w="1126" w:type="dxa"/>
            <w:vAlign w:val="center"/>
          </w:tcPr>
          <w:p>
            <w:pPr>
              <w:widowControl/>
              <w:spacing w:line="400" w:lineRule="exact"/>
              <w:jc w:val="center"/>
              <w:rPr>
                <w:color w:val="000000"/>
                <w:kern w:val="0"/>
                <w:szCs w:val="21"/>
              </w:rPr>
            </w:pPr>
            <w:r>
              <w:rPr>
                <w:color w:val="000000"/>
                <w:kern w:val="0"/>
                <w:szCs w:val="21"/>
              </w:rPr>
              <w:t>700-1000</w:t>
            </w:r>
          </w:p>
        </w:tc>
        <w:tc>
          <w:tcPr>
            <w:tcW w:w="1047" w:type="dxa"/>
            <w:vAlign w:val="center"/>
          </w:tcPr>
          <w:p>
            <w:pPr>
              <w:widowControl/>
              <w:spacing w:line="400" w:lineRule="exact"/>
              <w:jc w:val="center"/>
              <w:rPr>
                <w:color w:val="000000"/>
                <w:kern w:val="0"/>
                <w:szCs w:val="21"/>
              </w:rPr>
            </w:pPr>
            <w:r>
              <w:rPr>
                <w:color w:val="000000"/>
                <w:kern w:val="0"/>
                <w:szCs w:val="21"/>
              </w:rPr>
              <w:t>&gt;1000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103" w:type="dxa"/>
            <w:vAlign w:val="center"/>
          </w:tcPr>
          <w:p>
            <w:pPr>
              <w:widowControl/>
              <w:spacing w:line="400" w:lineRule="exact"/>
              <w:jc w:val="center"/>
              <w:rPr>
                <w:color w:val="000000"/>
                <w:kern w:val="0"/>
                <w:szCs w:val="21"/>
              </w:rPr>
            </w:pPr>
            <w:r>
              <w:rPr>
                <w:color w:val="000000"/>
                <w:kern w:val="0"/>
                <w:szCs w:val="21"/>
              </w:rPr>
              <w:t>城市规划</w:t>
            </w:r>
          </w:p>
        </w:tc>
        <w:tc>
          <w:tcPr>
            <w:tcW w:w="1275" w:type="dxa"/>
            <w:vAlign w:val="center"/>
          </w:tcPr>
          <w:p>
            <w:pPr>
              <w:widowControl/>
              <w:spacing w:line="400" w:lineRule="exact"/>
              <w:jc w:val="center"/>
              <w:rPr>
                <w:color w:val="000000"/>
                <w:kern w:val="0"/>
                <w:szCs w:val="21"/>
              </w:rPr>
            </w:pPr>
            <w:r>
              <w:rPr>
                <w:color w:val="000000"/>
                <w:kern w:val="0"/>
                <w:szCs w:val="21"/>
              </w:rPr>
              <w:t>城市规划</w:t>
            </w:r>
          </w:p>
        </w:tc>
        <w:tc>
          <w:tcPr>
            <w:tcW w:w="1537" w:type="dxa"/>
            <w:vAlign w:val="center"/>
          </w:tcPr>
          <w:p>
            <w:pPr>
              <w:widowControl/>
              <w:spacing w:line="400" w:lineRule="exact"/>
              <w:jc w:val="center"/>
              <w:rPr>
                <w:color w:val="000000"/>
                <w:kern w:val="0"/>
                <w:szCs w:val="21"/>
              </w:rPr>
            </w:pPr>
            <w:r>
              <w:rPr>
                <w:color w:val="000000"/>
                <w:kern w:val="0"/>
                <w:szCs w:val="21"/>
              </w:rPr>
              <w:t>公共设施用地规划</w:t>
            </w:r>
          </w:p>
        </w:tc>
        <w:tc>
          <w:tcPr>
            <w:tcW w:w="857" w:type="dxa"/>
            <w:vAlign w:val="center"/>
          </w:tcPr>
          <w:p>
            <w:pPr>
              <w:spacing w:line="400" w:lineRule="exact"/>
              <w:jc w:val="center"/>
              <w:rPr>
                <w:color w:val="000000"/>
                <w:szCs w:val="21"/>
              </w:rPr>
            </w:pPr>
            <w:r>
              <w:rPr>
                <w:color w:val="000000"/>
                <w:szCs w:val="21"/>
              </w:rPr>
              <w:t>完善</w:t>
            </w:r>
          </w:p>
        </w:tc>
        <w:tc>
          <w:tcPr>
            <w:tcW w:w="1231" w:type="dxa"/>
            <w:vAlign w:val="center"/>
          </w:tcPr>
          <w:p>
            <w:pPr>
              <w:spacing w:line="400" w:lineRule="exact"/>
              <w:jc w:val="center"/>
              <w:rPr>
                <w:color w:val="000000"/>
                <w:szCs w:val="21"/>
              </w:rPr>
            </w:pPr>
            <w:r>
              <w:rPr>
                <w:color w:val="000000"/>
                <w:szCs w:val="21"/>
              </w:rPr>
              <w:t>较完善</w:t>
            </w:r>
          </w:p>
        </w:tc>
        <w:tc>
          <w:tcPr>
            <w:tcW w:w="1126" w:type="dxa"/>
            <w:vAlign w:val="center"/>
          </w:tcPr>
          <w:p>
            <w:pPr>
              <w:spacing w:line="400" w:lineRule="exact"/>
              <w:jc w:val="center"/>
              <w:rPr>
                <w:color w:val="000000"/>
                <w:szCs w:val="21"/>
              </w:rPr>
            </w:pPr>
            <w:r>
              <w:rPr>
                <w:color w:val="000000"/>
                <w:szCs w:val="21"/>
              </w:rPr>
              <w:t>一般</w:t>
            </w:r>
          </w:p>
        </w:tc>
        <w:tc>
          <w:tcPr>
            <w:tcW w:w="1126" w:type="dxa"/>
            <w:vAlign w:val="center"/>
          </w:tcPr>
          <w:p>
            <w:pPr>
              <w:spacing w:line="400" w:lineRule="exact"/>
              <w:jc w:val="center"/>
              <w:rPr>
                <w:color w:val="000000"/>
                <w:szCs w:val="21"/>
              </w:rPr>
            </w:pPr>
            <w:r>
              <w:rPr>
                <w:color w:val="000000"/>
                <w:szCs w:val="21"/>
              </w:rPr>
              <w:t>较差</w:t>
            </w:r>
          </w:p>
        </w:tc>
        <w:tc>
          <w:tcPr>
            <w:tcW w:w="1047" w:type="dxa"/>
            <w:vAlign w:val="center"/>
          </w:tcPr>
          <w:p>
            <w:pPr>
              <w:spacing w:line="400" w:lineRule="exact"/>
              <w:jc w:val="center"/>
              <w:rPr>
                <w:color w:val="000000"/>
                <w:szCs w:val="21"/>
              </w:rPr>
            </w:pPr>
            <w:r>
              <w:rPr>
                <w:color w:val="000000"/>
                <w:szCs w:val="21"/>
              </w:rPr>
              <w:t>差</w:t>
            </w:r>
          </w:p>
        </w:tc>
      </w:tr>
    </w:tbl>
    <w:p>
      <w:pPr>
        <w:pStyle w:val="131"/>
        <w:spacing w:beforeLines="50" w:afterLines="50"/>
        <w:ind w:firstLine="0" w:firstLineChars="0"/>
        <w:rPr>
          <w:rFonts w:ascii="Times New Roman" w:hAnsi="Times New Roman"/>
          <w:sz w:val="24"/>
        </w:rPr>
      </w:pPr>
      <w:r>
        <w:rPr>
          <w:rFonts w:ascii="Times New Roman" w:hAnsi="Times New Roman"/>
          <w:sz w:val="24"/>
        </w:rPr>
        <w:t>表4-6-3  Ⅱ级公共管理与公共服务一类用地宗地地价区域因素修正系数表</w:t>
      </w:r>
    </w:p>
    <w:tbl>
      <w:tblPr>
        <w:tblW w:w="10303" w:type="dxa"/>
        <w:jc w:val="center"/>
        <w:tblInd w:w="1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988"/>
        <w:gridCol w:w="1248"/>
        <w:gridCol w:w="1006"/>
        <w:gridCol w:w="1276"/>
        <w:gridCol w:w="875"/>
        <w:gridCol w:w="749"/>
        <w:gridCol w:w="708"/>
        <w:gridCol w:w="709"/>
        <w:gridCol w:w="851"/>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blHeader/>
          <w:jc w:val="center"/>
        </w:trPr>
        <w:tc>
          <w:tcPr>
            <w:tcW w:w="1054" w:type="dxa"/>
            <w:vAlign w:val="center"/>
          </w:tcPr>
          <w:p>
            <w:pPr>
              <w:spacing w:line="400" w:lineRule="exact"/>
              <w:jc w:val="center"/>
              <w:rPr>
                <w:b/>
                <w:bCs/>
                <w:szCs w:val="21"/>
              </w:rPr>
            </w:pPr>
            <w:r>
              <w:rPr>
                <w:b/>
                <w:bCs/>
                <w:szCs w:val="21"/>
              </w:rPr>
              <w:t>因素层</w:t>
            </w:r>
          </w:p>
        </w:tc>
        <w:tc>
          <w:tcPr>
            <w:tcW w:w="988" w:type="dxa"/>
            <w:vAlign w:val="center"/>
          </w:tcPr>
          <w:p>
            <w:pPr>
              <w:spacing w:line="400" w:lineRule="exact"/>
              <w:jc w:val="center"/>
              <w:rPr>
                <w:b/>
                <w:bCs/>
                <w:szCs w:val="21"/>
              </w:rPr>
            </w:pPr>
            <w:r>
              <w:rPr>
                <w:b/>
                <w:bCs/>
                <w:szCs w:val="21"/>
              </w:rPr>
              <w:t>权重</w:t>
            </w:r>
          </w:p>
        </w:tc>
        <w:tc>
          <w:tcPr>
            <w:tcW w:w="1248" w:type="dxa"/>
            <w:vAlign w:val="center"/>
          </w:tcPr>
          <w:p>
            <w:pPr>
              <w:spacing w:line="400" w:lineRule="exact"/>
              <w:jc w:val="center"/>
              <w:rPr>
                <w:b/>
                <w:bCs/>
                <w:szCs w:val="21"/>
              </w:rPr>
            </w:pPr>
            <w:r>
              <w:rPr>
                <w:b/>
                <w:bCs/>
                <w:szCs w:val="21"/>
              </w:rPr>
              <w:t>因子层</w:t>
            </w:r>
          </w:p>
        </w:tc>
        <w:tc>
          <w:tcPr>
            <w:tcW w:w="1006" w:type="dxa"/>
            <w:vAlign w:val="center"/>
          </w:tcPr>
          <w:p>
            <w:pPr>
              <w:spacing w:line="400" w:lineRule="exact"/>
              <w:jc w:val="center"/>
              <w:rPr>
                <w:b/>
                <w:bCs/>
                <w:szCs w:val="21"/>
              </w:rPr>
            </w:pPr>
            <w:r>
              <w:rPr>
                <w:b/>
                <w:bCs/>
                <w:szCs w:val="21"/>
              </w:rPr>
              <w:t>权重</w:t>
            </w:r>
          </w:p>
        </w:tc>
        <w:tc>
          <w:tcPr>
            <w:tcW w:w="1276" w:type="dxa"/>
            <w:vAlign w:val="center"/>
          </w:tcPr>
          <w:p>
            <w:pPr>
              <w:spacing w:line="400" w:lineRule="exact"/>
              <w:jc w:val="center"/>
              <w:rPr>
                <w:b/>
                <w:bCs/>
                <w:szCs w:val="21"/>
              </w:rPr>
            </w:pPr>
            <w:r>
              <w:rPr>
                <w:b/>
                <w:bCs/>
                <w:szCs w:val="21"/>
              </w:rPr>
              <w:t>指标层</w:t>
            </w:r>
          </w:p>
        </w:tc>
        <w:tc>
          <w:tcPr>
            <w:tcW w:w="875" w:type="dxa"/>
            <w:vAlign w:val="center"/>
          </w:tcPr>
          <w:p>
            <w:pPr>
              <w:spacing w:line="400" w:lineRule="exact"/>
              <w:jc w:val="center"/>
              <w:rPr>
                <w:b/>
                <w:bCs/>
                <w:szCs w:val="21"/>
              </w:rPr>
            </w:pPr>
            <w:r>
              <w:rPr>
                <w:b/>
                <w:bCs/>
                <w:szCs w:val="21"/>
              </w:rPr>
              <w:t>权重</w:t>
            </w:r>
          </w:p>
        </w:tc>
        <w:tc>
          <w:tcPr>
            <w:tcW w:w="749" w:type="dxa"/>
            <w:vAlign w:val="center"/>
          </w:tcPr>
          <w:p>
            <w:pPr>
              <w:spacing w:line="400" w:lineRule="exact"/>
              <w:jc w:val="center"/>
              <w:rPr>
                <w:b/>
                <w:bCs/>
                <w:szCs w:val="21"/>
              </w:rPr>
            </w:pPr>
            <w:r>
              <w:rPr>
                <w:b/>
                <w:bCs/>
                <w:szCs w:val="21"/>
              </w:rPr>
              <w:t>优</w:t>
            </w:r>
          </w:p>
        </w:tc>
        <w:tc>
          <w:tcPr>
            <w:tcW w:w="708" w:type="dxa"/>
            <w:vAlign w:val="center"/>
          </w:tcPr>
          <w:p>
            <w:pPr>
              <w:spacing w:line="400" w:lineRule="exact"/>
              <w:jc w:val="center"/>
              <w:rPr>
                <w:b/>
                <w:bCs/>
                <w:szCs w:val="21"/>
              </w:rPr>
            </w:pPr>
            <w:r>
              <w:rPr>
                <w:b/>
                <w:bCs/>
                <w:szCs w:val="21"/>
              </w:rPr>
              <w:t>较优</w:t>
            </w:r>
          </w:p>
        </w:tc>
        <w:tc>
          <w:tcPr>
            <w:tcW w:w="709" w:type="dxa"/>
            <w:vAlign w:val="center"/>
          </w:tcPr>
          <w:p>
            <w:pPr>
              <w:spacing w:line="400" w:lineRule="exact"/>
              <w:jc w:val="center"/>
              <w:rPr>
                <w:b/>
                <w:bCs/>
                <w:szCs w:val="21"/>
              </w:rPr>
            </w:pPr>
            <w:r>
              <w:rPr>
                <w:b/>
                <w:bCs/>
                <w:szCs w:val="21"/>
              </w:rPr>
              <w:t>一般</w:t>
            </w:r>
          </w:p>
        </w:tc>
        <w:tc>
          <w:tcPr>
            <w:tcW w:w="851" w:type="dxa"/>
            <w:vAlign w:val="center"/>
          </w:tcPr>
          <w:p>
            <w:pPr>
              <w:spacing w:line="400" w:lineRule="exact"/>
              <w:jc w:val="center"/>
              <w:rPr>
                <w:b/>
                <w:bCs/>
                <w:szCs w:val="21"/>
              </w:rPr>
            </w:pPr>
            <w:r>
              <w:rPr>
                <w:b/>
                <w:bCs/>
                <w:szCs w:val="21"/>
              </w:rPr>
              <w:t>较劣</w:t>
            </w:r>
          </w:p>
        </w:tc>
        <w:tc>
          <w:tcPr>
            <w:tcW w:w="839"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restart"/>
            <w:vAlign w:val="center"/>
          </w:tcPr>
          <w:p>
            <w:pPr>
              <w:widowControl/>
              <w:spacing w:line="400" w:lineRule="exact"/>
              <w:jc w:val="center"/>
              <w:rPr>
                <w:bCs/>
                <w:color w:val="000000"/>
                <w:kern w:val="0"/>
                <w:szCs w:val="21"/>
              </w:rPr>
            </w:pPr>
            <w:r>
              <w:rPr>
                <w:bCs/>
                <w:color w:val="000000"/>
                <w:kern w:val="0"/>
                <w:szCs w:val="21"/>
              </w:rPr>
              <w:t>基本设施状况</w:t>
            </w:r>
          </w:p>
        </w:tc>
        <w:tc>
          <w:tcPr>
            <w:tcW w:w="988" w:type="dxa"/>
            <w:vMerge w:val="restart"/>
            <w:vAlign w:val="center"/>
          </w:tcPr>
          <w:p>
            <w:pPr>
              <w:widowControl/>
              <w:spacing w:line="400" w:lineRule="exact"/>
              <w:jc w:val="center"/>
              <w:rPr>
                <w:bCs/>
                <w:color w:val="000000"/>
                <w:kern w:val="0"/>
                <w:szCs w:val="21"/>
              </w:rPr>
            </w:pPr>
            <w:r>
              <w:rPr>
                <w:bCs/>
                <w:color w:val="000000"/>
                <w:kern w:val="0"/>
                <w:szCs w:val="21"/>
              </w:rPr>
              <w:t>0.1918</w:t>
            </w:r>
          </w:p>
        </w:tc>
        <w:tc>
          <w:tcPr>
            <w:tcW w:w="1248" w:type="dxa"/>
            <w:vMerge w:val="restart"/>
            <w:vAlign w:val="center"/>
          </w:tcPr>
          <w:p>
            <w:pPr>
              <w:widowControl/>
              <w:spacing w:line="400" w:lineRule="exact"/>
              <w:jc w:val="center"/>
              <w:rPr>
                <w:bCs/>
                <w:color w:val="000000"/>
                <w:kern w:val="0"/>
                <w:szCs w:val="21"/>
              </w:rPr>
            </w:pPr>
            <w:r>
              <w:rPr>
                <w:bCs/>
                <w:color w:val="000000"/>
                <w:kern w:val="0"/>
                <w:szCs w:val="21"/>
              </w:rPr>
              <w:t>公用设施完备度</w:t>
            </w:r>
          </w:p>
        </w:tc>
        <w:tc>
          <w:tcPr>
            <w:tcW w:w="1006" w:type="dxa"/>
            <w:vMerge w:val="restart"/>
            <w:vAlign w:val="center"/>
          </w:tcPr>
          <w:p>
            <w:pPr>
              <w:widowControl/>
              <w:spacing w:line="400" w:lineRule="exact"/>
              <w:jc w:val="center"/>
              <w:rPr>
                <w:bCs/>
                <w:color w:val="000000"/>
                <w:kern w:val="0"/>
                <w:szCs w:val="21"/>
              </w:rPr>
            </w:pPr>
            <w:r>
              <w:rPr>
                <w:bCs/>
                <w:color w:val="000000"/>
                <w:kern w:val="0"/>
                <w:szCs w:val="21"/>
              </w:rPr>
              <w:t>0.1918</w:t>
            </w:r>
          </w:p>
        </w:tc>
        <w:tc>
          <w:tcPr>
            <w:tcW w:w="1276" w:type="dxa"/>
            <w:vAlign w:val="center"/>
          </w:tcPr>
          <w:p>
            <w:pPr>
              <w:widowControl/>
              <w:spacing w:line="400" w:lineRule="exact"/>
              <w:jc w:val="center"/>
              <w:rPr>
                <w:bCs/>
                <w:color w:val="000000"/>
                <w:kern w:val="0"/>
                <w:szCs w:val="21"/>
              </w:rPr>
            </w:pPr>
            <w:r>
              <w:rPr>
                <w:bCs/>
                <w:color w:val="000000"/>
                <w:kern w:val="0"/>
                <w:szCs w:val="21"/>
              </w:rPr>
              <w:t>距中小学距离</w:t>
            </w:r>
          </w:p>
        </w:tc>
        <w:tc>
          <w:tcPr>
            <w:tcW w:w="875" w:type="dxa"/>
            <w:vAlign w:val="center"/>
          </w:tcPr>
          <w:p>
            <w:pPr>
              <w:widowControl/>
              <w:spacing w:line="400" w:lineRule="exact"/>
              <w:jc w:val="center"/>
              <w:rPr>
                <w:bCs/>
                <w:color w:val="000000"/>
                <w:kern w:val="0"/>
                <w:szCs w:val="21"/>
              </w:rPr>
            </w:pPr>
            <w:r>
              <w:rPr>
                <w:bCs/>
                <w:color w:val="000000"/>
                <w:kern w:val="0"/>
                <w:szCs w:val="21"/>
              </w:rPr>
              <w:t>0.0639</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1.141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0.570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-0.550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-1.100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continue"/>
            <w:vAlign w:val="center"/>
          </w:tcPr>
          <w:p>
            <w:pPr>
              <w:widowControl/>
              <w:spacing w:line="400" w:lineRule="exact"/>
              <w:jc w:val="center"/>
              <w:rPr>
                <w:bCs/>
                <w:color w:val="000000"/>
                <w:kern w:val="0"/>
                <w:szCs w:val="21"/>
              </w:rPr>
            </w:pPr>
          </w:p>
        </w:tc>
        <w:tc>
          <w:tcPr>
            <w:tcW w:w="988" w:type="dxa"/>
            <w:vMerge w:val="continue"/>
            <w:vAlign w:val="center"/>
          </w:tcPr>
          <w:p>
            <w:pPr>
              <w:widowControl/>
              <w:spacing w:line="400" w:lineRule="exact"/>
              <w:jc w:val="center"/>
              <w:rPr>
                <w:bCs/>
                <w:color w:val="000000"/>
                <w:kern w:val="0"/>
                <w:szCs w:val="21"/>
              </w:rPr>
            </w:pPr>
          </w:p>
        </w:tc>
        <w:tc>
          <w:tcPr>
            <w:tcW w:w="1248" w:type="dxa"/>
            <w:vMerge w:val="continue"/>
            <w:vAlign w:val="center"/>
          </w:tcPr>
          <w:p>
            <w:pPr>
              <w:widowControl/>
              <w:spacing w:line="400" w:lineRule="exact"/>
              <w:jc w:val="center"/>
              <w:rPr>
                <w:bCs/>
                <w:color w:val="000000"/>
                <w:kern w:val="0"/>
                <w:szCs w:val="21"/>
              </w:rPr>
            </w:pPr>
          </w:p>
        </w:tc>
        <w:tc>
          <w:tcPr>
            <w:tcW w:w="1006" w:type="dxa"/>
            <w:vMerge w:val="continue"/>
            <w:vAlign w:val="center"/>
          </w:tcPr>
          <w:p>
            <w:pPr>
              <w:widowControl/>
              <w:spacing w:line="400" w:lineRule="exact"/>
              <w:jc w:val="center"/>
              <w:rPr>
                <w:bCs/>
                <w:color w:val="000000"/>
                <w:kern w:val="0"/>
                <w:szCs w:val="21"/>
              </w:rPr>
            </w:pPr>
          </w:p>
        </w:tc>
        <w:tc>
          <w:tcPr>
            <w:tcW w:w="1276" w:type="dxa"/>
            <w:vAlign w:val="center"/>
          </w:tcPr>
          <w:p>
            <w:pPr>
              <w:widowControl/>
              <w:spacing w:line="400" w:lineRule="exact"/>
              <w:jc w:val="center"/>
              <w:rPr>
                <w:bCs/>
                <w:color w:val="000000"/>
                <w:kern w:val="0"/>
                <w:szCs w:val="21"/>
              </w:rPr>
            </w:pPr>
            <w:r>
              <w:rPr>
                <w:bCs/>
                <w:color w:val="000000"/>
                <w:kern w:val="0"/>
                <w:szCs w:val="21"/>
              </w:rPr>
              <w:t>距医院距离</w:t>
            </w:r>
          </w:p>
        </w:tc>
        <w:tc>
          <w:tcPr>
            <w:tcW w:w="875" w:type="dxa"/>
            <w:vAlign w:val="center"/>
          </w:tcPr>
          <w:p>
            <w:pPr>
              <w:widowControl/>
              <w:spacing w:line="400" w:lineRule="exact"/>
              <w:jc w:val="center"/>
              <w:rPr>
                <w:bCs/>
                <w:color w:val="000000"/>
                <w:kern w:val="0"/>
                <w:szCs w:val="21"/>
              </w:rPr>
            </w:pPr>
            <w:r>
              <w:rPr>
                <w:bCs/>
                <w:color w:val="000000"/>
                <w:kern w:val="0"/>
                <w:szCs w:val="21"/>
              </w:rPr>
              <w:t>0.0639</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1.141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0.570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-0.550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-1.100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continue"/>
            <w:vAlign w:val="center"/>
          </w:tcPr>
          <w:p>
            <w:pPr>
              <w:widowControl/>
              <w:spacing w:line="400" w:lineRule="exact"/>
              <w:jc w:val="center"/>
              <w:rPr>
                <w:bCs/>
                <w:color w:val="000000"/>
                <w:kern w:val="0"/>
                <w:szCs w:val="21"/>
              </w:rPr>
            </w:pPr>
          </w:p>
        </w:tc>
        <w:tc>
          <w:tcPr>
            <w:tcW w:w="988" w:type="dxa"/>
            <w:vMerge w:val="continue"/>
            <w:vAlign w:val="center"/>
          </w:tcPr>
          <w:p>
            <w:pPr>
              <w:widowControl/>
              <w:spacing w:line="400" w:lineRule="exact"/>
              <w:jc w:val="center"/>
              <w:rPr>
                <w:bCs/>
                <w:color w:val="000000"/>
                <w:kern w:val="0"/>
                <w:szCs w:val="21"/>
              </w:rPr>
            </w:pPr>
          </w:p>
        </w:tc>
        <w:tc>
          <w:tcPr>
            <w:tcW w:w="1248" w:type="dxa"/>
            <w:vMerge w:val="continue"/>
            <w:vAlign w:val="center"/>
          </w:tcPr>
          <w:p>
            <w:pPr>
              <w:widowControl/>
              <w:spacing w:line="400" w:lineRule="exact"/>
              <w:jc w:val="center"/>
              <w:rPr>
                <w:bCs/>
                <w:color w:val="000000"/>
                <w:kern w:val="0"/>
                <w:szCs w:val="21"/>
              </w:rPr>
            </w:pPr>
          </w:p>
        </w:tc>
        <w:tc>
          <w:tcPr>
            <w:tcW w:w="1006" w:type="dxa"/>
            <w:vMerge w:val="continue"/>
            <w:vAlign w:val="center"/>
          </w:tcPr>
          <w:p>
            <w:pPr>
              <w:widowControl/>
              <w:spacing w:line="400" w:lineRule="exact"/>
              <w:jc w:val="center"/>
              <w:rPr>
                <w:bCs/>
                <w:color w:val="000000"/>
                <w:kern w:val="0"/>
                <w:szCs w:val="21"/>
              </w:rPr>
            </w:pPr>
          </w:p>
        </w:tc>
        <w:tc>
          <w:tcPr>
            <w:tcW w:w="1276" w:type="dxa"/>
            <w:vAlign w:val="center"/>
          </w:tcPr>
          <w:p>
            <w:pPr>
              <w:widowControl/>
              <w:spacing w:line="400" w:lineRule="exact"/>
              <w:jc w:val="center"/>
              <w:rPr>
                <w:bCs/>
                <w:color w:val="000000"/>
                <w:kern w:val="0"/>
                <w:szCs w:val="21"/>
              </w:rPr>
            </w:pPr>
            <w:r>
              <w:rPr>
                <w:bCs/>
                <w:color w:val="000000"/>
                <w:kern w:val="0"/>
                <w:szCs w:val="21"/>
              </w:rPr>
              <w:t>距文体设施用地距离</w:t>
            </w:r>
          </w:p>
        </w:tc>
        <w:tc>
          <w:tcPr>
            <w:tcW w:w="875" w:type="dxa"/>
            <w:vAlign w:val="center"/>
          </w:tcPr>
          <w:p>
            <w:pPr>
              <w:widowControl/>
              <w:spacing w:line="400" w:lineRule="exact"/>
              <w:jc w:val="center"/>
              <w:rPr>
                <w:bCs/>
                <w:color w:val="000000"/>
                <w:kern w:val="0"/>
                <w:szCs w:val="21"/>
              </w:rPr>
            </w:pPr>
            <w:r>
              <w:rPr>
                <w:bCs/>
                <w:color w:val="000000"/>
                <w:kern w:val="0"/>
                <w:szCs w:val="21"/>
              </w:rPr>
              <w:t>0.064</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1.142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0.571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-0.551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-1.102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1054" w:type="dxa"/>
            <w:vAlign w:val="center"/>
          </w:tcPr>
          <w:p>
            <w:pPr>
              <w:widowControl/>
              <w:spacing w:line="400" w:lineRule="exact"/>
              <w:jc w:val="center"/>
              <w:rPr>
                <w:bCs/>
                <w:color w:val="000000"/>
                <w:kern w:val="0"/>
                <w:szCs w:val="21"/>
              </w:rPr>
            </w:pPr>
            <w:r>
              <w:rPr>
                <w:bCs/>
                <w:color w:val="000000"/>
                <w:kern w:val="0"/>
                <w:szCs w:val="21"/>
              </w:rPr>
              <w:t>繁华程度</w:t>
            </w:r>
          </w:p>
        </w:tc>
        <w:tc>
          <w:tcPr>
            <w:tcW w:w="988" w:type="dxa"/>
            <w:vAlign w:val="center"/>
          </w:tcPr>
          <w:p>
            <w:pPr>
              <w:widowControl/>
              <w:spacing w:line="400" w:lineRule="exact"/>
              <w:jc w:val="center"/>
              <w:rPr>
                <w:bCs/>
                <w:color w:val="000000"/>
                <w:kern w:val="0"/>
                <w:szCs w:val="21"/>
              </w:rPr>
            </w:pPr>
            <w:r>
              <w:rPr>
                <w:bCs/>
                <w:color w:val="000000"/>
                <w:kern w:val="0"/>
                <w:szCs w:val="21"/>
              </w:rPr>
              <w:t>0.3123</w:t>
            </w:r>
          </w:p>
        </w:tc>
        <w:tc>
          <w:tcPr>
            <w:tcW w:w="1248" w:type="dxa"/>
            <w:vAlign w:val="center"/>
          </w:tcPr>
          <w:p>
            <w:pPr>
              <w:widowControl/>
              <w:spacing w:line="400" w:lineRule="exact"/>
              <w:jc w:val="center"/>
              <w:rPr>
                <w:bCs/>
                <w:color w:val="000000"/>
                <w:kern w:val="0"/>
                <w:szCs w:val="21"/>
              </w:rPr>
            </w:pPr>
            <w:r>
              <w:rPr>
                <w:bCs/>
                <w:color w:val="000000"/>
                <w:kern w:val="0"/>
                <w:szCs w:val="21"/>
              </w:rPr>
              <w:t>商服繁华影响度</w:t>
            </w:r>
          </w:p>
        </w:tc>
        <w:tc>
          <w:tcPr>
            <w:tcW w:w="1006" w:type="dxa"/>
            <w:vAlign w:val="center"/>
          </w:tcPr>
          <w:p>
            <w:pPr>
              <w:widowControl/>
              <w:spacing w:line="400" w:lineRule="exact"/>
              <w:jc w:val="center"/>
              <w:rPr>
                <w:bCs/>
                <w:color w:val="000000"/>
                <w:kern w:val="0"/>
                <w:szCs w:val="21"/>
              </w:rPr>
            </w:pPr>
            <w:r>
              <w:rPr>
                <w:bCs/>
                <w:color w:val="000000"/>
                <w:kern w:val="0"/>
                <w:szCs w:val="21"/>
              </w:rPr>
              <w:t>0.3123</w:t>
            </w:r>
          </w:p>
        </w:tc>
        <w:tc>
          <w:tcPr>
            <w:tcW w:w="1276" w:type="dxa"/>
            <w:vAlign w:val="center"/>
          </w:tcPr>
          <w:p>
            <w:pPr>
              <w:widowControl/>
              <w:spacing w:line="400" w:lineRule="exact"/>
              <w:jc w:val="center"/>
              <w:rPr>
                <w:bCs/>
                <w:color w:val="000000"/>
                <w:kern w:val="0"/>
                <w:szCs w:val="21"/>
              </w:rPr>
            </w:pPr>
            <w:r>
              <w:rPr>
                <w:bCs/>
                <w:color w:val="000000"/>
                <w:kern w:val="0"/>
                <w:szCs w:val="21"/>
              </w:rPr>
              <w:t>距商服中心距离</w:t>
            </w:r>
          </w:p>
        </w:tc>
        <w:tc>
          <w:tcPr>
            <w:tcW w:w="875" w:type="dxa"/>
            <w:vAlign w:val="center"/>
          </w:tcPr>
          <w:p>
            <w:pPr>
              <w:widowControl/>
              <w:spacing w:line="400" w:lineRule="exact"/>
              <w:jc w:val="center"/>
              <w:rPr>
                <w:bCs/>
                <w:color w:val="000000"/>
                <w:kern w:val="0"/>
                <w:szCs w:val="21"/>
              </w:rPr>
            </w:pPr>
            <w:r>
              <w:rPr>
                <w:bCs/>
                <w:color w:val="000000"/>
                <w:kern w:val="0"/>
                <w:szCs w:val="21"/>
              </w:rPr>
              <w:t>0.3123</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5.575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2.787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-2.689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-5.378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Align w:val="center"/>
          </w:tcPr>
          <w:p>
            <w:pPr>
              <w:widowControl/>
              <w:spacing w:line="400" w:lineRule="exact"/>
              <w:jc w:val="center"/>
              <w:rPr>
                <w:bCs/>
                <w:color w:val="000000"/>
                <w:kern w:val="0"/>
                <w:szCs w:val="21"/>
              </w:rPr>
            </w:pPr>
            <w:r>
              <w:rPr>
                <w:bCs/>
                <w:color w:val="000000"/>
                <w:kern w:val="0"/>
                <w:szCs w:val="21"/>
              </w:rPr>
              <w:t>人口状况</w:t>
            </w:r>
          </w:p>
        </w:tc>
        <w:tc>
          <w:tcPr>
            <w:tcW w:w="988" w:type="dxa"/>
            <w:vAlign w:val="center"/>
          </w:tcPr>
          <w:p>
            <w:pPr>
              <w:widowControl/>
              <w:spacing w:line="400" w:lineRule="exact"/>
              <w:jc w:val="center"/>
              <w:rPr>
                <w:bCs/>
                <w:color w:val="000000"/>
                <w:kern w:val="0"/>
                <w:szCs w:val="21"/>
              </w:rPr>
            </w:pPr>
            <w:r>
              <w:rPr>
                <w:bCs/>
                <w:color w:val="000000"/>
                <w:kern w:val="0"/>
                <w:szCs w:val="21"/>
              </w:rPr>
              <w:t>0.1567</w:t>
            </w:r>
          </w:p>
        </w:tc>
        <w:tc>
          <w:tcPr>
            <w:tcW w:w="1248" w:type="dxa"/>
            <w:vAlign w:val="center"/>
          </w:tcPr>
          <w:p>
            <w:pPr>
              <w:widowControl/>
              <w:spacing w:line="400" w:lineRule="exact"/>
              <w:jc w:val="center"/>
              <w:rPr>
                <w:bCs/>
                <w:color w:val="000000"/>
                <w:kern w:val="0"/>
                <w:szCs w:val="21"/>
              </w:rPr>
            </w:pPr>
            <w:r>
              <w:rPr>
                <w:bCs/>
                <w:color w:val="000000"/>
                <w:kern w:val="0"/>
                <w:szCs w:val="21"/>
              </w:rPr>
              <w:t>人口密度</w:t>
            </w:r>
          </w:p>
        </w:tc>
        <w:tc>
          <w:tcPr>
            <w:tcW w:w="1006" w:type="dxa"/>
            <w:vAlign w:val="center"/>
          </w:tcPr>
          <w:p>
            <w:pPr>
              <w:widowControl/>
              <w:spacing w:line="400" w:lineRule="exact"/>
              <w:jc w:val="center"/>
              <w:rPr>
                <w:bCs/>
                <w:color w:val="000000"/>
                <w:kern w:val="0"/>
                <w:szCs w:val="21"/>
              </w:rPr>
            </w:pPr>
            <w:r>
              <w:rPr>
                <w:bCs/>
                <w:color w:val="000000"/>
                <w:kern w:val="0"/>
                <w:szCs w:val="21"/>
              </w:rPr>
              <w:t>0.1567</w:t>
            </w:r>
          </w:p>
        </w:tc>
        <w:tc>
          <w:tcPr>
            <w:tcW w:w="1276" w:type="dxa"/>
            <w:vAlign w:val="center"/>
          </w:tcPr>
          <w:p>
            <w:pPr>
              <w:widowControl/>
              <w:spacing w:line="400" w:lineRule="exact"/>
              <w:jc w:val="center"/>
              <w:rPr>
                <w:bCs/>
                <w:color w:val="000000"/>
                <w:kern w:val="0"/>
                <w:szCs w:val="21"/>
              </w:rPr>
            </w:pPr>
            <w:r>
              <w:rPr>
                <w:bCs/>
                <w:color w:val="000000"/>
                <w:kern w:val="0"/>
                <w:szCs w:val="21"/>
              </w:rPr>
              <w:t>人口密度</w:t>
            </w:r>
          </w:p>
        </w:tc>
        <w:tc>
          <w:tcPr>
            <w:tcW w:w="875" w:type="dxa"/>
            <w:vAlign w:val="center"/>
          </w:tcPr>
          <w:p>
            <w:pPr>
              <w:widowControl/>
              <w:spacing w:line="400" w:lineRule="exact"/>
              <w:jc w:val="center"/>
              <w:rPr>
                <w:bCs/>
                <w:color w:val="000000"/>
                <w:kern w:val="0"/>
                <w:szCs w:val="21"/>
              </w:rPr>
            </w:pPr>
            <w:r>
              <w:rPr>
                <w:bCs/>
                <w:color w:val="000000"/>
                <w:kern w:val="0"/>
                <w:szCs w:val="21"/>
              </w:rPr>
              <w:t>0.1567</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2.797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1.399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-1.349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-2.698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restart"/>
            <w:vAlign w:val="center"/>
          </w:tcPr>
          <w:p>
            <w:pPr>
              <w:widowControl/>
              <w:spacing w:line="400" w:lineRule="exact"/>
              <w:jc w:val="center"/>
              <w:rPr>
                <w:bCs/>
                <w:color w:val="000000"/>
                <w:kern w:val="0"/>
                <w:szCs w:val="21"/>
              </w:rPr>
            </w:pPr>
            <w:r>
              <w:rPr>
                <w:bCs/>
                <w:color w:val="000000"/>
                <w:kern w:val="0"/>
                <w:szCs w:val="21"/>
              </w:rPr>
              <w:t>交通条件</w:t>
            </w:r>
          </w:p>
        </w:tc>
        <w:tc>
          <w:tcPr>
            <w:tcW w:w="988" w:type="dxa"/>
            <w:vMerge w:val="restart"/>
            <w:vAlign w:val="center"/>
          </w:tcPr>
          <w:p>
            <w:pPr>
              <w:widowControl/>
              <w:spacing w:line="400" w:lineRule="exact"/>
              <w:jc w:val="center"/>
              <w:rPr>
                <w:bCs/>
                <w:color w:val="000000"/>
                <w:kern w:val="0"/>
                <w:szCs w:val="21"/>
              </w:rPr>
            </w:pPr>
            <w:r>
              <w:rPr>
                <w:bCs/>
                <w:color w:val="000000"/>
                <w:kern w:val="0"/>
                <w:szCs w:val="21"/>
              </w:rPr>
              <w:t>0.2384</w:t>
            </w:r>
          </w:p>
        </w:tc>
        <w:tc>
          <w:tcPr>
            <w:tcW w:w="1248" w:type="dxa"/>
            <w:vAlign w:val="center"/>
          </w:tcPr>
          <w:p>
            <w:pPr>
              <w:widowControl/>
              <w:spacing w:line="400" w:lineRule="exact"/>
              <w:jc w:val="center"/>
              <w:rPr>
                <w:bCs/>
                <w:color w:val="000000"/>
                <w:kern w:val="0"/>
                <w:szCs w:val="21"/>
              </w:rPr>
            </w:pPr>
            <w:r>
              <w:rPr>
                <w:bCs/>
                <w:color w:val="000000"/>
                <w:kern w:val="0"/>
                <w:szCs w:val="21"/>
              </w:rPr>
              <w:t>道路通达度</w:t>
            </w:r>
          </w:p>
        </w:tc>
        <w:tc>
          <w:tcPr>
            <w:tcW w:w="1006" w:type="dxa"/>
            <w:vAlign w:val="center"/>
          </w:tcPr>
          <w:p>
            <w:pPr>
              <w:widowControl/>
              <w:spacing w:line="400" w:lineRule="exact"/>
              <w:jc w:val="center"/>
              <w:rPr>
                <w:bCs/>
                <w:color w:val="000000"/>
                <w:kern w:val="0"/>
                <w:szCs w:val="21"/>
              </w:rPr>
            </w:pPr>
            <w:r>
              <w:rPr>
                <w:bCs/>
                <w:color w:val="000000"/>
                <w:kern w:val="0"/>
                <w:szCs w:val="21"/>
              </w:rPr>
              <w:t>0.0794</w:t>
            </w:r>
          </w:p>
        </w:tc>
        <w:tc>
          <w:tcPr>
            <w:tcW w:w="1276" w:type="dxa"/>
            <w:vAlign w:val="center"/>
          </w:tcPr>
          <w:p>
            <w:pPr>
              <w:widowControl/>
              <w:spacing w:line="400" w:lineRule="exact"/>
              <w:jc w:val="center"/>
              <w:rPr>
                <w:bCs/>
                <w:color w:val="000000"/>
                <w:kern w:val="0"/>
                <w:szCs w:val="21"/>
              </w:rPr>
            </w:pPr>
            <w:r>
              <w:rPr>
                <w:bCs/>
                <w:color w:val="000000"/>
                <w:kern w:val="0"/>
                <w:szCs w:val="21"/>
              </w:rPr>
              <w:t>临近道路状况</w:t>
            </w:r>
          </w:p>
        </w:tc>
        <w:tc>
          <w:tcPr>
            <w:tcW w:w="875" w:type="dxa"/>
            <w:vAlign w:val="center"/>
          </w:tcPr>
          <w:p>
            <w:pPr>
              <w:widowControl/>
              <w:spacing w:line="400" w:lineRule="exact"/>
              <w:jc w:val="center"/>
              <w:rPr>
                <w:bCs/>
                <w:color w:val="000000"/>
                <w:kern w:val="0"/>
                <w:szCs w:val="21"/>
              </w:rPr>
            </w:pPr>
            <w:r>
              <w:rPr>
                <w:bCs/>
                <w:color w:val="000000"/>
                <w:kern w:val="0"/>
                <w:szCs w:val="21"/>
              </w:rPr>
              <w:t>0.0794</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1.417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0.709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-0.684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-1.367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continue"/>
            <w:vAlign w:val="center"/>
          </w:tcPr>
          <w:p>
            <w:pPr>
              <w:widowControl/>
              <w:spacing w:line="400" w:lineRule="exact"/>
              <w:jc w:val="center"/>
              <w:rPr>
                <w:bCs/>
                <w:color w:val="000000"/>
                <w:kern w:val="0"/>
                <w:szCs w:val="21"/>
              </w:rPr>
            </w:pPr>
          </w:p>
        </w:tc>
        <w:tc>
          <w:tcPr>
            <w:tcW w:w="988" w:type="dxa"/>
            <w:vMerge w:val="continue"/>
            <w:vAlign w:val="center"/>
          </w:tcPr>
          <w:p>
            <w:pPr>
              <w:widowControl/>
              <w:spacing w:line="400" w:lineRule="exact"/>
              <w:jc w:val="center"/>
              <w:rPr>
                <w:bCs/>
                <w:color w:val="000000"/>
                <w:kern w:val="0"/>
                <w:szCs w:val="21"/>
              </w:rPr>
            </w:pPr>
          </w:p>
        </w:tc>
        <w:tc>
          <w:tcPr>
            <w:tcW w:w="1248" w:type="dxa"/>
            <w:vAlign w:val="center"/>
          </w:tcPr>
          <w:p>
            <w:pPr>
              <w:widowControl/>
              <w:spacing w:line="400" w:lineRule="exact"/>
              <w:jc w:val="center"/>
              <w:rPr>
                <w:bCs/>
                <w:color w:val="000000"/>
                <w:kern w:val="0"/>
                <w:szCs w:val="21"/>
              </w:rPr>
            </w:pPr>
            <w:r>
              <w:rPr>
                <w:bCs/>
                <w:color w:val="000000"/>
                <w:kern w:val="0"/>
                <w:szCs w:val="21"/>
              </w:rPr>
              <w:t>公交便捷度</w:t>
            </w:r>
          </w:p>
        </w:tc>
        <w:tc>
          <w:tcPr>
            <w:tcW w:w="1006" w:type="dxa"/>
            <w:vAlign w:val="center"/>
          </w:tcPr>
          <w:p>
            <w:pPr>
              <w:widowControl/>
              <w:spacing w:line="400" w:lineRule="exact"/>
              <w:jc w:val="center"/>
              <w:rPr>
                <w:bCs/>
                <w:color w:val="000000"/>
                <w:kern w:val="0"/>
                <w:szCs w:val="21"/>
              </w:rPr>
            </w:pPr>
            <w:r>
              <w:rPr>
                <w:bCs/>
                <w:color w:val="000000"/>
                <w:kern w:val="0"/>
                <w:szCs w:val="21"/>
              </w:rPr>
              <w:t>0.0795</w:t>
            </w:r>
          </w:p>
        </w:tc>
        <w:tc>
          <w:tcPr>
            <w:tcW w:w="1276" w:type="dxa"/>
            <w:vAlign w:val="center"/>
          </w:tcPr>
          <w:p>
            <w:pPr>
              <w:widowControl/>
              <w:spacing w:line="400" w:lineRule="exact"/>
              <w:jc w:val="center"/>
              <w:rPr>
                <w:bCs/>
                <w:color w:val="000000"/>
                <w:kern w:val="0"/>
                <w:szCs w:val="21"/>
              </w:rPr>
            </w:pPr>
            <w:r>
              <w:rPr>
                <w:bCs/>
                <w:color w:val="000000"/>
                <w:kern w:val="0"/>
                <w:szCs w:val="21"/>
              </w:rPr>
              <w:t>距最近公交站点距离</w:t>
            </w:r>
          </w:p>
        </w:tc>
        <w:tc>
          <w:tcPr>
            <w:tcW w:w="875" w:type="dxa"/>
            <w:vAlign w:val="center"/>
          </w:tcPr>
          <w:p>
            <w:pPr>
              <w:widowControl/>
              <w:spacing w:line="400" w:lineRule="exact"/>
              <w:jc w:val="center"/>
              <w:rPr>
                <w:bCs/>
                <w:color w:val="000000"/>
                <w:kern w:val="0"/>
                <w:szCs w:val="21"/>
              </w:rPr>
            </w:pPr>
            <w:r>
              <w:rPr>
                <w:bCs/>
                <w:color w:val="000000"/>
                <w:kern w:val="0"/>
                <w:szCs w:val="21"/>
              </w:rPr>
              <w:t>0.0795</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1.419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0.710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-0.684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-1.369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1054" w:type="dxa"/>
            <w:vMerge w:val="continue"/>
            <w:vAlign w:val="center"/>
          </w:tcPr>
          <w:p>
            <w:pPr>
              <w:widowControl/>
              <w:spacing w:line="400" w:lineRule="exact"/>
              <w:jc w:val="center"/>
              <w:rPr>
                <w:bCs/>
                <w:color w:val="000000"/>
                <w:kern w:val="0"/>
                <w:szCs w:val="21"/>
              </w:rPr>
            </w:pPr>
          </w:p>
        </w:tc>
        <w:tc>
          <w:tcPr>
            <w:tcW w:w="988" w:type="dxa"/>
            <w:vMerge w:val="continue"/>
            <w:vAlign w:val="center"/>
          </w:tcPr>
          <w:p>
            <w:pPr>
              <w:widowControl/>
              <w:spacing w:line="400" w:lineRule="exact"/>
              <w:jc w:val="center"/>
              <w:rPr>
                <w:bCs/>
                <w:color w:val="000000"/>
                <w:kern w:val="0"/>
                <w:szCs w:val="21"/>
              </w:rPr>
            </w:pPr>
          </w:p>
        </w:tc>
        <w:tc>
          <w:tcPr>
            <w:tcW w:w="1248" w:type="dxa"/>
            <w:vAlign w:val="center"/>
          </w:tcPr>
          <w:p>
            <w:pPr>
              <w:widowControl/>
              <w:spacing w:line="400" w:lineRule="exact"/>
              <w:jc w:val="center"/>
              <w:rPr>
                <w:bCs/>
                <w:color w:val="000000"/>
                <w:kern w:val="0"/>
                <w:szCs w:val="21"/>
              </w:rPr>
            </w:pPr>
            <w:r>
              <w:rPr>
                <w:bCs/>
                <w:color w:val="000000"/>
                <w:kern w:val="0"/>
                <w:szCs w:val="21"/>
              </w:rPr>
              <w:t>对外交通便利度</w:t>
            </w:r>
          </w:p>
        </w:tc>
        <w:tc>
          <w:tcPr>
            <w:tcW w:w="1006" w:type="dxa"/>
            <w:vAlign w:val="center"/>
          </w:tcPr>
          <w:p>
            <w:pPr>
              <w:widowControl/>
              <w:spacing w:line="400" w:lineRule="exact"/>
              <w:jc w:val="center"/>
              <w:rPr>
                <w:bCs/>
                <w:color w:val="000000"/>
                <w:kern w:val="0"/>
                <w:szCs w:val="21"/>
              </w:rPr>
            </w:pPr>
            <w:r>
              <w:rPr>
                <w:bCs/>
                <w:color w:val="000000"/>
                <w:kern w:val="0"/>
                <w:szCs w:val="21"/>
              </w:rPr>
              <w:t>0.0795</w:t>
            </w:r>
          </w:p>
        </w:tc>
        <w:tc>
          <w:tcPr>
            <w:tcW w:w="1276" w:type="dxa"/>
            <w:vAlign w:val="center"/>
          </w:tcPr>
          <w:p>
            <w:pPr>
              <w:widowControl/>
              <w:spacing w:line="400" w:lineRule="exact"/>
              <w:jc w:val="center"/>
              <w:rPr>
                <w:bCs/>
                <w:color w:val="000000"/>
                <w:kern w:val="0"/>
                <w:szCs w:val="21"/>
              </w:rPr>
            </w:pPr>
            <w:r>
              <w:rPr>
                <w:bCs/>
                <w:color w:val="000000"/>
                <w:kern w:val="0"/>
                <w:szCs w:val="21"/>
              </w:rPr>
              <w:t>距最近汽车站距离</w:t>
            </w:r>
          </w:p>
        </w:tc>
        <w:tc>
          <w:tcPr>
            <w:tcW w:w="875" w:type="dxa"/>
            <w:vAlign w:val="center"/>
          </w:tcPr>
          <w:p>
            <w:pPr>
              <w:widowControl/>
              <w:spacing w:line="400" w:lineRule="exact"/>
              <w:jc w:val="center"/>
              <w:rPr>
                <w:bCs/>
                <w:color w:val="000000"/>
                <w:kern w:val="0"/>
                <w:szCs w:val="21"/>
              </w:rPr>
            </w:pPr>
            <w:r>
              <w:rPr>
                <w:bCs/>
                <w:color w:val="000000"/>
                <w:kern w:val="0"/>
                <w:szCs w:val="21"/>
              </w:rPr>
              <w:t>0.0795</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1.419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0.710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-0.684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-1.369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1054" w:type="dxa"/>
            <w:vAlign w:val="center"/>
          </w:tcPr>
          <w:p>
            <w:pPr>
              <w:widowControl/>
              <w:spacing w:line="400" w:lineRule="exact"/>
              <w:jc w:val="center"/>
              <w:rPr>
                <w:bCs/>
                <w:color w:val="000000"/>
                <w:kern w:val="0"/>
                <w:szCs w:val="21"/>
              </w:rPr>
            </w:pPr>
            <w:r>
              <w:rPr>
                <w:bCs/>
                <w:color w:val="000000"/>
                <w:kern w:val="0"/>
                <w:szCs w:val="21"/>
              </w:rPr>
              <w:t>城市规划</w:t>
            </w:r>
          </w:p>
        </w:tc>
        <w:tc>
          <w:tcPr>
            <w:tcW w:w="988" w:type="dxa"/>
            <w:vAlign w:val="center"/>
          </w:tcPr>
          <w:p>
            <w:pPr>
              <w:widowControl/>
              <w:spacing w:line="400" w:lineRule="exact"/>
              <w:jc w:val="center"/>
              <w:rPr>
                <w:bCs/>
                <w:color w:val="000000"/>
                <w:kern w:val="0"/>
                <w:szCs w:val="21"/>
              </w:rPr>
            </w:pPr>
            <w:r>
              <w:rPr>
                <w:bCs/>
                <w:color w:val="000000"/>
                <w:kern w:val="0"/>
                <w:szCs w:val="21"/>
              </w:rPr>
              <w:t>0.1008</w:t>
            </w:r>
          </w:p>
        </w:tc>
        <w:tc>
          <w:tcPr>
            <w:tcW w:w="1248" w:type="dxa"/>
            <w:vAlign w:val="center"/>
          </w:tcPr>
          <w:p>
            <w:pPr>
              <w:widowControl/>
              <w:spacing w:line="400" w:lineRule="exact"/>
              <w:jc w:val="center"/>
              <w:rPr>
                <w:bCs/>
                <w:color w:val="000000"/>
                <w:kern w:val="0"/>
                <w:szCs w:val="21"/>
              </w:rPr>
            </w:pPr>
            <w:r>
              <w:rPr>
                <w:bCs/>
                <w:color w:val="000000"/>
                <w:kern w:val="0"/>
                <w:szCs w:val="21"/>
              </w:rPr>
              <w:t>城市规划</w:t>
            </w:r>
          </w:p>
        </w:tc>
        <w:tc>
          <w:tcPr>
            <w:tcW w:w="1006" w:type="dxa"/>
            <w:vAlign w:val="center"/>
          </w:tcPr>
          <w:p>
            <w:pPr>
              <w:widowControl/>
              <w:spacing w:line="400" w:lineRule="exact"/>
              <w:jc w:val="center"/>
              <w:rPr>
                <w:bCs/>
                <w:color w:val="000000"/>
                <w:kern w:val="0"/>
                <w:szCs w:val="21"/>
              </w:rPr>
            </w:pPr>
            <w:r>
              <w:rPr>
                <w:bCs/>
                <w:color w:val="000000"/>
                <w:kern w:val="0"/>
                <w:szCs w:val="21"/>
              </w:rPr>
              <w:t>0.1008</w:t>
            </w:r>
          </w:p>
        </w:tc>
        <w:tc>
          <w:tcPr>
            <w:tcW w:w="1276" w:type="dxa"/>
            <w:vAlign w:val="center"/>
          </w:tcPr>
          <w:p>
            <w:pPr>
              <w:widowControl/>
              <w:spacing w:line="400" w:lineRule="exact"/>
              <w:jc w:val="center"/>
              <w:rPr>
                <w:bCs/>
                <w:color w:val="000000"/>
                <w:kern w:val="0"/>
                <w:szCs w:val="21"/>
              </w:rPr>
            </w:pPr>
            <w:r>
              <w:rPr>
                <w:bCs/>
                <w:color w:val="000000"/>
                <w:kern w:val="0"/>
                <w:szCs w:val="21"/>
              </w:rPr>
              <w:t>公共设施用地规划</w:t>
            </w:r>
          </w:p>
        </w:tc>
        <w:tc>
          <w:tcPr>
            <w:tcW w:w="875" w:type="dxa"/>
            <w:vAlign w:val="center"/>
          </w:tcPr>
          <w:p>
            <w:pPr>
              <w:widowControl/>
              <w:spacing w:line="400" w:lineRule="exact"/>
              <w:jc w:val="center"/>
              <w:rPr>
                <w:bCs/>
                <w:color w:val="000000"/>
                <w:kern w:val="0"/>
                <w:szCs w:val="21"/>
              </w:rPr>
            </w:pPr>
            <w:r>
              <w:rPr>
                <w:bCs/>
                <w:color w:val="000000"/>
                <w:kern w:val="0"/>
                <w:szCs w:val="21"/>
              </w:rPr>
              <w:t>0.1008</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1.799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0.900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-0.868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-1.736 </w:t>
            </w:r>
          </w:p>
        </w:tc>
      </w:tr>
    </w:tbl>
    <w:p>
      <w:pPr>
        <w:pStyle w:val="131"/>
        <w:spacing w:beforeLines="50" w:afterLines="50"/>
        <w:ind w:firstLine="0" w:firstLineChars="0"/>
        <w:rPr>
          <w:rFonts w:ascii="Times New Roman" w:hAnsi="Times New Roman"/>
          <w:spacing w:val="-20"/>
          <w:sz w:val="24"/>
        </w:rPr>
      </w:pPr>
      <w:r>
        <w:rPr>
          <w:rFonts w:ascii="Times New Roman" w:hAnsi="Times New Roman"/>
          <w:sz w:val="24"/>
        </w:rPr>
        <w:br w:type="page"/>
      </w:r>
      <w:r>
        <w:rPr>
          <w:rFonts w:ascii="Times New Roman" w:hAnsi="Times New Roman"/>
          <w:sz w:val="24"/>
        </w:rPr>
        <w:t>表4-6-4  Ⅱ级公共管理与公共服务一类用地宗地地价区域因素修正系数指标说明表</w:t>
      </w:r>
    </w:p>
    <w:tbl>
      <w:tblPr>
        <w:tblW w:w="9192" w:type="dxa"/>
        <w:jc w:val="center"/>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275"/>
        <w:gridCol w:w="1537"/>
        <w:gridCol w:w="857"/>
        <w:gridCol w:w="1231"/>
        <w:gridCol w:w="1126"/>
        <w:gridCol w:w="1126"/>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993" w:type="dxa"/>
            <w:vAlign w:val="center"/>
          </w:tcPr>
          <w:p>
            <w:pPr>
              <w:spacing w:line="400" w:lineRule="exact"/>
              <w:jc w:val="center"/>
              <w:rPr>
                <w:b/>
                <w:bCs/>
                <w:szCs w:val="21"/>
              </w:rPr>
            </w:pPr>
            <w:r>
              <w:rPr>
                <w:b/>
                <w:bCs/>
                <w:szCs w:val="21"/>
              </w:rPr>
              <w:t>因素层</w:t>
            </w:r>
          </w:p>
        </w:tc>
        <w:tc>
          <w:tcPr>
            <w:tcW w:w="1275" w:type="dxa"/>
            <w:vAlign w:val="center"/>
          </w:tcPr>
          <w:p>
            <w:pPr>
              <w:spacing w:line="400" w:lineRule="exact"/>
              <w:jc w:val="center"/>
              <w:rPr>
                <w:b/>
                <w:bCs/>
                <w:szCs w:val="21"/>
              </w:rPr>
            </w:pPr>
            <w:r>
              <w:rPr>
                <w:b/>
                <w:bCs/>
                <w:szCs w:val="21"/>
              </w:rPr>
              <w:t>因子层</w:t>
            </w:r>
          </w:p>
        </w:tc>
        <w:tc>
          <w:tcPr>
            <w:tcW w:w="1537" w:type="dxa"/>
            <w:vAlign w:val="center"/>
          </w:tcPr>
          <w:p>
            <w:pPr>
              <w:spacing w:line="400" w:lineRule="exact"/>
              <w:jc w:val="center"/>
              <w:rPr>
                <w:b/>
                <w:bCs/>
                <w:szCs w:val="21"/>
              </w:rPr>
            </w:pPr>
            <w:r>
              <w:rPr>
                <w:b/>
                <w:bCs/>
                <w:szCs w:val="21"/>
              </w:rPr>
              <w:t>指标层</w:t>
            </w:r>
          </w:p>
        </w:tc>
        <w:tc>
          <w:tcPr>
            <w:tcW w:w="857" w:type="dxa"/>
            <w:vAlign w:val="center"/>
          </w:tcPr>
          <w:p>
            <w:pPr>
              <w:spacing w:line="400" w:lineRule="exact"/>
              <w:jc w:val="center"/>
              <w:rPr>
                <w:b/>
                <w:bCs/>
                <w:szCs w:val="21"/>
              </w:rPr>
            </w:pPr>
            <w:r>
              <w:rPr>
                <w:b/>
                <w:bCs/>
                <w:szCs w:val="21"/>
              </w:rPr>
              <w:t>优</w:t>
            </w:r>
          </w:p>
        </w:tc>
        <w:tc>
          <w:tcPr>
            <w:tcW w:w="1231" w:type="dxa"/>
            <w:vAlign w:val="center"/>
          </w:tcPr>
          <w:p>
            <w:pPr>
              <w:spacing w:line="400" w:lineRule="exact"/>
              <w:jc w:val="center"/>
              <w:rPr>
                <w:b/>
                <w:bCs/>
                <w:szCs w:val="21"/>
              </w:rPr>
            </w:pPr>
            <w:r>
              <w:rPr>
                <w:b/>
                <w:bCs/>
                <w:szCs w:val="21"/>
              </w:rPr>
              <w:t>较优</w:t>
            </w:r>
          </w:p>
        </w:tc>
        <w:tc>
          <w:tcPr>
            <w:tcW w:w="1126" w:type="dxa"/>
            <w:vAlign w:val="center"/>
          </w:tcPr>
          <w:p>
            <w:pPr>
              <w:spacing w:line="400" w:lineRule="exact"/>
              <w:jc w:val="center"/>
              <w:rPr>
                <w:b/>
                <w:bCs/>
                <w:szCs w:val="21"/>
              </w:rPr>
            </w:pPr>
            <w:r>
              <w:rPr>
                <w:b/>
                <w:bCs/>
                <w:szCs w:val="21"/>
              </w:rPr>
              <w:t>一般</w:t>
            </w:r>
          </w:p>
        </w:tc>
        <w:tc>
          <w:tcPr>
            <w:tcW w:w="1126" w:type="dxa"/>
            <w:vAlign w:val="center"/>
          </w:tcPr>
          <w:p>
            <w:pPr>
              <w:spacing w:line="400" w:lineRule="exact"/>
              <w:jc w:val="center"/>
              <w:rPr>
                <w:b/>
                <w:bCs/>
                <w:szCs w:val="21"/>
              </w:rPr>
            </w:pPr>
            <w:r>
              <w:rPr>
                <w:b/>
                <w:bCs/>
                <w:szCs w:val="21"/>
              </w:rPr>
              <w:t>较劣</w:t>
            </w:r>
          </w:p>
        </w:tc>
        <w:tc>
          <w:tcPr>
            <w:tcW w:w="1047"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restart"/>
            <w:vAlign w:val="center"/>
          </w:tcPr>
          <w:p>
            <w:pPr>
              <w:widowControl/>
              <w:spacing w:line="400" w:lineRule="exact"/>
              <w:jc w:val="center"/>
              <w:rPr>
                <w:bCs/>
                <w:color w:val="000000"/>
                <w:kern w:val="0"/>
                <w:szCs w:val="21"/>
              </w:rPr>
            </w:pPr>
            <w:r>
              <w:rPr>
                <w:bCs/>
                <w:color w:val="000000"/>
                <w:kern w:val="0"/>
                <w:szCs w:val="21"/>
              </w:rPr>
              <w:t>基本设施状况</w:t>
            </w:r>
          </w:p>
        </w:tc>
        <w:tc>
          <w:tcPr>
            <w:tcW w:w="1275" w:type="dxa"/>
            <w:vMerge w:val="restart"/>
            <w:vAlign w:val="center"/>
          </w:tcPr>
          <w:p>
            <w:pPr>
              <w:widowControl/>
              <w:spacing w:line="400" w:lineRule="exact"/>
              <w:jc w:val="center"/>
              <w:rPr>
                <w:bCs/>
                <w:color w:val="000000"/>
                <w:kern w:val="0"/>
                <w:szCs w:val="21"/>
              </w:rPr>
            </w:pPr>
            <w:r>
              <w:rPr>
                <w:bCs/>
                <w:color w:val="000000"/>
                <w:kern w:val="0"/>
                <w:szCs w:val="21"/>
              </w:rPr>
              <w:t>公用设施完备度</w:t>
            </w:r>
          </w:p>
        </w:tc>
        <w:tc>
          <w:tcPr>
            <w:tcW w:w="1537" w:type="dxa"/>
            <w:vAlign w:val="center"/>
          </w:tcPr>
          <w:p>
            <w:pPr>
              <w:widowControl/>
              <w:spacing w:line="400" w:lineRule="exact"/>
              <w:jc w:val="center"/>
              <w:rPr>
                <w:bCs/>
                <w:color w:val="000000"/>
                <w:kern w:val="0"/>
                <w:szCs w:val="21"/>
              </w:rPr>
            </w:pPr>
            <w:r>
              <w:rPr>
                <w:bCs/>
                <w:color w:val="000000"/>
                <w:kern w:val="0"/>
                <w:szCs w:val="21"/>
              </w:rPr>
              <w:t>距中小学距离</w:t>
            </w:r>
          </w:p>
        </w:tc>
        <w:tc>
          <w:tcPr>
            <w:tcW w:w="857" w:type="dxa"/>
            <w:vAlign w:val="center"/>
          </w:tcPr>
          <w:p>
            <w:pPr>
              <w:widowControl/>
              <w:spacing w:line="400" w:lineRule="exact"/>
              <w:jc w:val="center"/>
              <w:rPr>
                <w:bCs/>
                <w:color w:val="000000"/>
                <w:kern w:val="0"/>
                <w:szCs w:val="21"/>
              </w:rPr>
            </w:pPr>
            <w:r>
              <w:rPr>
                <w:bCs/>
                <w:color w:val="000000"/>
                <w:kern w:val="0"/>
                <w:szCs w:val="21"/>
              </w:rPr>
              <w:t>&lt;450</w:t>
            </w:r>
          </w:p>
        </w:tc>
        <w:tc>
          <w:tcPr>
            <w:tcW w:w="1231" w:type="dxa"/>
            <w:vAlign w:val="center"/>
          </w:tcPr>
          <w:p>
            <w:pPr>
              <w:widowControl/>
              <w:spacing w:line="400" w:lineRule="exact"/>
              <w:jc w:val="center"/>
              <w:rPr>
                <w:bCs/>
                <w:color w:val="000000"/>
                <w:kern w:val="0"/>
                <w:szCs w:val="21"/>
              </w:rPr>
            </w:pPr>
            <w:r>
              <w:rPr>
                <w:bCs/>
                <w:color w:val="000000"/>
                <w:kern w:val="0"/>
                <w:szCs w:val="21"/>
              </w:rPr>
              <w:t>450-550</w:t>
            </w:r>
          </w:p>
        </w:tc>
        <w:tc>
          <w:tcPr>
            <w:tcW w:w="1126" w:type="dxa"/>
            <w:vAlign w:val="center"/>
          </w:tcPr>
          <w:p>
            <w:pPr>
              <w:widowControl/>
              <w:spacing w:line="400" w:lineRule="exact"/>
              <w:jc w:val="center"/>
              <w:rPr>
                <w:bCs/>
                <w:color w:val="000000"/>
                <w:kern w:val="0"/>
                <w:szCs w:val="21"/>
              </w:rPr>
            </w:pPr>
            <w:r>
              <w:rPr>
                <w:bCs/>
                <w:color w:val="000000"/>
                <w:kern w:val="0"/>
                <w:szCs w:val="21"/>
              </w:rPr>
              <w:t>550-650</w:t>
            </w:r>
          </w:p>
        </w:tc>
        <w:tc>
          <w:tcPr>
            <w:tcW w:w="1126" w:type="dxa"/>
            <w:vAlign w:val="center"/>
          </w:tcPr>
          <w:p>
            <w:pPr>
              <w:widowControl/>
              <w:spacing w:line="400" w:lineRule="exact"/>
              <w:jc w:val="center"/>
              <w:rPr>
                <w:bCs/>
                <w:color w:val="000000"/>
                <w:kern w:val="0"/>
                <w:szCs w:val="21"/>
              </w:rPr>
            </w:pPr>
            <w:r>
              <w:rPr>
                <w:bCs/>
                <w:color w:val="000000"/>
                <w:kern w:val="0"/>
                <w:szCs w:val="21"/>
              </w:rPr>
              <w:t>650-750</w:t>
            </w:r>
          </w:p>
        </w:tc>
        <w:tc>
          <w:tcPr>
            <w:tcW w:w="1047" w:type="dxa"/>
            <w:vAlign w:val="center"/>
          </w:tcPr>
          <w:p>
            <w:pPr>
              <w:widowControl/>
              <w:spacing w:line="400" w:lineRule="exact"/>
              <w:jc w:val="center"/>
              <w:rPr>
                <w:bCs/>
                <w:color w:val="000000"/>
                <w:kern w:val="0"/>
                <w:szCs w:val="21"/>
              </w:rPr>
            </w:pPr>
            <w:r>
              <w:rPr>
                <w:bCs/>
                <w:color w:val="000000"/>
                <w:kern w:val="0"/>
                <w:szCs w:val="21"/>
              </w:rPr>
              <w:t>&gt;750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continue"/>
            <w:vAlign w:val="center"/>
          </w:tcPr>
          <w:p>
            <w:pPr>
              <w:widowControl/>
              <w:spacing w:line="400" w:lineRule="exact"/>
              <w:jc w:val="center"/>
              <w:rPr>
                <w:bCs/>
                <w:color w:val="000000"/>
                <w:kern w:val="0"/>
                <w:szCs w:val="21"/>
              </w:rPr>
            </w:pPr>
          </w:p>
        </w:tc>
        <w:tc>
          <w:tcPr>
            <w:tcW w:w="1275" w:type="dxa"/>
            <w:vMerge w:val="continue"/>
            <w:vAlign w:val="center"/>
          </w:tcPr>
          <w:p>
            <w:pPr>
              <w:widowControl/>
              <w:spacing w:line="400" w:lineRule="exact"/>
              <w:jc w:val="center"/>
              <w:rPr>
                <w:bCs/>
                <w:color w:val="000000"/>
                <w:kern w:val="0"/>
                <w:szCs w:val="21"/>
              </w:rPr>
            </w:pPr>
          </w:p>
        </w:tc>
        <w:tc>
          <w:tcPr>
            <w:tcW w:w="1537" w:type="dxa"/>
            <w:vAlign w:val="center"/>
          </w:tcPr>
          <w:p>
            <w:pPr>
              <w:widowControl/>
              <w:spacing w:line="400" w:lineRule="exact"/>
              <w:jc w:val="center"/>
              <w:rPr>
                <w:bCs/>
                <w:color w:val="000000"/>
                <w:kern w:val="0"/>
                <w:szCs w:val="21"/>
              </w:rPr>
            </w:pPr>
            <w:r>
              <w:rPr>
                <w:bCs/>
                <w:color w:val="000000"/>
                <w:kern w:val="0"/>
                <w:szCs w:val="21"/>
              </w:rPr>
              <w:t>距医院距离</w:t>
            </w:r>
          </w:p>
        </w:tc>
        <w:tc>
          <w:tcPr>
            <w:tcW w:w="857" w:type="dxa"/>
            <w:vAlign w:val="center"/>
          </w:tcPr>
          <w:p>
            <w:pPr>
              <w:widowControl/>
              <w:spacing w:line="400" w:lineRule="exact"/>
              <w:jc w:val="center"/>
              <w:rPr>
                <w:bCs/>
                <w:color w:val="000000"/>
                <w:kern w:val="0"/>
                <w:szCs w:val="21"/>
              </w:rPr>
            </w:pPr>
            <w:r>
              <w:rPr>
                <w:bCs/>
                <w:color w:val="000000"/>
                <w:kern w:val="0"/>
                <w:szCs w:val="21"/>
              </w:rPr>
              <w:t>&lt;600</w:t>
            </w:r>
          </w:p>
        </w:tc>
        <w:tc>
          <w:tcPr>
            <w:tcW w:w="1231" w:type="dxa"/>
            <w:vAlign w:val="center"/>
          </w:tcPr>
          <w:p>
            <w:pPr>
              <w:widowControl/>
              <w:spacing w:line="400" w:lineRule="exact"/>
              <w:jc w:val="center"/>
              <w:rPr>
                <w:bCs/>
                <w:color w:val="000000"/>
                <w:kern w:val="0"/>
                <w:szCs w:val="21"/>
              </w:rPr>
            </w:pPr>
            <w:r>
              <w:rPr>
                <w:bCs/>
                <w:color w:val="000000"/>
                <w:kern w:val="0"/>
                <w:szCs w:val="21"/>
              </w:rPr>
              <w:t>600-750</w:t>
            </w:r>
          </w:p>
        </w:tc>
        <w:tc>
          <w:tcPr>
            <w:tcW w:w="1126" w:type="dxa"/>
            <w:vAlign w:val="center"/>
          </w:tcPr>
          <w:p>
            <w:pPr>
              <w:widowControl/>
              <w:spacing w:line="400" w:lineRule="exact"/>
              <w:jc w:val="center"/>
              <w:rPr>
                <w:bCs/>
                <w:color w:val="000000"/>
                <w:kern w:val="0"/>
                <w:szCs w:val="21"/>
              </w:rPr>
            </w:pPr>
            <w:r>
              <w:rPr>
                <w:bCs/>
                <w:color w:val="000000"/>
                <w:kern w:val="0"/>
                <w:szCs w:val="21"/>
              </w:rPr>
              <w:t>750-900</w:t>
            </w:r>
          </w:p>
        </w:tc>
        <w:tc>
          <w:tcPr>
            <w:tcW w:w="1126" w:type="dxa"/>
            <w:vAlign w:val="center"/>
          </w:tcPr>
          <w:p>
            <w:pPr>
              <w:widowControl/>
              <w:spacing w:line="400" w:lineRule="exact"/>
              <w:jc w:val="center"/>
              <w:rPr>
                <w:bCs/>
                <w:color w:val="000000"/>
                <w:kern w:val="0"/>
                <w:szCs w:val="21"/>
              </w:rPr>
            </w:pPr>
            <w:r>
              <w:rPr>
                <w:bCs/>
                <w:color w:val="000000"/>
                <w:kern w:val="0"/>
                <w:szCs w:val="21"/>
              </w:rPr>
              <w:t>900-1050</w:t>
            </w:r>
          </w:p>
        </w:tc>
        <w:tc>
          <w:tcPr>
            <w:tcW w:w="1047" w:type="dxa"/>
            <w:vAlign w:val="center"/>
          </w:tcPr>
          <w:p>
            <w:pPr>
              <w:widowControl/>
              <w:spacing w:line="400" w:lineRule="exact"/>
              <w:jc w:val="center"/>
              <w:rPr>
                <w:bCs/>
                <w:color w:val="000000"/>
                <w:kern w:val="0"/>
                <w:szCs w:val="21"/>
              </w:rPr>
            </w:pPr>
            <w:r>
              <w:rPr>
                <w:bCs/>
                <w:color w:val="000000"/>
                <w:kern w:val="0"/>
                <w:szCs w:val="21"/>
              </w:rPr>
              <w:t>&gt;1050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continue"/>
            <w:vAlign w:val="center"/>
          </w:tcPr>
          <w:p>
            <w:pPr>
              <w:widowControl/>
              <w:spacing w:line="400" w:lineRule="exact"/>
              <w:jc w:val="center"/>
              <w:rPr>
                <w:bCs/>
                <w:color w:val="000000"/>
                <w:kern w:val="0"/>
                <w:szCs w:val="21"/>
              </w:rPr>
            </w:pPr>
          </w:p>
        </w:tc>
        <w:tc>
          <w:tcPr>
            <w:tcW w:w="1275" w:type="dxa"/>
            <w:vMerge w:val="continue"/>
            <w:vAlign w:val="center"/>
          </w:tcPr>
          <w:p>
            <w:pPr>
              <w:widowControl/>
              <w:spacing w:line="400" w:lineRule="exact"/>
              <w:jc w:val="center"/>
              <w:rPr>
                <w:bCs/>
                <w:color w:val="000000"/>
                <w:kern w:val="0"/>
                <w:szCs w:val="21"/>
              </w:rPr>
            </w:pPr>
          </w:p>
        </w:tc>
        <w:tc>
          <w:tcPr>
            <w:tcW w:w="1537" w:type="dxa"/>
            <w:vAlign w:val="center"/>
          </w:tcPr>
          <w:p>
            <w:pPr>
              <w:widowControl/>
              <w:spacing w:line="400" w:lineRule="exact"/>
              <w:jc w:val="center"/>
              <w:rPr>
                <w:bCs/>
                <w:color w:val="000000"/>
                <w:kern w:val="0"/>
                <w:szCs w:val="21"/>
              </w:rPr>
            </w:pPr>
            <w:r>
              <w:rPr>
                <w:bCs/>
                <w:color w:val="000000"/>
                <w:kern w:val="0"/>
                <w:szCs w:val="21"/>
              </w:rPr>
              <w:t>距文体设施用地距离</w:t>
            </w:r>
          </w:p>
        </w:tc>
        <w:tc>
          <w:tcPr>
            <w:tcW w:w="857" w:type="dxa"/>
            <w:vAlign w:val="center"/>
          </w:tcPr>
          <w:p>
            <w:pPr>
              <w:widowControl/>
              <w:spacing w:line="400" w:lineRule="exact"/>
              <w:jc w:val="center"/>
              <w:rPr>
                <w:bCs/>
                <w:color w:val="000000"/>
                <w:kern w:val="0"/>
                <w:szCs w:val="21"/>
              </w:rPr>
            </w:pPr>
            <w:r>
              <w:rPr>
                <w:bCs/>
                <w:color w:val="000000"/>
                <w:kern w:val="0"/>
                <w:szCs w:val="21"/>
              </w:rPr>
              <w:t>&lt;500</w:t>
            </w:r>
          </w:p>
        </w:tc>
        <w:tc>
          <w:tcPr>
            <w:tcW w:w="1231" w:type="dxa"/>
            <w:vAlign w:val="center"/>
          </w:tcPr>
          <w:p>
            <w:pPr>
              <w:widowControl/>
              <w:spacing w:line="400" w:lineRule="exact"/>
              <w:jc w:val="center"/>
              <w:rPr>
                <w:bCs/>
                <w:color w:val="000000"/>
                <w:kern w:val="0"/>
                <w:szCs w:val="21"/>
              </w:rPr>
            </w:pPr>
            <w:r>
              <w:rPr>
                <w:bCs/>
                <w:color w:val="000000"/>
                <w:kern w:val="0"/>
                <w:szCs w:val="21"/>
              </w:rPr>
              <w:t>500-650</w:t>
            </w:r>
          </w:p>
        </w:tc>
        <w:tc>
          <w:tcPr>
            <w:tcW w:w="1126" w:type="dxa"/>
            <w:vAlign w:val="center"/>
          </w:tcPr>
          <w:p>
            <w:pPr>
              <w:widowControl/>
              <w:spacing w:line="400" w:lineRule="exact"/>
              <w:jc w:val="center"/>
              <w:rPr>
                <w:bCs/>
                <w:color w:val="000000"/>
                <w:kern w:val="0"/>
                <w:szCs w:val="21"/>
              </w:rPr>
            </w:pPr>
            <w:r>
              <w:rPr>
                <w:bCs/>
                <w:color w:val="000000"/>
                <w:kern w:val="0"/>
                <w:szCs w:val="21"/>
              </w:rPr>
              <w:t>650-800</w:t>
            </w:r>
          </w:p>
        </w:tc>
        <w:tc>
          <w:tcPr>
            <w:tcW w:w="1126" w:type="dxa"/>
            <w:vAlign w:val="center"/>
          </w:tcPr>
          <w:p>
            <w:pPr>
              <w:widowControl/>
              <w:spacing w:line="400" w:lineRule="exact"/>
              <w:jc w:val="center"/>
              <w:rPr>
                <w:bCs/>
                <w:color w:val="000000"/>
                <w:kern w:val="0"/>
                <w:szCs w:val="21"/>
              </w:rPr>
            </w:pPr>
            <w:r>
              <w:rPr>
                <w:bCs/>
                <w:color w:val="000000"/>
                <w:kern w:val="0"/>
                <w:szCs w:val="21"/>
              </w:rPr>
              <w:t>800-950</w:t>
            </w:r>
          </w:p>
        </w:tc>
        <w:tc>
          <w:tcPr>
            <w:tcW w:w="1047" w:type="dxa"/>
            <w:vAlign w:val="center"/>
          </w:tcPr>
          <w:p>
            <w:pPr>
              <w:widowControl/>
              <w:spacing w:line="400" w:lineRule="exact"/>
              <w:jc w:val="center"/>
              <w:rPr>
                <w:bCs/>
                <w:color w:val="000000"/>
                <w:kern w:val="0"/>
                <w:szCs w:val="21"/>
              </w:rPr>
            </w:pPr>
            <w:r>
              <w:rPr>
                <w:bCs/>
                <w:color w:val="000000"/>
                <w:kern w:val="0"/>
                <w:szCs w:val="21"/>
              </w:rPr>
              <w:t>&gt;950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993" w:type="dxa"/>
            <w:vAlign w:val="center"/>
          </w:tcPr>
          <w:p>
            <w:pPr>
              <w:widowControl/>
              <w:spacing w:line="400" w:lineRule="exact"/>
              <w:jc w:val="center"/>
              <w:rPr>
                <w:bCs/>
                <w:color w:val="000000"/>
                <w:kern w:val="0"/>
                <w:szCs w:val="21"/>
              </w:rPr>
            </w:pPr>
            <w:r>
              <w:rPr>
                <w:bCs/>
                <w:color w:val="000000"/>
                <w:kern w:val="0"/>
                <w:szCs w:val="21"/>
              </w:rPr>
              <w:t>繁华程度</w:t>
            </w:r>
          </w:p>
        </w:tc>
        <w:tc>
          <w:tcPr>
            <w:tcW w:w="1275" w:type="dxa"/>
            <w:vAlign w:val="center"/>
          </w:tcPr>
          <w:p>
            <w:pPr>
              <w:widowControl/>
              <w:spacing w:line="400" w:lineRule="exact"/>
              <w:jc w:val="center"/>
              <w:rPr>
                <w:bCs/>
                <w:color w:val="000000"/>
                <w:kern w:val="0"/>
                <w:szCs w:val="21"/>
              </w:rPr>
            </w:pPr>
            <w:r>
              <w:rPr>
                <w:bCs/>
                <w:color w:val="000000"/>
                <w:kern w:val="0"/>
                <w:szCs w:val="21"/>
              </w:rPr>
              <w:t>商服繁华影响度</w:t>
            </w:r>
          </w:p>
        </w:tc>
        <w:tc>
          <w:tcPr>
            <w:tcW w:w="1537" w:type="dxa"/>
            <w:vAlign w:val="center"/>
          </w:tcPr>
          <w:p>
            <w:pPr>
              <w:widowControl/>
              <w:spacing w:line="400" w:lineRule="exact"/>
              <w:jc w:val="center"/>
              <w:rPr>
                <w:bCs/>
                <w:color w:val="000000"/>
                <w:kern w:val="0"/>
                <w:szCs w:val="21"/>
              </w:rPr>
            </w:pPr>
            <w:r>
              <w:rPr>
                <w:bCs/>
                <w:color w:val="000000"/>
                <w:kern w:val="0"/>
                <w:szCs w:val="21"/>
              </w:rPr>
              <w:t>距商服中心距离</w:t>
            </w:r>
          </w:p>
        </w:tc>
        <w:tc>
          <w:tcPr>
            <w:tcW w:w="857" w:type="dxa"/>
            <w:vAlign w:val="center"/>
          </w:tcPr>
          <w:p>
            <w:pPr>
              <w:widowControl/>
              <w:spacing w:line="400" w:lineRule="exact"/>
              <w:jc w:val="center"/>
              <w:rPr>
                <w:bCs/>
                <w:color w:val="000000"/>
                <w:kern w:val="0"/>
                <w:szCs w:val="21"/>
              </w:rPr>
            </w:pPr>
            <w:r>
              <w:rPr>
                <w:bCs/>
                <w:color w:val="000000"/>
                <w:kern w:val="0"/>
                <w:szCs w:val="21"/>
              </w:rPr>
              <w:t>&lt;700</w:t>
            </w:r>
          </w:p>
        </w:tc>
        <w:tc>
          <w:tcPr>
            <w:tcW w:w="1231" w:type="dxa"/>
            <w:vAlign w:val="center"/>
          </w:tcPr>
          <w:p>
            <w:pPr>
              <w:widowControl/>
              <w:spacing w:line="400" w:lineRule="exact"/>
              <w:jc w:val="center"/>
              <w:rPr>
                <w:bCs/>
                <w:color w:val="000000"/>
                <w:kern w:val="0"/>
                <w:szCs w:val="21"/>
              </w:rPr>
            </w:pPr>
            <w:r>
              <w:rPr>
                <w:bCs/>
                <w:color w:val="000000"/>
                <w:kern w:val="0"/>
                <w:szCs w:val="21"/>
              </w:rPr>
              <w:t>700-800</w:t>
            </w:r>
          </w:p>
        </w:tc>
        <w:tc>
          <w:tcPr>
            <w:tcW w:w="1126" w:type="dxa"/>
            <w:vAlign w:val="center"/>
          </w:tcPr>
          <w:p>
            <w:pPr>
              <w:widowControl/>
              <w:spacing w:line="400" w:lineRule="exact"/>
              <w:jc w:val="center"/>
              <w:rPr>
                <w:bCs/>
                <w:color w:val="000000"/>
                <w:kern w:val="0"/>
                <w:szCs w:val="21"/>
              </w:rPr>
            </w:pPr>
            <w:r>
              <w:rPr>
                <w:bCs/>
                <w:color w:val="000000"/>
                <w:kern w:val="0"/>
                <w:szCs w:val="21"/>
              </w:rPr>
              <w:t>800-900</w:t>
            </w:r>
          </w:p>
        </w:tc>
        <w:tc>
          <w:tcPr>
            <w:tcW w:w="1126" w:type="dxa"/>
            <w:vAlign w:val="center"/>
          </w:tcPr>
          <w:p>
            <w:pPr>
              <w:widowControl/>
              <w:spacing w:line="400" w:lineRule="exact"/>
              <w:jc w:val="center"/>
              <w:rPr>
                <w:bCs/>
                <w:color w:val="000000"/>
                <w:kern w:val="0"/>
                <w:szCs w:val="21"/>
              </w:rPr>
            </w:pPr>
            <w:r>
              <w:rPr>
                <w:bCs/>
                <w:color w:val="000000"/>
                <w:kern w:val="0"/>
                <w:szCs w:val="21"/>
              </w:rPr>
              <w:t>900-1000</w:t>
            </w:r>
          </w:p>
        </w:tc>
        <w:tc>
          <w:tcPr>
            <w:tcW w:w="1047" w:type="dxa"/>
            <w:vAlign w:val="center"/>
          </w:tcPr>
          <w:p>
            <w:pPr>
              <w:widowControl/>
              <w:spacing w:line="400" w:lineRule="exact"/>
              <w:jc w:val="center"/>
              <w:rPr>
                <w:bCs/>
                <w:color w:val="000000"/>
                <w:kern w:val="0"/>
                <w:szCs w:val="21"/>
              </w:rPr>
            </w:pPr>
            <w:r>
              <w:rPr>
                <w:bCs/>
                <w:color w:val="000000"/>
                <w:kern w:val="0"/>
                <w:szCs w:val="21"/>
              </w:rPr>
              <w:t>&gt;1000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Align w:val="center"/>
          </w:tcPr>
          <w:p>
            <w:pPr>
              <w:widowControl/>
              <w:spacing w:line="400" w:lineRule="exact"/>
              <w:jc w:val="center"/>
              <w:rPr>
                <w:bCs/>
                <w:color w:val="000000"/>
                <w:kern w:val="0"/>
                <w:szCs w:val="21"/>
              </w:rPr>
            </w:pPr>
            <w:r>
              <w:rPr>
                <w:bCs/>
                <w:color w:val="000000"/>
                <w:kern w:val="0"/>
                <w:szCs w:val="21"/>
              </w:rPr>
              <w:t>人口状况</w:t>
            </w:r>
          </w:p>
        </w:tc>
        <w:tc>
          <w:tcPr>
            <w:tcW w:w="1275" w:type="dxa"/>
            <w:vAlign w:val="center"/>
          </w:tcPr>
          <w:p>
            <w:pPr>
              <w:widowControl/>
              <w:spacing w:line="400" w:lineRule="exact"/>
              <w:jc w:val="center"/>
              <w:rPr>
                <w:bCs/>
                <w:color w:val="000000"/>
                <w:kern w:val="0"/>
                <w:szCs w:val="21"/>
              </w:rPr>
            </w:pPr>
            <w:r>
              <w:rPr>
                <w:bCs/>
                <w:color w:val="000000"/>
                <w:kern w:val="0"/>
                <w:szCs w:val="21"/>
              </w:rPr>
              <w:t>人口密度</w:t>
            </w:r>
          </w:p>
        </w:tc>
        <w:tc>
          <w:tcPr>
            <w:tcW w:w="1537" w:type="dxa"/>
            <w:vAlign w:val="center"/>
          </w:tcPr>
          <w:p>
            <w:pPr>
              <w:widowControl/>
              <w:spacing w:line="400" w:lineRule="exact"/>
              <w:jc w:val="center"/>
              <w:rPr>
                <w:bCs/>
                <w:color w:val="000000"/>
                <w:kern w:val="0"/>
                <w:szCs w:val="21"/>
              </w:rPr>
            </w:pPr>
            <w:r>
              <w:rPr>
                <w:bCs/>
                <w:color w:val="000000"/>
                <w:kern w:val="0"/>
                <w:szCs w:val="21"/>
              </w:rPr>
              <w:t>人口密度</w:t>
            </w:r>
          </w:p>
        </w:tc>
        <w:tc>
          <w:tcPr>
            <w:tcW w:w="857" w:type="dxa"/>
            <w:vAlign w:val="center"/>
          </w:tcPr>
          <w:p>
            <w:pPr>
              <w:widowControl/>
              <w:spacing w:line="400" w:lineRule="exact"/>
              <w:jc w:val="center"/>
              <w:rPr>
                <w:bCs/>
                <w:color w:val="000000"/>
                <w:kern w:val="0"/>
                <w:szCs w:val="21"/>
              </w:rPr>
            </w:pPr>
            <w:r>
              <w:rPr>
                <w:bCs/>
                <w:color w:val="000000"/>
                <w:kern w:val="0"/>
                <w:szCs w:val="21"/>
              </w:rPr>
              <w:t>≥10000</w:t>
            </w:r>
          </w:p>
        </w:tc>
        <w:tc>
          <w:tcPr>
            <w:tcW w:w="1231" w:type="dxa"/>
            <w:vAlign w:val="center"/>
          </w:tcPr>
          <w:p>
            <w:pPr>
              <w:widowControl/>
              <w:spacing w:line="400" w:lineRule="exact"/>
              <w:jc w:val="center"/>
              <w:rPr>
                <w:bCs/>
                <w:color w:val="000000"/>
                <w:kern w:val="0"/>
                <w:szCs w:val="21"/>
              </w:rPr>
            </w:pPr>
            <w:r>
              <w:rPr>
                <w:bCs/>
                <w:color w:val="000000"/>
                <w:kern w:val="0"/>
                <w:szCs w:val="21"/>
              </w:rPr>
              <w:t>10000-5000</w:t>
            </w:r>
          </w:p>
        </w:tc>
        <w:tc>
          <w:tcPr>
            <w:tcW w:w="1126" w:type="dxa"/>
            <w:vAlign w:val="center"/>
          </w:tcPr>
          <w:p>
            <w:pPr>
              <w:widowControl/>
              <w:spacing w:line="400" w:lineRule="exact"/>
              <w:jc w:val="center"/>
              <w:rPr>
                <w:bCs/>
                <w:color w:val="000000"/>
                <w:kern w:val="0"/>
                <w:szCs w:val="21"/>
              </w:rPr>
            </w:pPr>
            <w:r>
              <w:rPr>
                <w:bCs/>
                <w:color w:val="000000"/>
                <w:kern w:val="0"/>
                <w:szCs w:val="21"/>
              </w:rPr>
              <w:t>5000-2000</w:t>
            </w:r>
          </w:p>
        </w:tc>
        <w:tc>
          <w:tcPr>
            <w:tcW w:w="1126" w:type="dxa"/>
            <w:vAlign w:val="center"/>
          </w:tcPr>
          <w:p>
            <w:pPr>
              <w:widowControl/>
              <w:spacing w:line="400" w:lineRule="exact"/>
              <w:jc w:val="center"/>
              <w:rPr>
                <w:bCs/>
                <w:color w:val="000000"/>
                <w:kern w:val="0"/>
                <w:szCs w:val="21"/>
              </w:rPr>
            </w:pPr>
            <w:r>
              <w:rPr>
                <w:bCs/>
                <w:color w:val="000000"/>
                <w:kern w:val="0"/>
                <w:szCs w:val="21"/>
              </w:rPr>
              <w:t>2000-1000</w:t>
            </w:r>
          </w:p>
        </w:tc>
        <w:tc>
          <w:tcPr>
            <w:tcW w:w="1047" w:type="dxa"/>
            <w:vAlign w:val="center"/>
          </w:tcPr>
          <w:p>
            <w:pPr>
              <w:widowControl/>
              <w:spacing w:line="400" w:lineRule="exact"/>
              <w:jc w:val="center"/>
              <w:rPr>
                <w:bCs/>
                <w:color w:val="000000"/>
                <w:kern w:val="0"/>
                <w:szCs w:val="21"/>
              </w:rPr>
            </w:pPr>
            <w:r>
              <w:rPr>
                <w:bCs/>
                <w:color w:val="000000"/>
                <w:kern w:val="0"/>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restart"/>
            <w:vAlign w:val="center"/>
          </w:tcPr>
          <w:p>
            <w:pPr>
              <w:widowControl/>
              <w:spacing w:line="400" w:lineRule="exact"/>
              <w:jc w:val="center"/>
              <w:rPr>
                <w:bCs/>
                <w:color w:val="000000"/>
                <w:kern w:val="0"/>
                <w:szCs w:val="21"/>
              </w:rPr>
            </w:pPr>
            <w:r>
              <w:rPr>
                <w:bCs/>
                <w:color w:val="000000"/>
                <w:kern w:val="0"/>
                <w:szCs w:val="21"/>
              </w:rPr>
              <w:t>交通条件</w:t>
            </w:r>
          </w:p>
        </w:tc>
        <w:tc>
          <w:tcPr>
            <w:tcW w:w="1275" w:type="dxa"/>
            <w:vAlign w:val="center"/>
          </w:tcPr>
          <w:p>
            <w:pPr>
              <w:widowControl/>
              <w:spacing w:line="400" w:lineRule="exact"/>
              <w:jc w:val="center"/>
              <w:rPr>
                <w:bCs/>
                <w:color w:val="000000"/>
                <w:kern w:val="0"/>
                <w:szCs w:val="21"/>
              </w:rPr>
            </w:pPr>
            <w:r>
              <w:rPr>
                <w:bCs/>
                <w:color w:val="000000"/>
                <w:kern w:val="0"/>
                <w:szCs w:val="21"/>
              </w:rPr>
              <w:t>道路通达度</w:t>
            </w:r>
          </w:p>
        </w:tc>
        <w:tc>
          <w:tcPr>
            <w:tcW w:w="1537" w:type="dxa"/>
            <w:vAlign w:val="center"/>
          </w:tcPr>
          <w:p>
            <w:pPr>
              <w:widowControl/>
              <w:spacing w:line="400" w:lineRule="exact"/>
              <w:jc w:val="center"/>
              <w:rPr>
                <w:bCs/>
                <w:color w:val="000000"/>
                <w:kern w:val="0"/>
                <w:szCs w:val="21"/>
              </w:rPr>
            </w:pPr>
            <w:r>
              <w:rPr>
                <w:bCs/>
                <w:color w:val="000000"/>
                <w:kern w:val="0"/>
                <w:szCs w:val="21"/>
              </w:rPr>
              <w:t>临近道路状况</w:t>
            </w:r>
          </w:p>
        </w:tc>
        <w:tc>
          <w:tcPr>
            <w:tcW w:w="857" w:type="dxa"/>
            <w:vAlign w:val="center"/>
          </w:tcPr>
          <w:p>
            <w:pPr>
              <w:widowControl/>
              <w:spacing w:line="400" w:lineRule="exact"/>
              <w:jc w:val="center"/>
              <w:rPr>
                <w:bCs/>
                <w:color w:val="000000"/>
                <w:kern w:val="0"/>
                <w:szCs w:val="21"/>
              </w:rPr>
            </w:pPr>
            <w:r>
              <w:rPr>
                <w:bCs/>
                <w:color w:val="000000"/>
                <w:kern w:val="0"/>
                <w:szCs w:val="21"/>
              </w:rPr>
              <w:t>混合型主干道</w:t>
            </w:r>
          </w:p>
        </w:tc>
        <w:tc>
          <w:tcPr>
            <w:tcW w:w="1231" w:type="dxa"/>
            <w:vAlign w:val="center"/>
          </w:tcPr>
          <w:p>
            <w:pPr>
              <w:widowControl/>
              <w:spacing w:line="400" w:lineRule="exact"/>
              <w:jc w:val="center"/>
              <w:rPr>
                <w:bCs/>
                <w:color w:val="000000"/>
                <w:kern w:val="0"/>
                <w:szCs w:val="21"/>
              </w:rPr>
            </w:pPr>
            <w:r>
              <w:rPr>
                <w:bCs/>
                <w:color w:val="000000"/>
                <w:kern w:val="0"/>
                <w:szCs w:val="21"/>
              </w:rPr>
              <w:t>生活型或交通型主干道</w:t>
            </w:r>
          </w:p>
        </w:tc>
        <w:tc>
          <w:tcPr>
            <w:tcW w:w="1126" w:type="dxa"/>
            <w:vAlign w:val="center"/>
          </w:tcPr>
          <w:p>
            <w:pPr>
              <w:widowControl/>
              <w:spacing w:line="400" w:lineRule="exact"/>
              <w:jc w:val="center"/>
              <w:rPr>
                <w:bCs/>
                <w:color w:val="000000"/>
                <w:kern w:val="0"/>
                <w:szCs w:val="21"/>
              </w:rPr>
            </w:pPr>
            <w:r>
              <w:rPr>
                <w:bCs/>
                <w:color w:val="000000"/>
                <w:kern w:val="0"/>
                <w:szCs w:val="21"/>
              </w:rPr>
              <w:t>次主道</w:t>
            </w:r>
          </w:p>
        </w:tc>
        <w:tc>
          <w:tcPr>
            <w:tcW w:w="1126" w:type="dxa"/>
            <w:vAlign w:val="center"/>
          </w:tcPr>
          <w:p>
            <w:pPr>
              <w:widowControl/>
              <w:spacing w:line="400" w:lineRule="exact"/>
              <w:jc w:val="center"/>
              <w:rPr>
                <w:bCs/>
                <w:color w:val="000000"/>
                <w:kern w:val="0"/>
                <w:szCs w:val="21"/>
              </w:rPr>
            </w:pPr>
            <w:r>
              <w:rPr>
                <w:bCs/>
                <w:color w:val="000000"/>
                <w:kern w:val="0"/>
                <w:szCs w:val="21"/>
              </w:rPr>
              <w:t>支路</w:t>
            </w:r>
          </w:p>
        </w:tc>
        <w:tc>
          <w:tcPr>
            <w:tcW w:w="1047" w:type="dxa"/>
            <w:vAlign w:val="center"/>
          </w:tcPr>
          <w:p>
            <w:pPr>
              <w:widowControl/>
              <w:spacing w:line="400" w:lineRule="exact"/>
              <w:jc w:val="center"/>
              <w:rPr>
                <w:bCs/>
                <w:color w:val="000000"/>
                <w:kern w:val="0"/>
                <w:szCs w:val="21"/>
              </w:rPr>
            </w:pPr>
            <w:r>
              <w:rPr>
                <w:bCs/>
                <w:color w:val="000000"/>
                <w:kern w:val="0"/>
                <w:szCs w:val="21"/>
              </w:rPr>
              <w:t>巷道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continue"/>
            <w:vAlign w:val="center"/>
          </w:tcPr>
          <w:p>
            <w:pPr>
              <w:widowControl/>
              <w:spacing w:line="400" w:lineRule="exact"/>
              <w:jc w:val="center"/>
              <w:rPr>
                <w:bCs/>
                <w:color w:val="000000"/>
                <w:kern w:val="0"/>
                <w:szCs w:val="21"/>
              </w:rPr>
            </w:pPr>
          </w:p>
        </w:tc>
        <w:tc>
          <w:tcPr>
            <w:tcW w:w="1275" w:type="dxa"/>
            <w:vAlign w:val="center"/>
          </w:tcPr>
          <w:p>
            <w:pPr>
              <w:widowControl/>
              <w:spacing w:line="400" w:lineRule="exact"/>
              <w:jc w:val="center"/>
              <w:rPr>
                <w:bCs/>
                <w:color w:val="000000"/>
                <w:kern w:val="0"/>
                <w:szCs w:val="21"/>
              </w:rPr>
            </w:pPr>
            <w:r>
              <w:rPr>
                <w:bCs/>
                <w:color w:val="000000"/>
                <w:kern w:val="0"/>
                <w:szCs w:val="21"/>
              </w:rPr>
              <w:t>公交便捷度</w:t>
            </w:r>
          </w:p>
        </w:tc>
        <w:tc>
          <w:tcPr>
            <w:tcW w:w="1537" w:type="dxa"/>
            <w:vAlign w:val="center"/>
          </w:tcPr>
          <w:p>
            <w:pPr>
              <w:widowControl/>
              <w:spacing w:line="400" w:lineRule="exact"/>
              <w:jc w:val="center"/>
              <w:rPr>
                <w:bCs/>
                <w:color w:val="000000"/>
                <w:kern w:val="0"/>
                <w:szCs w:val="21"/>
              </w:rPr>
            </w:pPr>
            <w:r>
              <w:rPr>
                <w:bCs/>
                <w:color w:val="000000"/>
                <w:kern w:val="0"/>
                <w:szCs w:val="21"/>
              </w:rPr>
              <w:t>距最近公交站点距离</w:t>
            </w:r>
          </w:p>
        </w:tc>
        <w:tc>
          <w:tcPr>
            <w:tcW w:w="857" w:type="dxa"/>
            <w:vAlign w:val="center"/>
          </w:tcPr>
          <w:p>
            <w:pPr>
              <w:widowControl/>
              <w:spacing w:line="400" w:lineRule="exact"/>
              <w:jc w:val="center"/>
              <w:rPr>
                <w:bCs/>
                <w:color w:val="000000"/>
                <w:kern w:val="0"/>
                <w:szCs w:val="21"/>
              </w:rPr>
            </w:pPr>
            <w:r>
              <w:rPr>
                <w:bCs/>
                <w:color w:val="000000"/>
                <w:kern w:val="0"/>
                <w:szCs w:val="21"/>
              </w:rPr>
              <w:t>&lt;350</w:t>
            </w:r>
          </w:p>
        </w:tc>
        <w:tc>
          <w:tcPr>
            <w:tcW w:w="1231" w:type="dxa"/>
            <w:vAlign w:val="center"/>
          </w:tcPr>
          <w:p>
            <w:pPr>
              <w:widowControl/>
              <w:spacing w:line="400" w:lineRule="exact"/>
              <w:jc w:val="center"/>
              <w:rPr>
                <w:bCs/>
                <w:color w:val="000000"/>
                <w:kern w:val="0"/>
                <w:szCs w:val="21"/>
              </w:rPr>
            </w:pPr>
            <w:r>
              <w:rPr>
                <w:bCs/>
                <w:color w:val="000000"/>
                <w:kern w:val="0"/>
                <w:szCs w:val="21"/>
              </w:rPr>
              <w:t>350-450</w:t>
            </w:r>
          </w:p>
        </w:tc>
        <w:tc>
          <w:tcPr>
            <w:tcW w:w="1126" w:type="dxa"/>
            <w:vAlign w:val="center"/>
          </w:tcPr>
          <w:p>
            <w:pPr>
              <w:widowControl/>
              <w:spacing w:line="400" w:lineRule="exact"/>
              <w:jc w:val="center"/>
              <w:rPr>
                <w:bCs/>
                <w:color w:val="000000"/>
                <w:kern w:val="0"/>
                <w:szCs w:val="21"/>
              </w:rPr>
            </w:pPr>
            <w:r>
              <w:rPr>
                <w:bCs/>
                <w:color w:val="000000"/>
                <w:kern w:val="0"/>
                <w:szCs w:val="21"/>
              </w:rPr>
              <w:t>450-550</w:t>
            </w:r>
          </w:p>
        </w:tc>
        <w:tc>
          <w:tcPr>
            <w:tcW w:w="1126" w:type="dxa"/>
            <w:vAlign w:val="center"/>
          </w:tcPr>
          <w:p>
            <w:pPr>
              <w:widowControl/>
              <w:spacing w:line="400" w:lineRule="exact"/>
              <w:jc w:val="center"/>
              <w:rPr>
                <w:bCs/>
                <w:color w:val="000000"/>
                <w:kern w:val="0"/>
                <w:szCs w:val="21"/>
              </w:rPr>
            </w:pPr>
            <w:r>
              <w:rPr>
                <w:bCs/>
                <w:color w:val="000000"/>
                <w:kern w:val="0"/>
                <w:szCs w:val="21"/>
              </w:rPr>
              <w:t>550-650</w:t>
            </w:r>
          </w:p>
        </w:tc>
        <w:tc>
          <w:tcPr>
            <w:tcW w:w="1047" w:type="dxa"/>
            <w:vAlign w:val="center"/>
          </w:tcPr>
          <w:p>
            <w:pPr>
              <w:widowControl/>
              <w:spacing w:line="400" w:lineRule="exact"/>
              <w:jc w:val="center"/>
              <w:rPr>
                <w:bCs/>
                <w:color w:val="000000"/>
                <w:kern w:val="0"/>
                <w:szCs w:val="21"/>
              </w:rPr>
            </w:pPr>
            <w:r>
              <w:rPr>
                <w:bCs/>
                <w:color w:val="000000"/>
                <w:kern w:val="0"/>
                <w:szCs w:val="21"/>
              </w:rPr>
              <w:t>&gt;650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continue"/>
            <w:vAlign w:val="center"/>
          </w:tcPr>
          <w:p>
            <w:pPr>
              <w:widowControl/>
              <w:spacing w:line="400" w:lineRule="exact"/>
              <w:jc w:val="center"/>
              <w:rPr>
                <w:bCs/>
                <w:color w:val="000000"/>
                <w:kern w:val="0"/>
                <w:szCs w:val="21"/>
              </w:rPr>
            </w:pPr>
          </w:p>
        </w:tc>
        <w:tc>
          <w:tcPr>
            <w:tcW w:w="1275" w:type="dxa"/>
            <w:vAlign w:val="center"/>
          </w:tcPr>
          <w:p>
            <w:pPr>
              <w:widowControl/>
              <w:spacing w:line="400" w:lineRule="exact"/>
              <w:jc w:val="center"/>
              <w:rPr>
                <w:bCs/>
                <w:color w:val="000000"/>
                <w:kern w:val="0"/>
                <w:szCs w:val="21"/>
              </w:rPr>
            </w:pPr>
            <w:r>
              <w:rPr>
                <w:bCs/>
                <w:color w:val="000000"/>
                <w:kern w:val="0"/>
                <w:szCs w:val="21"/>
              </w:rPr>
              <w:t>对外交通便利度</w:t>
            </w:r>
          </w:p>
        </w:tc>
        <w:tc>
          <w:tcPr>
            <w:tcW w:w="1537" w:type="dxa"/>
            <w:vAlign w:val="center"/>
          </w:tcPr>
          <w:p>
            <w:pPr>
              <w:widowControl/>
              <w:spacing w:line="400" w:lineRule="exact"/>
              <w:jc w:val="center"/>
              <w:rPr>
                <w:bCs/>
                <w:color w:val="000000"/>
                <w:kern w:val="0"/>
                <w:szCs w:val="21"/>
              </w:rPr>
            </w:pPr>
            <w:r>
              <w:rPr>
                <w:bCs/>
                <w:color w:val="000000"/>
                <w:kern w:val="0"/>
                <w:szCs w:val="21"/>
              </w:rPr>
              <w:t>距最近汽车站距离</w:t>
            </w:r>
          </w:p>
        </w:tc>
        <w:tc>
          <w:tcPr>
            <w:tcW w:w="857" w:type="dxa"/>
            <w:vAlign w:val="center"/>
          </w:tcPr>
          <w:p>
            <w:pPr>
              <w:widowControl/>
              <w:spacing w:line="400" w:lineRule="exact"/>
              <w:jc w:val="center"/>
              <w:rPr>
                <w:bCs/>
                <w:color w:val="000000"/>
                <w:kern w:val="0"/>
                <w:szCs w:val="21"/>
              </w:rPr>
            </w:pPr>
            <w:r>
              <w:rPr>
                <w:bCs/>
                <w:color w:val="000000"/>
                <w:kern w:val="0"/>
                <w:szCs w:val="21"/>
              </w:rPr>
              <w:t>&lt;900</w:t>
            </w:r>
          </w:p>
        </w:tc>
        <w:tc>
          <w:tcPr>
            <w:tcW w:w="1231" w:type="dxa"/>
            <w:vAlign w:val="center"/>
          </w:tcPr>
          <w:p>
            <w:pPr>
              <w:widowControl/>
              <w:spacing w:line="400" w:lineRule="exact"/>
              <w:jc w:val="center"/>
              <w:rPr>
                <w:bCs/>
                <w:color w:val="000000"/>
                <w:kern w:val="0"/>
                <w:szCs w:val="21"/>
              </w:rPr>
            </w:pPr>
            <w:r>
              <w:rPr>
                <w:bCs/>
                <w:color w:val="000000"/>
                <w:kern w:val="0"/>
                <w:szCs w:val="21"/>
              </w:rPr>
              <w:t>900-1200</w:t>
            </w:r>
          </w:p>
        </w:tc>
        <w:tc>
          <w:tcPr>
            <w:tcW w:w="1126" w:type="dxa"/>
            <w:vAlign w:val="center"/>
          </w:tcPr>
          <w:p>
            <w:pPr>
              <w:widowControl/>
              <w:spacing w:line="400" w:lineRule="exact"/>
              <w:jc w:val="center"/>
              <w:rPr>
                <w:bCs/>
                <w:color w:val="000000"/>
                <w:kern w:val="0"/>
                <w:szCs w:val="21"/>
              </w:rPr>
            </w:pPr>
            <w:r>
              <w:rPr>
                <w:bCs/>
                <w:color w:val="000000"/>
                <w:kern w:val="0"/>
                <w:szCs w:val="21"/>
              </w:rPr>
              <w:t>1200-1500</w:t>
            </w:r>
          </w:p>
        </w:tc>
        <w:tc>
          <w:tcPr>
            <w:tcW w:w="1126" w:type="dxa"/>
            <w:vAlign w:val="center"/>
          </w:tcPr>
          <w:p>
            <w:pPr>
              <w:widowControl/>
              <w:spacing w:line="400" w:lineRule="exact"/>
              <w:jc w:val="center"/>
              <w:rPr>
                <w:bCs/>
                <w:color w:val="000000"/>
                <w:kern w:val="0"/>
                <w:szCs w:val="21"/>
              </w:rPr>
            </w:pPr>
            <w:r>
              <w:rPr>
                <w:bCs/>
                <w:color w:val="000000"/>
                <w:kern w:val="0"/>
                <w:szCs w:val="21"/>
              </w:rPr>
              <w:t>1500-1800</w:t>
            </w:r>
          </w:p>
        </w:tc>
        <w:tc>
          <w:tcPr>
            <w:tcW w:w="1047" w:type="dxa"/>
            <w:vAlign w:val="center"/>
          </w:tcPr>
          <w:p>
            <w:pPr>
              <w:widowControl/>
              <w:spacing w:line="400" w:lineRule="exact"/>
              <w:jc w:val="center"/>
              <w:rPr>
                <w:bCs/>
                <w:color w:val="000000"/>
                <w:kern w:val="0"/>
                <w:szCs w:val="21"/>
              </w:rPr>
            </w:pPr>
            <w:r>
              <w:rPr>
                <w:bCs/>
                <w:color w:val="000000"/>
                <w:kern w:val="0"/>
                <w:szCs w:val="21"/>
              </w:rPr>
              <w:t>&gt;1800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993" w:type="dxa"/>
            <w:vAlign w:val="center"/>
          </w:tcPr>
          <w:p>
            <w:pPr>
              <w:widowControl/>
              <w:spacing w:line="400" w:lineRule="exact"/>
              <w:jc w:val="center"/>
              <w:rPr>
                <w:bCs/>
                <w:color w:val="000000"/>
                <w:kern w:val="0"/>
                <w:szCs w:val="21"/>
              </w:rPr>
            </w:pPr>
            <w:r>
              <w:rPr>
                <w:bCs/>
                <w:color w:val="000000"/>
                <w:kern w:val="0"/>
                <w:szCs w:val="21"/>
              </w:rPr>
              <w:t>城市规划</w:t>
            </w:r>
          </w:p>
        </w:tc>
        <w:tc>
          <w:tcPr>
            <w:tcW w:w="1275" w:type="dxa"/>
            <w:vAlign w:val="center"/>
          </w:tcPr>
          <w:p>
            <w:pPr>
              <w:widowControl/>
              <w:spacing w:line="400" w:lineRule="exact"/>
              <w:jc w:val="center"/>
              <w:rPr>
                <w:bCs/>
                <w:color w:val="000000"/>
                <w:kern w:val="0"/>
                <w:szCs w:val="21"/>
              </w:rPr>
            </w:pPr>
            <w:r>
              <w:rPr>
                <w:bCs/>
                <w:color w:val="000000"/>
                <w:kern w:val="0"/>
                <w:szCs w:val="21"/>
              </w:rPr>
              <w:t>城市规划</w:t>
            </w:r>
          </w:p>
        </w:tc>
        <w:tc>
          <w:tcPr>
            <w:tcW w:w="1537" w:type="dxa"/>
            <w:vAlign w:val="center"/>
          </w:tcPr>
          <w:p>
            <w:pPr>
              <w:widowControl/>
              <w:spacing w:line="400" w:lineRule="exact"/>
              <w:jc w:val="center"/>
              <w:rPr>
                <w:bCs/>
                <w:color w:val="000000"/>
                <w:kern w:val="0"/>
                <w:szCs w:val="21"/>
              </w:rPr>
            </w:pPr>
            <w:r>
              <w:rPr>
                <w:bCs/>
                <w:color w:val="000000"/>
                <w:kern w:val="0"/>
                <w:szCs w:val="21"/>
              </w:rPr>
              <w:t>公共设施用地规划</w:t>
            </w:r>
          </w:p>
        </w:tc>
        <w:tc>
          <w:tcPr>
            <w:tcW w:w="857" w:type="dxa"/>
            <w:vAlign w:val="center"/>
          </w:tcPr>
          <w:p>
            <w:pPr>
              <w:widowControl/>
              <w:spacing w:line="400" w:lineRule="exact"/>
              <w:jc w:val="center"/>
              <w:rPr>
                <w:bCs/>
                <w:color w:val="000000"/>
                <w:kern w:val="0"/>
                <w:szCs w:val="21"/>
              </w:rPr>
            </w:pPr>
            <w:r>
              <w:rPr>
                <w:bCs/>
                <w:color w:val="000000"/>
                <w:kern w:val="0"/>
                <w:szCs w:val="21"/>
              </w:rPr>
              <w:t>完善</w:t>
            </w:r>
          </w:p>
        </w:tc>
        <w:tc>
          <w:tcPr>
            <w:tcW w:w="1231" w:type="dxa"/>
            <w:vAlign w:val="center"/>
          </w:tcPr>
          <w:p>
            <w:pPr>
              <w:widowControl/>
              <w:spacing w:line="400" w:lineRule="exact"/>
              <w:jc w:val="center"/>
              <w:rPr>
                <w:bCs/>
                <w:color w:val="000000"/>
                <w:kern w:val="0"/>
                <w:szCs w:val="21"/>
              </w:rPr>
            </w:pPr>
            <w:r>
              <w:rPr>
                <w:bCs/>
                <w:color w:val="000000"/>
                <w:kern w:val="0"/>
                <w:szCs w:val="21"/>
              </w:rPr>
              <w:t>较完善</w:t>
            </w:r>
          </w:p>
        </w:tc>
        <w:tc>
          <w:tcPr>
            <w:tcW w:w="1126" w:type="dxa"/>
            <w:vAlign w:val="center"/>
          </w:tcPr>
          <w:p>
            <w:pPr>
              <w:widowControl/>
              <w:spacing w:line="400" w:lineRule="exact"/>
              <w:jc w:val="center"/>
              <w:rPr>
                <w:bCs/>
                <w:color w:val="000000"/>
                <w:kern w:val="0"/>
                <w:szCs w:val="21"/>
              </w:rPr>
            </w:pPr>
            <w:r>
              <w:rPr>
                <w:bCs/>
                <w:color w:val="000000"/>
                <w:kern w:val="0"/>
                <w:szCs w:val="21"/>
              </w:rPr>
              <w:t>一般</w:t>
            </w:r>
          </w:p>
        </w:tc>
        <w:tc>
          <w:tcPr>
            <w:tcW w:w="1126" w:type="dxa"/>
            <w:vAlign w:val="center"/>
          </w:tcPr>
          <w:p>
            <w:pPr>
              <w:widowControl/>
              <w:spacing w:line="400" w:lineRule="exact"/>
              <w:jc w:val="center"/>
              <w:rPr>
                <w:bCs/>
                <w:color w:val="000000"/>
                <w:kern w:val="0"/>
                <w:szCs w:val="21"/>
              </w:rPr>
            </w:pPr>
            <w:r>
              <w:rPr>
                <w:bCs/>
                <w:color w:val="000000"/>
                <w:kern w:val="0"/>
                <w:szCs w:val="21"/>
              </w:rPr>
              <w:t>较差</w:t>
            </w:r>
          </w:p>
        </w:tc>
        <w:tc>
          <w:tcPr>
            <w:tcW w:w="1047" w:type="dxa"/>
            <w:vAlign w:val="center"/>
          </w:tcPr>
          <w:p>
            <w:pPr>
              <w:widowControl/>
              <w:spacing w:line="400" w:lineRule="exact"/>
              <w:jc w:val="center"/>
              <w:rPr>
                <w:bCs/>
                <w:color w:val="000000"/>
                <w:kern w:val="0"/>
                <w:szCs w:val="21"/>
              </w:rPr>
            </w:pPr>
            <w:r>
              <w:rPr>
                <w:bCs/>
                <w:color w:val="000000"/>
                <w:kern w:val="0"/>
                <w:szCs w:val="21"/>
              </w:rPr>
              <w:t>差</w:t>
            </w:r>
          </w:p>
        </w:tc>
      </w:tr>
    </w:tbl>
    <w:p>
      <w:pPr>
        <w:pStyle w:val="131"/>
        <w:spacing w:beforeLines="50" w:afterLines="50"/>
        <w:ind w:firstLine="0" w:firstLineChars="0"/>
        <w:rPr>
          <w:rFonts w:ascii="Times New Roman" w:hAnsi="Times New Roman"/>
          <w:sz w:val="24"/>
        </w:rPr>
      </w:pPr>
      <w:r>
        <w:rPr>
          <w:rFonts w:ascii="Times New Roman" w:hAnsi="Times New Roman"/>
          <w:sz w:val="24"/>
        </w:rPr>
        <w:t>表4-6-5  Ⅲ级公共管理与公共服务一类用地宗地地价区域因素修正系数表</w:t>
      </w:r>
    </w:p>
    <w:tbl>
      <w:tblPr>
        <w:tblW w:w="10303" w:type="dxa"/>
        <w:jc w:val="center"/>
        <w:tblInd w:w="1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988"/>
        <w:gridCol w:w="1248"/>
        <w:gridCol w:w="1006"/>
        <w:gridCol w:w="1276"/>
        <w:gridCol w:w="875"/>
        <w:gridCol w:w="749"/>
        <w:gridCol w:w="708"/>
        <w:gridCol w:w="709"/>
        <w:gridCol w:w="851"/>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blHeader/>
          <w:jc w:val="center"/>
        </w:trPr>
        <w:tc>
          <w:tcPr>
            <w:tcW w:w="1054" w:type="dxa"/>
            <w:vAlign w:val="center"/>
          </w:tcPr>
          <w:p>
            <w:pPr>
              <w:spacing w:line="400" w:lineRule="exact"/>
              <w:jc w:val="center"/>
              <w:rPr>
                <w:b/>
                <w:bCs/>
                <w:szCs w:val="21"/>
              </w:rPr>
            </w:pPr>
            <w:r>
              <w:rPr>
                <w:b/>
                <w:bCs/>
                <w:szCs w:val="21"/>
              </w:rPr>
              <w:t>因素层</w:t>
            </w:r>
          </w:p>
        </w:tc>
        <w:tc>
          <w:tcPr>
            <w:tcW w:w="988" w:type="dxa"/>
            <w:vAlign w:val="center"/>
          </w:tcPr>
          <w:p>
            <w:pPr>
              <w:spacing w:line="400" w:lineRule="exact"/>
              <w:jc w:val="center"/>
              <w:rPr>
                <w:b/>
                <w:bCs/>
                <w:szCs w:val="21"/>
              </w:rPr>
            </w:pPr>
            <w:r>
              <w:rPr>
                <w:b/>
                <w:bCs/>
                <w:szCs w:val="21"/>
              </w:rPr>
              <w:t>权重</w:t>
            </w:r>
          </w:p>
        </w:tc>
        <w:tc>
          <w:tcPr>
            <w:tcW w:w="1248" w:type="dxa"/>
            <w:vAlign w:val="center"/>
          </w:tcPr>
          <w:p>
            <w:pPr>
              <w:spacing w:line="400" w:lineRule="exact"/>
              <w:jc w:val="center"/>
              <w:rPr>
                <w:b/>
                <w:bCs/>
                <w:szCs w:val="21"/>
              </w:rPr>
            </w:pPr>
            <w:r>
              <w:rPr>
                <w:b/>
                <w:bCs/>
                <w:szCs w:val="21"/>
              </w:rPr>
              <w:t>因子层</w:t>
            </w:r>
          </w:p>
        </w:tc>
        <w:tc>
          <w:tcPr>
            <w:tcW w:w="1006" w:type="dxa"/>
            <w:vAlign w:val="center"/>
          </w:tcPr>
          <w:p>
            <w:pPr>
              <w:spacing w:line="400" w:lineRule="exact"/>
              <w:jc w:val="center"/>
              <w:rPr>
                <w:b/>
                <w:bCs/>
                <w:szCs w:val="21"/>
              </w:rPr>
            </w:pPr>
            <w:r>
              <w:rPr>
                <w:b/>
                <w:bCs/>
                <w:szCs w:val="21"/>
              </w:rPr>
              <w:t>权重</w:t>
            </w:r>
          </w:p>
        </w:tc>
        <w:tc>
          <w:tcPr>
            <w:tcW w:w="1276" w:type="dxa"/>
            <w:vAlign w:val="center"/>
          </w:tcPr>
          <w:p>
            <w:pPr>
              <w:spacing w:line="400" w:lineRule="exact"/>
              <w:jc w:val="center"/>
              <w:rPr>
                <w:b/>
                <w:bCs/>
                <w:szCs w:val="21"/>
              </w:rPr>
            </w:pPr>
            <w:r>
              <w:rPr>
                <w:b/>
                <w:bCs/>
                <w:szCs w:val="21"/>
              </w:rPr>
              <w:t>指标层</w:t>
            </w:r>
          </w:p>
        </w:tc>
        <w:tc>
          <w:tcPr>
            <w:tcW w:w="875" w:type="dxa"/>
            <w:vAlign w:val="center"/>
          </w:tcPr>
          <w:p>
            <w:pPr>
              <w:spacing w:line="400" w:lineRule="exact"/>
              <w:jc w:val="center"/>
              <w:rPr>
                <w:b/>
                <w:bCs/>
                <w:szCs w:val="21"/>
              </w:rPr>
            </w:pPr>
            <w:r>
              <w:rPr>
                <w:b/>
                <w:bCs/>
                <w:szCs w:val="21"/>
              </w:rPr>
              <w:t>权重</w:t>
            </w:r>
          </w:p>
        </w:tc>
        <w:tc>
          <w:tcPr>
            <w:tcW w:w="749" w:type="dxa"/>
            <w:vAlign w:val="center"/>
          </w:tcPr>
          <w:p>
            <w:pPr>
              <w:spacing w:line="400" w:lineRule="exact"/>
              <w:jc w:val="center"/>
              <w:rPr>
                <w:b/>
                <w:bCs/>
                <w:szCs w:val="21"/>
              </w:rPr>
            </w:pPr>
            <w:r>
              <w:rPr>
                <w:b/>
                <w:bCs/>
                <w:szCs w:val="21"/>
              </w:rPr>
              <w:t>优</w:t>
            </w:r>
          </w:p>
        </w:tc>
        <w:tc>
          <w:tcPr>
            <w:tcW w:w="708" w:type="dxa"/>
            <w:vAlign w:val="center"/>
          </w:tcPr>
          <w:p>
            <w:pPr>
              <w:spacing w:line="400" w:lineRule="exact"/>
              <w:jc w:val="center"/>
              <w:rPr>
                <w:b/>
                <w:bCs/>
                <w:szCs w:val="21"/>
              </w:rPr>
            </w:pPr>
            <w:r>
              <w:rPr>
                <w:b/>
                <w:bCs/>
                <w:szCs w:val="21"/>
              </w:rPr>
              <w:t>较优</w:t>
            </w:r>
          </w:p>
        </w:tc>
        <w:tc>
          <w:tcPr>
            <w:tcW w:w="709" w:type="dxa"/>
            <w:vAlign w:val="center"/>
          </w:tcPr>
          <w:p>
            <w:pPr>
              <w:spacing w:line="400" w:lineRule="exact"/>
              <w:jc w:val="center"/>
              <w:rPr>
                <w:b/>
                <w:bCs/>
                <w:szCs w:val="21"/>
              </w:rPr>
            </w:pPr>
            <w:r>
              <w:rPr>
                <w:b/>
                <w:bCs/>
                <w:szCs w:val="21"/>
              </w:rPr>
              <w:t>一般</w:t>
            </w:r>
          </w:p>
        </w:tc>
        <w:tc>
          <w:tcPr>
            <w:tcW w:w="851" w:type="dxa"/>
            <w:vAlign w:val="center"/>
          </w:tcPr>
          <w:p>
            <w:pPr>
              <w:spacing w:line="400" w:lineRule="exact"/>
              <w:jc w:val="center"/>
              <w:rPr>
                <w:b/>
                <w:bCs/>
                <w:szCs w:val="21"/>
              </w:rPr>
            </w:pPr>
            <w:r>
              <w:rPr>
                <w:b/>
                <w:bCs/>
                <w:szCs w:val="21"/>
              </w:rPr>
              <w:t>较劣</w:t>
            </w:r>
          </w:p>
        </w:tc>
        <w:tc>
          <w:tcPr>
            <w:tcW w:w="839"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restart"/>
            <w:vAlign w:val="center"/>
          </w:tcPr>
          <w:p>
            <w:pPr>
              <w:widowControl/>
              <w:spacing w:line="400" w:lineRule="exact"/>
              <w:jc w:val="center"/>
              <w:rPr>
                <w:bCs/>
                <w:color w:val="000000"/>
                <w:kern w:val="0"/>
                <w:szCs w:val="21"/>
              </w:rPr>
            </w:pPr>
            <w:r>
              <w:rPr>
                <w:bCs/>
                <w:color w:val="000000"/>
                <w:kern w:val="0"/>
                <w:szCs w:val="21"/>
              </w:rPr>
              <w:t>基本设施状况</w:t>
            </w:r>
          </w:p>
        </w:tc>
        <w:tc>
          <w:tcPr>
            <w:tcW w:w="988" w:type="dxa"/>
            <w:vMerge w:val="restart"/>
            <w:vAlign w:val="center"/>
          </w:tcPr>
          <w:p>
            <w:pPr>
              <w:widowControl/>
              <w:spacing w:line="400" w:lineRule="exact"/>
              <w:jc w:val="center"/>
              <w:rPr>
                <w:bCs/>
                <w:color w:val="000000"/>
                <w:kern w:val="0"/>
                <w:szCs w:val="21"/>
              </w:rPr>
            </w:pPr>
            <w:r>
              <w:rPr>
                <w:bCs/>
                <w:color w:val="000000"/>
                <w:kern w:val="0"/>
                <w:szCs w:val="21"/>
              </w:rPr>
              <w:t>0.1918</w:t>
            </w:r>
          </w:p>
        </w:tc>
        <w:tc>
          <w:tcPr>
            <w:tcW w:w="1248" w:type="dxa"/>
            <w:vMerge w:val="restart"/>
            <w:vAlign w:val="center"/>
          </w:tcPr>
          <w:p>
            <w:pPr>
              <w:widowControl/>
              <w:spacing w:line="400" w:lineRule="exact"/>
              <w:jc w:val="center"/>
              <w:rPr>
                <w:bCs/>
                <w:color w:val="000000"/>
                <w:kern w:val="0"/>
                <w:szCs w:val="21"/>
              </w:rPr>
            </w:pPr>
            <w:r>
              <w:rPr>
                <w:bCs/>
                <w:color w:val="000000"/>
                <w:kern w:val="0"/>
                <w:szCs w:val="21"/>
              </w:rPr>
              <w:t>公用设施完备度</w:t>
            </w:r>
          </w:p>
        </w:tc>
        <w:tc>
          <w:tcPr>
            <w:tcW w:w="1006" w:type="dxa"/>
            <w:vMerge w:val="restart"/>
            <w:vAlign w:val="center"/>
          </w:tcPr>
          <w:p>
            <w:pPr>
              <w:widowControl/>
              <w:spacing w:line="400" w:lineRule="exact"/>
              <w:jc w:val="center"/>
              <w:rPr>
                <w:bCs/>
                <w:color w:val="000000"/>
                <w:kern w:val="0"/>
                <w:szCs w:val="21"/>
              </w:rPr>
            </w:pPr>
            <w:r>
              <w:rPr>
                <w:bCs/>
                <w:color w:val="000000"/>
                <w:kern w:val="0"/>
                <w:szCs w:val="21"/>
              </w:rPr>
              <w:t>0.1918</w:t>
            </w:r>
          </w:p>
        </w:tc>
        <w:tc>
          <w:tcPr>
            <w:tcW w:w="1276" w:type="dxa"/>
            <w:vAlign w:val="center"/>
          </w:tcPr>
          <w:p>
            <w:pPr>
              <w:widowControl/>
              <w:spacing w:line="400" w:lineRule="exact"/>
              <w:jc w:val="center"/>
              <w:rPr>
                <w:bCs/>
                <w:color w:val="000000"/>
                <w:kern w:val="0"/>
                <w:szCs w:val="21"/>
              </w:rPr>
            </w:pPr>
            <w:r>
              <w:rPr>
                <w:bCs/>
                <w:color w:val="000000"/>
                <w:kern w:val="0"/>
                <w:szCs w:val="21"/>
              </w:rPr>
              <w:t>距中小学距离</w:t>
            </w:r>
          </w:p>
        </w:tc>
        <w:tc>
          <w:tcPr>
            <w:tcW w:w="875" w:type="dxa"/>
            <w:vAlign w:val="center"/>
          </w:tcPr>
          <w:p>
            <w:pPr>
              <w:widowControl/>
              <w:spacing w:line="400" w:lineRule="exact"/>
              <w:jc w:val="center"/>
              <w:rPr>
                <w:bCs/>
                <w:color w:val="000000"/>
                <w:kern w:val="0"/>
                <w:szCs w:val="21"/>
              </w:rPr>
            </w:pPr>
            <w:r>
              <w:rPr>
                <w:bCs/>
                <w:color w:val="000000"/>
                <w:kern w:val="0"/>
                <w:szCs w:val="21"/>
              </w:rPr>
              <w:t>0.0639</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1.355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0.678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-0.654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-1.309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continue"/>
            <w:vAlign w:val="center"/>
          </w:tcPr>
          <w:p>
            <w:pPr>
              <w:widowControl/>
              <w:spacing w:line="400" w:lineRule="exact"/>
              <w:jc w:val="center"/>
              <w:rPr>
                <w:bCs/>
                <w:color w:val="000000"/>
                <w:kern w:val="0"/>
                <w:szCs w:val="21"/>
              </w:rPr>
            </w:pPr>
          </w:p>
        </w:tc>
        <w:tc>
          <w:tcPr>
            <w:tcW w:w="988" w:type="dxa"/>
            <w:vMerge w:val="continue"/>
            <w:vAlign w:val="center"/>
          </w:tcPr>
          <w:p>
            <w:pPr>
              <w:widowControl/>
              <w:spacing w:line="400" w:lineRule="exact"/>
              <w:jc w:val="center"/>
              <w:rPr>
                <w:bCs/>
                <w:color w:val="000000"/>
                <w:kern w:val="0"/>
                <w:szCs w:val="21"/>
              </w:rPr>
            </w:pPr>
          </w:p>
        </w:tc>
        <w:tc>
          <w:tcPr>
            <w:tcW w:w="1248" w:type="dxa"/>
            <w:vMerge w:val="continue"/>
            <w:vAlign w:val="center"/>
          </w:tcPr>
          <w:p>
            <w:pPr>
              <w:widowControl/>
              <w:spacing w:line="400" w:lineRule="exact"/>
              <w:jc w:val="center"/>
              <w:rPr>
                <w:bCs/>
                <w:color w:val="000000"/>
                <w:kern w:val="0"/>
                <w:szCs w:val="21"/>
              </w:rPr>
            </w:pPr>
          </w:p>
        </w:tc>
        <w:tc>
          <w:tcPr>
            <w:tcW w:w="1006" w:type="dxa"/>
            <w:vMerge w:val="continue"/>
            <w:vAlign w:val="center"/>
          </w:tcPr>
          <w:p>
            <w:pPr>
              <w:widowControl/>
              <w:spacing w:line="400" w:lineRule="exact"/>
              <w:jc w:val="center"/>
              <w:rPr>
                <w:bCs/>
                <w:color w:val="000000"/>
                <w:kern w:val="0"/>
                <w:szCs w:val="21"/>
              </w:rPr>
            </w:pPr>
          </w:p>
        </w:tc>
        <w:tc>
          <w:tcPr>
            <w:tcW w:w="1276" w:type="dxa"/>
            <w:vAlign w:val="center"/>
          </w:tcPr>
          <w:p>
            <w:pPr>
              <w:widowControl/>
              <w:spacing w:line="400" w:lineRule="exact"/>
              <w:jc w:val="center"/>
              <w:rPr>
                <w:bCs/>
                <w:color w:val="000000"/>
                <w:kern w:val="0"/>
                <w:szCs w:val="21"/>
              </w:rPr>
            </w:pPr>
            <w:r>
              <w:rPr>
                <w:bCs/>
                <w:color w:val="000000"/>
                <w:kern w:val="0"/>
                <w:szCs w:val="21"/>
              </w:rPr>
              <w:t>距医院距离</w:t>
            </w:r>
          </w:p>
        </w:tc>
        <w:tc>
          <w:tcPr>
            <w:tcW w:w="875" w:type="dxa"/>
            <w:vAlign w:val="center"/>
          </w:tcPr>
          <w:p>
            <w:pPr>
              <w:widowControl/>
              <w:spacing w:line="400" w:lineRule="exact"/>
              <w:jc w:val="center"/>
              <w:rPr>
                <w:bCs/>
                <w:color w:val="000000"/>
                <w:kern w:val="0"/>
                <w:szCs w:val="21"/>
              </w:rPr>
            </w:pPr>
            <w:r>
              <w:rPr>
                <w:bCs/>
                <w:color w:val="000000"/>
                <w:kern w:val="0"/>
                <w:szCs w:val="21"/>
              </w:rPr>
              <w:t>0.0639</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1.355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0.678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-0.654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-1.309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continue"/>
            <w:vAlign w:val="center"/>
          </w:tcPr>
          <w:p>
            <w:pPr>
              <w:widowControl/>
              <w:spacing w:line="400" w:lineRule="exact"/>
              <w:jc w:val="center"/>
              <w:rPr>
                <w:bCs/>
                <w:color w:val="000000"/>
                <w:kern w:val="0"/>
                <w:szCs w:val="21"/>
              </w:rPr>
            </w:pPr>
          </w:p>
        </w:tc>
        <w:tc>
          <w:tcPr>
            <w:tcW w:w="988" w:type="dxa"/>
            <w:vMerge w:val="continue"/>
            <w:vAlign w:val="center"/>
          </w:tcPr>
          <w:p>
            <w:pPr>
              <w:widowControl/>
              <w:spacing w:line="400" w:lineRule="exact"/>
              <w:jc w:val="center"/>
              <w:rPr>
                <w:bCs/>
                <w:color w:val="000000"/>
                <w:kern w:val="0"/>
                <w:szCs w:val="21"/>
              </w:rPr>
            </w:pPr>
          </w:p>
        </w:tc>
        <w:tc>
          <w:tcPr>
            <w:tcW w:w="1248" w:type="dxa"/>
            <w:vMerge w:val="continue"/>
            <w:vAlign w:val="center"/>
          </w:tcPr>
          <w:p>
            <w:pPr>
              <w:widowControl/>
              <w:spacing w:line="400" w:lineRule="exact"/>
              <w:jc w:val="center"/>
              <w:rPr>
                <w:bCs/>
                <w:color w:val="000000"/>
                <w:kern w:val="0"/>
                <w:szCs w:val="21"/>
              </w:rPr>
            </w:pPr>
          </w:p>
        </w:tc>
        <w:tc>
          <w:tcPr>
            <w:tcW w:w="1006" w:type="dxa"/>
            <w:vMerge w:val="continue"/>
            <w:vAlign w:val="center"/>
          </w:tcPr>
          <w:p>
            <w:pPr>
              <w:widowControl/>
              <w:spacing w:line="400" w:lineRule="exact"/>
              <w:jc w:val="center"/>
              <w:rPr>
                <w:bCs/>
                <w:color w:val="000000"/>
                <w:kern w:val="0"/>
                <w:szCs w:val="21"/>
              </w:rPr>
            </w:pPr>
          </w:p>
        </w:tc>
        <w:tc>
          <w:tcPr>
            <w:tcW w:w="1276" w:type="dxa"/>
            <w:vAlign w:val="center"/>
          </w:tcPr>
          <w:p>
            <w:pPr>
              <w:widowControl/>
              <w:spacing w:line="400" w:lineRule="exact"/>
              <w:jc w:val="center"/>
              <w:rPr>
                <w:bCs/>
                <w:color w:val="000000"/>
                <w:kern w:val="0"/>
                <w:szCs w:val="21"/>
              </w:rPr>
            </w:pPr>
            <w:r>
              <w:rPr>
                <w:bCs/>
                <w:color w:val="000000"/>
                <w:kern w:val="0"/>
                <w:szCs w:val="21"/>
              </w:rPr>
              <w:t>距文体设施用地距离</w:t>
            </w:r>
          </w:p>
        </w:tc>
        <w:tc>
          <w:tcPr>
            <w:tcW w:w="875" w:type="dxa"/>
            <w:vAlign w:val="center"/>
          </w:tcPr>
          <w:p>
            <w:pPr>
              <w:widowControl/>
              <w:spacing w:line="400" w:lineRule="exact"/>
              <w:jc w:val="center"/>
              <w:rPr>
                <w:bCs/>
                <w:color w:val="000000"/>
                <w:kern w:val="0"/>
                <w:szCs w:val="21"/>
              </w:rPr>
            </w:pPr>
            <w:r>
              <w:rPr>
                <w:bCs/>
                <w:color w:val="000000"/>
                <w:kern w:val="0"/>
                <w:szCs w:val="21"/>
              </w:rPr>
              <w:t>0.064</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1.357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0.679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-0.655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-1.311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1054" w:type="dxa"/>
            <w:vAlign w:val="center"/>
          </w:tcPr>
          <w:p>
            <w:pPr>
              <w:widowControl/>
              <w:spacing w:line="400" w:lineRule="exact"/>
              <w:jc w:val="center"/>
              <w:rPr>
                <w:bCs/>
                <w:color w:val="000000"/>
                <w:kern w:val="0"/>
                <w:szCs w:val="21"/>
              </w:rPr>
            </w:pPr>
            <w:r>
              <w:rPr>
                <w:bCs/>
                <w:color w:val="000000"/>
                <w:kern w:val="0"/>
                <w:szCs w:val="21"/>
              </w:rPr>
              <w:t>繁华程度</w:t>
            </w:r>
          </w:p>
        </w:tc>
        <w:tc>
          <w:tcPr>
            <w:tcW w:w="988" w:type="dxa"/>
            <w:vAlign w:val="center"/>
          </w:tcPr>
          <w:p>
            <w:pPr>
              <w:widowControl/>
              <w:spacing w:line="400" w:lineRule="exact"/>
              <w:jc w:val="center"/>
              <w:rPr>
                <w:bCs/>
                <w:color w:val="000000"/>
                <w:kern w:val="0"/>
                <w:szCs w:val="21"/>
              </w:rPr>
            </w:pPr>
            <w:r>
              <w:rPr>
                <w:bCs/>
                <w:color w:val="000000"/>
                <w:kern w:val="0"/>
                <w:szCs w:val="21"/>
              </w:rPr>
              <w:t>0.3123</w:t>
            </w:r>
          </w:p>
        </w:tc>
        <w:tc>
          <w:tcPr>
            <w:tcW w:w="1248" w:type="dxa"/>
            <w:vAlign w:val="center"/>
          </w:tcPr>
          <w:p>
            <w:pPr>
              <w:widowControl/>
              <w:spacing w:line="400" w:lineRule="exact"/>
              <w:jc w:val="center"/>
              <w:rPr>
                <w:bCs/>
                <w:color w:val="000000"/>
                <w:kern w:val="0"/>
                <w:szCs w:val="21"/>
              </w:rPr>
            </w:pPr>
            <w:r>
              <w:rPr>
                <w:bCs/>
                <w:color w:val="000000"/>
                <w:kern w:val="0"/>
                <w:szCs w:val="21"/>
              </w:rPr>
              <w:t>商服繁华影响度</w:t>
            </w:r>
          </w:p>
        </w:tc>
        <w:tc>
          <w:tcPr>
            <w:tcW w:w="1006" w:type="dxa"/>
            <w:vAlign w:val="center"/>
          </w:tcPr>
          <w:p>
            <w:pPr>
              <w:widowControl/>
              <w:spacing w:line="400" w:lineRule="exact"/>
              <w:jc w:val="center"/>
              <w:rPr>
                <w:bCs/>
                <w:color w:val="000000"/>
                <w:kern w:val="0"/>
                <w:szCs w:val="21"/>
              </w:rPr>
            </w:pPr>
            <w:r>
              <w:rPr>
                <w:bCs/>
                <w:color w:val="000000"/>
                <w:kern w:val="0"/>
                <w:szCs w:val="21"/>
              </w:rPr>
              <w:t>0.3123</w:t>
            </w:r>
          </w:p>
        </w:tc>
        <w:tc>
          <w:tcPr>
            <w:tcW w:w="1276" w:type="dxa"/>
            <w:vAlign w:val="center"/>
          </w:tcPr>
          <w:p>
            <w:pPr>
              <w:widowControl/>
              <w:spacing w:line="400" w:lineRule="exact"/>
              <w:jc w:val="center"/>
              <w:rPr>
                <w:bCs/>
                <w:color w:val="000000"/>
                <w:kern w:val="0"/>
                <w:szCs w:val="21"/>
              </w:rPr>
            </w:pPr>
            <w:r>
              <w:rPr>
                <w:bCs/>
                <w:color w:val="000000"/>
                <w:kern w:val="0"/>
                <w:szCs w:val="21"/>
              </w:rPr>
              <w:t>距商服中心距离</w:t>
            </w:r>
          </w:p>
        </w:tc>
        <w:tc>
          <w:tcPr>
            <w:tcW w:w="875" w:type="dxa"/>
            <w:vAlign w:val="center"/>
          </w:tcPr>
          <w:p>
            <w:pPr>
              <w:widowControl/>
              <w:spacing w:line="400" w:lineRule="exact"/>
              <w:jc w:val="center"/>
              <w:rPr>
                <w:bCs/>
                <w:color w:val="000000"/>
                <w:kern w:val="0"/>
                <w:szCs w:val="21"/>
              </w:rPr>
            </w:pPr>
            <w:r>
              <w:rPr>
                <w:bCs/>
                <w:color w:val="000000"/>
                <w:kern w:val="0"/>
                <w:szCs w:val="21"/>
              </w:rPr>
              <w:t>0.3123</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6.624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3.312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-3.198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-6.396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Align w:val="center"/>
          </w:tcPr>
          <w:p>
            <w:pPr>
              <w:widowControl/>
              <w:spacing w:line="400" w:lineRule="exact"/>
              <w:jc w:val="center"/>
              <w:rPr>
                <w:bCs/>
                <w:color w:val="000000"/>
                <w:kern w:val="0"/>
                <w:szCs w:val="21"/>
              </w:rPr>
            </w:pPr>
            <w:r>
              <w:rPr>
                <w:bCs/>
                <w:color w:val="000000"/>
                <w:kern w:val="0"/>
                <w:szCs w:val="21"/>
              </w:rPr>
              <w:t>人口状况</w:t>
            </w:r>
          </w:p>
        </w:tc>
        <w:tc>
          <w:tcPr>
            <w:tcW w:w="988" w:type="dxa"/>
            <w:vAlign w:val="center"/>
          </w:tcPr>
          <w:p>
            <w:pPr>
              <w:widowControl/>
              <w:spacing w:line="400" w:lineRule="exact"/>
              <w:jc w:val="center"/>
              <w:rPr>
                <w:bCs/>
                <w:color w:val="000000"/>
                <w:kern w:val="0"/>
                <w:szCs w:val="21"/>
              </w:rPr>
            </w:pPr>
            <w:r>
              <w:rPr>
                <w:bCs/>
                <w:color w:val="000000"/>
                <w:kern w:val="0"/>
                <w:szCs w:val="21"/>
              </w:rPr>
              <w:t>0.1567</w:t>
            </w:r>
          </w:p>
        </w:tc>
        <w:tc>
          <w:tcPr>
            <w:tcW w:w="1248" w:type="dxa"/>
            <w:vAlign w:val="center"/>
          </w:tcPr>
          <w:p>
            <w:pPr>
              <w:widowControl/>
              <w:spacing w:line="400" w:lineRule="exact"/>
              <w:jc w:val="center"/>
              <w:rPr>
                <w:bCs/>
                <w:color w:val="000000"/>
                <w:kern w:val="0"/>
                <w:szCs w:val="21"/>
              </w:rPr>
            </w:pPr>
            <w:r>
              <w:rPr>
                <w:bCs/>
                <w:color w:val="000000"/>
                <w:kern w:val="0"/>
                <w:szCs w:val="21"/>
              </w:rPr>
              <w:t>人口密度</w:t>
            </w:r>
          </w:p>
        </w:tc>
        <w:tc>
          <w:tcPr>
            <w:tcW w:w="1006" w:type="dxa"/>
            <w:vAlign w:val="center"/>
          </w:tcPr>
          <w:p>
            <w:pPr>
              <w:widowControl/>
              <w:spacing w:line="400" w:lineRule="exact"/>
              <w:jc w:val="center"/>
              <w:rPr>
                <w:bCs/>
                <w:color w:val="000000"/>
                <w:kern w:val="0"/>
                <w:szCs w:val="21"/>
              </w:rPr>
            </w:pPr>
            <w:r>
              <w:rPr>
                <w:bCs/>
                <w:color w:val="000000"/>
                <w:kern w:val="0"/>
                <w:szCs w:val="21"/>
              </w:rPr>
              <w:t>0.1567</w:t>
            </w:r>
          </w:p>
        </w:tc>
        <w:tc>
          <w:tcPr>
            <w:tcW w:w="1276" w:type="dxa"/>
            <w:vAlign w:val="center"/>
          </w:tcPr>
          <w:p>
            <w:pPr>
              <w:widowControl/>
              <w:spacing w:line="400" w:lineRule="exact"/>
              <w:jc w:val="center"/>
              <w:rPr>
                <w:bCs/>
                <w:color w:val="000000"/>
                <w:kern w:val="0"/>
                <w:szCs w:val="21"/>
              </w:rPr>
            </w:pPr>
            <w:r>
              <w:rPr>
                <w:bCs/>
                <w:color w:val="000000"/>
                <w:kern w:val="0"/>
                <w:szCs w:val="21"/>
              </w:rPr>
              <w:t>人口密度</w:t>
            </w:r>
          </w:p>
        </w:tc>
        <w:tc>
          <w:tcPr>
            <w:tcW w:w="875" w:type="dxa"/>
            <w:vAlign w:val="center"/>
          </w:tcPr>
          <w:p>
            <w:pPr>
              <w:widowControl/>
              <w:spacing w:line="400" w:lineRule="exact"/>
              <w:jc w:val="center"/>
              <w:rPr>
                <w:bCs/>
                <w:color w:val="000000"/>
                <w:kern w:val="0"/>
                <w:szCs w:val="21"/>
              </w:rPr>
            </w:pPr>
            <w:r>
              <w:rPr>
                <w:bCs/>
                <w:color w:val="000000"/>
                <w:kern w:val="0"/>
                <w:szCs w:val="21"/>
              </w:rPr>
              <w:t>0.1567</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3.324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1.662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-1.605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-3.209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6" w:hRule="atLeast"/>
          <w:jc w:val="center"/>
        </w:trPr>
        <w:tc>
          <w:tcPr>
            <w:tcW w:w="1054" w:type="dxa"/>
            <w:vMerge w:val="restart"/>
            <w:vAlign w:val="center"/>
          </w:tcPr>
          <w:p>
            <w:pPr>
              <w:widowControl/>
              <w:spacing w:line="400" w:lineRule="exact"/>
              <w:jc w:val="center"/>
              <w:rPr>
                <w:bCs/>
                <w:color w:val="000000"/>
                <w:kern w:val="0"/>
                <w:szCs w:val="21"/>
              </w:rPr>
            </w:pPr>
            <w:r>
              <w:rPr>
                <w:bCs/>
                <w:color w:val="000000"/>
                <w:kern w:val="0"/>
                <w:szCs w:val="21"/>
              </w:rPr>
              <w:t>交通条件</w:t>
            </w:r>
          </w:p>
        </w:tc>
        <w:tc>
          <w:tcPr>
            <w:tcW w:w="988" w:type="dxa"/>
            <w:vMerge w:val="restart"/>
            <w:vAlign w:val="center"/>
          </w:tcPr>
          <w:p>
            <w:pPr>
              <w:widowControl/>
              <w:spacing w:line="400" w:lineRule="exact"/>
              <w:jc w:val="center"/>
              <w:rPr>
                <w:bCs/>
                <w:color w:val="000000"/>
                <w:kern w:val="0"/>
                <w:szCs w:val="21"/>
              </w:rPr>
            </w:pPr>
            <w:r>
              <w:rPr>
                <w:bCs/>
                <w:color w:val="000000"/>
                <w:kern w:val="0"/>
                <w:szCs w:val="21"/>
              </w:rPr>
              <w:t>0.2384</w:t>
            </w:r>
          </w:p>
        </w:tc>
        <w:tc>
          <w:tcPr>
            <w:tcW w:w="1248" w:type="dxa"/>
            <w:vAlign w:val="center"/>
          </w:tcPr>
          <w:p>
            <w:pPr>
              <w:widowControl/>
              <w:spacing w:line="400" w:lineRule="exact"/>
              <w:jc w:val="center"/>
              <w:rPr>
                <w:bCs/>
                <w:color w:val="000000"/>
                <w:kern w:val="0"/>
                <w:szCs w:val="21"/>
              </w:rPr>
            </w:pPr>
            <w:r>
              <w:rPr>
                <w:bCs/>
                <w:color w:val="000000"/>
                <w:kern w:val="0"/>
                <w:szCs w:val="21"/>
              </w:rPr>
              <w:t>道路通达度</w:t>
            </w:r>
          </w:p>
        </w:tc>
        <w:tc>
          <w:tcPr>
            <w:tcW w:w="1006" w:type="dxa"/>
            <w:vAlign w:val="center"/>
          </w:tcPr>
          <w:p>
            <w:pPr>
              <w:widowControl/>
              <w:spacing w:line="400" w:lineRule="exact"/>
              <w:jc w:val="center"/>
              <w:rPr>
                <w:bCs/>
                <w:color w:val="000000"/>
                <w:kern w:val="0"/>
                <w:szCs w:val="21"/>
              </w:rPr>
            </w:pPr>
            <w:r>
              <w:rPr>
                <w:bCs/>
                <w:color w:val="000000"/>
                <w:kern w:val="0"/>
                <w:szCs w:val="21"/>
              </w:rPr>
              <w:t>0.0794</w:t>
            </w:r>
          </w:p>
        </w:tc>
        <w:tc>
          <w:tcPr>
            <w:tcW w:w="1276" w:type="dxa"/>
            <w:vAlign w:val="center"/>
          </w:tcPr>
          <w:p>
            <w:pPr>
              <w:widowControl/>
              <w:spacing w:line="400" w:lineRule="exact"/>
              <w:jc w:val="center"/>
              <w:rPr>
                <w:bCs/>
                <w:color w:val="000000"/>
                <w:kern w:val="0"/>
                <w:szCs w:val="21"/>
              </w:rPr>
            </w:pPr>
            <w:r>
              <w:rPr>
                <w:bCs/>
                <w:color w:val="000000"/>
                <w:kern w:val="0"/>
                <w:szCs w:val="21"/>
              </w:rPr>
              <w:t>临近道路状况</w:t>
            </w:r>
          </w:p>
        </w:tc>
        <w:tc>
          <w:tcPr>
            <w:tcW w:w="875" w:type="dxa"/>
            <w:vAlign w:val="center"/>
          </w:tcPr>
          <w:p>
            <w:pPr>
              <w:widowControl/>
              <w:spacing w:line="400" w:lineRule="exact"/>
              <w:jc w:val="center"/>
              <w:rPr>
                <w:bCs/>
                <w:color w:val="000000"/>
                <w:kern w:val="0"/>
                <w:szCs w:val="21"/>
              </w:rPr>
            </w:pPr>
            <w:r>
              <w:rPr>
                <w:bCs/>
                <w:color w:val="000000"/>
                <w:kern w:val="0"/>
                <w:szCs w:val="21"/>
              </w:rPr>
              <w:t>0.0794</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1.684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0.842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-0.813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-1.626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continue"/>
            <w:vAlign w:val="center"/>
          </w:tcPr>
          <w:p>
            <w:pPr>
              <w:widowControl/>
              <w:spacing w:line="400" w:lineRule="exact"/>
              <w:jc w:val="center"/>
              <w:rPr>
                <w:bCs/>
                <w:color w:val="000000"/>
                <w:kern w:val="0"/>
                <w:szCs w:val="21"/>
              </w:rPr>
            </w:pPr>
          </w:p>
        </w:tc>
        <w:tc>
          <w:tcPr>
            <w:tcW w:w="988" w:type="dxa"/>
            <w:vMerge w:val="continue"/>
            <w:vAlign w:val="center"/>
          </w:tcPr>
          <w:p>
            <w:pPr>
              <w:widowControl/>
              <w:spacing w:line="400" w:lineRule="exact"/>
              <w:jc w:val="center"/>
              <w:rPr>
                <w:bCs/>
                <w:color w:val="000000"/>
                <w:kern w:val="0"/>
                <w:szCs w:val="21"/>
              </w:rPr>
            </w:pPr>
          </w:p>
        </w:tc>
        <w:tc>
          <w:tcPr>
            <w:tcW w:w="1248" w:type="dxa"/>
            <w:vAlign w:val="center"/>
          </w:tcPr>
          <w:p>
            <w:pPr>
              <w:widowControl/>
              <w:spacing w:line="400" w:lineRule="exact"/>
              <w:jc w:val="center"/>
              <w:rPr>
                <w:bCs/>
                <w:color w:val="000000"/>
                <w:kern w:val="0"/>
                <w:szCs w:val="21"/>
              </w:rPr>
            </w:pPr>
            <w:r>
              <w:rPr>
                <w:bCs/>
                <w:color w:val="000000"/>
                <w:kern w:val="0"/>
                <w:szCs w:val="21"/>
              </w:rPr>
              <w:t>公交便捷度</w:t>
            </w:r>
          </w:p>
        </w:tc>
        <w:tc>
          <w:tcPr>
            <w:tcW w:w="1006" w:type="dxa"/>
            <w:vAlign w:val="center"/>
          </w:tcPr>
          <w:p>
            <w:pPr>
              <w:widowControl/>
              <w:spacing w:line="400" w:lineRule="exact"/>
              <w:jc w:val="center"/>
              <w:rPr>
                <w:bCs/>
                <w:color w:val="000000"/>
                <w:kern w:val="0"/>
                <w:szCs w:val="21"/>
              </w:rPr>
            </w:pPr>
            <w:r>
              <w:rPr>
                <w:bCs/>
                <w:color w:val="000000"/>
                <w:kern w:val="0"/>
                <w:szCs w:val="21"/>
              </w:rPr>
              <w:t>0.0795</w:t>
            </w:r>
          </w:p>
        </w:tc>
        <w:tc>
          <w:tcPr>
            <w:tcW w:w="1276" w:type="dxa"/>
            <w:vAlign w:val="center"/>
          </w:tcPr>
          <w:p>
            <w:pPr>
              <w:widowControl/>
              <w:spacing w:line="400" w:lineRule="exact"/>
              <w:jc w:val="center"/>
              <w:rPr>
                <w:bCs/>
                <w:color w:val="000000"/>
                <w:kern w:val="0"/>
                <w:szCs w:val="21"/>
              </w:rPr>
            </w:pPr>
            <w:r>
              <w:rPr>
                <w:bCs/>
                <w:color w:val="000000"/>
                <w:kern w:val="0"/>
                <w:szCs w:val="21"/>
              </w:rPr>
              <w:t>距最近公交站点距离</w:t>
            </w:r>
          </w:p>
        </w:tc>
        <w:tc>
          <w:tcPr>
            <w:tcW w:w="875" w:type="dxa"/>
            <w:vAlign w:val="center"/>
          </w:tcPr>
          <w:p>
            <w:pPr>
              <w:widowControl/>
              <w:spacing w:line="400" w:lineRule="exact"/>
              <w:jc w:val="center"/>
              <w:rPr>
                <w:bCs/>
                <w:color w:val="000000"/>
                <w:kern w:val="0"/>
                <w:szCs w:val="21"/>
              </w:rPr>
            </w:pPr>
            <w:r>
              <w:rPr>
                <w:bCs/>
                <w:color w:val="000000"/>
                <w:kern w:val="0"/>
                <w:szCs w:val="21"/>
              </w:rPr>
              <w:t>0.0795</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1.686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0.843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-0.814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-1.628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1054" w:type="dxa"/>
            <w:vMerge w:val="continue"/>
            <w:vAlign w:val="center"/>
          </w:tcPr>
          <w:p>
            <w:pPr>
              <w:widowControl/>
              <w:spacing w:line="400" w:lineRule="exact"/>
              <w:jc w:val="center"/>
              <w:rPr>
                <w:bCs/>
                <w:color w:val="000000"/>
                <w:kern w:val="0"/>
                <w:szCs w:val="21"/>
              </w:rPr>
            </w:pPr>
          </w:p>
        </w:tc>
        <w:tc>
          <w:tcPr>
            <w:tcW w:w="988" w:type="dxa"/>
            <w:vMerge w:val="continue"/>
            <w:vAlign w:val="center"/>
          </w:tcPr>
          <w:p>
            <w:pPr>
              <w:widowControl/>
              <w:spacing w:line="400" w:lineRule="exact"/>
              <w:jc w:val="center"/>
              <w:rPr>
                <w:bCs/>
                <w:color w:val="000000"/>
                <w:kern w:val="0"/>
                <w:szCs w:val="21"/>
              </w:rPr>
            </w:pPr>
          </w:p>
        </w:tc>
        <w:tc>
          <w:tcPr>
            <w:tcW w:w="1248" w:type="dxa"/>
            <w:vAlign w:val="center"/>
          </w:tcPr>
          <w:p>
            <w:pPr>
              <w:widowControl/>
              <w:spacing w:line="400" w:lineRule="exact"/>
              <w:jc w:val="center"/>
              <w:rPr>
                <w:bCs/>
                <w:color w:val="000000"/>
                <w:kern w:val="0"/>
                <w:szCs w:val="21"/>
              </w:rPr>
            </w:pPr>
            <w:r>
              <w:rPr>
                <w:bCs/>
                <w:color w:val="000000"/>
                <w:kern w:val="0"/>
                <w:szCs w:val="21"/>
              </w:rPr>
              <w:t>对外交通便利度</w:t>
            </w:r>
          </w:p>
        </w:tc>
        <w:tc>
          <w:tcPr>
            <w:tcW w:w="1006" w:type="dxa"/>
            <w:vAlign w:val="center"/>
          </w:tcPr>
          <w:p>
            <w:pPr>
              <w:widowControl/>
              <w:spacing w:line="400" w:lineRule="exact"/>
              <w:jc w:val="center"/>
              <w:rPr>
                <w:bCs/>
                <w:color w:val="000000"/>
                <w:kern w:val="0"/>
                <w:szCs w:val="21"/>
              </w:rPr>
            </w:pPr>
            <w:r>
              <w:rPr>
                <w:bCs/>
                <w:color w:val="000000"/>
                <w:kern w:val="0"/>
                <w:szCs w:val="21"/>
              </w:rPr>
              <w:t>0.0795</w:t>
            </w:r>
          </w:p>
        </w:tc>
        <w:tc>
          <w:tcPr>
            <w:tcW w:w="1276" w:type="dxa"/>
            <w:vAlign w:val="center"/>
          </w:tcPr>
          <w:p>
            <w:pPr>
              <w:widowControl/>
              <w:spacing w:line="400" w:lineRule="exact"/>
              <w:jc w:val="center"/>
              <w:rPr>
                <w:bCs/>
                <w:color w:val="000000"/>
                <w:kern w:val="0"/>
                <w:szCs w:val="21"/>
              </w:rPr>
            </w:pPr>
            <w:r>
              <w:rPr>
                <w:bCs/>
                <w:color w:val="000000"/>
                <w:kern w:val="0"/>
                <w:szCs w:val="21"/>
              </w:rPr>
              <w:t>距最近汽车站距离</w:t>
            </w:r>
          </w:p>
        </w:tc>
        <w:tc>
          <w:tcPr>
            <w:tcW w:w="875" w:type="dxa"/>
            <w:vAlign w:val="center"/>
          </w:tcPr>
          <w:p>
            <w:pPr>
              <w:widowControl/>
              <w:spacing w:line="400" w:lineRule="exact"/>
              <w:jc w:val="center"/>
              <w:rPr>
                <w:bCs/>
                <w:color w:val="000000"/>
                <w:kern w:val="0"/>
                <w:szCs w:val="21"/>
              </w:rPr>
            </w:pPr>
            <w:r>
              <w:rPr>
                <w:bCs/>
                <w:color w:val="000000"/>
                <w:kern w:val="0"/>
                <w:szCs w:val="21"/>
              </w:rPr>
              <w:t>0.0795</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1.686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0.843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-0.814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-1.628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1054" w:type="dxa"/>
            <w:vAlign w:val="center"/>
          </w:tcPr>
          <w:p>
            <w:pPr>
              <w:widowControl/>
              <w:spacing w:line="400" w:lineRule="exact"/>
              <w:jc w:val="center"/>
              <w:rPr>
                <w:bCs/>
                <w:color w:val="000000"/>
                <w:kern w:val="0"/>
                <w:szCs w:val="21"/>
              </w:rPr>
            </w:pPr>
            <w:r>
              <w:rPr>
                <w:bCs/>
                <w:color w:val="000000"/>
                <w:kern w:val="0"/>
                <w:szCs w:val="21"/>
              </w:rPr>
              <w:t>城市规划</w:t>
            </w:r>
          </w:p>
        </w:tc>
        <w:tc>
          <w:tcPr>
            <w:tcW w:w="988" w:type="dxa"/>
            <w:vAlign w:val="center"/>
          </w:tcPr>
          <w:p>
            <w:pPr>
              <w:widowControl/>
              <w:spacing w:line="400" w:lineRule="exact"/>
              <w:jc w:val="center"/>
              <w:rPr>
                <w:bCs/>
                <w:color w:val="000000"/>
                <w:kern w:val="0"/>
                <w:szCs w:val="21"/>
              </w:rPr>
            </w:pPr>
            <w:r>
              <w:rPr>
                <w:bCs/>
                <w:color w:val="000000"/>
                <w:kern w:val="0"/>
                <w:szCs w:val="21"/>
              </w:rPr>
              <w:t>0.1008</w:t>
            </w:r>
          </w:p>
        </w:tc>
        <w:tc>
          <w:tcPr>
            <w:tcW w:w="1248" w:type="dxa"/>
            <w:vAlign w:val="center"/>
          </w:tcPr>
          <w:p>
            <w:pPr>
              <w:widowControl/>
              <w:spacing w:line="400" w:lineRule="exact"/>
              <w:jc w:val="center"/>
              <w:rPr>
                <w:bCs/>
                <w:color w:val="000000"/>
                <w:kern w:val="0"/>
                <w:szCs w:val="21"/>
              </w:rPr>
            </w:pPr>
            <w:r>
              <w:rPr>
                <w:bCs/>
                <w:color w:val="000000"/>
                <w:kern w:val="0"/>
                <w:szCs w:val="21"/>
              </w:rPr>
              <w:t>城市规划</w:t>
            </w:r>
          </w:p>
        </w:tc>
        <w:tc>
          <w:tcPr>
            <w:tcW w:w="1006" w:type="dxa"/>
            <w:vAlign w:val="center"/>
          </w:tcPr>
          <w:p>
            <w:pPr>
              <w:widowControl/>
              <w:spacing w:line="400" w:lineRule="exact"/>
              <w:jc w:val="center"/>
              <w:rPr>
                <w:bCs/>
                <w:color w:val="000000"/>
                <w:kern w:val="0"/>
                <w:szCs w:val="21"/>
              </w:rPr>
            </w:pPr>
            <w:r>
              <w:rPr>
                <w:bCs/>
                <w:color w:val="000000"/>
                <w:kern w:val="0"/>
                <w:szCs w:val="21"/>
              </w:rPr>
              <w:t>0.1008</w:t>
            </w:r>
          </w:p>
        </w:tc>
        <w:tc>
          <w:tcPr>
            <w:tcW w:w="1276" w:type="dxa"/>
            <w:vAlign w:val="center"/>
          </w:tcPr>
          <w:p>
            <w:pPr>
              <w:widowControl/>
              <w:spacing w:line="400" w:lineRule="exact"/>
              <w:jc w:val="center"/>
              <w:rPr>
                <w:bCs/>
                <w:color w:val="000000"/>
                <w:kern w:val="0"/>
                <w:szCs w:val="21"/>
              </w:rPr>
            </w:pPr>
            <w:r>
              <w:rPr>
                <w:bCs/>
                <w:color w:val="000000"/>
                <w:kern w:val="0"/>
                <w:szCs w:val="21"/>
              </w:rPr>
              <w:t>公共设施用地规划</w:t>
            </w:r>
          </w:p>
        </w:tc>
        <w:tc>
          <w:tcPr>
            <w:tcW w:w="875" w:type="dxa"/>
            <w:vAlign w:val="center"/>
          </w:tcPr>
          <w:p>
            <w:pPr>
              <w:widowControl/>
              <w:spacing w:line="400" w:lineRule="exact"/>
              <w:jc w:val="center"/>
              <w:rPr>
                <w:bCs/>
                <w:color w:val="000000"/>
                <w:kern w:val="0"/>
                <w:szCs w:val="21"/>
              </w:rPr>
            </w:pPr>
            <w:r>
              <w:rPr>
                <w:bCs/>
                <w:color w:val="000000"/>
                <w:kern w:val="0"/>
                <w:szCs w:val="21"/>
              </w:rPr>
              <w:t>0.1008</w:t>
            </w:r>
          </w:p>
        </w:tc>
        <w:tc>
          <w:tcPr>
            <w:tcW w:w="749" w:type="dxa"/>
            <w:vAlign w:val="center"/>
          </w:tcPr>
          <w:p>
            <w:pPr>
              <w:widowControl/>
              <w:spacing w:line="400" w:lineRule="exact"/>
              <w:jc w:val="center"/>
              <w:rPr>
                <w:bCs/>
                <w:color w:val="000000"/>
                <w:kern w:val="0"/>
                <w:szCs w:val="21"/>
              </w:rPr>
            </w:pPr>
            <w:r>
              <w:rPr>
                <w:bCs/>
                <w:color w:val="000000"/>
                <w:kern w:val="0"/>
                <w:szCs w:val="21"/>
              </w:rPr>
              <w:t xml:space="preserve">2.138 </w:t>
            </w:r>
          </w:p>
        </w:tc>
        <w:tc>
          <w:tcPr>
            <w:tcW w:w="708" w:type="dxa"/>
            <w:vAlign w:val="center"/>
          </w:tcPr>
          <w:p>
            <w:pPr>
              <w:widowControl/>
              <w:spacing w:line="400" w:lineRule="exact"/>
              <w:jc w:val="center"/>
              <w:rPr>
                <w:bCs/>
                <w:color w:val="000000"/>
                <w:kern w:val="0"/>
                <w:szCs w:val="21"/>
              </w:rPr>
            </w:pPr>
            <w:r>
              <w:rPr>
                <w:bCs/>
                <w:color w:val="000000"/>
                <w:kern w:val="0"/>
                <w:szCs w:val="21"/>
              </w:rPr>
              <w:t xml:space="preserve">1.069 </w:t>
            </w:r>
          </w:p>
        </w:tc>
        <w:tc>
          <w:tcPr>
            <w:tcW w:w="709"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851" w:type="dxa"/>
            <w:vAlign w:val="center"/>
          </w:tcPr>
          <w:p>
            <w:pPr>
              <w:widowControl/>
              <w:spacing w:line="400" w:lineRule="exact"/>
              <w:jc w:val="center"/>
              <w:rPr>
                <w:bCs/>
                <w:color w:val="000000"/>
                <w:kern w:val="0"/>
                <w:szCs w:val="21"/>
              </w:rPr>
            </w:pPr>
            <w:r>
              <w:rPr>
                <w:bCs/>
                <w:color w:val="000000"/>
                <w:kern w:val="0"/>
                <w:szCs w:val="21"/>
              </w:rPr>
              <w:t xml:space="preserve">-1.032 </w:t>
            </w:r>
          </w:p>
        </w:tc>
        <w:tc>
          <w:tcPr>
            <w:tcW w:w="839" w:type="dxa"/>
            <w:vAlign w:val="center"/>
          </w:tcPr>
          <w:p>
            <w:pPr>
              <w:widowControl/>
              <w:spacing w:line="400" w:lineRule="exact"/>
              <w:jc w:val="center"/>
              <w:rPr>
                <w:bCs/>
                <w:color w:val="000000"/>
                <w:kern w:val="0"/>
                <w:szCs w:val="21"/>
              </w:rPr>
            </w:pPr>
            <w:r>
              <w:rPr>
                <w:bCs/>
                <w:color w:val="000000"/>
                <w:kern w:val="0"/>
                <w:szCs w:val="21"/>
              </w:rPr>
              <w:t xml:space="preserve">-2.064 </w:t>
            </w:r>
          </w:p>
        </w:tc>
      </w:tr>
    </w:tbl>
    <w:p>
      <w:pPr>
        <w:pStyle w:val="131"/>
        <w:spacing w:beforeLines="50" w:afterLines="50"/>
        <w:ind w:firstLine="0" w:firstLineChars="0"/>
        <w:rPr>
          <w:rFonts w:ascii="Times New Roman" w:hAnsi="Times New Roman"/>
          <w:spacing w:val="-20"/>
          <w:sz w:val="24"/>
        </w:rPr>
      </w:pPr>
      <w:r>
        <w:rPr>
          <w:rFonts w:ascii="Times New Roman" w:hAnsi="Times New Roman"/>
          <w:sz w:val="24"/>
        </w:rPr>
        <w:t>表4-6-6  Ⅲ级公共管理与公共服务一类用地宗地地价区域因素修正系数指标说明表</w:t>
      </w:r>
    </w:p>
    <w:tbl>
      <w:tblPr>
        <w:tblW w:w="9192" w:type="dxa"/>
        <w:jc w:val="center"/>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275"/>
        <w:gridCol w:w="1537"/>
        <w:gridCol w:w="857"/>
        <w:gridCol w:w="1231"/>
        <w:gridCol w:w="1126"/>
        <w:gridCol w:w="1126"/>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993" w:type="dxa"/>
            <w:vAlign w:val="center"/>
          </w:tcPr>
          <w:p>
            <w:pPr>
              <w:spacing w:line="400" w:lineRule="exact"/>
              <w:jc w:val="center"/>
              <w:rPr>
                <w:b/>
                <w:bCs/>
                <w:szCs w:val="21"/>
              </w:rPr>
            </w:pPr>
            <w:r>
              <w:rPr>
                <w:b/>
                <w:bCs/>
                <w:szCs w:val="21"/>
              </w:rPr>
              <w:t>因素层</w:t>
            </w:r>
          </w:p>
        </w:tc>
        <w:tc>
          <w:tcPr>
            <w:tcW w:w="1275" w:type="dxa"/>
            <w:vAlign w:val="center"/>
          </w:tcPr>
          <w:p>
            <w:pPr>
              <w:spacing w:line="400" w:lineRule="exact"/>
              <w:jc w:val="center"/>
              <w:rPr>
                <w:b/>
                <w:bCs/>
                <w:szCs w:val="21"/>
              </w:rPr>
            </w:pPr>
            <w:r>
              <w:rPr>
                <w:b/>
                <w:bCs/>
                <w:szCs w:val="21"/>
              </w:rPr>
              <w:t>因子层</w:t>
            </w:r>
          </w:p>
        </w:tc>
        <w:tc>
          <w:tcPr>
            <w:tcW w:w="1537" w:type="dxa"/>
            <w:vAlign w:val="center"/>
          </w:tcPr>
          <w:p>
            <w:pPr>
              <w:spacing w:line="400" w:lineRule="exact"/>
              <w:jc w:val="center"/>
              <w:rPr>
                <w:b/>
                <w:bCs/>
                <w:szCs w:val="21"/>
              </w:rPr>
            </w:pPr>
            <w:r>
              <w:rPr>
                <w:b/>
                <w:bCs/>
                <w:szCs w:val="21"/>
              </w:rPr>
              <w:t>指标层</w:t>
            </w:r>
          </w:p>
        </w:tc>
        <w:tc>
          <w:tcPr>
            <w:tcW w:w="857" w:type="dxa"/>
            <w:vAlign w:val="center"/>
          </w:tcPr>
          <w:p>
            <w:pPr>
              <w:spacing w:line="400" w:lineRule="exact"/>
              <w:jc w:val="center"/>
              <w:rPr>
                <w:b/>
                <w:bCs/>
                <w:szCs w:val="21"/>
              </w:rPr>
            </w:pPr>
            <w:r>
              <w:rPr>
                <w:b/>
                <w:bCs/>
                <w:szCs w:val="21"/>
              </w:rPr>
              <w:t>优</w:t>
            </w:r>
          </w:p>
        </w:tc>
        <w:tc>
          <w:tcPr>
            <w:tcW w:w="1231" w:type="dxa"/>
            <w:vAlign w:val="center"/>
          </w:tcPr>
          <w:p>
            <w:pPr>
              <w:spacing w:line="400" w:lineRule="exact"/>
              <w:jc w:val="center"/>
              <w:rPr>
                <w:b/>
                <w:bCs/>
                <w:szCs w:val="21"/>
              </w:rPr>
            </w:pPr>
            <w:r>
              <w:rPr>
                <w:b/>
                <w:bCs/>
                <w:szCs w:val="21"/>
              </w:rPr>
              <w:t>较优</w:t>
            </w:r>
          </w:p>
        </w:tc>
        <w:tc>
          <w:tcPr>
            <w:tcW w:w="1126" w:type="dxa"/>
            <w:vAlign w:val="center"/>
          </w:tcPr>
          <w:p>
            <w:pPr>
              <w:spacing w:line="400" w:lineRule="exact"/>
              <w:jc w:val="center"/>
              <w:rPr>
                <w:b/>
                <w:bCs/>
                <w:szCs w:val="21"/>
              </w:rPr>
            </w:pPr>
            <w:r>
              <w:rPr>
                <w:b/>
                <w:bCs/>
                <w:szCs w:val="21"/>
              </w:rPr>
              <w:t>一般</w:t>
            </w:r>
          </w:p>
        </w:tc>
        <w:tc>
          <w:tcPr>
            <w:tcW w:w="1126" w:type="dxa"/>
            <w:vAlign w:val="center"/>
          </w:tcPr>
          <w:p>
            <w:pPr>
              <w:spacing w:line="400" w:lineRule="exact"/>
              <w:jc w:val="center"/>
              <w:rPr>
                <w:b/>
                <w:bCs/>
                <w:szCs w:val="21"/>
              </w:rPr>
            </w:pPr>
            <w:r>
              <w:rPr>
                <w:b/>
                <w:bCs/>
                <w:szCs w:val="21"/>
              </w:rPr>
              <w:t>较劣</w:t>
            </w:r>
          </w:p>
        </w:tc>
        <w:tc>
          <w:tcPr>
            <w:tcW w:w="1047"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restart"/>
            <w:vAlign w:val="center"/>
          </w:tcPr>
          <w:p>
            <w:pPr>
              <w:widowControl/>
              <w:spacing w:line="400" w:lineRule="exact"/>
              <w:jc w:val="center"/>
              <w:rPr>
                <w:bCs/>
                <w:color w:val="000000"/>
                <w:kern w:val="0"/>
                <w:szCs w:val="21"/>
              </w:rPr>
            </w:pPr>
            <w:r>
              <w:rPr>
                <w:bCs/>
                <w:color w:val="000000"/>
                <w:kern w:val="0"/>
                <w:szCs w:val="21"/>
              </w:rPr>
              <w:t>基本设施状况</w:t>
            </w:r>
          </w:p>
        </w:tc>
        <w:tc>
          <w:tcPr>
            <w:tcW w:w="1275" w:type="dxa"/>
            <w:vMerge w:val="restart"/>
            <w:vAlign w:val="center"/>
          </w:tcPr>
          <w:p>
            <w:pPr>
              <w:widowControl/>
              <w:spacing w:line="400" w:lineRule="exact"/>
              <w:jc w:val="center"/>
              <w:rPr>
                <w:bCs/>
                <w:color w:val="000000"/>
                <w:kern w:val="0"/>
                <w:szCs w:val="21"/>
              </w:rPr>
            </w:pPr>
            <w:r>
              <w:rPr>
                <w:bCs/>
                <w:color w:val="000000"/>
                <w:kern w:val="0"/>
                <w:szCs w:val="21"/>
              </w:rPr>
              <w:t>公用设施完备度</w:t>
            </w:r>
          </w:p>
        </w:tc>
        <w:tc>
          <w:tcPr>
            <w:tcW w:w="1537" w:type="dxa"/>
            <w:vAlign w:val="center"/>
          </w:tcPr>
          <w:p>
            <w:pPr>
              <w:widowControl/>
              <w:spacing w:line="400" w:lineRule="exact"/>
              <w:jc w:val="center"/>
              <w:rPr>
                <w:bCs/>
                <w:color w:val="000000"/>
                <w:kern w:val="0"/>
                <w:szCs w:val="21"/>
              </w:rPr>
            </w:pPr>
            <w:r>
              <w:rPr>
                <w:bCs/>
                <w:color w:val="000000"/>
                <w:kern w:val="0"/>
                <w:szCs w:val="21"/>
              </w:rPr>
              <w:t>距中小学距离</w:t>
            </w:r>
          </w:p>
        </w:tc>
        <w:tc>
          <w:tcPr>
            <w:tcW w:w="857" w:type="dxa"/>
            <w:vAlign w:val="center"/>
          </w:tcPr>
          <w:p>
            <w:pPr>
              <w:widowControl/>
              <w:spacing w:line="400" w:lineRule="exact"/>
              <w:jc w:val="center"/>
              <w:rPr>
                <w:bCs/>
                <w:color w:val="000000"/>
                <w:kern w:val="0"/>
                <w:szCs w:val="21"/>
              </w:rPr>
            </w:pPr>
            <w:r>
              <w:rPr>
                <w:bCs/>
                <w:color w:val="000000"/>
                <w:kern w:val="0"/>
                <w:szCs w:val="21"/>
              </w:rPr>
              <w:t>&lt;650</w:t>
            </w:r>
          </w:p>
        </w:tc>
        <w:tc>
          <w:tcPr>
            <w:tcW w:w="1231" w:type="dxa"/>
            <w:vAlign w:val="center"/>
          </w:tcPr>
          <w:p>
            <w:pPr>
              <w:widowControl/>
              <w:spacing w:line="400" w:lineRule="exact"/>
              <w:jc w:val="center"/>
              <w:rPr>
                <w:bCs/>
                <w:color w:val="000000"/>
                <w:kern w:val="0"/>
                <w:szCs w:val="21"/>
              </w:rPr>
            </w:pPr>
            <w:r>
              <w:rPr>
                <w:bCs/>
                <w:color w:val="000000"/>
                <w:kern w:val="0"/>
                <w:szCs w:val="21"/>
              </w:rPr>
              <w:t>650-750</w:t>
            </w:r>
          </w:p>
        </w:tc>
        <w:tc>
          <w:tcPr>
            <w:tcW w:w="1126" w:type="dxa"/>
            <w:vAlign w:val="center"/>
          </w:tcPr>
          <w:p>
            <w:pPr>
              <w:widowControl/>
              <w:spacing w:line="400" w:lineRule="exact"/>
              <w:jc w:val="center"/>
              <w:rPr>
                <w:bCs/>
                <w:color w:val="000000"/>
                <w:kern w:val="0"/>
                <w:szCs w:val="21"/>
              </w:rPr>
            </w:pPr>
            <w:r>
              <w:rPr>
                <w:bCs/>
                <w:color w:val="000000"/>
                <w:kern w:val="0"/>
                <w:szCs w:val="21"/>
              </w:rPr>
              <w:t>750-850</w:t>
            </w:r>
          </w:p>
        </w:tc>
        <w:tc>
          <w:tcPr>
            <w:tcW w:w="1126" w:type="dxa"/>
            <w:vAlign w:val="center"/>
          </w:tcPr>
          <w:p>
            <w:pPr>
              <w:widowControl/>
              <w:spacing w:line="400" w:lineRule="exact"/>
              <w:jc w:val="center"/>
              <w:rPr>
                <w:bCs/>
                <w:color w:val="000000"/>
                <w:kern w:val="0"/>
                <w:szCs w:val="21"/>
              </w:rPr>
            </w:pPr>
            <w:r>
              <w:rPr>
                <w:bCs/>
                <w:color w:val="000000"/>
                <w:kern w:val="0"/>
                <w:szCs w:val="21"/>
              </w:rPr>
              <w:t>850-950</w:t>
            </w:r>
          </w:p>
        </w:tc>
        <w:tc>
          <w:tcPr>
            <w:tcW w:w="1047" w:type="dxa"/>
            <w:vAlign w:val="center"/>
          </w:tcPr>
          <w:p>
            <w:pPr>
              <w:widowControl/>
              <w:spacing w:line="400" w:lineRule="exact"/>
              <w:jc w:val="center"/>
              <w:rPr>
                <w:bCs/>
                <w:color w:val="000000"/>
                <w:kern w:val="0"/>
                <w:szCs w:val="21"/>
              </w:rPr>
            </w:pPr>
            <w:r>
              <w:rPr>
                <w:bCs/>
                <w:color w:val="000000"/>
                <w:kern w:val="0"/>
                <w:szCs w:val="21"/>
              </w:rPr>
              <w:t>&gt;950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continue"/>
            <w:vAlign w:val="center"/>
          </w:tcPr>
          <w:p>
            <w:pPr>
              <w:widowControl/>
              <w:spacing w:line="400" w:lineRule="exact"/>
              <w:jc w:val="center"/>
              <w:rPr>
                <w:bCs/>
                <w:color w:val="000000"/>
                <w:kern w:val="0"/>
                <w:szCs w:val="21"/>
              </w:rPr>
            </w:pPr>
          </w:p>
        </w:tc>
        <w:tc>
          <w:tcPr>
            <w:tcW w:w="1275" w:type="dxa"/>
            <w:vMerge w:val="continue"/>
            <w:vAlign w:val="center"/>
          </w:tcPr>
          <w:p>
            <w:pPr>
              <w:widowControl/>
              <w:spacing w:line="400" w:lineRule="exact"/>
              <w:jc w:val="center"/>
              <w:rPr>
                <w:bCs/>
                <w:color w:val="000000"/>
                <w:kern w:val="0"/>
                <w:szCs w:val="21"/>
              </w:rPr>
            </w:pPr>
          </w:p>
        </w:tc>
        <w:tc>
          <w:tcPr>
            <w:tcW w:w="1537" w:type="dxa"/>
            <w:vAlign w:val="center"/>
          </w:tcPr>
          <w:p>
            <w:pPr>
              <w:widowControl/>
              <w:spacing w:line="400" w:lineRule="exact"/>
              <w:jc w:val="center"/>
              <w:rPr>
                <w:bCs/>
                <w:color w:val="000000"/>
                <w:kern w:val="0"/>
                <w:szCs w:val="21"/>
              </w:rPr>
            </w:pPr>
            <w:r>
              <w:rPr>
                <w:bCs/>
                <w:color w:val="000000"/>
                <w:kern w:val="0"/>
                <w:szCs w:val="21"/>
              </w:rPr>
              <w:t>距医院距离</w:t>
            </w:r>
          </w:p>
        </w:tc>
        <w:tc>
          <w:tcPr>
            <w:tcW w:w="857" w:type="dxa"/>
            <w:vAlign w:val="center"/>
          </w:tcPr>
          <w:p>
            <w:pPr>
              <w:widowControl/>
              <w:spacing w:line="400" w:lineRule="exact"/>
              <w:jc w:val="center"/>
              <w:rPr>
                <w:bCs/>
                <w:color w:val="000000"/>
                <w:kern w:val="0"/>
                <w:szCs w:val="21"/>
              </w:rPr>
            </w:pPr>
            <w:r>
              <w:rPr>
                <w:bCs/>
                <w:color w:val="000000"/>
                <w:kern w:val="0"/>
                <w:szCs w:val="21"/>
              </w:rPr>
              <w:t>&lt;850</w:t>
            </w:r>
          </w:p>
        </w:tc>
        <w:tc>
          <w:tcPr>
            <w:tcW w:w="1231" w:type="dxa"/>
            <w:vAlign w:val="center"/>
          </w:tcPr>
          <w:p>
            <w:pPr>
              <w:widowControl/>
              <w:spacing w:line="400" w:lineRule="exact"/>
              <w:jc w:val="center"/>
              <w:rPr>
                <w:bCs/>
                <w:color w:val="000000"/>
                <w:kern w:val="0"/>
                <w:szCs w:val="21"/>
              </w:rPr>
            </w:pPr>
            <w:r>
              <w:rPr>
                <w:bCs/>
                <w:color w:val="000000"/>
                <w:kern w:val="0"/>
                <w:szCs w:val="21"/>
              </w:rPr>
              <w:t>850-1000</w:t>
            </w:r>
          </w:p>
        </w:tc>
        <w:tc>
          <w:tcPr>
            <w:tcW w:w="1126" w:type="dxa"/>
            <w:vAlign w:val="center"/>
          </w:tcPr>
          <w:p>
            <w:pPr>
              <w:widowControl/>
              <w:spacing w:line="400" w:lineRule="exact"/>
              <w:jc w:val="center"/>
              <w:rPr>
                <w:bCs/>
                <w:color w:val="000000"/>
                <w:kern w:val="0"/>
                <w:szCs w:val="21"/>
              </w:rPr>
            </w:pPr>
            <w:r>
              <w:rPr>
                <w:bCs/>
                <w:color w:val="000000"/>
                <w:kern w:val="0"/>
                <w:szCs w:val="21"/>
              </w:rPr>
              <w:t>1000-1150</w:t>
            </w:r>
          </w:p>
        </w:tc>
        <w:tc>
          <w:tcPr>
            <w:tcW w:w="1126" w:type="dxa"/>
            <w:vAlign w:val="center"/>
          </w:tcPr>
          <w:p>
            <w:pPr>
              <w:widowControl/>
              <w:spacing w:line="400" w:lineRule="exact"/>
              <w:jc w:val="center"/>
              <w:rPr>
                <w:bCs/>
                <w:color w:val="000000"/>
                <w:kern w:val="0"/>
                <w:szCs w:val="21"/>
              </w:rPr>
            </w:pPr>
            <w:r>
              <w:rPr>
                <w:bCs/>
                <w:color w:val="000000"/>
                <w:kern w:val="0"/>
                <w:szCs w:val="21"/>
              </w:rPr>
              <w:t>1150-1300</w:t>
            </w:r>
          </w:p>
        </w:tc>
        <w:tc>
          <w:tcPr>
            <w:tcW w:w="1047" w:type="dxa"/>
            <w:vAlign w:val="center"/>
          </w:tcPr>
          <w:p>
            <w:pPr>
              <w:widowControl/>
              <w:spacing w:line="400" w:lineRule="exact"/>
              <w:jc w:val="center"/>
              <w:rPr>
                <w:bCs/>
                <w:color w:val="000000"/>
                <w:kern w:val="0"/>
                <w:szCs w:val="21"/>
              </w:rPr>
            </w:pPr>
            <w:r>
              <w:rPr>
                <w:bCs/>
                <w:color w:val="000000"/>
                <w:kern w:val="0"/>
                <w:szCs w:val="21"/>
              </w:rPr>
              <w:t>&gt;1300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continue"/>
            <w:vAlign w:val="center"/>
          </w:tcPr>
          <w:p>
            <w:pPr>
              <w:widowControl/>
              <w:spacing w:line="400" w:lineRule="exact"/>
              <w:jc w:val="center"/>
              <w:rPr>
                <w:bCs/>
                <w:color w:val="000000"/>
                <w:kern w:val="0"/>
                <w:szCs w:val="21"/>
              </w:rPr>
            </w:pPr>
          </w:p>
        </w:tc>
        <w:tc>
          <w:tcPr>
            <w:tcW w:w="1275" w:type="dxa"/>
            <w:vMerge w:val="continue"/>
            <w:vAlign w:val="center"/>
          </w:tcPr>
          <w:p>
            <w:pPr>
              <w:widowControl/>
              <w:spacing w:line="400" w:lineRule="exact"/>
              <w:jc w:val="center"/>
              <w:rPr>
                <w:bCs/>
                <w:color w:val="000000"/>
                <w:kern w:val="0"/>
                <w:szCs w:val="21"/>
              </w:rPr>
            </w:pPr>
          </w:p>
        </w:tc>
        <w:tc>
          <w:tcPr>
            <w:tcW w:w="1537" w:type="dxa"/>
            <w:vAlign w:val="center"/>
          </w:tcPr>
          <w:p>
            <w:pPr>
              <w:widowControl/>
              <w:spacing w:line="400" w:lineRule="exact"/>
              <w:jc w:val="center"/>
              <w:rPr>
                <w:bCs/>
                <w:color w:val="000000"/>
                <w:kern w:val="0"/>
                <w:szCs w:val="21"/>
              </w:rPr>
            </w:pPr>
            <w:r>
              <w:rPr>
                <w:bCs/>
                <w:color w:val="000000"/>
                <w:kern w:val="0"/>
                <w:szCs w:val="21"/>
              </w:rPr>
              <w:t>距文体设施用地距离</w:t>
            </w:r>
          </w:p>
        </w:tc>
        <w:tc>
          <w:tcPr>
            <w:tcW w:w="857" w:type="dxa"/>
            <w:vAlign w:val="center"/>
          </w:tcPr>
          <w:p>
            <w:pPr>
              <w:widowControl/>
              <w:spacing w:line="400" w:lineRule="exact"/>
              <w:jc w:val="center"/>
              <w:rPr>
                <w:bCs/>
                <w:color w:val="000000"/>
                <w:kern w:val="0"/>
                <w:szCs w:val="21"/>
              </w:rPr>
            </w:pPr>
            <w:r>
              <w:rPr>
                <w:bCs/>
                <w:color w:val="000000"/>
                <w:kern w:val="0"/>
                <w:szCs w:val="21"/>
              </w:rPr>
              <w:t>&lt;700</w:t>
            </w:r>
          </w:p>
        </w:tc>
        <w:tc>
          <w:tcPr>
            <w:tcW w:w="1231" w:type="dxa"/>
            <w:vAlign w:val="center"/>
          </w:tcPr>
          <w:p>
            <w:pPr>
              <w:widowControl/>
              <w:spacing w:line="400" w:lineRule="exact"/>
              <w:jc w:val="center"/>
              <w:rPr>
                <w:bCs/>
                <w:color w:val="000000"/>
                <w:kern w:val="0"/>
                <w:szCs w:val="21"/>
              </w:rPr>
            </w:pPr>
            <w:r>
              <w:rPr>
                <w:bCs/>
                <w:color w:val="000000"/>
                <w:kern w:val="0"/>
                <w:szCs w:val="21"/>
              </w:rPr>
              <w:t>700-850</w:t>
            </w:r>
          </w:p>
        </w:tc>
        <w:tc>
          <w:tcPr>
            <w:tcW w:w="1126" w:type="dxa"/>
            <w:vAlign w:val="center"/>
          </w:tcPr>
          <w:p>
            <w:pPr>
              <w:widowControl/>
              <w:spacing w:line="400" w:lineRule="exact"/>
              <w:jc w:val="center"/>
              <w:rPr>
                <w:bCs/>
                <w:color w:val="000000"/>
                <w:kern w:val="0"/>
                <w:szCs w:val="21"/>
              </w:rPr>
            </w:pPr>
            <w:r>
              <w:rPr>
                <w:bCs/>
                <w:color w:val="000000"/>
                <w:kern w:val="0"/>
                <w:szCs w:val="21"/>
              </w:rPr>
              <w:t>850-1000</w:t>
            </w:r>
          </w:p>
        </w:tc>
        <w:tc>
          <w:tcPr>
            <w:tcW w:w="1126" w:type="dxa"/>
            <w:vAlign w:val="center"/>
          </w:tcPr>
          <w:p>
            <w:pPr>
              <w:widowControl/>
              <w:spacing w:line="400" w:lineRule="exact"/>
              <w:jc w:val="center"/>
              <w:rPr>
                <w:bCs/>
                <w:color w:val="000000"/>
                <w:kern w:val="0"/>
                <w:szCs w:val="21"/>
              </w:rPr>
            </w:pPr>
            <w:r>
              <w:rPr>
                <w:bCs/>
                <w:color w:val="000000"/>
                <w:kern w:val="0"/>
                <w:szCs w:val="21"/>
              </w:rPr>
              <w:t>1000-1150</w:t>
            </w:r>
          </w:p>
        </w:tc>
        <w:tc>
          <w:tcPr>
            <w:tcW w:w="1047" w:type="dxa"/>
            <w:vAlign w:val="center"/>
          </w:tcPr>
          <w:p>
            <w:pPr>
              <w:widowControl/>
              <w:spacing w:line="400" w:lineRule="exact"/>
              <w:jc w:val="center"/>
              <w:rPr>
                <w:bCs/>
                <w:color w:val="000000"/>
                <w:kern w:val="0"/>
                <w:szCs w:val="21"/>
              </w:rPr>
            </w:pPr>
            <w:r>
              <w:rPr>
                <w:bCs/>
                <w:color w:val="000000"/>
                <w:kern w:val="0"/>
                <w:szCs w:val="21"/>
              </w:rPr>
              <w:t>&gt;1150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993" w:type="dxa"/>
            <w:vAlign w:val="center"/>
          </w:tcPr>
          <w:p>
            <w:pPr>
              <w:widowControl/>
              <w:spacing w:line="400" w:lineRule="exact"/>
              <w:jc w:val="center"/>
              <w:rPr>
                <w:bCs/>
                <w:color w:val="000000"/>
                <w:kern w:val="0"/>
                <w:szCs w:val="21"/>
              </w:rPr>
            </w:pPr>
            <w:r>
              <w:rPr>
                <w:bCs/>
                <w:color w:val="000000"/>
                <w:kern w:val="0"/>
                <w:szCs w:val="21"/>
              </w:rPr>
              <w:t>繁华程度</w:t>
            </w:r>
          </w:p>
        </w:tc>
        <w:tc>
          <w:tcPr>
            <w:tcW w:w="1275" w:type="dxa"/>
            <w:vAlign w:val="center"/>
          </w:tcPr>
          <w:p>
            <w:pPr>
              <w:widowControl/>
              <w:spacing w:line="400" w:lineRule="exact"/>
              <w:jc w:val="center"/>
              <w:rPr>
                <w:bCs/>
                <w:color w:val="000000"/>
                <w:kern w:val="0"/>
                <w:szCs w:val="21"/>
              </w:rPr>
            </w:pPr>
            <w:r>
              <w:rPr>
                <w:bCs/>
                <w:color w:val="000000"/>
                <w:kern w:val="0"/>
                <w:szCs w:val="21"/>
              </w:rPr>
              <w:t>商服繁华影响度</w:t>
            </w:r>
          </w:p>
        </w:tc>
        <w:tc>
          <w:tcPr>
            <w:tcW w:w="1537" w:type="dxa"/>
            <w:vAlign w:val="center"/>
          </w:tcPr>
          <w:p>
            <w:pPr>
              <w:widowControl/>
              <w:spacing w:line="400" w:lineRule="exact"/>
              <w:jc w:val="center"/>
              <w:rPr>
                <w:bCs/>
                <w:color w:val="000000"/>
                <w:kern w:val="0"/>
                <w:szCs w:val="21"/>
              </w:rPr>
            </w:pPr>
            <w:r>
              <w:rPr>
                <w:bCs/>
                <w:color w:val="000000"/>
                <w:kern w:val="0"/>
                <w:szCs w:val="21"/>
              </w:rPr>
              <w:t>距商服中心距离</w:t>
            </w:r>
          </w:p>
        </w:tc>
        <w:tc>
          <w:tcPr>
            <w:tcW w:w="857" w:type="dxa"/>
            <w:vAlign w:val="center"/>
          </w:tcPr>
          <w:p>
            <w:pPr>
              <w:widowControl/>
              <w:spacing w:line="400" w:lineRule="exact"/>
              <w:jc w:val="center"/>
              <w:rPr>
                <w:bCs/>
                <w:color w:val="000000"/>
                <w:kern w:val="0"/>
                <w:szCs w:val="21"/>
              </w:rPr>
            </w:pPr>
            <w:r>
              <w:rPr>
                <w:bCs/>
                <w:color w:val="000000"/>
                <w:kern w:val="0"/>
                <w:szCs w:val="21"/>
              </w:rPr>
              <w:t>&lt;1000</w:t>
            </w:r>
          </w:p>
        </w:tc>
        <w:tc>
          <w:tcPr>
            <w:tcW w:w="1231" w:type="dxa"/>
            <w:vAlign w:val="center"/>
          </w:tcPr>
          <w:p>
            <w:pPr>
              <w:widowControl/>
              <w:spacing w:line="400" w:lineRule="exact"/>
              <w:jc w:val="center"/>
              <w:rPr>
                <w:bCs/>
                <w:color w:val="000000"/>
                <w:kern w:val="0"/>
                <w:szCs w:val="21"/>
              </w:rPr>
            </w:pPr>
            <w:r>
              <w:rPr>
                <w:bCs/>
                <w:color w:val="000000"/>
                <w:kern w:val="0"/>
                <w:szCs w:val="21"/>
              </w:rPr>
              <w:t>1000-1100</w:t>
            </w:r>
          </w:p>
        </w:tc>
        <w:tc>
          <w:tcPr>
            <w:tcW w:w="1126" w:type="dxa"/>
            <w:vAlign w:val="center"/>
          </w:tcPr>
          <w:p>
            <w:pPr>
              <w:widowControl/>
              <w:spacing w:line="400" w:lineRule="exact"/>
              <w:jc w:val="center"/>
              <w:rPr>
                <w:bCs/>
                <w:color w:val="000000"/>
                <w:kern w:val="0"/>
                <w:szCs w:val="21"/>
              </w:rPr>
            </w:pPr>
            <w:r>
              <w:rPr>
                <w:bCs/>
                <w:color w:val="000000"/>
                <w:kern w:val="0"/>
                <w:szCs w:val="21"/>
              </w:rPr>
              <w:t>1100-1200</w:t>
            </w:r>
          </w:p>
        </w:tc>
        <w:tc>
          <w:tcPr>
            <w:tcW w:w="1126" w:type="dxa"/>
            <w:vAlign w:val="center"/>
          </w:tcPr>
          <w:p>
            <w:pPr>
              <w:widowControl/>
              <w:spacing w:line="400" w:lineRule="exact"/>
              <w:jc w:val="center"/>
              <w:rPr>
                <w:bCs/>
                <w:color w:val="000000"/>
                <w:kern w:val="0"/>
                <w:szCs w:val="21"/>
              </w:rPr>
            </w:pPr>
            <w:r>
              <w:rPr>
                <w:bCs/>
                <w:color w:val="000000"/>
                <w:kern w:val="0"/>
                <w:szCs w:val="21"/>
              </w:rPr>
              <w:t>1200-1300</w:t>
            </w:r>
          </w:p>
        </w:tc>
        <w:tc>
          <w:tcPr>
            <w:tcW w:w="1047" w:type="dxa"/>
            <w:vAlign w:val="center"/>
          </w:tcPr>
          <w:p>
            <w:pPr>
              <w:widowControl/>
              <w:spacing w:line="400" w:lineRule="exact"/>
              <w:jc w:val="center"/>
              <w:rPr>
                <w:bCs/>
                <w:color w:val="000000"/>
                <w:kern w:val="0"/>
                <w:szCs w:val="21"/>
              </w:rPr>
            </w:pPr>
            <w:r>
              <w:rPr>
                <w:bCs/>
                <w:color w:val="000000"/>
                <w:kern w:val="0"/>
                <w:szCs w:val="21"/>
              </w:rPr>
              <w:t>&gt;1300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Align w:val="center"/>
          </w:tcPr>
          <w:p>
            <w:pPr>
              <w:widowControl/>
              <w:spacing w:line="400" w:lineRule="exact"/>
              <w:jc w:val="center"/>
              <w:rPr>
                <w:bCs/>
                <w:color w:val="000000"/>
                <w:kern w:val="0"/>
                <w:szCs w:val="21"/>
              </w:rPr>
            </w:pPr>
            <w:r>
              <w:rPr>
                <w:bCs/>
                <w:color w:val="000000"/>
                <w:kern w:val="0"/>
                <w:szCs w:val="21"/>
              </w:rPr>
              <w:t>人口状况</w:t>
            </w:r>
          </w:p>
        </w:tc>
        <w:tc>
          <w:tcPr>
            <w:tcW w:w="1275" w:type="dxa"/>
            <w:vAlign w:val="center"/>
          </w:tcPr>
          <w:p>
            <w:pPr>
              <w:widowControl/>
              <w:spacing w:line="400" w:lineRule="exact"/>
              <w:jc w:val="center"/>
              <w:rPr>
                <w:bCs/>
                <w:color w:val="000000"/>
                <w:kern w:val="0"/>
                <w:szCs w:val="21"/>
              </w:rPr>
            </w:pPr>
            <w:r>
              <w:rPr>
                <w:bCs/>
                <w:color w:val="000000"/>
                <w:kern w:val="0"/>
                <w:szCs w:val="21"/>
              </w:rPr>
              <w:t>人口密度</w:t>
            </w:r>
          </w:p>
        </w:tc>
        <w:tc>
          <w:tcPr>
            <w:tcW w:w="1537" w:type="dxa"/>
            <w:vAlign w:val="center"/>
          </w:tcPr>
          <w:p>
            <w:pPr>
              <w:widowControl/>
              <w:spacing w:line="400" w:lineRule="exact"/>
              <w:jc w:val="center"/>
              <w:rPr>
                <w:bCs/>
                <w:color w:val="000000"/>
                <w:kern w:val="0"/>
                <w:szCs w:val="21"/>
              </w:rPr>
            </w:pPr>
            <w:r>
              <w:rPr>
                <w:bCs/>
                <w:color w:val="000000"/>
                <w:kern w:val="0"/>
                <w:szCs w:val="21"/>
              </w:rPr>
              <w:t>人口密度</w:t>
            </w:r>
          </w:p>
        </w:tc>
        <w:tc>
          <w:tcPr>
            <w:tcW w:w="857" w:type="dxa"/>
            <w:vAlign w:val="center"/>
          </w:tcPr>
          <w:p>
            <w:pPr>
              <w:widowControl/>
              <w:spacing w:line="400" w:lineRule="exact"/>
              <w:jc w:val="center"/>
              <w:rPr>
                <w:bCs/>
                <w:color w:val="000000"/>
                <w:kern w:val="0"/>
                <w:szCs w:val="21"/>
              </w:rPr>
            </w:pPr>
            <w:r>
              <w:rPr>
                <w:bCs/>
                <w:color w:val="000000"/>
                <w:kern w:val="0"/>
                <w:szCs w:val="21"/>
              </w:rPr>
              <w:t>≥10000</w:t>
            </w:r>
          </w:p>
        </w:tc>
        <w:tc>
          <w:tcPr>
            <w:tcW w:w="1231" w:type="dxa"/>
            <w:vAlign w:val="center"/>
          </w:tcPr>
          <w:p>
            <w:pPr>
              <w:widowControl/>
              <w:spacing w:line="400" w:lineRule="exact"/>
              <w:jc w:val="center"/>
              <w:rPr>
                <w:bCs/>
                <w:color w:val="000000"/>
                <w:kern w:val="0"/>
                <w:szCs w:val="21"/>
              </w:rPr>
            </w:pPr>
            <w:r>
              <w:rPr>
                <w:bCs/>
                <w:color w:val="000000"/>
                <w:kern w:val="0"/>
                <w:szCs w:val="21"/>
              </w:rPr>
              <w:t>10000-5000</w:t>
            </w:r>
          </w:p>
        </w:tc>
        <w:tc>
          <w:tcPr>
            <w:tcW w:w="1126" w:type="dxa"/>
            <w:vAlign w:val="center"/>
          </w:tcPr>
          <w:p>
            <w:pPr>
              <w:widowControl/>
              <w:spacing w:line="400" w:lineRule="exact"/>
              <w:jc w:val="center"/>
              <w:rPr>
                <w:bCs/>
                <w:color w:val="000000"/>
                <w:kern w:val="0"/>
                <w:szCs w:val="21"/>
              </w:rPr>
            </w:pPr>
            <w:r>
              <w:rPr>
                <w:bCs/>
                <w:color w:val="000000"/>
                <w:kern w:val="0"/>
                <w:szCs w:val="21"/>
              </w:rPr>
              <w:t>5000-2000</w:t>
            </w:r>
          </w:p>
        </w:tc>
        <w:tc>
          <w:tcPr>
            <w:tcW w:w="1126" w:type="dxa"/>
            <w:vAlign w:val="center"/>
          </w:tcPr>
          <w:p>
            <w:pPr>
              <w:widowControl/>
              <w:spacing w:line="400" w:lineRule="exact"/>
              <w:jc w:val="center"/>
              <w:rPr>
                <w:bCs/>
                <w:color w:val="000000"/>
                <w:kern w:val="0"/>
                <w:szCs w:val="21"/>
              </w:rPr>
            </w:pPr>
            <w:r>
              <w:rPr>
                <w:bCs/>
                <w:color w:val="000000"/>
                <w:kern w:val="0"/>
                <w:szCs w:val="21"/>
              </w:rPr>
              <w:t>2000-1000</w:t>
            </w:r>
          </w:p>
        </w:tc>
        <w:tc>
          <w:tcPr>
            <w:tcW w:w="1047" w:type="dxa"/>
            <w:vAlign w:val="center"/>
          </w:tcPr>
          <w:p>
            <w:pPr>
              <w:widowControl/>
              <w:spacing w:line="400" w:lineRule="exact"/>
              <w:jc w:val="center"/>
              <w:rPr>
                <w:bCs/>
                <w:color w:val="000000"/>
                <w:kern w:val="0"/>
                <w:szCs w:val="21"/>
              </w:rPr>
            </w:pPr>
            <w:r>
              <w:rPr>
                <w:bCs/>
                <w:color w:val="000000"/>
                <w:kern w:val="0"/>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restart"/>
            <w:vAlign w:val="center"/>
          </w:tcPr>
          <w:p>
            <w:pPr>
              <w:widowControl/>
              <w:spacing w:line="400" w:lineRule="exact"/>
              <w:jc w:val="center"/>
              <w:rPr>
                <w:bCs/>
                <w:color w:val="000000"/>
                <w:kern w:val="0"/>
                <w:szCs w:val="21"/>
              </w:rPr>
            </w:pPr>
            <w:r>
              <w:rPr>
                <w:bCs/>
                <w:color w:val="000000"/>
                <w:kern w:val="0"/>
                <w:szCs w:val="21"/>
              </w:rPr>
              <w:t>交通条件</w:t>
            </w:r>
          </w:p>
        </w:tc>
        <w:tc>
          <w:tcPr>
            <w:tcW w:w="1275" w:type="dxa"/>
            <w:vAlign w:val="center"/>
          </w:tcPr>
          <w:p>
            <w:pPr>
              <w:widowControl/>
              <w:spacing w:line="400" w:lineRule="exact"/>
              <w:jc w:val="center"/>
              <w:rPr>
                <w:bCs/>
                <w:color w:val="000000"/>
                <w:kern w:val="0"/>
                <w:szCs w:val="21"/>
              </w:rPr>
            </w:pPr>
            <w:r>
              <w:rPr>
                <w:bCs/>
                <w:color w:val="000000"/>
                <w:kern w:val="0"/>
                <w:szCs w:val="21"/>
              </w:rPr>
              <w:t>道路通达度</w:t>
            </w:r>
          </w:p>
        </w:tc>
        <w:tc>
          <w:tcPr>
            <w:tcW w:w="1537" w:type="dxa"/>
            <w:vAlign w:val="center"/>
          </w:tcPr>
          <w:p>
            <w:pPr>
              <w:widowControl/>
              <w:spacing w:line="400" w:lineRule="exact"/>
              <w:jc w:val="center"/>
              <w:rPr>
                <w:bCs/>
                <w:color w:val="000000"/>
                <w:kern w:val="0"/>
                <w:szCs w:val="21"/>
              </w:rPr>
            </w:pPr>
            <w:r>
              <w:rPr>
                <w:bCs/>
                <w:color w:val="000000"/>
                <w:kern w:val="0"/>
                <w:szCs w:val="21"/>
              </w:rPr>
              <w:t>临近道路状况</w:t>
            </w:r>
          </w:p>
        </w:tc>
        <w:tc>
          <w:tcPr>
            <w:tcW w:w="857" w:type="dxa"/>
            <w:vAlign w:val="center"/>
          </w:tcPr>
          <w:p>
            <w:pPr>
              <w:widowControl/>
              <w:spacing w:line="400" w:lineRule="exact"/>
              <w:jc w:val="center"/>
              <w:rPr>
                <w:bCs/>
                <w:color w:val="000000"/>
                <w:kern w:val="0"/>
                <w:szCs w:val="21"/>
              </w:rPr>
            </w:pPr>
            <w:r>
              <w:rPr>
                <w:bCs/>
                <w:color w:val="000000"/>
                <w:kern w:val="0"/>
                <w:szCs w:val="21"/>
              </w:rPr>
              <w:t>混合型主干道</w:t>
            </w:r>
          </w:p>
        </w:tc>
        <w:tc>
          <w:tcPr>
            <w:tcW w:w="1231" w:type="dxa"/>
            <w:vAlign w:val="center"/>
          </w:tcPr>
          <w:p>
            <w:pPr>
              <w:widowControl/>
              <w:spacing w:line="400" w:lineRule="exact"/>
              <w:jc w:val="center"/>
              <w:rPr>
                <w:bCs/>
                <w:color w:val="000000"/>
                <w:kern w:val="0"/>
                <w:szCs w:val="21"/>
              </w:rPr>
            </w:pPr>
            <w:r>
              <w:rPr>
                <w:bCs/>
                <w:color w:val="000000"/>
                <w:kern w:val="0"/>
                <w:szCs w:val="21"/>
              </w:rPr>
              <w:t>生活型或交通型主干道</w:t>
            </w:r>
          </w:p>
        </w:tc>
        <w:tc>
          <w:tcPr>
            <w:tcW w:w="1126" w:type="dxa"/>
            <w:vAlign w:val="center"/>
          </w:tcPr>
          <w:p>
            <w:pPr>
              <w:widowControl/>
              <w:spacing w:line="400" w:lineRule="exact"/>
              <w:jc w:val="center"/>
              <w:rPr>
                <w:bCs/>
                <w:color w:val="000000"/>
                <w:kern w:val="0"/>
                <w:szCs w:val="21"/>
              </w:rPr>
            </w:pPr>
            <w:r>
              <w:rPr>
                <w:bCs/>
                <w:color w:val="000000"/>
                <w:kern w:val="0"/>
                <w:szCs w:val="21"/>
              </w:rPr>
              <w:t>次主道</w:t>
            </w:r>
          </w:p>
        </w:tc>
        <w:tc>
          <w:tcPr>
            <w:tcW w:w="1126" w:type="dxa"/>
            <w:vAlign w:val="center"/>
          </w:tcPr>
          <w:p>
            <w:pPr>
              <w:widowControl/>
              <w:spacing w:line="400" w:lineRule="exact"/>
              <w:jc w:val="center"/>
              <w:rPr>
                <w:bCs/>
                <w:color w:val="000000"/>
                <w:kern w:val="0"/>
                <w:szCs w:val="21"/>
              </w:rPr>
            </w:pPr>
            <w:r>
              <w:rPr>
                <w:bCs/>
                <w:color w:val="000000"/>
                <w:kern w:val="0"/>
                <w:szCs w:val="21"/>
              </w:rPr>
              <w:t>支路</w:t>
            </w:r>
          </w:p>
        </w:tc>
        <w:tc>
          <w:tcPr>
            <w:tcW w:w="1047" w:type="dxa"/>
            <w:vAlign w:val="center"/>
          </w:tcPr>
          <w:p>
            <w:pPr>
              <w:widowControl/>
              <w:spacing w:line="400" w:lineRule="exact"/>
              <w:jc w:val="center"/>
              <w:rPr>
                <w:bCs/>
                <w:color w:val="000000"/>
                <w:kern w:val="0"/>
                <w:szCs w:val="21"/>
              </w:rPr>
            </w:pPr>
            <w:r>
              <w:rPr>
                <w:bCs/>
                <w:color w:val="000000"/>
                <w:kern w:val="0"/>
                <w:szCs w:val="21"/>
              </w:rPr>
              <w:t>巷道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continue"/>
            <w:vAlign w:val="center"/>
          </w:tcPr>
          <w:p>
            <w:pPr>
              <w:widowControl/>
              <w:spacing w:line="400" w:lineRule="exact"/>
              <w:jc w:val="center"/>
              <w:rPr>
                <w:bCs/>
                <w:color w:val="000000"/>
                <w:kern w:val="0"/>
                <w:szCs w:val="21"/>
              </w:rPr>
            </w:pPr>
          </w:p>
        </w:tc>
        <w:tc>
          <w:tcPr>
            <w:tcW w:w="1275" w:type="dxa"/>
            <w:vAlign w:val="center"/>
          </w:tcPr>
          <w:p>
            <w:pPr>
              <w:widowControl/>
              <w:spacing w:line="400" w:lineRule="exact"/>
              <w:jc w:val="center"/>
              <w:rPr>
                <w:bCs/>
                <w:color w:val="000000"/>
                <w:kern w:val="0"/>
                <w:szCs w:val="21"/>
              </w:rPr>
            </w:pPr>
            <w:r>
              <w:rPr>
                <w:bCs/>
                <w:color w:val="000000"/>
                <w:kern w:val="0"/>
                <w:szCs w:val="21"/>
              </w:rPr>
              <w:t>公交便捷度</w:t>
            </w:r>
          </w:p>
        </w:tc>
        <w:tc>
          <w:tcPr>
            <w:tcW w:w="1537" w:type="dxa"/>
            <w:vAlign w:val="center"/>
          </w:tcPr>
          <w:p>
            <w:pPr>
              <w:widowControl/>
              <w:spacing w:line="400" w:lineRule="exact"/>
              <w:jc w:val="center"/>
              <w:rPr>
                <w:bCs/>
                <w:color w:val="000000"/>
                <w:kern w:val="0"/>
                <w:szCs w:val="21"/>
              </w:rPr>
            </w:pPr>
            <w:r>
              <w:rPr>
                <w:bCs/>
                <w:color w:val="000000"/>
                <w:kern w:val="0"/>
                <w:szCs w:val="21"/>
              </w:rPr>
              <w:t>距最近公交站点距离</w:t>
            </w:r>
          </w:p>
        </w:tc>
        <w:tc>
          <w:tcPr>
            <w:tcW w:w="857" w:type="dxa"/>
            <w:vAlign w:val="center"/>
          </w:tcPr>
          <w:p>
            <w:pPr>
              <w:widowControl/>
              <w:spacing w:line="400" w:lineRule="exact"/>
              <w:jc w:val="center"/>
              <w:rPr>
                <w:bCs/>
                <w:color w:val="000000"/>
                <w:kern w:val="0"/>
                <w:szCs w:val="21"/>
              </w:rPr>
            </w:pPr>
            <w:r>
              <w:rPr>
                <w:bCs/>
                <w:color w:val="000000"/>
                <w:kern w:val="0"/>
                <w:szCs w:val="21"/>
              </w:rPr>
              <w:t>&lt;500</w:t>
            </w:r>
          </w:p>
        </w:tc>
        <w:tc>
          <w:tcPr>
            <w:tcW w:w="1231" w:type="dxa"/>
            <w:vAlign w:val="center"/>
          </w:tcPr>
          <w:p>
            <w:pPr>
              <w:widowControl/>
              <w:spacing w:line="400" w:lineRule="exact"/>
              <w:jc w:val="center"/>
              <w:rPr>
                <w:bCs/>
                <w:color w:val="000000"/>
                <w:kern w:val="0"/>
                <w:szCs w:val="21"/>
              </w:rPr>
            </w:pPr>
            <w:r>
              <w:rPr>
                <w:bCs/>
                <w:color w:val="000000"/>
                <w:kern w:val="0"/>
                <w:szCs w:val="21"/>
              </w:rPr>
              <w:t>500-600</w:t>
            </w:r>
          </w:p>
        </w:tc>
        <w:tc>
          <w:tcPr>
            <w:tcW w:w="1126" w:type="dxa"/>
            <w:vAlign w:val="center"/>
          </w:tcPr>
          <w:p>
            <w:pPr>
              <w:widowControl/>
              <w:spacing w:line="400" w:lineRule="exact"/>
              <w:jc w:val="center"/>
              <w:rPr>
                <w:bCs/>
                <w:color w:val="000000"/>
                <w:kern w:val="0"/>
                <w:szCs w:val="21"/>
              </w:rPr>
            </w:pPr>
            <w:r>
              <w:rPr>
                <w:bCs/>
                <w:color w:val="000000"/>
                <w:kern w:val="0"/>
                <w:szCs w:val="21"/>
              </w:rPr>
              <w:t>600-700</w:t>
            </w:r>
          </w:p>
        </w:tc>
        <w:tc>
          <w:tcPr>
            <w:tcW w:w="1126" w:type="dxa"/>
            <w:vAlign w:val="center"/>
          </w:tcPr>
          <w:p>
            <w:pPr>
              <w:widowControl/>
              <w:spacing w:line="400" w:lineRule="exact"/>
              <w:jc w:val="center"/>
              <w:rPr>
                <w:bCs/>
                <w:color w:val="000000"/>
                <w:kern w:val="0"/>
                <w:szCs w:val="21"/>
              </w:rPr>
            </w:pPr>
            <w:r>
              <w:rPr>
                <w:bCs/>
                <w:color w:val="000000"/>
                <w:kern w:val="0"/>
                <w:szCs w:val="21"/>
              </w:rPr>
              <w:t>700-800</w:t>
            </w:r>
          </w:p>
        </w:tc>
        <w:tc>
          <w:tcPr>
            <w:tcW w:w="1047" w:type="dxa"/>
            <w:vAlign w:val="center"/>
          </w:tcPr>
          <w:p>
            <w:pPr>
              <w:widowControl/>
              <w:spacing w:line="400" w:lineRule="exact"/>
              <w:jc w:val="center"/>
              <w:rPr>
                <w:bCs/>
                <w:color w:val="000000"/>
                <w:kern w:val="0"/>
                <w:szCs w:val="21"/>
              </w:rPr>
            </w:pPr>
            <w:r>
              <w:rPr>
                <w:bCs/>
                <w:color w:val="000000"/>
                <w:kern w:val="0"/>
                <w:szCs w:val="21"/>
              </w:rPr>
              <w:t>&gt;800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continue"/>
            <w:vAlign w:val="center"/>
          </w:tcPr>
          <w:p>
            <w:pPr>
              <w:widowControl/>
              <w:spacing w:line="400" w:lineRule="exact"/>
              <w:jc w:val="center"/>
              <w:rPr>
                <w:bCs/>
                <w:color w:val="000000"/>
                <w:kern w:val="0"/>
                <w:szCs w:val="21"/>
              </w:rPr>
            </w:pPr>
          </w:p>
        </w:tc>
        <w:tc>
          <w:tcPr>
            <w:tcW w:w="1275" w:type="dxa"/>
            <w:vAlign w:val="center"/>
          </w:tcPr>
          <w:p>
            <w:pPr>
              <w:widowControl/>
              <w:spacing w:line="400" w:lineRule="exact"/>
              <w:jc w:val="center"/>
              <w:rPr>
                <w:bCs/>
                <w:color w:val="000000"/>
                <w:kern w:val="0"/>
                <w:szCs w:val="21"/>
              </w:rPr>
            </w:pPr>
            <w:r>
              <w:rPr>
                <w:bCs/>
                <w:color w:val="000000"/>
                <w:kern w:val="0"/>
                <w:szCs w:val="21"/>
              </w:rPr>
              <w:t>对外交通便利度</w:t>
            </w:r>
          </w:p>
        </w:tc>
        <w:tc>
          <w:tcPr>
            <w:tcW w:w="1537" w:type="dxa"/>
            <w:vAlign w:val="center"/>
          </w:tcPr>
          <w:p>
            <w:pPr>
              <w:widowControl/>
              <w:spacing w:line="400" w:lineRule="exact"/>
              <w:jc w:val="center"/>
              <w:rPr>
                <w:bCs/>
                <w:color w:val="000000"/>
                <w:kern w:val="0"/>
                <w:szCs w:val="21"/>
              </w:rPr>
            </w:pPr>
            <w:r>
              <w:rPr>
                <w:bCs/>
                <w:color w:val="000000"/>
                <w:kern w:val="0"/>
                <w:szCs w:val="21"/>
              </w:rPr>
              <w:t>距最近汽车站距离</w:t>
            </w:r>
          </w:p>
        </w:tc>
        <w:tc>
          <w:tcPr>
            <w:tcW w:w="857" w:type="dxa"/>
            <w:vAlign w:val="center"/>
          </w:tcPr>
          <w:p>
            <w:pPr>
              <w:widowControl/>
              <w:spacing w:line="400" w:lineRule="exact"/>
              <w:jc w:val="center"/>
              <w:rPr>
                <w:bCs/>
                <w:color w:val="000000"/>
                <w:kern w:val="0"/>
                <w:szCs w:val="21"/>
              </w:rPr>
            </w:pPr>
            <w:r>
              <w:rPr>
                <w:bCs/>
                <w:color w:val="000000"/>
                <w:kern w:val="0"/>
                <w:szCs w:val="21"/>
              </w:rPr>
              <w:t>&lt;1300</w:t>
            </w:r>
          </w:p>
        </w:tc>
        <w:tc>
          <w:tcPr>
            <w:tcW w:w="1231" w:type="dxa"/>
            <w:vAlign w:val="center"/>
          </w:tcPr>
          <w:p>
            <w:pPr>
              <w:widowControl/>
              <w:spacing w:line="400" w:lineRule="exact"/>
              <w:jc w:val="center"/>
              <w:rPr>
                <w:bCs/>
                <w:color w:val="000000"/>
                <w:kern w:val="0"/>
                <w:szCs w:val="21"/>
              </w:rPr>
            </w:pPr>
            <w:r>
              <w:rPr>
                <w:bCs/>
                <w:color w:val="000000"/>
                <w:kern w:val="0"/>
                <w:szCs w:val="21"/>
              </w:rPr>
              <w:t>1300-1600</w:t>
            </w:r>
          </w:p>
        </w:tc>
        <w:tc>
          <w:tcPr>
            <w:tcW w:w="1126" w:type="dxa"/>
            <w:vAlign w:val="center"/>
          </w:tcPr>
          <w:p>
            <w:pPr>
              <w:widowControl/>
              <w:spacing w:line="400" w:lineRule="exact"/>
              <w:jc w:val="center"/>
              <w:rPr>
                <w:bCs/>
                <w:color w:val="000000"/>
                <w:kern w:val="0"/>
                <w:szCs w:val="21"/>
              </w:rPr>
            </w:pPr>
            <w:r>
              <w:rPr>
                <w:bCs/>
                <w:color w:val="000000"/>
                <w:kern w:val="0"/>
                <w:szCs w:val="21"/>
              </w:rPr>
              <w:t>1600-1900</w:t>
            </w:r>
          </w:p>
        </w:tc>
        <w:tc>
          <w:tcPr>
            <w:tcW w:w="1126" w:type="dxa"/>
            <w:vAlign w:val="center"/>
          </w:tcPr>
          <w:p>
            <w:pPr>
              <w:widowControl/>
              <w:spacing w:line="400" w:lineRule="exact"/>
              <w:jc w:val="center"/>
              <w:rPr>
                <w:bCs/>
                <w:color w:val="000000"/>
                <w:kern w:val="0"/>
                <w:szCs w:val="21"/>
              </w:rPr>
            </w:pPr>
            <w:r>
              <w:rPr>
                <w:bCs/>
                <w:color w:val="000000"/>
                <w:kern w:val="0"/>
                <w:szCs w:val="21"/>
              </w:rPr>
              <w:t>1900-2200</w:t>
            </w:r>
          </w:p>
        </w:tc>
        <w:tc>
          <w:tcPr>
            <w:tcW w:w="1047" w:type="dxa"/>
            <w:vAlign w:val="center"/>
          </w:tcPr>
          <w:p>
            <w:pPr>
              <w:widowControl/>
              <w:spacing w:line="400" w:lineRule="exact"/>
              <w:jc w:val="center"/>
              <w:rPr>
                <w:bCs/>
                <w:color w:val="000000"/>
                <w:kern w:val="0"/>
                <w:szCs w:val="21"/>
              </w:rPr>
            </w:pPr>
            <w:r>
              <w:rPr>
                <w:bCs/>
                <w:color w:val="000000"/>
                <w:kern w:val="0"/>
                <w:szCs w:val="21"/>
              </w:rPr>
              <w:t>&gt;2200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993" w:type="dxa"/>
            <w:vAlign w:val="center"/>
          </w:tcPr>
          <w:p>
            <w:pPr>
              <w:widowControl/>
              <w:spacing w:line="400" w:lineRule="exact"/>
              <w:jc w:val="center"/>
              <w:rPr>
                <w:bCs/>
                <w:color w:val="000000"/>
                <w:kern w:val="0"/>
                <w:szCs w:val="21"/>
              </w:rPr>
            </w:pPr>
            <w:r>
              <w:rPr>
                <w:bCs/>
                <w:color w:val="000000"/>
                <w:kern w:val="0"/>
                <w:szCs w:val="21"/>
              </w:rPr>
              <w:t>城市规划</w:t>
            </w:r>
          </w:p>
        </w:tc>
        <w:tc>
          <w:tcPr>
            <w:tcW w:w="1275" w:type="dxa"/>
            <w:vAlign w:val="center"/>
          </w:tcPr>
          <w:p>
            <w:pPr>
              <w:widowControl/>
              <w:spacing w:line="400" w:lineRule="exact"/>
              <w:jc w:val="center"/>
              <w:rPr>
                <w:bCs/>
                <w:color w:val="000000"/>
                <w:kern w:val="0"/>
                <w:szCs w:val="21"/>
              </w:rPr>
            </w:pPr>
            <w:r>
              <w:rPr>
                <w:bCs/>
                <w:color w:val="000000"/>
                <w:kern w:val="0"/>
                <w:szCs w:val="21"/>
              </w:rPr>
              <w:t>城市规划</w:t>
            </w:r>
          </w:p>
        </w:tc>
        <w:tc>
          <w:tcPr>
            <w:tcW w:w="1537" w:type="dxa"/>
            <w:vAlign w:val="center"/>
          </w:tcPr>
          <w:p>
            <w:pPr>
              <w:widowControl/>
              <w:spacing w:line="400" w:lineRule="exact"/>
              <w:jc w:val="center"/>
              <w:rPr>
                <w:bCs/>
                <w:color w:val="000000"/>
                <w:kern w:val="0"/>
                <w:szCs w:val="21"/>
              </w:rPr>
            </w:pPr>
            <w:r>
              <w:rPr>
                <w:bCs/>
                <w:color w:val="000000"/>
                <w:kern w:val="0"/>
                <w:szCs w:val="21"/>
              </w:rPr>
              <w:t>公共设施用地规划</w:t>
            </w:r>
          </w:p>
        </w:tc>
        <w:tc>
          <w:tcPr>
            <w:tcW w:w="857" w:type="dxa"/>
            <w:vAlign w:val="center"/>
          </w:tcPr>
          <w:p>
            <w:pPr>
              <w:widowControl/>
              <w:spacing w:line="400" w:lineRule="exact"/>
              <w:jc w:val="center"/>
              <w:rPr>
                <w:bCs/>
                <w:color w:val="000000"/>
                <w:kern w:val="0"/>
                <w:szCs w:val="21"/>
              </w:rPr>
            </w:pPr>
            <w:r>
              <w:rPr>
                <w:bCs/>
                <w:color w:val="000000"/>
                <w:kern w:val="0"/>
                <w:szCs w:val="21"/>
              </w:rPr>
              <w:t>完善</w:t>
            </w:r>
          </w:p>
        </w:tc>
        <w:tc>
          <w:tcPr>
            <w:tcW w:w="1231" w:type="dxa"/>
            <w:vAlign w:val="center"/>
          </w:tcPr>
          <w:p>
            <w:pPr>
              <w:widowControl/>
              <w:spacing w:line="400" w:lineRule="exact"/>
              <w:jc w:val="center"/>
              <w:rPr>
                <w:bCs/>
                <w:color w:val="000000"/>
                <w:kern w:val="0"/>
                <w:szCs w:val="21"/>
              </w:rPr>
            </w:pPr>
            <w:r>
              <w:rPr>
                <w:bCs/>
                <w:color w:val="000000"/>
                <w:kern w:val="0"/>
                <w:szCs w:val="21"/>
              </w:rPr>
              <w:t>较完善</w:t>
            </w:r>
          </w:p>
        </w:tc>
        <w:tc>
          <w:tcPr>
            <w:tcW w:w="1126" w:type="dxa"/>
            <w:vAlign w:val="center"/>
          </w:tcPr>
          <w:p>
            <w:pPr>
              <w:widowControl/>
              <w:spacing w:line="400" w:lineRule="exact"/>
              <w:jc w:val="center"/>
              <w:rPr>
                <w:bCs/>
                <w:color w:val="000000"/>
                <w:kern w:val="0"/>
                <w:szCs w:val="21"/>
              </w:rPr>
            </w:pPr>
            <w:r>
              <w:rPr>
                <w:bCs/>
                <w:color w:val="000000"/>
                <w:kern w:val="0"/>
                <w:szCs w:val="21"/>
              </w:rPr>
              <w:t>一般</w:t>
            </w:r>
          </w:p>
        </w:tc>
        <w:tc>
          <w:tcPr>
            <w:tcW w:w="1126" w:type="dxa"/>
            <w:vAlign w:val="center"/>
          </w:tcPr>
          <w:p>
            <w:pPr>
              <w:widowControl/>
              <w:spacing w:line="400" w:lineRule="exact"/>
              <w:jc w:val="center"/>
              <w:rPr>
                <w:bCs/>
                <w:color w:val="000000"/>
                <w:kern w:val="0"/>
                <w:szCs w:val="21"/>
              </w:rPr>
            </w:pPr>
            <w:r>
              <w:rPr>
                <w:bCs/>
                <w:color w:val="000000"/>
                <w:kern w:val="0"/>
                <w:szCs w:val="21"/>
              </w:rPr>
              <w:t>较差</w:t>
            </w:r>
          </w:p>
        </w:tc>
        <w:tc>
          <w:tcPr>
            <w:tcW w:w="1047" w:type="dxa"/>
            <w:vAlign w:val="center"/>
          </w:tcPr>
          <w:p>
            <w:pPr>
              <w:widowControl/>
              <w:spacing w:line="400" w:lineRule="exact"/>
              <w:jc w:val="center"/>
              <w:rPr>
                <w:bCs/>
                <w:color w:val="000000"/>
                <w:kern w:val="0"/>
                <w:szCs w:val="21"/>
              </w:rPr>
            </w:pPr>
            <w:r>
              <w:rPr>
                <w:bCs/>
                <w:color w:val="000000"/>
                <w:kern w:val="0"/>
                <w:szCs w:val="21"/>
              </w:rPr>
              <w:t>差</w:t>
            </w:r>
          </w:p>
        </w:tc>
      </w:tr>
    </w:tbl>
    <w:p>
      <w:pPr>
        <w:pStyle w:val="131"/>
        <w:spacing w:beforeLines="50" w:afterLines="50"/>
        <w:ind w:firstLine="0" w:firstLineChars="0"/>
        <w:rPr>
          <w:rFonts w:ascii="Times New Roman" w:hAnsi="Times New Roman"/>
          <w:sz w:val="24"/>
        </w:rPr>
      </w:pPr>
      <w:r>
        <w:rPr>
          <w:rFonts w:ascii="Times New Roman" w:hAnsi="Times New Roman"/>
          <w:sz w:val="24"/>
        </w:rPr>
        <w:br w:type="page"/>
      </w:r>
      <w:r>
        <w:rPr>
          <w:rFonts w:ascii="Times New Roman" w:hAnsi="Times New Roman"/>
          <w:sz w:val="24"/>
        </w:rPr>
        <w:t>表4-6-5  Ⅳ级公共管理与公共服务一类用地宗地地价区域因素修正系数表</w:t>
      </w:r>
    </w:p>
    <w:tbl>
      <w:tblPr>
        <w:tblW w:w="10303" w:type="dxa"/>
        <w:jc w:val="center"/>
        <w:tblInd w:w="1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988"/>
        <w:gridCol w:w="1248"/>
        <w:gridCol w:w="1006"/>
        <w:gridCol w:w="1276"/>
        <w:gridCol w:w="875"/>
        <w:gridCol w:w="749"/>
        <w:gridCol w:w="708"/>
        <w:gridCol w:w="709"/>
        <w:gridCol w:w="851"/>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blHeader/>
          <w:jc w:val="center"/>
        </w:trPr>
        <w:tc>
          <w:tcPr>
            <w:tcW w:w="1054" w:type="dxa"/>
            <w:vAlign w:val="center"/>
          </w:tcPr>
          <w:p>
            <w:pPr>
              <w:spacing w:line="400" w:lineRule="exact"/>
              <w:jc w:val="center"/>
              <w:rPr>
                <w:b/>
                <w:bCs/>
                <w:szCs w:val="21"/>
              </w:rPr>
            </w:pPr>
            <w:r>
              <w:rPr>
                <w:b/>
                <w:bCs/>
                <w:szCs w:val="21"/>
              </w:rPr>
              <w:t>因素层</w:t>
            </w:r>
          </w:p>
        </w:tc>
        <w:tc>
          <w:tcPr>
            <w:tcW w:w="988" w:type="dxa"/>
            <w:vAlign w:val="center"/>
          </w:tcPr>
          <w:p>
            <w:pPr>
              <w:spacing w:line="400" w:lineRule="exact"/>
              <w:jc w:val="center"/>
              <w:rPr>
                <w:b/>
                <w:bCs/>
                <w:szCs w:val="21"/>
              </w:rPr>
            </w:pPr>
            <w:r>
              <w:rPr>
                <w:b/>
                <w:bCs/>
                <w:szCs w:val="21"/>
              </w:rPr>
              <w:t>权重</w:t>
            </w:r>
          </w:p>
        </w:tc>
        <w:tc>
          <w:tcPr>
            <w:tcW w:w="1248" w:type="dxa"/>
            <w:vAlign w:val="center"/>
          </w:tcPr>
          <w:p>
            <w:pPr>
              <w:spacing w:line="400" w:lineRule="exact"/>
              <w:jc w:val="center"/>
              <w:rPr>
                <w:b/>
                <w:bCs/>
                <w:szCs w:val="21"/>
              </w:rPr>
            </w:pPr>
            <w:r>
              <w:rPr>
                <w:b/>
                <w:bCs/>
                <w:szCs w:val="21"/>
              </w:rPr>
              <w:t>因子层</w:t>
            </w:r>
          </w:p>
        </w:tc>
        <w:tc>
          <w:tcPr>
            <w:tcW w:w="1006" w:type="dxa"/>
            <w:vAlign w:val="center"/>
          </w:tcPr>
          <w:p>
            <w:pPr>
              <w:spacing w:line="400" w:lineRule="exact"/>
              <w:jc w:val="center"/>
              <w:rPr>
                <w:b/>
                <w:bCs/>
                <w:szCs w:val="21"/>
              </w:rPr>
            </w:pPr>
            <w:r>
              <w:rPr>
                <w:b/>
                <w:bCs/>
                <w:szCs w:val="21"/>
              </w:rPr>
              <w:t>权重</w:t>
            </w:r>
          </w:p>
        </w:tc>
        <w:tc>
          <w:tcPr>
            <w:tcW w:w="1276" w:type="dxa"/>
            <w:vAlign w:val="center"/>
          </w:tcPr>
          <w:p>
            <w:pPr>
              <w:spacing w:line="400" w:lineRule="exact"/>
              <w:jc w:val="center"/>
              <w:rPr>
                <w:b/>
                <w:bCs/>
                <w:szCs w:val="21"/>
              </w:rPr>
            </w:pPr>
            <w:r>
              <w:rPr>
                <w:b/>
                <w:bCs/>
                <w:szCs w:val="21"/>
              </w:rPr>
              <w:t>指标层</w:t>
            </w:r>
          </w:p>
        </w:tc>
        <w:tc>
          <w:tcPr>
            <w:tcW w:w="875" w:type="dxa"/>
            <w:vAlign w:val="center"/>
          </w:tcPr>
          <w:p>
            <w:pPr>
              <w:spacing w:line="400" w:lineRule="exact"/>
              <w:jc w:val="center"/>
              <w:rPr>
                <w:b/>
                <w:bCs/>
                <w:szCs w:val="21"/>
              </w:rPr>
            </w:pPr>
            <w:r>
              <w:rPr>
                <w:b/>
                <w:bCs/>
                <w:szCs w:val="21"/>
              </w:rPr>
              <w:t>权重</w:t>
            </w:r>
          </w:p>
        </w:tc>
        <w:tc>
          <w:tcPr>
            <w:tcW w:w="749" w:type="dxa"/>
            <w:vAlign w:val="center"/>
          </w:tcPr>
          <w:p>
            <w:pPr>
              <w:spacing w:line="400" w:lineRule="exact"/>
              <w:jc w:val="center"/>
              <w:rPr>
                <w:b/>
                <w:bCs/>
                <w:szCs w:val="21"/>
              </w:rPr>
            </w:pPr>
            <w:r>
              <w:rPr>
                <w:b/>
                <w:bCs/>
                <w:szCs w:val="21"/>
              </w:rPr>
              <w:t>优</w:t>
            </w:r>
          </w:p>
        </w:tc>
        <w:tc>
          <w:tcPr>
            <w:tcW w:w="708" w:type="dxa"/>
            <w:vAlign w:val="center"/>
          </w:tcPr>
          <w:p>
            <w:pPr>
              <w:spacing w:line="400" w:lineRule="exact"/>
              <w:jc w:val="center"/>
              <w:rPr>
                <w:b/>
                <w:bCs/>
                <w:szCs w:val="21"/>
              </w:rPr>
            </w:pPr>
            <w:r>
              <w:rPr>
                <w:b/>
                <w:bCs/>
                <w:szCs w:val="21"/>
              </w:rPr>
              <w:t>较优</w:t>
            </w:r>
          </w:p>
        </w:tc>
        <w:tc>
          <w:tcPr>
            <w:tcW w:w="709" w:type="dxa"/>
            <w:vAlign w:val="center"/>
          </w:tcPr>
          <w:p>
            <w:pPr>
              <w:spacing w:line="400" w:lineRule="exact"/>
              <w:jc w:val="center"/>
              <w:rPr>
                <w:b/>
                <w:bCs/>
                <w:szCs w:val="21"/>
              </w:rPr>
            </w:pPr>
            <w:r>
              <w:rPr>
                <w:b/>
                <w:bCs/>
                <w:szCs w:val="21"/>
              </w:rPr>
              <w:t>一般</w:t>
            </w:r>
          </w:p>
        </w:tc>
        <w:tc>
          <w:tcPr>
            <w:tcW w:w="851" w:type="dxa"/>
            <w:vAlign w:val="center"/>
          </w:tcPr>
          <w:p>
            <w:pPr>
              <w:spacing w:line="400" w:lineRule="exact"/>
              <w:jc w:val="center"/>
              <w:rPr>
                <w:b/>
                <w:bCs/>
                <w:szCs w:val="21"/>
              </w:rPr>
            </w:pPr>
            <w:r>
              <w:rPr>
                <w:b/>
                <w:bCs/>
                <w:szCs w:val="21"/>
              </w:rPr>
              <w:t>较劣</w:t>
            </w:r>
          </w:p>
        </w:tc>
        <w:tc>
          <w:tcPr>
            <w:tcW w:w="839"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restart"/>
            <w:vAlign w:val="center"/>
          </w:tcPr>
          <w:p>
            <w:pPr>
              <w:widowControl/>
              <w:spacing w:line="400" w:lineRule="exact"/>
              <w:jc w:val="center"/>
              <w:rPr>
                <w:bCs/>
                <w:color w:val="000000"/>
                <w:kern w:val="0"/>
                <w:szCs w:val="21"/>
              </w:rPr>
            </w:pPr>
            <w:r>
              <w:rPr>
                <w:bCs/>
                <w:color w:val="000000"/>
                <w:kern w:val="0"/>
                <w:szCs w:val="21"/>
              </w:rPr>
              <w:t>基本设施状况</w:t>
            </w:r>
          </w:p>
        </w:tc>
        <w:tc>
          <w:tcPr>
            <w:tcW w:w="988" w:type="dxa"/>
            <w:vMerge w:val="restart"/>
            <w:vAlign w:val="center"/>
          </w:tcPr>
          <w:p>
            <w:pPr>
              <w:widowControl/>
              <w:spacing w:line="400" w:lineRule="exact"/>
              <w:jc w:val="center"/>
              <w:rPr>
                <w:bCs/>
                <w:color w:val="000000"/>
                <w:kern w:val="0"/>
                <w:szCs w:val="21"/>
              </w:rPr>
            </w:pPr>
            <w:r>
              <w:rPr>
                <w:bCs/>
                <w:color w:val="000000"/>
                <w:kern w:val="0"/>
                <w:szCs w:val="21"/>
              </w:rPr>
              <w:t>0.1918</w:t>
            </w:r>
          </w:p>
        </w:tc>
        <w:tc>
          <w:tcPr>
            <w:tcW w:w="1248" w:type="dxa"/>
            <w:vMerge w:val="restart"/>
            <w:vAlign w:val="center"/>
          </w:tcPr>
          <w:p>
            <w:pPr>
              <w:widowControl/>
              <w:spacing w:line="400" w:lineRule="exact"/>
              <w:jc w:val="center"/>
              <w:rPr>
                <w:bCs/>
                <w:color w:val="000000"/>
                <w:kern w:val="0"/>
                <w:szCs w:val="21"/>
              </w:rPr>
            </w:pPr>
            <w:r>
              <w:rPr>
                <w:bCs/>
                <w:color w:val="000000"/>
                <w:kern w:val="0"/>
                <w:szCs w:val="21"/>
              </w:rPr>
              <w:t>公用设施完备度</w:t>
            </w:r>
          </w:p>
        </w:tc>
        <w:tc>
          <w:tcPr>
            <w:tcW w:w="1006" w:type="dxa"/>
            <w:vMerge w:val="restart"/>
            <w:vAlign w:val="center"/>
          </w:tcPr>
          <w:p>
            <w:pPr>
              <w:widowControl/>
              <w:spacing w:line="400" w:lineRule="exact"/>
              <w:jc w:val="center"/>
              <w:rPr>
                <w:bCs/>
                <w:color w:val="000000"/>
                <w:kern w:val="0"/>
                <w:szCs w:val="21"/>
              </w:rPr>
            </w:pPr>
            <w:r>
              <w:rPr>
                <w:bCs/>
                <w:color w:val="000000"/>
                <w:kern w:val="0"/>
                <w:szCs w:val="21"/>
              </w:rPr>
              <w:t>0.1918</w:t>
            </w:r>
          </w:p>
        </w:tc>
        <w:tc>
          <w:tcPr>
            <w:tcW w:w="1276" w:type="dxa"/>
            <w:vAlign w:val="center"/>
          </w:tcPr>
          <w:p>
            <w:pPr>
              <w:widowControl/>
              <w:spacing w:line="400" w:lineRule="exact"/>
              <w:jc w:val="center"/>
              <w:rPr>
                <w:bCs/>
                <w:color w:val="000000"/>
                <w:kern w:val="0"/>
                <w:szCs w:val="21"/>
              </w:rPr>
            </w:pPr>
            <w:r>
              <w:rPr>
                <w:bCs/>
                <w:color w:val="000000"/>
                <w:kern w:val="0"/>
                <w:szCs w:val="21"/>
              </w:rPr>
              <w:t>距中小学距离</w:t>
            </w:r>
          </w:p>
        </w:tc>
        <w:tc>
          <w:tcPr>
            <w:tcW w:w="875" w:type="dxa"/>
            <w:vAlign w:val="bottom"/>
          </w:tcPr>
          <w:p>
            <w:pPr>
              <w:widowControl/>
              <w:spacing w:line="400" w:lineRule="exact"/>
              <w:jc w:val="center"/>
              <w:rPr>
                <w:bCs/>
                <w:color w:val="000000"/>
                <w:kern w:val="0"/>
                <w:szCs w:val="21"/>
              </w:rPr>
            </w:pPr>
            <w:r>
              <w:rPr>
                <w:bCs/>
                <w:color w:val="000000"/>
                <w:kern w:val="0"/>
                <w:szCs w:val="21"/>
              </w:rPr>
              <w:t>0.0639</w:t>
            </w:r>
          </w:p>
        </w:tc>
        <w:tc>
          <w:tcPr>
            <w:tcW w:w="749" w:type="dxa"/>
            <w:vAlign w:val="bottom"/>
          </w:tcPr>
          <w:p>
            <w:pPr>
              <w:widowControl/>
              <w:spacing w:line="400" w:lineRule="exact"/>
              <w:jc w:val="center"/>
              <w:rPr>
                <w:bCs/>
                <w:color w:val="000000"/>
                <w:kern w:val="0"/>
                <w:szCs w:val="21"/>
              </w:rPr>
            </w:pPr>
            <w:r>
              <w:rPr>
                <w:bCs/>
                <w:color w:val="000000"/>
                <w:kern w:val="0"/>
                <w:szCs w:val="21"/>
              </w:rPr>
              <w:t xml:space="preserve">1.443 </w:t>
            </w:r>
          </w:p>
        </w:tc>
        <w:tc>
          <w:tcPr>
            <w:tcW w:w="708" w:type="dxa"/>
            <w:vAlign w:val="bottom"/>
          </w:tcPr>
          <w:p>
            <w:pPr>
              <w:widowControl/>
              <w:spacing w:line="400" w:lineRule="exact"/>
              <w:jc w:val="center"/>
              <w:rPr>
                <w:bCs/>
                <w:color w:val="000000"/>
                <w:kern w:val="0"/>
                <w:szCs w:val="21"/>
              </w:rPr>
            </w:pPr>
            <w:r>
              <w:rPr>
                <w:bCs/>
                <w:color w:val="000000"/>
                <w:kern w:val="0"/>
                <w:szCs w:val="21"/>
              </w:rPr>
              <w:t xml:space="preserve">0.721 </w:t>
            </w:r>
          </w:p>
        </w:tc>
        <w:tc>
          <w:tcPr>
            <w:tcW w:w="709" w:type="dxa"/>
            <w:vAlign w:val="bottom"/>
          </w:tcPr>
          <w:p>
            <w:pPr>
              <w:widowControl/>
              <w:spacing w:line="400" w:lineRule="exact"/>
              <w:jc w:val="center"/>
              <w:rPr>
                <w:bCs/>
                <w:color w:val="000000"/>
                <w:kern w:val="0"/>
                <w:szCs w:val="21"/>
              </w:rPr>
            </w:pPr>
            <w:r>
              <w:rPr>
                <w:bCs/>
                <w:color w:val="000000"/>
                <w:kern w:val="0"/>
                <w:szCs w:val="21"/>
              </w:rPr>
              <w:t>0</w:t>
            </w:r>
          </w:p>
        </w:tc>
        <w:tc>
          <w:tcPr>
            <w:tcW w:w="851" w:type="dxa"/>
            <w:vAlign w:val="bottom"/>
          </w:tcPr>
          <w:p>
            <w:pPr>
              <w:widowControl/>
              <w:spacing w:line="400" w:lineRule="exact"/>
              <w:jc w:val="center"/>
              <w:rPr>
                <w:bCs/>
                <w:color w:val="000000"/>
                <w:kern w:val="0"/>
                <w:szCs w:val="21"/>
              </w:rPr>
            </w:pPr>
            <w:r>
              <w:rPr>
                <w:bCs/>
                <w:color w:val="000000"/>
                <w:kern w:val="0"/>
                <w:szCs w:val="21"/>
              </w:rPr>
              <w:t xml:space="preserve">-0.696 </w:t>
            </w:r>
          </w:p>
        </w:tc>
        <w:tc>
          <w:tcPr>
            <w:tcW w:w="839" w:type="dxa"/>
            <w:vAlign w:val="bottom"/>
          </w:tcPr>
          <w:p>
            <w:pPr>
              <w:widowControl/>
              <w:spacing w:line="400" w:lineRule="exact"/>
              <w:jc w:val="center"/>
              <w:rPr>
                <w:bCs/>
                <w:color w:val="000000"/>
                <w:kern w:val="0"/>
                <w:szCs w:val="21"/>
              </w:rPr>
            </w:pPr>
            <w:r>
              <w:rPr>
                <w:bCs/>
                <w:color w:val="000000"/>
                <w:kern w:val="0"/>
                <w:szCs w:val="21"/>
              </w:rPr>
              <w:t xml:space="preserve">-1.391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continue"/>
            <w:vAlign w:val="center"/>
          </w:tcPr>
          <w:p>
            <w:pPr>
              <w:widowControl/>
              <w:spacing w:line="400" w:lineRule="exact"/>
              <w:jc w:val="center"/>
              <w:rPr>
                <w:bCs/>
                <w:color w:val="000000"/>
                <w:kern w:val="0"/>
                <w:szCs w:val="21"/>
              </w:rPr>
            </w:pPr>
          </w:p>
        </w:tc>
        <w:tc>
          <w:tcPr>
            <w:tcW w:w="988" w:type="dxa"/>
            <w:vMerge w:val="continue"/>
            <w:vAlign w:val="center"/>
          </w:tcPr>
          <w:p>
            <w:pPr>
              <w:widowControl/>
              <w:spacing w:line="400" w:lineRule="exact"/>
              <w:jc w:val="center"/>
              <w:rPr>
                <w:bCs/>
                <w:color w:val="000000"/>
                <w:kern w:val="0"/>
                <w:szCs w:val="21"/>
              </w:rPr>
            </w:pPr>
          </w:p>
        </w:tc>
        <w:tc>
          <w:tcPr>
            <w:tcW w:w="1248" w:type="dxa"/>
            <w:vMerge w:val="continue"/>
            <w:vAlign w:val="center"/>
          </w:tcPr>
          <w:p>
            <w:pPr>
              <w:widowControl/>
              <w:spacing w:line="400" w:lineRule="exact"/>
              <w:jc w:val="center"/>
              <w:rPr>
                <w:bCs/>
                <w:color w:val="000000"/>
                <w:kern w:val="0"/>
                <w:szCs w:val="21"/>
              </w:rPr>
            </w:pPr>
          </w:p>
        </w:tc>
        <w:tc>
          <w:tcPr>
            <w:tcW w:w="1006" w:type="dxa"/>
            <w:vMerge w:val="continue"/>
            <w:vAlign w:val="center"/>
          </w:tcPr>
          <w:p>
            <w:pPr>
              <w:widowControl/>
              <w:spacing w:line="400" w:lineRule="exact"/>
              <w:jc w:val="center"/>
              <w:rPr>
                <w:bCs/>
                <w:color w:val="000000"/>
                <w:kern w:val="0"/>
                <w:szCs w:val="21"/>
              </w:rPr>
            </w:pPr>
          </w:p>
        </w:tc>
        <w:tc>
          <w:tcPr>
            <w:tcW w:w="1276" w:type="dxa"/>
            <w:vAlign w:val="center"/>
          </w:tcPr>
          <w:p>
            <w:pPr>
              <w:widowControl/>
              <w:spacing w:line="400" w:lineRule="exact"/>
              <w:jc w:val="center"/>
              <w:rPr>
                <w:bCs/>
                <w:color w:val="000000"/>
                <w:kern w:val="0"/>
                <w:szCs w:val="21"/>
              </w:rPr>
            </w:pPr>
            <w:r>
              <w:rPr>
                <w:bCs/>
                <w:color w:val="000000"/>
                <w:kern w:val="0"/>
                <w:szCs w:val="21"/>
              </w:rPr>
              <w:t>距医院距离</w:t>
            </w:r>
          </w:p>
        </w:tc>
        <w:tc>
          <w:tcPr>
            <w:tcW w:w="875" w:type="dxa"/>
            <w:vAlign w:val="bottom"/>
          </w:tcPr>
          <w:p>
            <w:pPr>
              <w:widowControl/>
              <w:spacing w:line="400" w:lineRule="exact"/>
              <w:jc w:val="center"/>
              <w:rPr>
                <w:bCs/>
                <w:color w:val="000000"/>
                <w:kern w:val="0"/>
                <w:szCs w:val="21"/>
              </w:rPr>
            </w:pPr>
            <w:r>
              <w:rPr>
                <w:bCs/>
                <w:color w:val="000000"/>
                <w:kern w:val="0"/>
                <w:szCs w:val="21"/>
              </w:rPr>
              <w:t>0.0639</w:t>
            </w:r>
          </w:p>
        </w:tc>
        <w:tc>
          <w:tcPr>
            <w:tcW w:w="749" w:type="dxa"/>
            <w:vAlign w:val="bottom"/>
          </w:tcPr>
          <w:p>
            <w:pPr>
              <w:widowControl/>
              <w:spacing w:line="400" w:lineRule="exact"/>
              <w:jc w:val="center"/>
              <w:rPr>
                <w:bCs/>
                <w:color w:val="000000"/>
                <w:kern w:val="0"/>
                <w:szCs w:val="21"/>
              </w:rPr>
            </w:pPr>
            <w:r>
              <w:rPr>
                <w:bCs/>
                <w:color w:val="000000"/>
                <w:kern w:val="0"/>
                <w:szCs w:val="21"/>
              </w:rPr>
              <w:t xml:space="preserve">1.443 </w:t>
            </w:r>
          </w:p>
        </w:tc>
        <w:tc>
          <w:tcPr>
            <w:tcW w:w="708" w:type="dxa"/>
            <w:vAlign w:val="bottom"/>
          </w:tcPr>
          <w:p>
            <w:pPr>
              <w:widowControl/>
              <w:spacing w:line="400" w:lineRule="exact"/>
              <w:jc w:val="center"/>
              <w:rPr>
                <w:bCs/>
                <w:color w:val="000000"/>
                <w:kern w:val="0"/>
                <w:szCs w:val="21"/>
              </w:rPr>
            </w:pPr>
            <w:r>
              <w:rPr>
                <w:bCs/>
                <w:color w:val="000000"/>
                <w:kern w:val="0"/>
                <w:szCs w:val="21"/>
              </w:rPr>
              <w:t xml:space="preserve">0.721 </w:t>
            </w:r>
          </w:p>
        </w:tc>
        <w:tc>
          <w:tcPr>
            <w:tcW w:w="709" w:type="dxa"/>
            <w:vAlign w:val="bottom"/>
          </w:tcPr>
          <w:p>
            <w:pPr>
              <w:widowControl/>
              <w:spacing w:line="400" w:lineRule="exact"/>
              <w:jc w:val="center"/>
              <w:rPr>
                <w:bCs/>
                <w:color w:val="000000"/>
                <w:kern w:val="0"/>
                <w:szCs w:val="21"/>
              </w:rPr>
            </w:pPr>
            <w:r>
              <w:rPr>
                <w:bCs/>
                <w:color w:val="000000"/>
                <w:kern w:val="0"/>
                <w:szCs w:val="21"/>
              </w:rPr>
              <w:t>0</w:t>
            </w:r>
          </w:p>
        </w:tc>
        <w:tc>
          <w:tcPr>
            <w:tcW w:w="851" w:type="dxa"/>
            <w:vAlign w:val="bottom"/>
          </w:tcPr>
          <w:p>
            <w:pPr>
              <w:widowControl/>
              <w:spacing w:line="400" w:lineRule="exact"/>
              <w:jc w:val="center"/>
              <w:rPr>
                <w:bCs/>
                <w:color w:val="000000"/>
                <w:kern w:val="0"/>
                <w:szCs w:val="21"/>
              </w:rPr>
            </w:pPr>
            <w:r>
              <w:rPr>
                <w:bCs/>
                <w:color w:val="000000"/>
                <w:kern w:val="0"/>
                <w:szCs w:val="21"/>
              </w:rPr>
              <w:t xml:space="preserve">-0.696 </w:t>
            </w:r>
          </w:p>
        </w:tc>
        <w:tc>
          <w:tcPr>
            <w:tcW w:w="839" w:type="dxa"/>
            <w:vAlign w:val="bottom"/>
          </w:tcPr>
          <w:p>
            <w:pPr>
              <w:widowControl/>
              <w:spacing w:line="400" w:lineRule="exact"/>
              <w:jc w:val="center"/>
              <w:rPr>
                <w:bCs/>
                <w:color w:val="000000"/>
                <w:kern w:val="0"/>
                <w:szCs w:val="21"/>
              </w:rPr>
            </w:pPr>
            <w:r>
              <w:rPr>
                <w:bCs/>
                <w:color w:val="000000"/>
                <w:kern w:val="0"/>
                <w:szCs w:val="21"/>
              </w:rPr>
              <w:t xml:space="preserve">-1.391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continue"/>
            <w:vAlign w:val="center"/>
          </w:tcPr>
          <w:p>
            <w:pPr>
              <w:widowControl/>
              <w:spacing w:line="400" w:lineRule="exact"/>
              <w:jc w:val="center"/>
              <w:rPr>
                <w:bCs/>
                <w:color w:val="000000"/>
                <w:kern w:val="0"/>
                <w:szCs w:val="21"/>
              </w:rPr>
            </w:pPr>
          </w:p>
        </w:tc>
        <w:tc>
          <w:tcPr>
            <w:tcW w:w="988" w:type="dxa"/>
            <w:vMerge w:val="continue"/>
            <w:vAlign w:val="center"/>
          </w:tcPr>
          <w:p>
            <w:pPr>
              <w:widowControl/>
              <w:spacing w:line="400" w:lineRule="exact"/>
              <w:jc w:val="center"/>
              <w:rPr>
                <w:bCs/>
                <w:color w:val="000000"/>
                <w:kern w:val="0"/>
                <w:szCs w:val="21"/>
              </w:rPr>
            </w:pPr>
          </w:p>
        </w:tc>
        <w:tc>
          <w:tcPr>
            <w:tcW w:w="1248" w:type="dxa"/>
            <w:vMerge w:val="continue"/>
            <w:vAlign w:val="center"/>
          </w:tcPr>
          <w:p>
            <w:pPr>
              <w:widowControl/>
              <w:spacing w:line="400" w:lineRule="exact"/>
              <w:jc w:val="center"/>
              <w:rPr>
                <w:bCs/>
                <w:color w:val="000000"/>
                <w:kern w:val="0"/>
                <w:szCs w:val="21"/>
              </w:rPr>
            </w:pPr>
          </w:p>
        </w:tc>
        <w:tc>
          <w:tcPr>
            <w:tcW w:w="1006" w:type="dxa"/>
            <w:vMerge w:val="continue"/>
            <w:vAlign w:val="center"/>
          </w:tcPr>
          <w:p>
            <w:pPr>
              <w:widowControl/>
              <w:spacing w:line="400" w:lineRule="exact"/>
              <w:jc w:val="center"/>
              <w:rPr>
                <w:bCs/>
                <w:color w:val="000000"/>
                <w:kern w:val="0"/>
                <w:szCs w:val="21"/>
              </w:rPr>
            </w:pPr>
          </w:p>
        </w:tc>
        <w:tc>
          <w:tcPr>
            <w:tcW w:w="1276" w:type="dxa"/>
            <w:vAlign w:val="center"/>
          </w:tcPr>
          <w:p>
            <w:pPr>
              <w:widowControl/>
              <w:spacing w:line="400" w:lineRule="exact"/>
              <w:jc w:val="center"/>
              <w:rPr>
                <w:bCs/>
                <w:color w:val="000000"/>
                <w:kern w:val="0"/>
                <w:szCs w:val="21"/>
              </w:rPr>
            </w:pPr>
            <w:r>
              <w:rPr>
                <w:bCs/>
                <w:color w:val="000000"/>
                <w:kern w:val="0"/>
                <w:szCs w:val="21"/>
              </w:rPr>
              <w:t>距文体设施用地距离</w:t>
            </w:r>
          </w:p>
        </w:tc>
        <w:tc>
          <w:tcPr>
            <w:tcW w:w="875" w:type="dxa"/>
            <w:vAlign w:val="bottom"/>
          </w:tcPr>
          <w:p>
            <w:pPr>
              <w:widowControl/>
              <w:spacing w:line="400" w:lineRule="exact"/>
              <w:jc w:val="center"/>
              <w:rPr>
                <w:bCs/>
                <w:color w:val="000000"/>
                <w:kern w:val="0"/>
                <w:szCs w:val="21"/>
              </w:rPr>
            </w:pPr>
            <w:r>
              <w:rPr>
                <w:bCs/>
                <w:color w:val="000000"/>
                <w:kern w:val="0"/>
                <w:szCs w:val="21"/>
              </w:rPr>
              <w:t>0.064</w:t>
            </w:r>
          </w:p>
        </w:tc>
        <w:tc>
          <w:tcPr>
            <w:tcW w:w="749" w:type="dxa"/>
            <w:vAlign w:val="bottom"/>
          </w:tcPr>
          <w:p>
            <w:pPr>
              <w:widowControl/>
              <w:spacing w:line="400" w:lineRule="exact"/>
              <w:jc w:val="center"/>
              <w:rPr>
                <w:bCs/>
                <w:color w:val="000000"/>
                <w:kern w:val="0"/>
                <w:szCs w:val="21"/>
              </w:rPr>
            </w:pPr>
            <w:r>
              <w:rPr>
                <w:bCs/>
                <w:color w:val="000000"/>
                <w:kern w:val="0"/>
                <w:szCs w:val="21"/>
              </w:rPr>
              <w:t xml:space="preserve">1.445 </w:t>
            </w:r>
          </w:p>
        </w:tc>
        <w:tc>
          <w:tcPr>
            <w:tcW w:w="708" w:type="dxa"/>
            <w:vAlign w:val="bottom"/>
          </w:tcPr>
          <w:p>
            <w:pPr>
              <w:widowControl/>
              <w:spacing w:line="400" w:lineRule="exact"/>
              <w:jc w:val="center"/>
              <w:rPr>
                <w:bCs/>
                <w:color w:val="000000"/>
                <w:kern w:val="0"/>
                <w:szCs w:val="21"/>
              </w:rPr>
            </w:pPr>
            <w:r>
              <w:rPr>
                <w:bCs/>
                <w:color w:val="000000"/>
                <w:kern w:val="0"/>
                <w:szCs w:val="21"/>
              </w:rPr>
              <w:t xml:space="preserve">0.723 </w:t>
            </w:r>
          </w:p>
        </w:tc>
        <w:tc>
          <w:tcPr>
            <w:tcW w:w="709" w:type="dxa"/>
            <w:vAlign w:val="bottom"/>
          </w:tcPr>
          <w:p>
            <w:pPr>
              <w:widowControl/>
              <w:spacing w:line="400" w:lineRule="exact"/>
              <w:jc w:val="center"/>
              <w:rPr>
                <w:bCs/>
                <w:color w:val="000000"/>
                <w:kern w:val="0"/>
                <w:szCs w:val="21"/>
              </w:rPr>
            </w:pPr>
            <w:r>
              <w:rPr>
                <w:bCs/>
                <w:color w:val="000000"/>
                <w:kern w:val="0"/>
                <w:szCs w:val="21"/>
              </w:rPr>
              <w:t>0</w:t>
            </w:r>
          </w:p>
        </w:tc>
        <w:tc>
          <w:tcPr>
            <w:tcW w:w="851" w:type="dxa"/>
            <w:vAlign w:val="bottom"/>
          </w:tcPr>
          <w:p>
            <w:pPr>
              <w:widowControl/>
              <w:spacing w:line="400" w:lineRule="exact"/>
              <w:jc w:val="center"/>
              <w:rPr>
                <w:bCs/>
                <w:color w:val="000000"/>
                <w:kern w:val="0"/>
                <w:szCs w:val="21"/>
              </w:rPr>
            </w:pPr>
            <w:r>
              <w:rPr>
                <w:bCs/>
                <w:color w:val="000000"/>
                <w:kern w:val="0"/>
                <w:szCs w:val="21"/>
              </w:rPr>
              <w:t xml:space="preserve">-0.697 </w:t>
            </w:r>
          </w:p>
        </w:tc>
        <w:tc>
          <w:tcPr>
            <w:tcW w:w="839" w:type="dxa"/>
            <w:vAlign w:val="bottom"/>
          </w:tcPr>
          <w:p>
            <w:pPr>
              <w:widowControl/>
              <w:spacing w:line="400" w:lineRule="exact"/>
              <w:jc w:val="center"/>
              <w:rPr>
                <w:bCs/>
                <w:color w:val="000000"/>
                <w:kern w:val="0"/>
                <w:szCs w:val="21"/>
              </w:rPr>
            </w:pPr>
            <w:r>
              <w:rPr>
                <w:bCs/>
                <w:color w:val="000000"/>
                <w:kern w:val="0"/>
                <w:szCs w:val="21"/>
              </w:rPr>
              <w:t xml:space="preserve">-1.393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1054" w:type="dxa"/>
            <w:vAlign w:val="center"/>
          </w:tcPr>
          <w:p>
            <w:pPr>
              <w:widowControl/>
              <w:spacing w:line="400" w:lineRule="exact"/>
              <w:jc w:val="center"/>
              <w:rPr>
                <w:bCs/>
                <w:color w:val="000000"/>
                <w:kern w:val="0"/>
                <w:szCs w:val="21"/>
              </w:rPr>
            </w:pPr>
            <w:r>
              <w:rPr>
                <w:bCs/>
                <w:color w:val="000000"/>
                <w:kern w:val="0"/>
                <w:szCs w:val="21"/>
              </w:rPr>
              <w:t>繁华程度</w:t>
            </w:r>
          </w:p>
        </w:tc>
        <w:tc>
          <w:tcPr>
            <w:tcW w:w="988" w:type="dxa"/>
            <w:vAlign w:val="center"/>
          </w:tcPr>
          <w:p>
            <w:pPr>
              <w:widowControl/>
              <w:spacing w:line="400" w:lineRule="exact"/>
              <w:jc w:val="center"/>
              <w:rPr>
                <w:bCs/>
                <w:color w:val="000000"/>
                <w:kern w:val="0"/>
                <w:szCs w:val="21"/>
              </w:rPr>
            </w:pPr>
            <w:r>
              <w:rPr>
                <w:bCs/>
                <w:color w:val="000000"/>
                <w:kern w:val="0"/>
                <w:szCs w:val="21"/>
              </w:rPr>
              <w:t>0.3123</w:t>
            </w:r>
          </w:p>
        </w:tc>
        <w:tc>
          <w:tcPr>
            <w:tcW w:w="1248" w:type="dxa"/>
            <w:vAlign w:val="center"/>
          </w:tcPr>
          <w:p>
            <w:pPr>
              <w:widowControl/>
              <w:spacing w:line="400" w:lineRule="exact"/>
              <w:jc w:val="center"/>
              <w:rPr>
                <w:bCs/>
                <w:color w:val="000000"/>
                <w:kern w:val="0"/>
                <w:szCs w:val="21"/>
              </w:rPr>
            </w:pPr>
            <w:r>
              <w:rPr>
                <w:bCs/>
                <w:color w:val="000000"/>
                <w:kern w:val="0"/>
                <w:szCs w:val="21"/>
              </w:rPr>
              <w:t>商服繁华影响度</w:t>
            </w:r>
          </w:p>
        </w:tc>
        <w:tc>
          <w:tcPr>
            <w:tcW w:w="1006" w:type="dxa"/>
            <w:vAlign w:val="center"/>
          </w:tcPr>
          <w:p>
            <w:pPr>
              <w:widowControl/>
              <w:spacing w:line="400" w:lineRule="exact"/>
              <w:jc w:val="center"/>
              <w:rPr>
                <w:bCs/>
                <w:color w:val="000000"/>
                <w:kern w:val="0"/>
                <w:szCs w:val="21"/>
              </w:rPr>
            </w:pPr>
            <w:r>
              <w:rPr>
                <w:bCs/>
                <w:color w:val="000000"/>
                <w:kern w:val="0"/>
                <w:szCs w:val="21"/>
              </w:rPr>
              <w:t>0.3123</w:t>
            </w:r>
          </w:p>
        </w:tc>
        <w:tc>
          <w:tcPr>
            <w:tcW w:w="1276" w:type="dxa"/>
            <w:vAlign w:val="center"/>
          </w:tcPr>
          <w:p>
            <w:pPr>
              <w:widowControl/>
              <w:spacing w:line="400" w:lineRule="exact"/>
              <w:jc w:val="center"/>
              <w:rPr>
                <w:bCs/>
                <w:color w:val="000000"/>
                <w:kern w:val="0"/>
                <w:szCs w:val="21"/>
              </w:rPr>
            </w:pPr>
            <w:r>
              <w:rPr>
                <w:bCs/>
                <w:color w:val="000000"/>
                <w:kern w:val="0"/>
                <w:szCs w:val="21"/>
              </w:rPr>
              <w:t>距商服中心距离</w:t>
            </w:r>
          </w:p>
        </w:tc>
        <w:tc>
          <w:tcPr>
            <w:tcW w:w="875" w:type="dxa"/>
            <w:vAlign w:val="bottom"/>
          </w:tcPr>
          <w:p>
            <w:pPr>
              <w:widowControl/>
              <w:spacing w:line="400" w:lineRule="exact"/>
              <w:jc w:val="center"/>
              <w:rPr>
                <w:bCs/>
                <w:color w:val="000000"/>
                <w:kern w:val="0"/>
                <w:szCs w:val="21"/>
              </w:rPr>
            </w:pPr>
            <w:r>
              <w:rPr>
                <w:bCs/>
                <w:color w:val="000000"/>
                <w:kern w:val="0"/>
                <w:szCs w:val="21"/>
              </w:rPr>
              <w:t>0.3123</w:t>
            </w:r>
          </w:p>
        </w:tc>
        <w:tc>
          <w:tcPr>
            <w:tcW w:w="749" w:type="dxa"/>
            <w:vAlign w:val="bottom"/>
          </w:tcPr>
          <w:p>
            <w:pPr>
              <w:widowControl/>
              <w:spacing w:line="400" w:lineRule="exact"/>
              <w:jc w:val="center"/>
              <w:rPr>
                <w:bCs/>
                <w:color w:val="000000"/>
                <w:kern w:val="0"/>
                <w:szCs w:val="21"/>
              </w:rPr>
            </w:pPr>
            <w:r>
              <w:rPr>
                <w:bCs/>
                <w:color w:val="000000"/>
                <w:kern w:val="0"/>
                <w:szCs w:val="21"/>
              </w:rPr>
              <w:t xml:space="preserve">7.052 </w:t>
            </w:r>
          </w:p>
        </w:tc>
        <w:tc>
          <w:tcPr>
            <w:tcW w:w="708" w:type="dxa"/>
            <w:vAlign w:val="bottom"/>
          </w:tcPr>
          <w:p>
            <w:pPr>
              <w:widowControl/>
              <w:spacing w:line="400" w:lineRule="exact"/>
              <w:jc w:val="center"/>
              <w:rPr>
                <w:bCs/>
                <w:color w:val="000000"/>
                <w:kern w:val="0"/>
                <w:szCs w:val="21"/>
              </w:rPr>
            </w:pPr>
            <w:r>
              <w:rPr>
                <w:bCs/>
                <w:color w:val="000000"/>
                <w:kern w:val="0"/>
                <w:szCs w:val="21"/>
              </w:rPr>
              <w:t xml:space="preserve">3.526 </w:t>
            </w:r>
          </w:p>
        </w:tc>
        <w:tc>
          <w:tcPr>
            <w:tcW w:w="709" w:type="dxa"/>
            <w:vAlign w:val="bottom"/>
          </w:tcPr>
          <w:p>
            <w:pPr>
              <w:widowControl/>
              <w:spacing w:line="400" w:lineRule="exact"/>
              <w:jc w:val="center"/>
              <w:rPr>
                <w:bCs/>
                <w:color w:val="000000"/>
                <w:kern w:val="0"/>
                <w:szCs w:val="21"/>
              </w:rPr>
            </w:pPr>
            <w:r>
              <w:rPr>
                <w:bCs/>
                <w:color w:val="000000"/>
                <w:kern w:val="0"/>
                <w:szCs w:val="21"/>
              </w:rPr>
              <w:t>0</w:t>
            </w:r>
          </w:p>
        </w:tc>
        <w:tc>
          <w:tcPr>
            <w:tcW w:w="851" w:type="dxa"/>
            <w:vAlign w:val="bottom"/>
          </w:tcPr>
          <w:p>
            <w:pPr>
              <w:widowControl/>
              <w:spacing w:line="400" w:lineRule="exact"/>
              <w:jc w:val="center"/>
              <w:rPr>
                <w:bCs/>
                <w:color w:val="000000"/>
                <w:kern w:val="0"/>
                <w:szCs w:val="21"/>
              </w:rPr>
            </w:pPr>
            <w:r>
              <w:rPr>
                <w:bCs/>
                <w:color w:val="000000"/>
                <w:kern w:val="0"/>
                <w:szCs w:val="21"/>
              </w:rPr>
              <w:t xml:space="preserve">-3.399 </w:t>
            </w:r>
          </w:p>
        </w:tc>
        <w:tc>
          <w:tcPr>
            <w:tcW w:w="839" w:type="dxa"/>
            <w:vAlign w:val="bottom"/>
          </w:tcPr>
          <w:p>
            <w:pPr>
              <w:widowControl/>
              <w:spacing w:line="400" w:lineRule="exact"/>
              <w:jc w:val="center"/>
              <w:rPr>
                <w:bCs/>
                <w:color w:val="000000"/>
                <w:kern w:val="0"/>
                <w:szCs w:val="21"/>
              </w:rPr>
            </w:pPr>
            <w:r>
              <w:rPr>
                <w:bCs/>
                <w:color w:val="000000"/>
                <w:kern w:val="0"/>
                <w:szCs w:val="21"/>
              </w:rPr>
              <w:t xml:space="preserve">-6.799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Align w:val="center"/>
          </w:tcPr>
          <w:p>
            <w:pPr>
              <w:widowControl/>
              <w:spacing w:line="400" w:lineRule="exact"/>
              <w:jc w:val="center"/>
              <w:rPr>
                <w:bCs/>
                <w:color w:val="000000"/>
                <w:kern w:val="0"/>
                <w:szCs w:val="21"/>
              </w:rPr>
            </w:pPr>
            <w:r>
              <w:rPr>
                <w:bCs/>
                <w:color w:val="000000"/>
                <w:kern w:val="0"/>
                <w:szCs w:val="21"/>
              </w:rPr>
              <w:t>人口状况</w:t>
            </w:r>
          </w:p>
        </w:tc>
        <w:tc>
          <w:tcPr>
            <w:tcW w:w="988" w:type="dxa"/>
            <w:vAlign w:val="center"/>
          </w:tcPr>
          <w:p>
            <w:pPr>
              <w:widowControl/>
              <w:spacing w:line="400" w:lineRule="exact"/>
              <w:jc w:val="center"/>
              <w:rPr>
                <w:bCs/>
                <w:color w:val="000000"/>
                <w:kern w:val="0"/>
                <w:szCs w:val="21"/>
              </w:rPr>
            </w:pPr>
            <w:r>
              <w:rPr>
                <w:bCs/>
                <w:color w:val="000000"/>
                <w:kern w:val="0"/>
                <w:szCs w:val="21"/>
              </w:rPr>
              <w:t>0.1567</w:t>
            </w:r>
          </w:p>
        </w:tc>
        <w:tc>
          <w:tcPr>
            <w:tcW w:w="1248" w:type="dxa"/>
            <w:vAlign w:val="center"/>
          </w:tcPr>
          <w:p>
            <w:pPr>
              <w:widowControl/>
              <w:spacing w:line="400" w:lineRule="exact"/>
              <w:jc w:val="center"/>
              <w:rPr>
                <w:bCs/>
                <w:color w:val="000000"/>
                <w:kern w:val="0"/>
                <w:szCs w:val="21"/>
              </w:rPr>
            </w:pPr>
            <w:r>
              <w:rPr>
                <w:bCs/>
                <w:color w:val="000000"/>
                <w:kern w:val="0"/>
                <w:szCs w:val="21"/>
              </w:rPr>
              <w:t>人口密度</w:t>
            </w:r>
          </w:p>
        </w:tc>
        <w:tc>
          <w:tcPr>
            <w:tcW w:w="1006" w:type="dxa"/>
            <w:vAlign w:val="center"/>
          </w:tcPr>
          <w:p>
            <w:pPr>
              <w:widowControl/>
              <w:spacing w:line="400" w:lineRule="exact"/>
              <w:jc w:val="center"/>
              <w:rPr>
                <w:bCs/>
                <w:color w:val="000000"/>
                <w:kern w:val="0"/>
                <w:szCs w:val="21"/>
              </w:rPr>
            </w:pPr>
            <w:r>
              <w:rPr>
                <w:bCs/>
                <w:color w:val="000000"/>
                <w:kern w:val="0"/>
                <w:szCs w:val="21"/>
              </w:rPr>
              <w:t>0.1567</w:t>
            </w:r>
          </w:p>
        </w:tc>
        <w:tc>
          <w:tcPr>
            <w:tcW w:w="1276" w:type="dxa"/>
            <w:vAlign w:val="center"/>
          </w:tcPr>
          <w:p>
            <w:pPr>
              <w:widowControl/>
              <w:spacing w:line="400" w:lineRule="exact"/>
              <w:jc w:val="center"/>
              <w:rPr>
                <w:bCs/>
                <w:color w:val="000000"/>
                <w:kern w:val="0"/>
                <w:szCs w:val="21"/>
              </w:rPr>
            </w:pPr>
            <w:r>
              <w:rPr>
                <w:bCs/>
                <w:color w:val="000000"/>
                <w:kern w:val="0"/>
                <w:szCs w:val="21"/>
              </w:rPr>
              <w:t>人口密度</w:t>
            </w:r>
          </w:p>
        </w:tc>
        <w:tc>
          <w:tcPr>
            <w:tcW w:w="875" w:type="dxa"/>
            <w:vAlign w:val="bottom"/>
          </w:tcPr>
          <w:p>
            <w:pPr>
              <w:widowControl/>
              <w:spacing w:line="400" w:lineRule="exact"/>
              <w:jc w:val="center"/>
              <w:rPr>
                <w:bCs/>
                <w:color w:val="000000"/>
                <w:kern w:val="0"/>
                <w:szCs w:val="21"/>
              </w:rPr>
            </w:pPr>
            <w:r>
              <w:rPr>
                <w:bCs/>
                <w:color w:val="000000"/>
                <w:kern w:val="0"/>
                <w:szCs w:val="21"/>
              </w:rPr>
              <w:t>0.1567</w:t>
            </w:r>
          </w:p>
        </w:tc>
        <w:tc>
          <w:tcPr>
            <w:tcW w:w="749" w:type="dxa"/>
            <w:vAlign w:val="bottom"/>
          </w:tcPr>
          <w:p>
            <w:pPr>
              <w:widowControl/>
              <w:spacing w:line="400" w:lineRule="exact"/>
              <w:jc w:val="center"/>
              <w:rPr>
                <w:bCs/>
                <w:color w:val="000000"/>
                <w:kern w:val="0"/>
                <w:szCs w:val="21"/>
              </w:rPr>
            </w:pPr>
            <w:r>
              <w:rPr>
                <w:bCs/>
                <w:color w:val="000000"/>
                <w:kern w:val="0"/>
                <w:szCs w:val="21"/>
              </w:rPr>
              <w:t xml:space="preserve">3.538 </w:t>
            </w:r>
          </w:p>
        </w:tc>
        <w:tc>
          <w:tcPr>
            <w:tcW w:w="708" w:type="dxa"/>
            <w:vAlign w:val="bottom"/>
          </w:tcPr>
          <w:p>
            <w:pPr>
              <w:widowControl/>
              <w:spacing w:line="400" w:lineRule="exact"/>
              <w:jc w:val="center"/>
              <w:rPr>
                <w:bCs/>
                <w:color w:val="000000"/>
                <w:kern w:val="0"/>
                <w:szCs w:val="21"/>
              </w:rPr>
            </w:pPr>
            <w:r>
              <w:rPr>
                <w:bCs/>
                <w:color w:val="000000"/>
                <w:kern w:val="0"/>
                <w:szCs w:val="21"/>
              </w:rPr>
              <w:t xml:space="preserve">1.769 </w:t>
            </w:r>
          </w:p>
        </w:tc>
        <w:tc>
          <w:tcPr>
            <w:tcW w:w="709" w:type="dxa"/>
            <w:vAlign w:val="bottom"/>
          </w:tcPr>
          <w:p>
            <w:pPr>
              <w:widowControl/>
              <w:spacing w:line="400" w:lineRule="exact"/>
              <w:jc w:val="center"/>
              <w:rPr>
                <w:bCs/>
                <w:color w:val="000000"/>
                <w:kern w:val="0"/>
                <w:szCs w:val="21"/>
              </w:rPr>
            </w:pPr>
            <w:r>
              <w:rPr>
                <w:bCs/>
                <w:color w:val="000000"/>
                <w:kern w:val="0"/>
                <w:szCs w:val="21"/>
              </w:rPr>
              <w:t>0</w:t>
            </w:r>
          </w:p>
        </w:tc>
        <w:tc>
          <w:tcPr>
            <w:tcW w:w="851" w:type="dxa"/>
            <w:vAlign w:val="bottom"/>
          </w:tcPr>
          <w:p>
            <w:pPr>
              <w:widowControl/>
              <w:spacing w:line="400" w:lineRule="exact"/>
              <w:jc w:val="center"/>
              <w:rPr>
                <w:bCs/>
                <w:color w:val="000000"/>
                <w:kern w:val="0"/>
                <w:szCs w:val="21"/>
              </w:rPr>
            </w:pPr>
            <w:r>
              <w:rPr>
                <w:bCs/>
                <w:color w:val="000000"/>
                <w:kern w:val="0"/>
                <w:szCs w:val="21"/>
              </w:rPr>
              <w:t xml:space="preserve">-1.706 </w:t>
            </w:r>
          </w:p>
        </w:tc>
        <w:tc>
          <w:tcPr>
            <w:tcW w:w="839" w:type="dxa"/>
            <w:vAlign w:val="bottom"/>
          </w:tcPr>
          <w:p>
            <w:pPr>
              <w:widowControl/>
              <w:spacing w:line="400" w:lineRule="exact"/>
              <w:jc w:val="center"/>
              <w:rPr>
                <w:bCs/>
                <w:color w:val="000000"/>
                <w:kern w:val="0"/>
                <w:szCs w:val="21"/>
              </w:rPr>
            </w:pPr>
            <w:r>
              <w:rPr>
                <w:bCs/>
                <w:color w:val="000000"/>
                <w:kern w:val="0"/>
                <w:szCs w:val="21"/>
              </w:rPr>
              <w:t xml:space="preserve">-3.411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restart"/>
            <w:vAlign w:val="center"/>
          </w:tcPr>
          <w:p>
            <w:pPr>
              <w:widowControl/>
              <w:spacing w:line="400" w:lineRule="exact"/>
              <w:jc w:val="center"/>
              <w:rPr>
                <w:bCs/>
                <w:color w:val="000000"/>
                <w:kern w:val="0"/>
                <w:szCs w:val="21"/>
              </w:rPr>
            </w:pPr>
            <w:r>
              <w:rPr>
                <w:bCs/>
                <w:color w:val="000000"/>
                <w:kern w:val="0"/>
                <w:szCs w:val="21"/>
              </w:rPr>
              <w:t>交通条件</w:t>
            </w:r>
          </w:p>
        </w:tc>
        <w:tc>
          <w:tcPr>
            <w:tcW w:w="988" w:type="dxa"/>
            <w:vMerge w:val="restart"/>
            <w:vAlign w:val="center"/>
          </w:tcPr>
          <w:p>
            <w:pPr>
              <w:widowControl/>
              <w:spacing w:line="400" w:lineRule="exact"/>
              <w:jc w:val="center"/>
              <w:rPr>
                <w:bCs/>
                <w:color w:val="000000"/>
                <w:kern w:val="0"/>
                <w:szCs w:val="21"/>
              </w:rPr>
            </w:pPr>
            <w:r>
              <w:rPr>
                <w:bCs/>
                <w:color w:val="000000"/>
                <w:kern w:val="0"/>
                <w:szCs w:val="21"/>
              </w:rPr>
              <w:t>0.2384</w:t>
            </w:r>
          </w:p>
        </w:tc>
        <w:tc>
          <w:tcPr>
            <w:tcW w:w="1248" w:type="dxa"/>
            <w:vAlign w:val="center"/>
          </w:tcPr>
          <w:p>
            <w:pPr>
              <w:widowControl/>
              <w:spacing w:line="400" w:lineRule="exact"/>
              <w:jc w:val="center"/>
              <w:rPr>
                <w:bCs/>
                <w:color w:val="000000"/>
                <w:kern w:val="0"/>
                <w:szCs w:val="21"/>
              </w:rPr>
            </w:pPr>
            <w:r>
              <w:rPr>
                <w:bCs/>
                <w:color w:val="000000"/>
                <w:kern w:val="0"/>
                <w:szCs w:val="21"/>
              </w:rPr>
              <w:t>道路通达度</w:t>
            </w:r>
          </w:p>
        </w:tc>
        <w:tc>
          <w:tcPr>
            <w:tcW w:w="1006" w:type="dxa"/>
            <w:vAlign w:val="center"/>
          </w:tcPr>
          <w:p>
            <w:pPr>
              <w:widowControl/>
              <w:spacing w:line="400" w:lineRule="exact"/>
              <w:jc w:val="center"/>
              <w:rPr>
                <w:bCs/>
                <w:color w:val="000000"/>
                <w:kern w:val="0"/>
                <w:szCs w:val="21"/>
              </w:rPr>
            </w:pPr>
            <w:r>
              <w:rPr>
                <w:bCs/>
                <w:color w:val="000000"/>
                <w:kern w:val="0"/>
                <w:szCs w:val="21"/>
              </w:rPr>
              <w:t>0.0794</w:t>
            </w:r>
          </w:p>
        </w:tc>
        <w:tc>
          <w:tcPr>
            <w:tcW w:w="1276" w:type="dxa"/>
            <w:vAlign w:val="center"/>
          </w:tcPr>
          <w:p>
            <w:pPr>
              <w:widowControl/>
              <w:spacing w:line="400" w:lineRule="exact"/>
              <w:jc w:val="center"/>
              <w:rPr>
                <w:bCs/>
                <w:color w:val="000000"/>
                <w:kern w:val="0"/>
                <w:szCs w:val="21"/>
              </w:rPr>
            </w:pPr>
            <w:r>
              <w:rPr>
                <w:bCs/>
                <w:color w:val="000000"/>
                <w:kern w:val="0"/>
                <w:szCs w:val="21"/>
              </w:rPr>
              <w:t>临近道路状况</w:t>
            </w:r>
          </w:p>
        </w:tc>
        <w:tc>
          <w:tcPr>
            <w:tcW w:w="875" w:type="dxa"/>
            <w:vAlign w:val="bottom"/>
          </w:tcPr>
          <w:p>
            <w:pPr>
              <w:widowControl/>
              <w:spacing w:line="400" w:lineRule="exact"/>
              <w:jc w:val="center"/>
              <w:rPr>
                <w:bCs/>
                <w:color w:val="000000"/>
                <w:kern w:val="0"/>
                <w:szCs w:val="21"/>
              </w:rPr>
            </w:pPr>
            <w:r>
              <w:rPr>
                <w:bCs/>
                <w:color w:val="000000"/>
                <w:kern w:val="0"/>
                <w:szCs w:val="21"/>
              </w:rPr>
              <w:t>0.0794</w:t>
            </w:r>
          </w:p>
        </w:tc>
        <w:tc>
          <w:tcPr>
            <w:tcW w:w="749" w:type="dxa"/>
            <w:vAlign w:val="bottom"/>
          </w:tcPr>
          <w:p>
            <w:pPr>
              <w:widowControl/>
              <w:spacing w:line="400" w:lineRule="exact"/>
              <w:jc w:val="center"/>
              <w:rPr>
                <w:bCs/>
                <w:color w:val="000000"/>
                <w:kern w:val="0"/>
                <w:szCs w:val="21"/>
              </w:rPr>
            </w:pPr>
            <w:r>
              <w:rPr>
                <w:bCs/>
                <w:color w:val="000000"/>
                <w:kern w:val="0"/>
                <w:szCs w:val="21"/>
              </w:rPr>
              <w:t xml:space="preserve">1.793 </w:t>
            </w:r>
          </w:p>
        </w:tc>
        <w:tc>
          <w:tcPr>
            <w:tcW w:w="708" w:type="dxa"/>
            <w:vAlign w:val="bottom"/>
          </w:tcPr>
          <w:p>
            <w:pPr>
              <w:widowControl/>
              <w:spacing w:line="400" w:lineRule="exact"/>
              <w:jc w:val="center"/>
              <w:rPr>
                <w:bCs/>
                <w:color w:val="000000"/>
                <w:kern w:val="0"/>
                <w:szCs w:val="21"/>
              </w:rPr>
            </w:pPr>
            <w:r>
              <w:rPr>
                <w:bCs/>
                <w:color w:val="000000"/>
                <w:kern w:val="0"/>
                <w:szCs w:val="21"/>
              </w:rPr>
              <w:t xml:space="preserve">0.896 </w:t>
            </w:r>
          </w:p>
        </w:tc>
        <w:tc>
          <w:tcPr>
            <w:tcW w:w="709" w:type="dxa"/>
            <w:vAlign w:val="bottom"/>
          </w:tcPr>
          <w:p>
            <w:pPr>
              <w:widowControl/>
              <w:spacing w:line="400" w:lineRule="exact"/>
              <w:jc w:val="center"/>
              <w:rPr>
                <w:bCs/>
                <w:color w:val="000000"/>
                <w:kern w:val="0"/>
                <w:szCs w:val="21"/>
              </w:rPr>
            </w:pPr>
            <w:r>
              <w:rPr>
                <w:bCs/>
                <w:color w:val="000000"/>
                <w:kern w:val="0"/>
                <w:szCs w:val="21"/>
              </w:rPr>
              <w:t>0</w:t>
            </w:r>
          </w:p>
        </w:tc>
        <w:tc>
          <w:tcPr>
            <w:tcW w:w="851" w:type="dxa"/>
            <w:vAlign w:val="bottom"/>
          </w:tcPr>
          <w:p>
            <w:pPr>
              <w:widowControl/>
              <w:spacing w:line="400" w:lineRule="exact"/>
              <w:jc w:val="center"/>
              <w:rPr>
                <w:bCs/>
                <w:color w:val="000000"/>
                <w:kern w:val="0"/>
                <w:szCs w:val="21"/>
              </w:rPr>
            </w:pPr>
            <w:r>
              <w:rPr>
                <w:bCs/>
                <w:color w:val="000000"/>
                <w:kern w:val="0"/>
                <w:szCs w:val="21"/>
              </w:rPr>
              <w:t xml:space="preserve">-0.864 </w:t>
            </w:r>
          </w:p>
        </w:tc>
        <w:tc>
          <w:tcPr>
            <w:tcW w:w="839" w:type="dxa"/>
            <w:vAlign w:val="bottom"/>
          </w:tcPr>
          <w:p>
            <w:pPr>
              <w:widowControl/>
              <w:spacing w:line="400" w:lineRule="exact"/>
              <w:jc w:val="center"/>
              <w:rPr>
                <w:bCs/>
                <w:color w:val="000000"/>
                <w:kern w:val="0"/>
                <w:szCs w:val="21"/>
              </w:rPr>
            </w:pPr>
            <w:r>
              <w:rPr>
                <w:bCs/>
                <w:color w:val="000000"/>
                <w:kern w:val="0"/>
                <w:szCs w:val="21"/>
              </w:rPr>
              <w:t xml:space="preserve">-1.729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continue"/>
            <w:vAlign w:val="center"/>
          </w:tcPr>
          <w:p>
            <w:pPr>
              <w:widowControl/>
              <w:spacing w:line="400" w:lineRule="exact"/>
              <w:jc w:val="center"/>
              <w:rPr>
                <w:bCs/>
                <w:color w:val="000000"/>
                <w:kern w:val="0"/>
                <w:szCs w:val="21"/>
              </w:rPr>
            </w:pPr>
          </w:p>
        </w:tc>
        <w:tc>
          <w:tcPr>
            <w:tcW w:w="988" w:type="dxa"/>
            <w:vMerge w:val="continue"/>
            <w:vAlign w:val="center"/>
          </w:tcPr>
          <w:p>
            <w:pPr>
              <w:widowControl/>
              <w:spacing w:line="400" w:lineRule="exact"/>
              <w:jc w:val="center"/>
              <w:rPr>
                <w:bCs/>
                <w:color w:val="000000"/>
                <w:kern w:val="0"/>
                <w:szCs w:val="21"/>
              </w:rPr>
            </w:pPr>
          </w:p>
        </w:tc>
        <w:tc>
          <w:tcPr>
            <w:tcW w:w="1248" w:type="dxa"/>
            <w:vAlign w:val="center"/>
          </w:tcPr>
          <w:p>
            <w:pPr>
              <w:widowControl/>
              <w:spacing w:line="400" w:lineRule="exact"/>
              <w:jc w:val="center"/>
              <w:rPr>
                <w:bCs/>
                <w:color w:val="000000"/>
                <w:kern w:val="0"/>
                <w:szCs w:val="21"/>
              </w:rPr>
            </w:pPr>
            <w:r>
              <w:rPr>
                <w:bCs/>
                <w:color w:val="000000"/>
                <w:kern w:val="0"/>
                <w:szCs w:val="21"/>
              </w:rPr>
              <w:t>公交便捷度</w:t>
            </w:r>
          </w:p>
        </w:tc>
        <w:tc>
          <w:tcPr>
            <w:tcW w:w="1006" w:type="dxa"/>
            <w:vAlign w:val="center"/>
          </w:tcPr>
          <w:p>
            <w:pPr>
              <w:widowControl/>
              <w:spacing w:line="400" w:lineRule="exact"/>
              <w:jc w:val="center"/>
              <w:rPr>
                <w:bCs/>
                <w:color w:val="000000"/>
                <w:kern w:val="0"/>
                <w:szCs w:val="21"/>
              </w:rPr>
            </w:pPr>
            <w:r>
              <w:rPr>
                <w:bCs/>
                <w:color w:val="000000"/>
                <w:kern w:val="0"/>
                <w:szCs w:val="21"/>
              </w:rPr>
              <w:t>0.0795</w:t>
            </w:r>
          </w:p>
        </w:tc>
        <w:tc>
          <w:tcPr>
            <w:tcW w:w="1276" w:type="dxa"/>
            <w:vAlign w:val="center"/>
          </w:tcPr>
          <w:p>
            <w:pPr>
              <w:widowControl/>
              <w:spacing w:line="400" w:lineRule="exact"/>
              <w:jc w:val="center"/>
              <w:rPr>
                <w:bCs/>
                <w:color w:val="000000"/>
                <w:kern w:val="0"/>
                <w:szCs w:val="21"/>
              </w:rPr>
            </w:pPr>
            <w:r>
              <w:rPr>
                <w:bCs/>
                <w:color w:val="000000"/>
                <w:kern w:val="0"/>
                <w:szCs w:val="21"/>
              </w:rPr>
              <w:t>距最近公交站点距离</w:t>
            </w:r>
          </w:p>
        </w:tc>
        <w:tc>
          <w:tcPr>
            <w:tcW w:w="875" w:type="dxa"/>
            <w:vAlign w:val="bottom"/>
          </w:tcPr>
          <w:p>
            <w:pPr>
              <w:widowControl/>
              <w:spacing w:line="400" w:lineRule="exact"/>
              <w:jc w:val="center"/>
              <w:rPr>
                <w:bCs/>
                <w:color w:val="000000"/>
                <w:kern w:val="0"/>
                <w:szCs w:val="21"/>
              </w:rPr>
            </w:pPr>
            <w:r>
              <w:rPr>
                <w:bCs/>
                <w:color w:val="000000"/>
                <w:kern w:val="0"/>
                <w:szCs w:val="21"/>
              </w:rPr>
              <w:t>0.0795</w:t>
            </w:r>
          </w:p>
        </w:tc>
        <w:tc>
          <w:tcPr>
            <w:tcW w:w="749" w:type="dxa"/>
            <w:vAlign w:val="bottom"/>
          </w:tcPr>
          <w:p>
            <w:pPr>
              <w:widowControl/>
              <w:spacing w:line="400" w:lineRule="exact"/>
              <w:jc w:val="center"/>
              <w:rPr>
                <w:bCs/>
                <w:color w:val="000000"/>
                <w:kern w:val="0"/>
                <w:szCs w:val="21"/>
              </w:rPr>
            </w:pPr>
            <w:r>
              <w:rPr>
                <w:bCs/>
                <w:color w:val="000000"/>
                <w:kern w:val="0"/>
                <w:szCs w:val="21"/>
              </w:rPr>
              <w:t xml:space="preserve">1.795 </w:t>
            </w:r>
          </w:p>
        </w:tc>
        <w:tc>
          <w:tcPr>
            <w:tcW w:w="708" w:type="dxa"/>
            <w:vAlign w:val="bottom"/>
          </w:tcPr>
          <w:p>
            <w:pPr>
              <w:widowControl/>
              <w:spacing w:line="400" w:lineRule="exact"/>
              <w:jc w:val="center"/>
              <w:rPr>
                <w:bCs/>
                <w:color w:val="000000"/>
                <w:kern w:val="0"/>
                <w:szCs w:val="21"/>
              </w:rPr>
            </w:pPr>
            <w:r>
              <w:rPr>
                <w:bCs/>
                <w:color w:val="000000"/>
                <w:kern w:val="0"/>
                <w:szCs w:val="21"/>
              </w:rPr>
              <w:t xml:space="preserve">0.898 </w:t>
            </w:r>
          </w:p>
        </w:tc>
        <w:tc>
          <w:tcPr>
            <w:tcW w:w="709" w:type="dxa"/>
            <w:vAlign w:val="bottom"/>
          </w:tcPr>
          <w:p>
            <w:pPr>
              <w:widowControl/>
              <w:spacing w:line="400" w:lineRule="exact"/>
              <w:jc w:val="center"/>
              <w:rPr>
                <w:bCs/>
                <w:color w:val="000000"/>
                <w:kern w:val="0"/>
                <w:szCs w:val="21"/>
              </w:rPr>
            </w:pPr>
            <w:r>
              <w:rPr>
                <w:bCs/>
                <w:color w:val="000000"/>
                <w:kern w:val="0"/>
                <w:szCs w:val="21"/>
              </w:rPr>
              <w:t>0</w:t>
            </w:r>
          </w:p>
        </w:tc>
        <w:tc>
          <w:tcPr>
            <w:tcW w:w="851" w:type="dxa"/>
            <w:vAlign w:val="bottom"/>
          </w:tcPr>
          <w:p>
            <w:pPr>
              <w:widowControl/>
              <w:spacing w:line="400" w:lineRule="exact"/>
              <w:jc w:val="center"/>
              <w:rPr>
                <w:bCs/>
                <w:color w:val="000000"/>
                <w:kern w:val="0"/>
                <w:szCs w:val="21"/>
              </w:rPr>
            </w:pPr>
            <w:r>
              <w:rPr>
                <w:bCs/>
                <w:color w:val="000000"/>
                <w:kern w:val="0"/>
                <w:szCs w:val="21"/>
              </w:rPr>
              <w:t xml:space="preserve">-0.865 </w:t>
            </w:r>
          </w:p>
        </w:tc>
        <w:tc>
          <w:tcPr>
            <w:tcW w:w="839" w:type="dxa"/>
            <w:vAlign w:val="bottom"/>
          </w:tcPr>
          <w:p>
            <w:pPr>
              <w:widowControl/>
              <w:spacing w:line="400" w:lineRule="exact"/>
              <w:jc w:val="center"/>
              <w:rPr>
                <w:bCs/>
                <w:color w:val="000000"/>
                <w:kern w:val="0"/>
                <w:szCs w:val="21"/>
              </w:rPr>
            </w:pPr>
            <w:r>
              <w:rPr>
                <w:bCs/>
                <w:color w:val="000000"/>
                <w:kern w:val="0"/>
                <w:szCs w:val="21"/>
              </w:rPr>
              <w:t xml:space="preserve">-1.731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1054" w:type="dxa"/>
            <w:vMerge w:val="continue"/>
            <w:vAlign w:val="center"/>
          </w:tcPr>
          <w:p>
            <w:pPr>
              <w:widowControl/>
              <w:spacing w:line="400" w:lineRule="exact"/>
              <w:jc w:val="center"/>
              <w:rPr>
                <w:bCs/>
                <w:color w:val="000000"/>
                <w:kern w:val="0"/>
                <w:szCs w:val="21"/>
              </w:rPr>
            </w:pPr>
          </w:p>
        </w:tc>
        <w:tc>
          <w:tcPr>
            <w:tcW w:w="988" w:type="dxa"/>
            <w:vMerge w:val="continue"/>
            <w:vAlign w:val="center"/>
          </w:tcPr>
          <w:p>
            <w:pPr>
              <w:widowControl/>
              <w:spacing w:line="400" w:lineRule="exact"/>
              <w:jc w:val="center"/>
              <w:rPr>
                <w:bCs/>
                <w:color w:val="000000"/>
                <w:kern w:val="0"/>
                <w:szCs w:val="21"/>
              </w:rPr>
            </w:pPr>
          </w:p>
        </w:tc>
        <w:tc>
          <w:tcPr>
            <w:tcW w:w="1248" w:type="dxa"/>
            <w:vAlign w:val="center"/>
          </w:tcPr>
          <w:p>
            <w:pPr>
              <w:widowControl/>
              <w:spacing w:line="400" w:lineRule="exact"/>
              <w:jc w:val="center"/>
              <w:rPr>
                <w:bCs/>
                <w:color w:val="000000"/>
                <w:kern w:val="0"/>
                <w:szCs w:val="21"/>
              </w:rPr>
            </w:pPr>
            <w:r>
              <w:rPr>
                <w:bCs/>
                <w:color w:val="000000"/>
                <w:kern w:val="0"/>
                <w:szCs w:val="21"/>
              </w:rPr>
              <w:t>对外交通便利度</w:t>
            </w:r>
          </w:p>
        </w:tc>
        <w:tc>
          <w:tcPr>
            <w:tcW w:w="1006" w:type="dxa"/>
            <w:vAlign w:val="center"/>
          </w:tcPr>
          <w:p>
            <w:pPr>
              <w:widowControl/>
              <w:spacing w:line="400" w:lineRule="exact"/>
              <w:jc w:val="center"/>
              <w:rPr>
                <w:bCs/>
                <w:color w:val="000000"/>
                <w:kern w:val="0"/>
                <w:szCs w:val="21"/>
              </w:rPr>
            </w:pPr>
            <w:r>
              <w:rPr>
                <w:bCs/>
                <w:color w:val="000000"/>
                <w:kern w:val="0"/>
                <w:szCs w:val="21"/>
              </w:rPr>
              <w:t>0.0795</w:t>
            </w:r>
          </w:p>
        </w:tc>
        <w:tc>
          <w:tcPr>
            <w:tcW w:w="1276" w:type="dxa"/>
            <w:vAlign w:val="center"/>
          </w:tcPr>
          <w:p>
            <w:pPr>
              <w:widowControl/>
              <w:spacing w:line="400" w:lineRule="exact"/>
              <w:jc w:val="center"/>
              <w:rPr>
                <w:bCs/>
                <w:color w:val="000000"/>
                <w:kern w:val="0"/>
                <w:szCs w:val="21"/>
              </w:rPr>
            </w:pPr>
            <w:r>
              <w:rPr>
                <w:bCs/>
                <w:color w:val="000000"/>
                <w:kern w:val="0"/>
                <w:szCs w:val="21"/>
              </w:rPr>
              <w:t>距最近汽车站距离</w:t>
            </w:r>
          </w:p>
        </w:tc>
        <w:tc>
          <w:tcPr>
            <w:tcW w:w="875" w:type="dxa"/>
            <w:vAlign w:val="bottom"/>
          </w:tcPr>
          <w:p>
            <w:pPr>
              <w:widowControl/>
              <w:spacing w:line="400" w:lineRule="exact"/>
              <w:jc w:val="center"/>
              <w:rPr>
                <w:bCs/>
                <w:color w:val="000000"/>
                <w:kern w:val="0"/>
                <w:szCs w:val="21"/>
              </w:rPr>
            </w:pPr>
            <w:r>
              <w:rPr>
                <w:bCs/>
                <w:color w:val="000000"/>
                <w:kern w:val="0"/>
                <w:szCs w:val="21"/>
              </w:rPr>
              <w:t>0.0795</w:t>
            </w:r>
          </w:p>
        </w:tc>
        <w:tc>
          <w:tcPr>
            <w:tcW w:w="749" w:type="dxa"/>
            <w:vAlign w:val="bottom"/>
          </w:tcPr>
          <w:p>
            <w:pPr>
              <w:widowControl/>
              <w:spacing w:line="400" w:lineRule="exact"/>
              <w:jc w:val="center"/>
              <w:rPr>
                <w:bCs/>
                <w:color w:val="000000"/>
                <w:kern w:val="0"/>
                <w:szCs w:val="21"/>
              </w:rPr>
            </w:pPr>
            <w:r>
              <w:rPr>
                <w:bCs/>
                <w:color w:val="000000"/>
                <w:kern w:val="0"/>
                <w:szCs w:val="21"/>
              </w:rPr>
              <w:t xml:space="preserve">1.795 </w:t>
            </w:r>
          </w:p>
        </w:tc>
        <w:tc>
          <w:tcPr>
            <w:tcW w:w="708" w:type="dxa"/>
            <w:vAlign w:val="bottom"/>
          </w:tcPr>
          <w:p>
            <w:pPr>
              <w:widowControl/>
              <w:spacing w:line="400" w:lineRule="exact"/>
              <w:jc w:val="center"/>
              <w:rPr>
                <w:bCs/>
                <w:color w:val="000000"/>
                <w:kern w:val="0"/>
                <w:szCs w:val="21"/>
              </w:rPr>
            </w:pPr>
            <w:r>
              <w:rPr>
                <w:bCs/>
                <w:color w:val="000000"/>
                <w:kern w:val="0"/>
                <w:szCs w:val="21"/>
              </w:rPr>
              <w:t xml:space="preserve">0.898 </w:t>
            </w:r>
          </w:p>
        </w:tc>
        <w:tc>
          <w:tcPr>
            <w:tcW w:w="709" w:type="dxa"/>
            <w:vAlign w:val="bottom"/>
          </w:tcPr>
          <w:p>
            <w:pPr>
              <w:widowControl/>
              <w:spacing w:line="400" w:lineRule="exact"/>
              <w:jc w:val="center"/>
              <w:rPr>
                <w:bCs/>
                <w:color w:val="000000"/>
                <w:kern w:val="0"/>
                <w:szCs w:val="21"/>
              </w:rPr>
            </w:pPr>
            <w:r>
              <w:rPr>
                <w:bCs/>
                <w:color w:val="000000"/>
                <w:kern w:val="0"/>
                <w:szCs w:val="21"/>
              </w:rPr>
              <w:t>0</w:t>
            </w:r>
          </w:p>
        </w:tc>
        <w:tc>
          <w:tcPr>
            <w:tcW w:w="851" w:type="dxa"/>
            <w:vAlign w:val="bottom"/>
          </w:tcPr>
          <w:p>
            <w:pPr>
              <w:widowControl/>
              <w:spacing w:line="400" w:lineRule="exact"/>
              <w:jc w:val="center"/>
              <w:rPr>
                <w:bCs/>
                <w:color w:val="000000"/>
                <w:kern w:val="0"/>
                <w:szCs w:val="21"/>
              </w:rPr>
            </w:pPr>
            <w:r>
              <w:rPr>
                <w:bCs/>
                <w:color w:val="000000"/>
                <w:kern w:val="0"/>
                <w:szCs w:val="21"/>
              </w:rPr>
              <w:t xml:space="preserve">-0.865 </w:t>
            </w:r>
          </w:p>
        </w:tc>
        <w:tc>
          <w:tcPr>
            <w:tcW w:w="839" w:type="dxa"/>
            <w:vAlign w:val="bottom"/>
          </w:tcPr>
          <w:p>
            <w:pPr>
              <w:widowControl/>
              <w:spacing w:line="400" w:lineRule="exact"/>
              <w:jc w:val="center"/>
              <w:rPr>
                <w:bCs/>
                <w:color w:val="000000"/>
                <w:kern w:val="0"/>
                <w:szCs w:val="21"/>
              </w:rPr>
            </w:pPr>
            <w:r>
              <w:rPr>
                <w:bCs/>
                <w:color w:val="000000"/>
                <w:kern w:val="0"/>
                <w:szCs w:val="21"/>
              </w:rPr>
              <w:t xml:space="preserve">-1.731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1054" w:type="dxa"/>
            <w:vAlign w:val="center"/>
          </w:tcPr>
          <w:p>
            <w:pPr>
              <w:widowControl/>
              <w:spacing w:line="400" w:lineRule="exact"/>
              <w:jc w:val="center"/>
              <w:rPr>
                <w:bCs/>
                <w:color w:val="000000"/>
                <w:kern w:val="0"/>
                <w:szCs w:val="21"/>
              </w:rPr>
            </w:pPr>
            <w:r>
              <w:rPr>
                <w:bCs/>
                <w:color w:val="000000"/>
                <w:kern w:val="0"/>
                <w:szCs w:val="21"/>
              </w:rPr>
              <w:t>城市规划</w:t>
            </w:r>
          </w:p>
        </w:tc>
        <w:tc>
          <w:tcPr>
            <w:tcW w:w="988" w:type="dxa"/>
            <w:vAlign w:val="center"/>
          </w:tcPr>
          <w:p>
            <w:pPr>
              <w:widowControl/>
              <w:spacing w:line="400" w:lineRule="exact"/>
              <w:jc w:val="center"/>
              <w:rPr>
                <w:bCs/>
                <w:color w:val="000000"/>
                <w:kern w:val="0"/>
                <w:szCs w:val="21"/>
              </w:rPr>
            </w:pPr>
            <w:r>
              <w:rPr>
                <w:bCs/>
                <w:color w:val="000000"/>
                <w:kern w:val="0"/>
                <w:szCs w:val="21"/>
              </w:rPr>
              <w:t>0.1008</w:t>
            </w:r>
          </w:p>
        </w:tc>
        <w:tc>
          <w:tcPr>
            <w:tcW w:w="1248" w:type="dxa"/>
            <w:vAlign w:val="center"/>
          </w:tcPr>
          <w:p>
            <w:pPr>
              <w:widowControl/>
              <w:spacing w:line="400" w:lineRule="exact"/>
              <w:jc w:val="center"/>
              <w:rPr>
                <w:bCs/>
                <w:color w:val="000000"/>
                <w:kern w:val="0"/>
                <w:szCs w:val="21"/>
              </w:rPr>
            </w:pPr>
            <w:r>
              <w:rPr>
                <w:bCs/>
                <w:color w:val="000000"/>
                <w:kern w:val="0"/>
                <w:szCs w:val="21"/>
              </w:rPr>
              <w:t>城市规划</w:t>
            </w:r>
          </w:p>
        </w:tc>
        <w:tc>
          <w:tcPr>
            <w:tcW w:w="1006" w:type="dxa"/>
            <w:vAlign w:val="center"/>
          </w:tcPr>
          <w:p>
            <w:pPr>
              <w:widowControl/>
              <w:spacing w:line="400" w:lineRule="exact"/>
              <w:jc w:val="center"/>
              <w:rPr>
                <w:bCs/>
                <w:color w:val="000000"/>
                <w:kern w:val="0"/>
                <w:szCs w:val="21"/>
              </w:rPr>
            </w:pPr>
            <w:r>
              <w:rPr>
                <w:bCs/>
                <w:color w:val="000000"/>
                <w:kern w:val="0"/>
                <w:szCs w:val="21"/>
              </w:rPr>
              <w:t>0.1008</w:t>
            </w:r>
          </w:p>
        </w:tc>
        <w:tc>
          <w:tcPr>
            <w:tcW w:w="1276" w:type="dxa"/>
            <w:vAlign w:val="center"/>
          </w:tcPr>
          <w:p>
            <w:pPr>
              <w:widowControl/>
              <w:spacing w:line="400" w:lineRule="exact"/>
              <w:jc w:val="center"/>
              <w:rPr>
                <w:bCs/>
                <w:color w:val="000000"/>
                <w:kern w:val="0"/>
                <w:szCs w:val="21"/>
              </w:rPr>
            </w:pPr>
            <w:r>
              <w:rPr>
                <w:bCs/>
                <w:color w:val="000000"/>
                <w:kern w:val="0"/>
                <w:szCs w:val="21"/>
              </w:rPr>
              <w:t>公共设施用地规划</w:t>
            </w:r>
          </w:p>
        </w:tc>
        <w:tc>
          <w:tcPr>
            <w:tcW w:w="875" w:type="dxa"/>
            <w:vAlign w:val="bottom"/>
          </w:tcPr>
          <w:p>
            <w:pPr>
              <w:widowControl/>
              <w:spacing w:line="400" w:lineRule="exact"/>
              <w:jc w:val="center"/>
              <w:rPr>
                <w:bCs/>
                <w:color w:val="000000"/>
                <w:kern w:val="0"/>
                <w:szCs w:val="21"/>
              </w:rPr>
            </w:pPr>
            <w:r>
              <w:rPr>
                <w:bCs/>
                <w:color w:val="000000"/>
                <w:kern w:val="0"/>
                <w:szCs w:val="21"/>
              </w:rPr>
              <w:t>0.1008</w:t>
            </w:r>
          </w:p>
        </w:tc>
        <w:tc>
          <w:tcPr>
            <w:tcW w:w="749" w:type="dxa"/>
            <w:vAlign w:val="bottom"/>
          </w:tcPr>
          <w:p>
            <w:pPr>
              <w:widowControl/>
              <w:spacing w:line="400" w:lineRule="exact"/>
              <w:jc w:val="center"/>
              <w:rPr>
                <w:bCs/>
                <w:color w:val="000000"/>
                <w:kern w:val="0"/>
                <w:szCs w:val="21"/>
              </w:rPr>
            </w:pPr>
            <w:r>
              <w:rPr>
                <w:bCs/>
                <w:color w:val="000000"/>
                <w:kern w:val="0"/>
                <w:szCs w:val="21"/>
              </w:rPr>
              <w:t xml:space="preserve">2.276 </w:t>
            </w:r>
          </w:p>
        </w:tc>
        <w:tc>
          <w:tcPr>
            <w:tcW w:w="708" w:type="dxa"/>
            <w:vAlign w:val="bottom"/>
          </w:tcPr>
          <w:p>
            <w:pPr>
              <w:widowControl/>
              <w:spacing w:line="400" w:lineRule="exact"/>
              <w:jc w:val="center"/>
              <w:rPr>
                <w:bCs/>
                <w:color w:val="000000"/>
                <w:kern w:val="0"/>
                <w:szCs w:val="21"/>
              </w:rPr>
            </w:pPr>
            <w:r>
              <w:rPr>
                <w:bCs/>
                <w:color w:val="000000"/>
                <w:kern w:val="0"/>
                <w:szCs w:val="21"/>
              </w:rPr>
              <w:t xml:space="preserve">1.138 </w:t>
            </w:r>
          </w:p>
        </w:tc>
        <w:tc>
          <w:tcPr>
            <w:tcW w:w="709" w:type="dxa"/>
            <w:vAlign w:val="bottom"/>
          </w:tcPr>
          <w:p>
            <w:pPr>
              <w:widowControl/>
              <w:spacing w:line="400" w:lineRule="exact"/>
              <w:jc w:val="center"/>
              <w:rPr>
                <w:bCs/>
                <w:color w:val="000000"/>
                <w:kern w:val="0"/>
                <w:szCs w:val="21"/>
              </w:rPr>
            </w:pPr>
            <w:r>
              <w:rPr>
                <w:bCs/>
                <w:color w:val="000000"/>
                <w:kern w:val="0"/>
                <w:szCs w:val="21"/>
              </w:rPr>
              <w:t>0</w:t>
            </w:r>
          </w:p>
        </w:tc>
        <w:tc>
          <w:tcPr>
            <w:tcW w:w="851" w:type="dxa"/>
            <w:vAlign w:val="bottom"/>
          </w:tcPr>
          <w:p>
            <w:pPr>
              <w:widowControl/>
              <w:spacing w:line="400" w:lineRule="exact"/>
              <w:jc w:val="center"/>
              <w:rPr>
                <w:bCs/>
                <w:color w:val="000000"/>
                <w:kern w:val="0"/>
                <w:szCs w:val="21"/>
              </w:rPr>
            </w:pPr>
            <w:r>
              <w:rPr>
                <w:bCs/>
                <w:color w:val="000000"/>
                <w:kern w:val="0"/>
                <w:szCs w:val="21"/>
              </w:rPr>
              <w:t xml:space="preserve">-1.097 </w:t>
            </w:r>
          </w:p>
        </w:tc>
        <w:tc>
          <w:tcPr>
            <w:tcW w:w="839" w:type="dxa"/>
            <w:vAlign w:val="bottom"/>
          </w:tcPr>
          <w:p>
            <w:pPr>
              <w:widowControl/>
              <w:spacing w:line="400" w:lineRule="exact"/>
              <w:jc w:val="center"/>
              <w:rPr>
                <w:bCs/>
                <w:color w:val="000000"/>
                <w:kern w:val="0"/>
                <w:szCs w:val="21"/>
              </w:rPr>
            </w:pPr>
            <w:r>
              <w:rPr>
                <w:bCs/>
                <w:color w:val="000000"/>
                <w:kern w:val="0"/>
                <w:szCs w:val="21"/>
              </w:rPr>
              <w:t xml:space="preserve">-2.194 </w:t>
            </w:r>
          </w:p>
        </w:tc>
      </w:tr>
    </w:tbl>
    <w:p>
      <w:pPr>
        <w:pStyle w:val="131"/>
        <w:spacing w:beforeLines="50" w:afterLines="50"/>
        <w:ind w:firstLine="0" w:firstLineChars="0"/>
        <w:rPr>
          <w:rFonts w:ascii="Times New Roman" w:hAnsi="Times New Roman"/>
          <w:spacing w:val="-20"/>
          <w:sz w:val="24"/>
        </w:rPr>
      </w:pPr>
      <w:r>
        <w:rPr>
          <w:rFonts w:ascii="Times New Roman" w:hAnsi="Times New Roman"/>
          <w:sz w:val="24"/>
        </w:rPr>
        <w:t>表4-6-6  Ⅳ级公共管理与公共服务一类用地宗地地价区域因素修正系数指标说明表</w:t>
      </w:r>
    </w:p>
    <w:tbl>
      <w:tblPr>
        <w:tblW w:w="9192" w:type="dxa"/>
        <w:jc w:val="center"/>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275"/>
        <w:gridCol w:w="1537"/>
        <w:gridCol w:w="857"/>
        <w:gridCol w:w="1231"/>
        <w:gridCol w:w="1126"/>
        <w:gridCol w:w="1126"/>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993" w:type="dxa"/>
            <w:vAlign w:val="center"/>
          </w:tcPr>
          <w:p>
            <w:pPr>
              <w:spacing w:line="400" w:lineRule="exact"/>
              <w:jc w:val="center"/>
              <w:rPr>
                <w:b/>
                <w:bCs/>
                <w:szCs w:val="21"/>
              </w:rPr>
            </w:pPr>
            <w:r>
              <w:rPr>
                <w:b/>
                <w:bCs/>
                <w:szCs w:val="21"/>
              </w:rPr>
              <w:t>因素层</w:t>
            </w:r>
          </w:p>
        </w:tc>
        <w:tc>
          <w:tcPr>
            <w:tcW w:w="1275" w:type="dxa"/>
            <w:vAlign w:val="center"/>
          </w:tcPr>
          <w:p>
            <w:pPr>
              <w:spacing w:line="400" w:lineRule="exact"/>
              <w:jc w:val="center"/>
              <w:rPr>
                <w:b/>
                <w:bCs/>
                <w:szCs w:val="21"/>
              </w:rPr>
            </w:pPr>
            <w:r>
              <w:rPr>
                <w:b/>
                <w:bCs/>
                <w:szCs w:val="21"/>
              </w:rPr>
              <w:t>因子层</w:t>
            </w:r>
          </w:p>
        </w:tc>
        <w:tc>
          <w:tcPr>
            <w:tcW w:w="1537" w:type="dxa"/>
            <w:vAlign w:val="center"/>
          </w:tcPr>
          <w:p>
            <w:pPr>
              <w:spacing w:line="400" w:lineRule="exact"/>
              <w:jc w:val="center"/>
              <w:rPr>
                <w:b/>
                <w:bCs/>
                <w:szCs w:val="21"/>
              </w:rPr>
            </w:pPr>
            <w:r>
              <w:rPr>
                <w:b/>
                <w:bCs/>
                <w:szCs w:val="21"/>
              </w:rPr>
              <w:t>指标层</w:t>
            </w:r>
          </w:p>
        </w:tc>
        <w:tc>
          <w:tcPr>
            <w:tcW w:w="857" w:type="dxa"/>
            <w:vAlign w:val="center"/>
          </w:tcPr>
          <w:p>
            <w:pPr>
              <w:spacing w:line="400" w:lineRule="exact"/>
              <w:jc w:val="center"/>
              <w:rPr>
                <w:b/>
                <w:bCs/>
                <w:szCs w:val="21"/>
              </w:rPr>
            </w:pPr>
            <w:r>
              <w:rPr>
                <w:b/>
                <w:bCs/>
                <w:szCs w:val="21"/>
              </w:rPr>
              <w:t>优</w:t>
            </w:r>
          </w:p>
        </w:tc>
        <w:tc>
          <w:tcPr>
            <w:tcW w:w="1231" w:type="dxa"/>
            <w:vAlign w:val="center"/>
          </w:tcPr>
          <w:p>
            <w:pPr>
              <w:spacing w:line="400" w:lineRule="exact"/>
              <w:jc w:val="center"/>
              <w:rPr>
                <w:b/>
                <w:bCs/>
                <w:szCs w:val="21"/>
              </w:rPr>
            </w:pPr>
            <w:r>
              <w:rPr>
                <w:b/>
                <w:bCs/>
                <w:szCs w:val="21"/>
              </w:rPr>
              <w:t>较优</w:t>
            </w:r>
          </w:p>
        </w:tc>
        <w:tc>
          <w:tcPr>
            <w:tcW w:w="1126" w:type="dxa"/>
            <w:vAlign w:val="center"/>
          </w:tcPr>
          <w:p>
            <w:pPr>
              <w:spacing w:line="400" w:lineRule="exact"/>
              <w:jc w:val="center"/>
              <w:rPr>
                <w:b/>
                <w:bCs/>
                <w:szCs w:val="21"/>
              </w:rPr>
            </w:pPr>
            <w:r>
              <w:rPr>
                <w:b/>
                <w:bCs/>
                <w:szCs w:val="21"/>
              </w:rPr>
              <w:t>一般</w:t>
            </w:r>
          </w:p>
        </w:tc>
        <w:tc>
          <w:tcPr>
            <w:tcW w:w="1126" w:type="dxa"/>
            <w:vAlign w:val="center"/>
          </w:tcPr>
          <w:p>
            <w:pPr>
              <w:spacing w:line="400" w:lineRule="exact"/>
              <w:jc w:val="center"/>
              <w:rPr>
                <w:b/>
                <w:bCs/>
                <w:szCs w:val="21"/>
              </w:rPr>
            </w:pPr>
            <w:r>
              <w:rPr>
                <w:b/>
                <w:bCs/>
                <w:szCs w:val="21"/>
              </w:rPr>
              <w:t>较劣</w:t>
            </w:r>
          </w:p>
        </w:tc>
        <w:tc>
          <w:tcPr>
            <w:tcW w:w="1047"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restart"/>
            <w:vAlign w:val="center"/>
          </w:tcPr>
          <w:p>
            <w:pPr>
              <w:widowControl/>
              <w:spacing w:line="400" w:lineRule="exact"/>
              <w:jc w:val="center"/>
              <w:rPr>
                <w:bCs/>
                <w:color w:val="000000"/>
                <w:kern w:val="0"/>
                <w:szCs w:val="21"/>
              </w:rPr>
            </w:pPr>
            <w:r>
              <w:rPr>
                <w:bCs/>
                <w:color w:val="000000"/>
                <w:kern w:val="0"/>
                <w:szCs w:val="21"/>
              </w:rPr>
              <w:t>基本设施状况</w:t>
            </w:r>
          </w:p>
        </w:tc>
        <w:tc>
          <w:tcPr>
            <w:tcW w:w="1275" w:type="dxa"/>
            <w:vMerge w:val="restart"/>
            <w:vAlign w:val="center"/>
          </w:tcPr>
          <w:p>
            <w:pPr>
              <w:widowControl/>
              <w:spacing w:line="400" w:lineRule="exact"/>
              <w:jc w:val="center"/>
              <w:rPr>
                <w:bCs/>
                <w:color w:val="000000"/>
                <w:kern w:val="0"/>
                <w:szCs w:val="21"/>
              </w:rPr>
            </w:pPr>
            <w:r>
              <w:rPr>
                <w:bCs/>
                <w:color w:val="000000"/>
                <w:kern w:val="0"/>
                <w:szCs w:val="21"/>
              </w:rPr>
              <w:t>公用设施完备度</w:t>
            </w:r>
          </w:p>
        </w:tc>
        <w:tc>
          <w:tcPr>
            <w:tcW w:w="1537" w:type="dxa"/>
            <w:vAlign w:val="center"/>
          </w:tcPr>
          <w:p>
            <w:pPr>
              <w:widowControl/>
              <w:spacing w:line="400" w:lineRule="exact"/>
              <w:jc w:val="center"/>
              <w:rPr>
                <w:bCs/>
                <w:color w:val="000000"/>
                <w:kern w:val="0"/>
                <w:szCs w:val="21"/>
              </w:rPr>
            </w:pPr>
            <w:r>
              <w:rPr>
                <w:bCs/>
                <w:color w:val="000000"/>
                <w:kern w:val="0"/>
                <w:szCs w:val="21"/>
              </w:rPr>
              <w:t>距中小学距离</w:t>
            </w:r>
          </w:p>
        </w:tc>
        <w:tc>
          <w:tcPr>
            <w:tcW w:w="857" w:type="dxa"/>
            <w:vAlign w:val="center"/>
          </w:tcPr>
          <w:p>
            <w:pPr>
              <w:widowControl/>
              <w:spacing w:line="400" w:lineRule="exact"/>
              <w:jc w:val="center"/>
              <w:rPr>
                <w:bCs/>
                <w:color w:val="000000"/>
                <w:kern w:val="0"/>
                <w:szCs w:val="21"/>
              </w:rPr>
            </w:pPr>
            <w:r>
              <w:rPr>
                <w:bCs/>
                <w:color w:val="000000"/>
                <w:kern w:val="0"/>
                <w:szCs w:val="21"/>
              </w:rPr>
              <w:t>&lt;</w:t>
            </w:r>
            <w:r>
              <w:rPr>
                <w:rFonts w:hint="eastAsia"/>
                <w:bCs/>
                <w:color w:val="000000"/>
                <w:kern w:val="0"/>
                <w:szCs w:val="21"/>
              </w:rPr>
              <w:t>700</w:t>
            </w:r>
          </w:p>
        </w:tc>
        <w:tc>
          <w:tcPr>
            <w:tcW w:w="1231" w:type="dxa"/>
            <w:vAlign w:val="center"/>
          </w:tcPr>
          <w:p>
            <w:pPr>
              <w:widowControl/>
              <w:spacing w:line="400" w:lineRule="exact"/>
              <w:jc w:val="center"/>
              <w:rPr>
                <w:bCs/>
                <w:color w:val="000000"/>
                <w:kern w:val="0"/>
                <w:szCs w:val="21"/>
              </w:rPr>
            </w:pPr>
            <w:r>
              <w:rPr>
                <w:rFonts w:hint="eastAsia"/>
                <w:bCs/>
                <w:color w:val="000000"/>
                <w:kern w:val="0"/>
                <w:szCs w:val="21"/>
              </w:rPr>
              <w:t>700</w:t>
            </w:r>
            <w:r>
              <w:rPr>
                <w:bCs/>
                <w:color w:val="000000"/>
                <w:kern w:val="0"/>
                <w:szCs w:val="21"/>
              </w:rPr>
              <w:t>-</w:t>
            </w:r>
            <w:r>
              <w:rPr>
                <w:rFonts w:hint="eastAsia"/>
                <w:bCs/>
                <w:color w:val="000000"/>
                <w:kern w:val="0"/>
                <w:szCs w:val="21"/>
              </w:rPr>
              <w:t>800</w:t>
            </w:r>
          </w:p>
        </w:tc>
        <w:tc>
          <w:tcPr>
            <w:tcW w:w="1126" w:type="dxa"/>
            <w:vAlign w:val="center"/>
          </w:tcPr>
          <w:p>
            <w:pPr>
              <w:widowControl/>
              <w:spacing w:line="400" w:lineRule="exact"/>
              <w:jc w:val="center"/>
              <w:rPr>
                <w:bCs/>
                <w:color w:val="000000"/>
                <w:kern w:val="0"/>
                <w:szCs w:val="21"/>
              </w:rPr>
            </w:pPr>
            <w:r>
              <w:rPr>
                <w:rFonts w:hint="eastAsia"/>
                <w:bCs/>
                <w:color w:val="000000"/>
                <w:kern w:val="0"/>
                <w:szCs w:val="21"/>
              </w:rPr>
              <w:t>800</w:t>
            </w:r>
            <w:r>
              <w:rPr>
                <w:bCs/>
                <w:color w:val="000000"/>
                <w:kern w:val="0"/>
                <w:szCs w:val="21"/>
              </w:rPr>
              <w:t>-</w:t>
            </w:r>
            <w:r>
              <w:rPr>
                <w:rFonts w:hint="eastAsia"/>
                <w:bCs/>
                <w:color w:val="000000"/>
                <w:kern w:val="0"/>
                <w:szCs w:val="21"/>
              </w:rPr>
              <w:t>900</w:t>
            </w:r>
          </w:p>
        </w:tc>
        <w:tc>
          <w:tcPr>
            <w:tcW w:w="1126" w:type="dxa"/>
            <w:vAlign w:val="center"/>
          </w:tcPr>
          <w:p>
            <w:pPr>
              <w:widowControl/>
              <w:spacing w:line="400" w:lineRule="exact"/>
              <w:jc w:val="center"/>
              <w:rPr>
                <w:bCs/>
                <w:color w:val="000000"/>
                <w:kern w:val="0"/>
                <w:szCs w:val="21"/>
              </w:rPr>
            </w:pPr>
            <w:r>
              <w:rPr>
                <w:rFonts w:hint="eastAsia"/>
                <w:bCs/>
                <w:color w:val="000000"/>
                <w:kern w:val="0"/>
                <w:szCs w:val="21"/>
              </w:rPr>
              <w:t>900</w:t>
            </w:r>
            <w:r>
              <w:rPr>
                <w:bCs/>
                <w:color w:val="000000"/>
                <w:kern w:val="0"/>
                <w:szCs w:val="21"/>
              </w:rPr>
              <w:t>-</w:t>
            </w:r>
            <w:r>
              <w:rPr>
                <w:rFonts w:hint="eastAsia"/>
                <w:bCs/>
                <w:color w:val="000000"/>
                <w:kern w:val="0"/>
                <w:szCs w:val="21"/>
              </w:rPr>
              <w:t>1000</w:t>
            </w:r>
          </w:p>
        </w:tc>
        <w:tc>
          <w:tcPr>
            <w:tcW w:w="1047" w:type="dxa"/>
            <w:vAlign w:val="center"/>
          </w:tcPr>
          <w:p>
            <w:pPr>
              <w:widowControl/>
              <w:spacing w:line="400" w:lineRule="exact"/>
              <w:jc w:val="center"/>
              <w:rPr>
                <w:bCs/>
                <w:color w:val="000000"/>
                <w:kern w:val="0"/>
                <w:szCs w:val="21"/>
              </w:rPr>
            </w:pPr>
            <w:r>
              <w:rPr>
                <w:bCs/>
                <w:color w:val="000000"/>
                <w:kern w:val="0"/>
                <w:szCs w:val="21"/>
              </w:rPr>
              <w:t>&gt;</w:t>
            </w:r>
            <w:r>
              <w:rPr>
                <w:rFonts w:hint="eastAsia"/>
                <w:bCs/>
                <w:color w:val="000000"/>
                <w:kern w:val="0"/>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continue"/>
            <w:vAlign w:val="center"/>
          </w:tcPr>
          <w:p>
            <w:pPr>
              <w:widowControl/>
              <w:spacing w:line="400" w:lineRule="exact"/>
              <w:jc w:val="center"/>
              <w:rPr>
                <w:bCs/>
                <w:color w:val="000000"/>
                <w:kern w:val="0"/>
                <w:szCs w:val="21"/>
              </w:rPr>
            </w:pPr>
          </w:p>
        </w:tc>
        <w:tc>
          <w:tcPr>
            <w:tcW w:w="1275" w:type="dxa"/>
            <w:vMerge w:val="continue"/>
            <w:vAlign w:val="center"/>
          </w:tcPr>
          <w:p>
            <w:pPr>
              <w:widowControl/>
              <w:spacing w:line="400" w:lineRule="exact"/>
              <w:jc w:val="center"/>
              <w:rPr>
                <w:bCs/>
                <w:color w:val="000000"/>
                <w:kern w:val="0"/>
                <w:szCs w:val="21"/>
              </w:rPr>
            </w:pPr>
          </w:p>
        </w:tc>
        <w:tc>
          <w:tcPr>
            <w:tcW w:w="1537" w:type="dxa"/>
            <w:vAlign w:val="center"/>
          </w:tcPr>
          <w:p>
            <w:pPr>
              <w:widowControl/>
              <w:spacing w:line="400" w:lineRule="exact"/>
              <w:jc w:val="center"/>
              <w:rPr>
                <w:bCs/>
                <w:color w:val="000000"/>
                <w:kern w:val="0"/>
                <w:szCs w:val="21"/>
              </w:rPr>
            </w:pPr>
            <w:r>
              <w:rPr>
                <w:bCs/>
                <w:color w:val="000000"/>
                <w:kern w:val="0"/>
                <w:szCs w:val="21"/>
              </w:rPr>
              <w:t>距医院距离</w:t>
            </w:r>
          </w:p>
        </w:tc>
        <w:tc>
          <w:tcPr>
            <w:tcW w:w="857" w:type="dxa"/>
            <w:vAlign w:val="center"/>
          </w:tcPr>
          <w:p>
            <w:pPr>
              <w:widowControl/>
              <w:spacing w:line="400" w:lineRule="exact"/>
              <w:jc w:val="center"/>
              <w:rPr>
                <w:bCs/>
                <w:color w:val="000000"/>
                <w:kern w:val="0"/>
                <w:szCs w:val="21"/>
              </w:rPr>
            </w:pPr>
            <w:r>
              <w:rPr>
                <w:bCs/>
                <w:color w:val="000000"/>
                <w:kern w:val="0"/>
                <w:szCs w:val="21"/>
              </w:rPr>
              <w:t>&lt;</w:t>
            </w:r>
            <w:r>
              <w:rPr>
                <w:rFonts w:hint="eastAsia"/>
                <w:bCs/>
                <w:color w:val="000000"/>
                <w:kern w:val="0"/>
                <w:szCs w:val="21"/>
              </w:rPr>
              <w:t>90</w:t>
            </w:r>
            <w:r>
              <w:rPr>
                <w:bCs/>
                <w:color w:val="000000"/>
                <w:kern w:val="0"/>
                <w:szCs w:val="21"/>
              </w:rPr>
              <w:t>0</w:t>
            </w:r>
          </w:p>
        </w:tc>
        <w:tc>
          <w:tcPr>
            <w:tcW w:w="1231" w:type="dxa"/>
            <w:vAlign w:val="center"/>
          </w:tcPr>
          <w:p>
            <w:pPr>
              <w:widowControl/>
              <w:spacing w:line="400" w:lineRule="exact"/>
              <w:jc w:val="center"/>
              <w:rPr>
                <w:bCs/>
                <w:color w:val="000000"/>
                <w:kern w:val="0"/>
                <w:szCs w:val="21"/>
              </w:rPr>
            </w:pPr>
            <w:r>
              <w:rPr>
                <w:rFonts w:hint="eastAsia"/>
                <w:bCs/>
                <w:color w:val="000000"/>
                <w:kern w:val="0"/>
                <w:szCs w:val="21"/>
              </w:rPr>
              <w:t>900</w:t>
            </w:r>
            <w:r>
              <w:rPr>
                <w:bCs/>
                <w:color w:val="000000"/>
                <w:kern w:val="0"/>
                <w:szCs w:val="21"/>
              </w:rPr>
              <w:t>-10</w:t>
            </w:r>
            <w:r>
              <w:rPr>
                <w:rFonts w:hint="eastAsia"/>
                <w:bCs/>
                <w:color w:val="000000"/>
                <w:kern w:val="0"/>
                <w:szCs w:val="21"/>
              </w:rPr>
              <w:t>5</w:t>
            </w:r>
            <w:r>
              <w:rPr>
                <w:bCs/>
                <w:color w:val="000000"/>
                <w:kern w:val="0"/>
                <w:szCs w:val="21"/>
              </w:rPr>
              <w:t>0</w:t>
            </w:r>
          </w:p>
        </w:tc>
        <w:tc>
          <w:tcPr>
            <w:tcW w:w="1126" w:type="dxa"/>
            <w:vAlign w:val="center"/>
          </w:tcPr>
          <w:p>
            <w:pPr>
              <w:widowControl/>
              <w:spacing w:line="400" w:lineRule="exact"/>
              <w:jc w:val="center"/>
              <w:rPr>
                <w:bCs/>
                <w:color w:val="000000"/>
                <w:kern w:val="0"/>
                <w:szCs w:val="21"/>
              </w:rPr>
            </w:pPr>
            <w:r>
              <w:rPr>
                <w:bCs/>
                <w:color w:val="000000"/>
                <w:kern w:val="0"/>
                <w:szCs w:val="21"/>
              </w:rPr>
              <w:t>1000-1</w:t>
            </w:r>
            <w:r>
              <w:rPr>
                <w:rFonts w:hint="eastAsia"/>
                <w:bCs/>
                <w:color w:val="000000"/>
                <w:kern w:val="0"/>
                <w:szCs w:val="21"/>
              </w:rPr>
              <w:t>200</w:t>
            </w:r>
          </w:p>
        </w:tc>
        <w:tc>
          <w:tcPr>
            <w:tcW w:w="1126" w:type="dxa"/>
            <w:vAlign w:val="center"/>
          </w:tcPr>
          <w:p>
            <w:pPr>
              <w:widowControl/>
              <w:spacing w:line="400" w:lineRule="exact"/>
              <w:jc w:val="center"/>
              <w:rPr>
                <w:bCs/>
                <w:color w:val="000000"/>
                <w:kern w:val="0"/>
                <w:szCs w:val="21"/>
              </w:rPr>
            </w:pPr>
            <w:r>
              <w:rPr>
                <w:bCs/>
                <w:color w:val="000000"/>
                <w:kern w:val="0"/>
                <w:szCs w:val="21"/>
              </w:rPr>
              <w:t>1</w:t>
            </w:r>
            <w:r>
              <w:rPr>
                <w:rFonts w:hint="eastAsia"/>
                <w:bCs/>
                <w:color w:val="000000"/>
                <w:kern w:val="0"/>
                <w:szCs w:val="21"/>
              </w:rPr>
              <w:t>200</w:t>
            </w:r>
            <w:r>
              <w:rPr>
                <w:bCs/>
                <w:color w:val="000000"/>
                <w:kern w:val="0"/>
                <w:szCs w:val="21"/>
              </w:rPr>
              <w:t>-1</w:t>
            </w:r>
            <w:r>
              <w:rPr>
                <w:rFonts w:hint="eastAsia"/>
                <w:bCs/>
                <w:color w:val="000000"/>
                <w:kern w:val="0"/>
                <w:szCs w:val="21"/>
              </w:rPr>
              <w:t>400</w:t>
            </w:r>
          </w:p>
        </w:tc>
        <w:tc>
          <w:tcPr>
            <w:tcW w:w="1047" w:type="dxa"/>
            <w:vAlign w:val="center"/>
          </w:tcPr>
          <w:p>
            <w:pPr>
              <w:widowControl/>
              <w:spacing w:line="400" w:lineRule="exact"/>
              <w:jc w:val="center"/>
              <w:rPr>
                <w:bCs/>
                <w:color w:val="000000"/>
                <w:kern w:val="0"/>
                <w:szCs w:val="21"/>
              </w:rPr>
            </w:pPr>
            <w:r>
              <w:rPr>
                <w:bCs/>
                <w:color w:val="000000"/>
                <w:kern w:val="0"/>
                <w:szCs w:val="21"/>
              </w:rPr>
              <w:t>&gt;1</w:t>
            </w:r>
            <w:r>
              <w:rPr>
                <w:rFonts w:hint="eastAsia"/>
                <w:bCs/>
                <w:color w:val="000000"/>
                <w:kern w:val="0"/>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continue"/>
            <w:vAlign w:val="center"/>
          </w:tcPr>
          <w:p>
            <w:pPr>
              <w:widowControl/>
              <w:spacing w:line="400" w:lineRule="exact"/>
              <w:jc w:val="center"/>
              <w:rPr>
                <w:bCs/>
                <w:color w:val="000000"/>
                <w:kern w:val="0"/>
                <w:szCs w:val="21"/>
              </w:rPr>
            </w:pPr>
          </w:p>
        </w:tc>
        <w:tc>
          <w:tcPr>
            <w:tcW w:w="1275" w:type="dxa"/>
            <w:vMerge w:val="continue"/>
            <w:vAlign w:val="center"/>
          </w:tcPr>
          <w:p>
            <w:pPr>
              <w:widowControl/>
              <w:spacing w:line="400" w:lineRule="exact"/>
              <w:jc w:val="center"/>
              <w:rPr>
                <w:bCs/>
                <w:color w:val="000000"/>
                <w:kern w:val="0"/>
                <w:szCs w:val="21"/>
              </w:rPr>
            </w:pPr>
          </w:p>
        </w:tc>
        <w:tc>
          <w:tcPr>
            <w:tcW w:w="1537" w:type="dxa"/>
            <w:vAlign w:val="center"/>
          </w:tcPr>
          <w:p>
            <w:pPr>
              <w:widowControl/>
              <w:spacing w:line="400" w:lineRule="exact"/>
              <w:jc w:val="center"/>
              <w:rPr>
                <w:bCs/>
                <w:color w:val="000000"/>
                <w:kern w:val="0"/>
                <w:szCs w:val="21"/>
              </w:rPr>
            </w:pPr>
            <w:r>
              <w:rPr>
                <w:bCs/>
                <w:color w:val="000000"/>
                <w:kern w:val="0"/>
                <w:szCs w:val="21"/>
              </w:rPr>
              <w:t>距文体设施用地距离</w:t>
            </w:r>
          </w:p>
        </w:tc>
        <w:tc>
          <w:tcPr>
            <w:tcW w:w="857" w:type="dxa"/>
            <w:vAlign w:val="center"/>
          </w:tcPr>
          <w:p>
            <w:pPr>
              <w:widowControl/>
              <w:spacing w:line="400" w:lineRule="exact"/>
              <w:jc w:val="center"/>
              <w:rPr>
                <w:bCs/>
                <w:color w:val="000000"/>
                <w:kern w:val="0"/>
                <w:szCs w:val="21"/>
              </w:rPr>
            </w:pPr>
            <w:r>
              <w:rPr>
                <w:bCs/>
                <w:color w:val="000000"/>
                <w:kern w:val="0"/>
                <w:szCs w:val="21"/>
              </w:rPr>
              <w:t>&lt;</w:t>
            </w:r>
            <w:r>
              <w:rPr>
                <w:rFonts w:hint="eastAsia"/>
                <w:bCs/>
                <w:color w:val="000000"/>
                <w:kern w:val="0"/>
                <w:szCs w:val="21"/>
              </w:rPr>
              <w:t>800</w:t>
            </w:r>
          </w:p>
        </w:tc>
        <w:tc>
          <w:tcPr>
            <w:tcW w:w="1231" w:type="dxa"/>
            <w:vAlign w:val="center"/>
          </w:tcPr>
          <w:p>
            <w:pPr>
              <w:widowControl/>
              <w:spacing w:line="400" w:lineRule="exact"/>
              <w:jc w:val="center"/>
              <w:rPr>
                <w:bCs/>
                <w:color w:val="000000"/>
                <w:kern w:val="0"/>
                <w:szCs w:val="21"/>
              </w:rPr>
            </w:pPr>
            <w:r>
              <w:rPr>
                <w:rFonts w:hint="eastAsia"/>
                <w:bCs/>
                <w:color w:val="000000"/>
                <w:kern w:val="0"/>
                <w:szCs w:val="21"/>
              </w:rPr>
              <w:t>800</w:t>
            </w:r>
            <w:r>
              <w:rPr>
                <w:bCs/>
                <w:color w:val="000000"/>
                <w:kern w:val="0"/>
                <w:szCs w:val="21"/>
              </w:rPr>
              <w:t>-</w:t>
            </w:r>
            <w:r>
              <w:rPr>
                <w:rFonts w:hint="eastAsia"/>
                <w:bCs/>
                <w:color w:val="000000"/>
                <w:kern w:val="0"/>
                <w:szCs w:val="21"/>
              </w:rPr>
              <w:t>1000</w:t>
            </w:r>
          </w:p>
        </w:tc>
        <w:tc>
          <w:tcPr>
            <w:tcW w:w="1126" w:type="dxa"/>
            <w:vAlign w:val="center"/>
          </w:tcPr>
          <w:p>
            <w:pPr>
              <w:widowControl/>
              <w:spacing w:line="400" w:lineRule="exact"/>
              <w:jc w:val="center"/>
              <w:rPr>
                <w:bCs/>
                <w:color w:val="000000"/>
                <w:kern w:val="0"/>
                <w:szCs w:val="21"/>
              </w:rPr>
            </w:pPr>
            <w:r>
              <w:rPr>
                <w:rFonts w:hint="eastAsia"/>
                <w:bCs/>
                <w:color w:val="000000"/>
                <w:kern w:val="0"/>
                <w:szCs w:val="21"/>
              </w:rPr>
              <w:t>1000</w:t>
            </w:r>
            <w:r>
              <w:rPr>
                <w:bCs/>
                <w:color w:val="000000"/>
                <w:kern w:val="0"/>
                <w:szCs w:val="21"/>
              </w:rPr>
              <w:t>-</w:t>
            </w:r>
            <w:r>
              <w:rPr>
                <w:rFonts w:hint="eastAsia"/>
                <w:bCs/>
                <w:color w:val="000000"/>
                <w:kern w:val="0"/>
                <w:szCs w:val="21"/>
              </w:rPr>
              <w:t>1200</w:t>
            </w:r>
          </w:p>
        </w:tc>
        <w:tc>
          <w:tcPr>
            <w:tcW w:w="1126" w:type="dxa"/>
            <w:vAlign w:val="center"/>
          </w:tcPr>
          <w:p>
            <w:pPr>
              <w:widowControl/>
              <w:spacing w:line="400" w:lineRule="exact"/>
              <w:jc w:val="center"/>
              <w:rPr>
                <w:bCs/>
                <w:color w:val="000000"/>
                <w:kern w:val="0"/>
                <w:szCs w:val="21"/>
              </w:rPr>
            </w:pPr>
            <w:r>
              <w:rPr>
                <w:bCs/>
                <w:color w:val="000000"/>
                <w:kern w:val="0"/>
                <w:szCs w:val="21"/>
              </w:rPr>
              <w:t>1</w:t>
            </w:r>
            <w:r>
              <w:rPr>
                <w:rFonts w:hint="eastAsia"/>
                <w:bCs/>
                <w:color w:val="000000"/>
                <w:kern w:val="0"/>
                <w:szCs w:val="21"/>
              </w:rPr>
              <w:t>200</w:t>
            </w:r>
            <w:r>
              <w:rPr>
                <w:bCs/>
                <w:color w:val="000000"/>
                <w:kern w:val="0"/>
                <w:szCs w:val="21"/>
              </w:rPr>
              <w:t>-1</w:t>
            </w:r>
            <w:r>
              <w:rPr>
                <w:rFonts w:hint="eastAsia"/>
                <w:bCs/>
                <w:color w:val="000000"/>
                <w:kern w:val="0"/>
                <w:szCs w:val="21"/>
              </w:rPr>
              <w:t>400</w:t>
            </w:r>
          </w:p>
        </w:tc>
        <w:tc>
          <w:tcPr>
            <w:tcW w:w="1047" w:type="dxa"/>
            <w:vAlign w:val="center"/>
          </w:tcPr>
          <w:p>
            <w:pPr>
              <w:widowControl/>
              <w:spacing w:line="400" w:lineRule="exact"/>
              <w:jc w:val="center"/>
              <w:rPr>
                <w:bCs/>
                <w:color w:val="000000"/>
                <w:kern w:val="0"/>
                <w:szCs w:val="21"/>
              </w:rPr>
            </w:pPr>
            <w:r>
              <w:rPr>
                <w:bCs/>
                <w:color w:val="000000"/>
                <w:kern w:val="0"/>
                <w:szCs w:val="21"/>
              </w:rPr>
              <w:t>&gt;1</w:t>
            </w:r>
            <w:r>
              <w:rPr>
                <w:rFonts w:hint="eastAsia"/>
                <w:bCs/>
                <w:color w:val="000000"/>
                <w:kern w:val="0"/>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Align w:val="center"/>
          </w:tcPr>
          <w:p>
            <w:pPr>
              <w:widowControl/>
              <w:spacing w:line="400" w:lineRule="exact"/>
              <w:jc w:val="center"/>
              <w:rPr>
                <w:bCs/>
                <w:color w:val="000000"/>
                <w:kern w:val="0"/>
                <w:szCs w:val="21"/>
              </w:rPr>
            </w:pPr>
            <w:r>
              <w:rPr>
                <w:bCs/>
                <w:color w:val="000000"/>
                <w:kern w:val="0"/>
                <w:szCs w:val="21"/>
              </w:rPr>
              <w:t>繁华程度</w:t>
            </w:r>
          </w:p>
        </w:tc>
        <w:tc>
          <w:tcPr>
            <w:tcW w:w="1275" w:type="dxa"/>
            <w:vAlign w:val="center"/>
          </w:tcPr>
          <w:p>
            <w:pPr>
              <w:widowControl/>
              <w:spacing w:line="400" w:lineRule="exact"/>
              <w:jc w:val="center"/>
              <w:rPr>
                <w:bCs/>
                <w:color w:val="000000"/>
                <w:kern w:val="0"/>
                <w:szCs w:val="21"/>
              </w:rPr>
            </w:pPr>
            <w:r>
              <w:rPr>
                <w:bCs/>
                <w:color w:val="000000"/>
                <w:kern w:val="0"/>
                <w:szCs w:val="21"/>
              </w:rPr>
              <w:t>商服繁华影响度</w:t>
            </w:r>
          </w:p>
        </w:tc>
        <w:tc>
          <w:tcPr>
            <w:tcW w:w="1537" w:type="dxa"/>
            <w:vAlign w:val="center"/>
          </w:tcPr>
          <w:p>
            <w:pPr>
              <w:widowControl/>
              <w:spacing w:line="400" w:lineRule="exact"/>
              <w:jc w:val="center"/>
              <w:rPr>
                <w:bCs/>
                <w:color w:val="000000"/>
                <w:kern w:val="0"/>
                <w:szCs w:val="21"/>
              </w:rPr>
            </w:pPr>
            <w:r>
              <w:rPr>
                <w:bCs/>
                <w:color w:val="000000"/>
                <w:kern w:val="0"/>
                <w:szCs w:val="21"/>
              </w:rPr>
              <w:t>距商服中心距离</w:t>
            </w:r>
          </w:p>
        </w:tc>
        <w:tc>
          <w:tcPr>
            <w:tcW w:w="857" w:type="dxa"/>
            <w:vAlign w:val="center"/>
          </w:tcPr>
          <w:p>
            <w:pPr>
              <w:widowControl/>
              <w:spacing w:line="400" w:lineRule="exact"/>
              <w:jc w:val="center"/>
              <w:rPr>
                <w:bCs/>
                <w:color w:val="000000"/>
                <w:kern w:val="0"/>
                <w:szCs w:val="21"/>
              </w:rPr>
            </w:pPr>
            <w:r>
              <w:rPr>
                <w:bCs/>
                <w:color w:val="000000"/>
                <w:kern w:val="0"/>
                <w:szCs w:val="21"/>
              </w:rPr>
              <w:t>&lt;1</w:t>
            </w:r>
            <w:r>
              <w:rPr>
                <w:rFonts w:hint="eastAsia"/>
                <w:bCs/>
                <w:color w:val="000000"/>
                <w:kern w:val="0"/>
                <w:szCs w:val="21"/>
              </w:rPr>
              <w:t>2</w:t>
            </w:r>
            <w:r>
              <w:rPr>
                <w:bCs/>
                <w:color w:val="000000"/>
                <w:kern w:val="0"/>
                <w:szCs w:val="21"/>
              </w:rPr>
              <w:t>00</w:t>
            </w:r>
          </w:p>
        </w:tc>
        <w:tc>
          <w:tcPr>
            <w:tcW w:w="1231" w:type="dxa"/>
            <w:vAlign w:val="center"/>
          </w:tcPr>
          <w:p>
            <w:pPr>
              <w:widowControl/>
              <w:spacing w:line="400" w:lineRule="exact"/>
              <w:jc w:val="center"/>
              <w:rPr>
                <w:bCs/>
                <w:color w:val="000000"/>
                <w:kern w:val="0"/>
                <w:szCs w:val="21"/>
              </w:rPr>
            </w:pPr>
            <w:r>
              <w:rPr>
                <w:bCs/>
                <w:color w:val="000000"/>
                <w:kern w:val="0"/>
                <w:szCs w:val="21"/>
              </w:rPr>
              <w:t>1</w:t>
            </w:r>
            <w:r>
              <w:rPr>
                <w:rFonts w:hint="eastAsia"/>
                <w:bCs/>
                <w:color w:val="000000"/>
                <w:kern w:val="0"/>
                <w:szCs w:val="21"/>
              </w:rPr>
              <w:t>2</w:t>
            </w:r>
            <w:r>
              <w:rPr>
                <w:bCs/>
                <w:color w:val="000000"/>
                <w:kern w:val="0"/>
                <w:szCs w:val="21"/>
              </w:rPr>
              <w:t>00-1</w:t>
            </w:r>
            <w:r>
              <w:rPr>
                <w:rFonts w:hint="eastAsia"/>
                <w:bCs/>
                <w:color w:val="000000"/>
                <w:kern w:val="0"/>
                <w:szCs w:val="21"/>
              </w:rPr>
              <w:t>5</w:t>
            </w:r>
            <w:r>
              <w:rPr>
                <w:bCs/>
                <w:color w:val="000000"/>
                <w:kern w:val="0"/>
                <w:szCs w:val="21"/>
              </w:rPr>
              <w:t>00</w:t>
            </w:r>
          </w:p>
        </w:tc>
        <w:tc>
          <w:tcPr>
            <w:tcW w:w="1126" w:type="dxa"/>
            <w:vAlign w:val="center"/>
          </w:tcPr>
          <w:p>
            <w:pPr>
              <w:widowControl/>
              <w:spacing w:line="400" w:lineRule="exact"/>
              <w:jc w:val="center"/>
              <w:rPr>
                <w:bCs/>
                <w:color w:val="000000"/>
                <w:kern w:val="0"/>
                <w:szCs w:val="21"/>
              </w:rPr>
            </w:pPr>
            <w:r>
              <w:rPr>
                <w:bCs/>
                <w:color w:val="000000"/>
                <w:kern w:val="0"/>
                <w:szCs w:val="21"/>
              </w:rPr>
              <w:t>1</w:t>
            </w:r>
            <w:r>
              <w:rPr>
                <w:rFonts w:hint="eastAsia"/>
                <w:bCs/>
                <w:color w:val="000000"/>
                <w:kern w:val="0"/>
                <w:szCs w:val="21"/>
              </w:rPr>
              <w:t>5</w:t>
            </w:r>
            <w:r>
              <w:rPr>
                <w:bCs/>
                <w:color w:val="000000"/>
                <w:kern w:val="0"/>
                <w:szCs w:val="21"/>
              </w:rPr>
              <w:t>00-1</w:t>
            </w:r>
            <w:r>
              <w:rPr>
                <w:rFonts w:hint="eastAsia"/>
                <w:bCs/>
                <w:color w:val="000000"/>
                <w:kern w:val="0"/>
                <w:szCs w:val="21"/>
              </w:rPr>
              <w:t>8</w:t>
            </w:r>
            <w:r>
              <w:rPr>
                <w:bCs/>
                <w:color w:val="000000"/>
                <w:kern w:val="0"/>
                <w:szCs w:val="21"/>
              </w:rPr>
              <w:t>00</w:t>
            </w:r>
          </w:p>
        </w:tc>
        <w:tc>
          <w:tcPr>
            <w:tcW w:w="1126" w:type="dxa"/>
            <w:vAlign w:val="center"/>
          </w:tcPr>
          <w:p>
            <w:pPr>
              <w:widowControl/>
              <w:spacing w:line="400" w:lineRule="exact"/>
              <w:jc w:val="center"/>
              <w:rPr>
                <w:bCs/>
                <w:color w:val="000000"/>
                <w:kern w:val="0"/>
                <w:szCs w:val="21"/>
              </w:rPr>
            </w:pPr>
            <w:r>
              <w:rPr>
                <w:bCs/>
                <w:color w:val="000000"/>
                <w:kern w:val="0"/>
                <w:szCs w:val="21"/>
              </w:rPr>
              <w:t>1</w:t>
            </w:r>
            <w:r>
              <w:rPr>
                <w:rFonts w:hint="eastAsia"/>
                <w:bCs/>
                <w:color w:val="000000"/>
                <w:kern w:val="0"/>
                <w:szCs w:val="21"/>
              </w:rPr>
              <w:t>8</w:t>
            </w:r>
            <w:r>
              <w:rPr>
                <w:bCs/>
                <w:color w:val="000000"/>
                <w:kern w:val="0"/>
                <w:szCs w:val="21"/>
              </w:rPr>
              <w:t>00-</w:t>
            </w:r>
            <w:r>
              <w:rPr>
                <w:rFonts w:hint="eastAsia"/>
                <w:bCs/>
                <w:color w:val="000000"/>
                <w:kern w:val="0"/>
                <w:szCs w:val="21"/>
              </w:rPr>
              <w:t>21</w:t>
            </w:r>
            <w:r>
              <w:rPr>
                <w:bCs/>
                <w:color w:val="000000"/>
                <w:kern w:val="0"/>
                <w:szCs w:val="21"/>
              </w:rPr>
              <w:t>00</w:t>
            </w:r>
          </w:p>
        </w:tc>
        <w:tc>
          <w:tcPr>
            <w:tcW w:w="1047" w:type="dxa"/>
            <w:vAlign w:val="center"/>
          </w:tcPr>
          <w:p>
            <w:pPr>
              <w:widowControl/>
              <w:spacing w:line="400" w:lineRule="exact"/>
              <w:jc w:val="center"/>
              <w:rPr>
                <w:bCs/>
                <w:color w:val="000000"/>
                <w:kern w:val="0"/>
                <w:szCs w:val="21"/>
              </w:rPr>
            </w:pPr>
            <w:r>
              <w:rPr>
                <w:bCs/>
                <w:color w:val="000000"/>
                <w:kern w:val="0"/>
                <w:szCs w:val="21"/>
              </w:rPr>
              <w:t>&gt;</w:t>
            </w:r>
            <w:r>
              <w:rPr>
                <w:rFonts w:hint="eastAsia"/>
                <w:bCs/>
                <w:color w:val="000000"/>
                <w:kern w:val="0"/>
                <w:szCs w:val="21"/>
              </w:rPr>
              <w:t>21</w:t>
            </w:r>
            <w:r>
              <w:rPr>
                <w:bCs/>
                <w:color w:val="000000"/>
                <w:kern w:val="0"/>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Align w:val="center"/>
          </w:tcPr>
          <w:p>
            <w:pPr>
              <w:widowControl/>
              <w:spacing w:line="400" w:lineRule="exact"/>
              <w:jc w:val="center"/>
              <w:rPr>
                <w:bCs/>
                <w:color w:val="000000"/>
                <w:kern w:val="0"/>
                <w:szCs w:val="21"/>
              </w:rPr>
            </w:pPr>
            <w:r>
              <w:rPr>
                <w:bCs/>
                <w:color w:val="000000"/>
                <w:kern w:val="0"/>
                <w:szCs w:val="21"/>
              </w:rPr>
              <w:t>人口状况</w:t>
            </w:r>
          </w:p>
        </w:tc>
        <w:tc>
          <w:tcPr>
            <w:tcW w:w="1275" w:type="dxa"/>
            <w:vAlign w:val="center"/>
          </w:tcPr>
          <w:p>
            <w:pPr>
              <w:widowControl/>
              <w:spacing w:line="400" w:lineRule="exact"/>
              <w:jc w:val="center"/>
              <w:rPr>
                <w:bCs/>
                <w:color w:val="000000"/>
                <w:kern w:val="0"/>
                <w:szCs w:val="21"/>
              </w:rPr>
            </w:pPr>
            <w:r>
              <w:rPr>
                <w:bCs/>
                <w:color w:val="000000"/>
                <w:kern w:val="0"/>
                <w:szCs w:val="21"/>
              </w:rPr>
              <w:t>人口密度</w:t>
            </w:r>
          </w:p>
        </w:tc>
        <w:tc>
          <w:tcPr>
            <w:tcW w:w="1537" w:type="dxa"/>
            <w:vAlign w:val="center"/>
          </w:tcPr>
          <w:p>
            <w:pPr>
              <w:widowControl/>
              <w:spacing w:line="400" w:lineRule="exact"/>
              <w:jc w:val="center"/>
              <w:rPr>
                <w:bCs/>
                <w:color w:val="000000"/>
                <w:kern w:val="0"/>
                <w:szCs w:val="21"/>
              </w:rPr>
            </w:pPr>
            <w:r>
              <w:rPr>
                <w:bCs/>
                <w:color w:val="000000"/>
                <w:kern w:val="0"/>
                <w:szCs w:val="21"/>
              </w:rPr>
              <w:t>人口密度</w:t>
            </w:r>
          </w:p>
        </w:tc>
        <w:tc>
          <w:tcPr>
            <w:tcW w:w="857" w:type="dxa"/>
            <w:vAlign w:val="center"/>
          </w:tcPr>
          <w:p>
            <w:pPr>
              <w:widowControl/>
              <w:spacing w:line="400" w:lineRule="exact"/>
              <w:jc w:val="center"/>
              <w:rPr>
                <w:bCs/>
                <w:color w:val="000000"/>
                <w:kern w:val="0"/>
                <w:szCs w:val="21"/>
              </w:rPr>
            </w:pPr>
            <w:r>
              <w:rPr>
                <w:bCs/>
                <w:color w:val="000000"/>
                <w:kern w:val="0"/>
                <w:szCs w:val="21"/>
              </w:rPr>
              <w:t>≥10000</w:t>
            </w:r>
          </w:p>
        </w:tc>
        <w:tc>
          <w:tcPr>
            <w:tcW w:w="1231" w:type="dxa"/>
            <w:vAlign w:val="center"/>
          </w:tcPr>
          <w:p>
            <w:pPr>
              <w:widowControl/>
              <w:spacing w:line="400" w:lineRule="exact"/>
              <w:jc w:val="center"/>
              <w:rPr>
                <w:bCs/>
                <w:color w:val="000000"/>
                <w:kern w:val="0"/>
                <w:szCs w:val="21"/>
              </w:rPr>
            </w:pPr>
            <w:r>
              <w:rPr>
                <w:bCs/>
                <w:color w:val="000000"/>
                <w:kern w:val="0"/>
                <w:szCs w:val="21"/>
              </w:rPr>
              <w:t>10000-5000</w:t>
            </w:r>
          </w:p>
        </w:tc>
        <w:tc>
          <w:tcPr>
            <w:tcW w:w="1126" w:type="dxa"/>
            <w:vAlign w:val="center"/>
          </w:tcPr>
          <w:p>
            <w:pPr>
              <w:widowControl/>
              <w:spacing w:line="400" w:lineRule="exact"/>
              <w:jc w:val="center"/>
              <w:rPr>
                <w:bCs/>
                <w:color w:val="000000"/>
                <w:kern w:val="0"/>
                <w:szCs w:val="21"/>
              </w:rPr>
            </w:pPr>
            <w:r>
              <w:rPr>
                <w:bCs/>
                <w:color w:val="000000"/>
                <w:kern w:val="0"/>
                <w:szCs w:val="21"/>
              </w:rPr>
              <w:t>5000-2000</w:t>
            </w:r>
          </w:p>
        </w:tc>
        <w:tc>
          <w:tcPr>
            <w:tcW w:w="1126" w:type="dxa"/>
            <w:vAlign w:val="center"/>
          </w:tcPr>
          <w:p>
            <w:pPr>
              <w:widowControl/>
              <w:spacing w:line="400" w:lineRule="exact"/>
              <w:jc w:val="center"/>
              <w:rPr>
                <w:bCs/>
                <w:color w:val="000000"/>
                <w:kern w:val="0"/>
                <w:szCs w:val="21"/>
              </w:rPr>
            </w:pPr>
            <w:r>
              <w:rPr>
                <w:bCs/>
                <w:color w:val="000000"/>
                <w:kern w:val="0"/>
                <w:szCs w:val="21"/>
              </w:rPr>
              <w:t>2000-1000</w:t>
            </w:r>
          </w:p>
        </w:tc>
        <w:tc>
          <w:tcPr>
            <w:tcW w:w="1047" w:type="dxa"/>
            <w:vAlign w:val="center"/>
          </w:tcPr>
          <w:p>
            <w:pPr>
              <w:widowControl/>
              <w:spacing w:line="400" w:lineRule="exact"/>
              <w:jc w:val="center"/>
              <w:rPr>
                <w:bCs/>
                <w:color w:val="000000"/>
                <w:kern w:val="0"/>
                <w:szCs w:val="21"/>
              </w:rPr>
            </w:pPr>
            <w:r>
              <w:rPr>
                <w:bCs/>
                <w:color w:val="000000"/>
                <w:kern w:val="0"/>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3" w:hRule="atLeast"/>
          <w:jc w:val="center"/>
        </w:trPr>
        <w:tc>
          <w:tcPr>
            <w:tcW w:w="993" w:type="dxa"/>
            <w:vMerge w:val="restart"/>
            <w:vAlign w:val="center"/>
          </w:tcPr>
          <w:p>
            <w:pPr>
              <w:widowControl/>
              <w:spacing w:line="400" w:lineRule="exact"/>
              <w:jc w:val="center"/>
              <w:rPr>
                <w:bCs/>
                <w:color w:val="000000"/>
                <w:kern w:val="0"/>
                <w:szCs w:val="21"/>
              </w:rPr>
            </w:pPr>
            <w:r>
              <w:rPr>
                <w:bCs/>
                <w:color w:val="000000"/>
                <w:kern w:val="0"/>
                <w:szCs w:val="21"/>
              </w:rPr>
              <w:t>交通条件</w:t>
            </w:r>
          </w:p>
        </w:tc>
        <w:tc>
          <w:tcPr>
            <w:tcW w:w="1275" w:type="dxa"/>
            <w:vAlign w:val="center"/>
          </w:tcPr>
          <w:p>
            <w:pPr>
              <w:widowControl/>
              <w:spacing w:line="400" w:lineRule="exact"/>
              <w:jc w:val="center"/>
              <w:rPr>
                <w:bCs/>
                <w:color w:val="000000"/>
                <w:kern w:val="0"/>
                <w:szCs w:val="21"/>
              </w:rPr>
            </w:pPr>
            <w:r>
              <w:rPr>
                <w:bCs/>
                <w:color w:val="000000"/>
                <w:kern w:val="0"/>
                <w:szCs w:val="21"/>
              </w:rPr>
              <w:t>道路通达度</w:t>
            </w:r>
          </w:p>
        </w:tc>
        <w:tc>
          <w:tcPr>
            <w:tcW w:w="1537" w:type="dxa"/>
            <w:vAlign w:val="center"/>
          </w:tcPr>
          <w:p>
            <w:pPr>
              <w:widowControl/>
              <w:spacing w:line="400" w:lineRule="exact"/>
              <w:jc w:val="center"/>
              <w:rPr>
                <w:bCs/>
                <w:color w:val="000000"/>
                <w:kern w:val="0"/>
                <w:szCs w:val="21"/>
              </w:rPr>
            </w:pPr>
            <w:r>
              <w:rPr>
                <w:bCs/>
                <w:color w:val="000000"/>
                <w:kern w:val="0"/>
                <w:szCs w:val="21"/>
              </w:rPr>
              <w:t>临近道路状况</w:t>
            </w:r>
          </w:p>
        </w:tc>
        <w:tc>
          <w:tcPr>
            <w:tcW w:w="857" w:type="dxa"/>
            <w:vAlign w:val="center"/>
          </w:tcPr>
          <w:p>
            <w:pPr>
              <w:widowControl/>
              <w:spacing w:line="400" w:lineRule="exact"/>
              <w:jc w:val="center"/>
              <w:rPr>
                <w:bCs/>
                <w:color w:val="000000"/>
                <w:kern w:val="0"/>
                <w:szCs w:val="21"/>
              </w:rPr>
            </w:pPr>
            <w:r>
              <w:rPr>
                <w:bCs/>
                <w:color w:val="000000"/>
                <w:kern w:val="0"/>
                <w:szCs w:val="21"/>
              </w:rPr>
              <w:t>混合型主干道</w:t>
            </w:r>
          </w:p>
        </w:tc>
        <w:tc>
          <w:tcPr>
            <w:tcW w:w="1231" w:type="dxa"/>
            <w:vAlign w:val="center"/>
          </w:tcPr>
          <w:p>
            <w:pPr>
              <w:widowControl/>
              <w:spacing w:line="400" w:lineRule="exact"/>
              <w:jc w:val="center"/>
              <w:rPr>
                <w:bCs/>
                <w:color w:val="000000"/>
                <w:kern w:val="0"/>
                <w:szCs w:val="21"/>
              </w:rPr>
            </w:pPr>
            <w:r>
              <w:rPr>
                <w:bCs/>
                <w:color w:val="000000"/>
                <w:kern w:val="0"/>
                <w:szCs w:val="21"/>
              </w:rPr>
              <w:t>生活型或交通型主干道</w:t>
            </w:r>
          </w:p>
        </w:tc>
        <w:tc>
          <w:tcPr>
            <w:tcW w:w="1126" w:type="dxa"/>
            <w:vAlign w:val="center"/>
          </w:tcPr>
          <w:p>
            <w:pPr>
              <w:widowControl/>
              <w:spacing w:line="400" w:lineRule="exact"/>
              <w:jc w:val="center"/>
              <w:rPr>
                <w:bCs/>
                <w:color w:val="000000"/>
                <w:kern w:val="0"/>
                <w:szCs w:val="21"/>
              </w:rPr>
            </w:pPr>
            <w:r>
              <w:rPr>
                <w:bCs/>
                <w:color w:val="000000"/>
                <w:kern w:val="0"/>
                <w:szCs w:val="21"/>
              </w:rPr>
              <w:t>次主道</w:t>
            </w:r>
          </w:p>
        </w:tc>
        <w:tc>
          <w:tcPr>
            <w:tcW w:w="1126" w:type="dxa"/>
            <w:vAlign w:val="center"/>
          </w:tcPr>
          <w:p>
            <w:pPr>
              <w:widowControl/>
              <w:spacing w:line="400" w:lineRule="exact"/>
              <w:jc w:val="center"/>
              <w:rPr>
                <w:bCs/>
                <w:color w:val="000000"/>
                <w:kern w:val="0"/>
                <w:szCs w:val="21"/>
              </w:rPr>
            </w:pPr>
            <w:r>
              <w:rPr>
                <w:bCs/>
                <w:color w:val="000000"/>
                <w:kern w:val="0"/>
                <w:szCs w:val="21"/>
              </w:rPr>
              <w:t>支路</w:t>
            </w:r>
          </w:p>
        </w:tc>
        <w:tc>
          <w:tcPr>
            <w:tcW w:w="1047" w:type="dxa"/>
            <w:vAlign w:val="center"/>
          </w:tcPr>
          <w:p>
            <w:pPr>
              <w:widowControl/>
              <w:spacing w:line="400" w:lineRule="exact"/>
              <w:jc w:val="center"/>
              <w:rPr>
                <w:bCs/>
                <w:color w:val="000000"/>
                <w:kern w:val="0"/>
                <w:szCs w:val="21"/>
              </w:rPr>
            </w:pPr>
            <w:r>
              <w:rPr>
                <w:bCs/>
                <w:color w:val="000000"/>
                <w:kern w:val="0"/>
                <w:szCs w:val="21"/>
              </w:rPr>
              <w:t>巷道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continue"/>
            <w:vAlign w:val="center"/>
          </w:tcPr>
          <w:p>
            <w:pPr>
              <w:widowControl/>
              <w:spacing w:line="400" w:lineRule="exact"/>
              <w:jc w:val="center"/>
              <w:rPr>
                <w:bCs/>
                <w:color w:val="000000"/>
                <w:kern w:val="0"/>
                <w:szCs w:val="21"/>
              </w:rPr>
            </w:pPr>
          </w:p>
        </w:tc>
        <w:tc>
          <w:tcPr>
            <w:tcW w:w="1275" w:type="dxa"/>
            <w:vAlign w:val="center"/>
          </w:tcPr>
          <w:p>
            <w:pPr>
              <w:widowControl/>
              <w:spacing w:line="400" w:lineRule="exact"/>
              <w:jc w:val="center"/>
              <w:rPr>
                <w:bCs/>
                <w:color w:val="000000"/>
                <w:kern w:val="0"/>
                <w:szCs w:val="21"/>
              </w:rPr>
            </w:pPr>
            <w:r>
              <w:rPr>
                <w:bCs/>
                <w:color w:val="000000"/>
                <w:kern w:val="0"/>
                <w:szCs w:val="21"/>
              </w:rPr>
              <w:t>公交便捷度</w:t>
            </w:r>
          </w:p>
        </w:tc>
        <w:tc>
          <w:tcPr>
            <w:tcW w:w="1537" w:type="dxa"/>
            <w:vAlign w:val="center"/>
          </w:tcPr>
          <w:p>
            <w:pPr>
              <w:widowControl/>
              <w:spacing w:line="400" w:lineRule="exact"/>
              <w:jc w:val="center"/>
              <w:rPr>
                <w:bCs/>
                <w:color w:val="000000"/>
                <w:kern w:val="0"/>
                <w:szCs w:val="21"/>
              </w:rPr>
            </w:pPr>
            <w:r>
              <w:rPr>
                <w:bCs/>
                <w:color w:val="000000"/>
                <w:kern w:val="0"/>
                <w:szCs w:val="21"/>
              </w:rPr>
              <w:t>距最近公交站点距离</w:t>
            </w:r>
          </w:p>
        </w:tc>
        <w:tc>
          <w:tcPr>
            <w:tcW w:w="857" w:type="dxa"/>
            <w:vAlign w:val="center"/>
          </w:tcPr>
          <w:p>
            <w:pPr>
              <w:widowControl/>
              <w:spacing w:line="400" w:lineRule="exact"/>
              <w:jc w:val="center"/>
              <w:rPr>
                <w:bCs/>
                <w:color w:val="000000"/>
                <w:kern w:val="0"/>
                <w:szCs w:val="21"/>
              </w:rPr>
            </w:pPr>
            <w:r>
              <w:rPr>
                <w:bCs/>
                <w:color w:val="000000"/>
                <w:kern w:val="0"/>
                <w:szCs w:val="21"/>
              </w:rPr>
              <w:t>&lt;</w:t>
            </w:r>
            <w:r>
              <w:rPr>
                <w:rFonts w:hint="eastAsia"/>
                <w:bCs/>
                <w:color w:val="000000"/>
                <w:kern w:val="0"/>
                <w:szCs w:val="21"/>
              </w:rPr>
              <w:t>8</w:t>
            </w:r>
            <w:r>
              <w:rPr>
                <w:bCs/>
                <w:color w:val="000000"/>
                <w:kern w:val="0"/>
                <w:szCs w:val="21"/>
              </w:rPr>
              <w:t>00</w:t>
            </w:r>
          </w:p>
        </w:tc>
        <w:tc>
          <w:tcPr>
            <w:tcW w:w="1231" w:type="dxa"/>
            <w:vAlign w:val="center"/>
          </w:tcPr>
          <w:p>
            <w:pPr>
              <w:widowControl/>
              <w:spacing w:line="400" w:lineRule="exact"/>
              <w:jc w:val="center"/>
              <w:rPr>
                <w:bCs/>
                <w:color w:val="000000"/>
                <w:kern w:val="0"/>
                <w:szCs w:val="21"/>
              </w:rPr>
            </w:pPr>
            <w:r>
              <w:rPr>
                <w:rFonts w:hint="eastAsia"/>
                <w:bCs/>
                <w:color w:val="000000"/>
                <w:kern w:val="0"/>
                <w:szCs w:val="21"/>
              </w:rPr>
              <w:t>8</w:t>
            </w:r>
            <w:r>
              <w:rPr>
                <w:bCs/>
                <w:color w:val="000000"/>
                <w:kern w:val="0"/>
                <w:szCs w:val="21"/>
              </w:rPr>
              <w:t>00-</w:t>
            </w:r>
            <w:r>
              <w:rPr>
                <w:rFonts w:hint="eastAsia"/>
                <w:bCs/>
                <w:color w:val="000000"/>
                <w:kern w:val="0"/>
                <w:szCs w:val="21"/>
              </w:rPr>
              <w:t>10</w:t>
            </w:r>
            <w:r>
              <w:rPr>
                <w:bCs/>
                <w:color w:val="000000"/>
                <w:kern w:val="0"/>
                <w:szCs w:val="21"/>
              </w:rPr>
              <w:t>00</w:t>
            </w:r>
          </w:p>
        </w:tc>
        <w:tc>
          <w:tcPr>
            <w:tcW w:w="1126" w:type="dxa"/>
            <w:vAlign w:val="center"/>
          </w:tcPr>
          <w:p>
            <w:pPr>
              <w:widowControl/>
              <w:spacing w:line="400" w:lineRule="exact"/>
              <w:jc w:val="center"/>
              <w:rPr>
                <w:bCs/>
                <w:color w:val="000000"/>
                <w:kern w:val="0"/>
                <w:szCs w:val="21"/>
              </w:rPr>
            </w:pPr>
            <w:r>
              <w:rPr>
                <w:rFonts w:hint="eastAsia"/>
                <w:bCs/>
                <w:color w:val="000000"/>
                <w:kern w:val="0"/>
                <w:szCs w:val="21"/>
              </w:rPr>
              <w:t>10</w:t>
            </w:r>
            <w:r>
              <w:rPr>
                <w:bCs/>
                <w:color w:val="000000"/>
                <w:kern w:val="0"/>
                <w:szCs w:val="21"/>
              </w:rPr>
              <w:t>00-</w:t>
            </w:r>
            <w:r>
              <w:rPr>
                <w:rFonts w:hint="eastAsia"/>
                <w:bCs/>
                <w:color w:val="000000"/>
                <w:kern w:val="0"/>
                <w:szCs w:val="21"/>
              </w:rPr>
              <w:t>12</w:t>
            </w:r>
            <w:r>
              <w:rPr>
                <w:bCs/>
                <w:color w:val="000000"/>
                <w:kern w:val="0"/>
                <w:szCs w:val="21"/>
              </w:rPr>
              <w:t>00</w:t>
            </w:r>
          </w:p>
        </w:tc>
        <w:tc>
          <w:tcPr>
            <w:tcW w:w="1126" w:type="dxa"/>
            <w:vAlign w:val="center"/>
          </w:tcPr>
          <w:p>
            <w:pPr>
              <w:widowControl/>
              <w:spacing w:line="400" w:lineRule="exact"/>
              <w:jc w:val="center"/>
              <w:rPr>
                <w:bCs/>
                <w:color w:val="000000"/>
                <w:kern w:val="0"/>
                <w:szCs w:val="21"/>
              </w:rPr>
            </w:pPr>
            <w:r>
              <w:rPr>
                <w:rFonts w:hint="eastAsia"/>
                <w:bCs/>
                <w:color w:val="000000"/>
                <w:kern w:val="0"/>
                <w:szCs w:val="21"/>
              </w:rPr>
              <w:t>12</w:t>
            </w:r>
            <w:r>
              <w:rPr>
                <w:bCs/>
                <w:color w:val="000000"/>
                <w:kern w:val="0"/>
                <w:szCs w:val="21"/>
              </w:rPr>
              <w:t>00-</w:t>
            </w:r>
            <w:r>
              <w:rPr>
                <w:rFonts w:hint="eastAsia"/>
                <w:bCs/>
                <w:color w:val="000000"/>
                <w:kern w:val="0"/>
                <w:szCs w:val="21"/>
              </w:rPr>
              <w:t>15</w:t>
            </w:r>
            <w:r>
              <w:rPr>
                <w:bCs/>
                <w:color w:val="000000"/>
                <w:kern w:val="0"/>
                <w:szCs w:val="21"/>
              </w:rPr>
              <w:t>00</w:t>
            </w:r>
          </w:p>
        </w:tc>
        <w:tc>
          <w:tcPr>
            <w:tcW w:w="1047" w:type="dxa"/>
            <w:vAlign w:val="center"/>
          </w:tcPr>
          <w:p>
            <w:pPr>
              <w:widowControl/>
              <w:spacing w:line="400" w:lineRule="exact"/>
              <w:jc w:val="center"/>
              <w:rPr>
                <w:bCs/>
                <w:color w:val="000000"/>
                <w:kern w:val="0"/>
                <w:szCs w:val="21"/>
              </w:rPr>
            </w:pPr>
            <w:r>
              <w:rPr>
                <w:bCs/>
                <w:color w:val="000000"/>
                <w:kern w:val="0"/>
                <w:szCs w:val="21"/>
              </w:rPr>
              <w:t>&gt;</w:t>
            </w:r>
            <w:r>
              <w:rPr>
                <w:rFonts w:hint="eastAsia"/>
                <w:bCs/>
                <w:color w:val="000000"/>
                <w:kern w:val="0"/>
                <w:szCs w:val="21"/>
              </w:rPr>
              <w:t>15</w:t>
            </w:r>
            <w:r>
              <w:rPr>
                <w:bCs/>
                <w:color w:val="000000"/>
                <w:kern w:val="0"/>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continue"/>
            <w:vAlign w:val="center"/>
          </w:tcPr>
          <w:p>
            <w:pPr>
              <w:widowControl/>
              <w:spacing w:line="400" w:lineRule="exact"/>
              <w:jc w:val="center"/>
              <w:rPr>
                <w:bCs/>
                <w:color w:val="000000"/>
                <w:kern w:val="0"/>
                <w:szCs w:val="21"/>
              </w:rPr>
            </w:pPr>
          </w:p>
        </w:tc>
        <w:tc>
          <w:tcPr>
            <w:tcW w:w="1275" w:type="dxa"/>
            <w:vAlign w:val="center"/>
          </w:tcPr>
          <w:p>
            <w:pPr>
              <w:widowControl/>
              <w:spacing w:line="400" w:lineRule="exact"/>
              <w:jc w:val="center"/>
              <w:rPr>
                <w:bCs/>
                <w:color w:val="000000"/>
                <w:kern w:val="0"/>
                <w:szCs w:val="21"/>
              </w:rPr>
            </w:pPr>
            <w:r>
              <w:rPr>
                <w:bCs/>
                <w:color w:val="000000"/>
                <w:kern w:val="0"/>
                <w:szCs w:val="21"/>
              </w:rPr>
              <w:t>对外交通便利度</w:t>
            </w:r>
          </w:p>
        </w:tc>
        <w:tc>
          <w:tcPr>
            <w:tcW w:w="1537" w:type="dxa"/>
            <w:vAlign w:val="center"/>
          </w:tcPr>
          <w:p>
            <w:pPr>
              <w:widowControl/>
              <w:spacing w:line="400" w:lineRule="exact"/>
              <w:jc w:val="center"/>
              <w:rPr>
                <w:bCs/>
                <w:color w:val="000000"/>
                <w:kern w:val="0"/>
                <w:szCs w:val="21"/>
              </w:rPr>
            </w:pPr>
            <w:r>
              <w:rPr>
                <w:bCs/>
                <w:color w:val="000000"/>
                <w:kern w:val="0"/>
                <w:szCs w:val="21"/>
              </w:rPr>
              <w:t>距最近汽车站距离</w:t>
            </w:r>
          </w:p>
        </w:tc>
        <w:tc>
          <w:tcPr>
            <w:tcW w:w="857" w:type="dxa"/>
            <w:vAlign w:val="center"/>
          </w:tcPr>
          <w:p>
            <w:pPr>
              <w:widowControl/>
              <w:spacing w:line="400" w:lineRule="exact"/>
              <w:jc w:val="center"/>
              <w:rPr>
                <w:bCs/>
                <w:color w:val="000000"/>
                <w:kern w:val="0"/>
                <w:szCs w:val="21"/>
              </w:rPr>
            </w:pPr>
            <w:r>
              <w:rPr>
                <w:bCs/>
                <w:color w:val="000000"/>
                <w:kern w:val="0"/>
                <w:szCs w:val="21"/>
              </w:rPr>
              <w:t>&lt;1</w:t>
            </w:r>
            <w:r>
              <w:rPr>
                <w:rFonts w:hint="eastAsia"/>
                <w:bCs/>
                <w:color w:val="000000"/>
                <w:kern w:val="0"/>
                <w:szCs w:val="21"/>
              </w:rPr>
              <w:t>5</w:t>
            </w:r>
            <w:r>
              <w:rPr>
                <w:bCs/>
                <w:color w:val="000000"/>
                <w:kern w:val="0"/>
                <w:szCs w:val="21"/>
              </w:rPr>
              <w:t>00</w:t>
            </w:r>
          </w:p>
        </w:tc>
        <w:tc>
          <w:tcPr>
            <w:tcW w:w="1231" w:type="dxa"/>
            <w:vAlign w:val="center"/>
          </w:tcPr>
          <w:p>
            <w:pPr>
              <w:widowControl/>
              <w:spacing w:line="400" w:lineRule="exact"/>
              <w:jc w:val="center"/>
              <w:rPr>
                <w:bCs/>
                <w:color w:val="000000"/>
                <w:kern w:val="0"/>
                <w:szCs w:val="21"/>
              </w:rPr>
            </w:pPr>
            <w:r>
              <w:rPr>
                <w:bCs/>
                <w:color w:val="000000"/>
                <w:kern w:val="0"/>
                <w:szCs w:val="21"/>
              </w:rPr>
              <w:t>1</w:t>
            </w:r>
            <w:r>
              <w:rPr>
                <w:rFonts w:hint="eastAsia"/>
                <w:bCs/>
                <w:color w:val="000000"/>
                <w:kern w:val="0"/>
                <w:szCs w:val="21"/>
              </w:rPr>
              <w:t>5</w:t>
            </w:r>
            <w:r>
              <w:rPr>
                <w:bCs/>
                <w:color w:val="000000"/>
                <w:kern w:val="0"/>
                <w:szCs w:val="21"/>
              </w:rPr>
              <w:t>00-1</w:t>
            </w:r>
            <w:r>
              <w:rPr>
                <w:rFonts w:hint="eastAsia"/>
                <w:bCs/>
                <w:color w:val="000000"/>
                <w:kern w:val="0"/>
                <w:szCs w:val="21"/>
              </w:rPr>
              <w:t>8</w:t>
            </w:r>
            <w:r>
              <w:rPr>
                <w:bCs/>
                <w:color w:val="000000"/>
                <w:kern w:val="0"/>
                <w:szCs w:val="21"/>
              </w:rPr>
              <w:t>00</w:t>
            </w:r>
          </w:p>
        </w:tc>
        <w:tc>
          <w:tcPr>
            <w:tcW w:w="1126" w:type="dxa"/>
            <w:vAlign w:val="center"/>
          </w:tcPr>
          <w:p>
            <w:pPr>
              <w:widowControl/>
              <w:spacing w:line="400" w:lineRule="exact"/>
              <w:jc w:val="center"/>
              <w:rPr>
                <w:bCs/>
                <w:color w:val="000000"/>
                <w:kern w:val="0"/>
                <w:szCs w:val="21"/>
              </w:rPr>
            </w:pPr>
            <w:r>
              <w:rPr>
                <w:bCs/>
                <w:color w:val="000000"/>
                <w:kern w:val="0"/>
                <w:szCs w:val="21"/>
              </w:rPr>
              <w:t>1</w:t>
            </w:r>
            <w:r>
              <w:rPr>
                <w:rFonts w:hint="eastAsia"/>
                <w:bCs/>
                <w:color w:val="000000"/>
                <w:kern w:val="0"/>
                <w:szCs w:val="21"/>
              </w:rPr>
              <w:t>8</w:t>
            </w:r>
            <w:r>
              <w:rPr>
                <w:bCs/>
                <w:color w:val="000000"/>
                <w:kern w:val="0"/>
                <w:szCs w:val="21"/>
              </w:rPr>
              <w:t>00-</w:t>
            </w:r>
            <w:r>
              <w:rPr>
                <w:rFonts w:hint="eastAsia"/>
                <w:bCs/>
                <w:color w:val="000000"/>
                <w:kern w:val="0"/>
                <w:szCs w:val="21"/>
              </w:rPr>
              <w:t>21</w:t>
            </w:r>
            <w:r>
              <w:rPr>
                <w:bCs/>
                <w:color w:val="000000"/>
                <w:kern w:val="0"/>
                <w:szCs w:val="21"/>
              </w:rPr>
              <w:t>00</w:t>
            </w:r>
          </w:p>
        </w:tc>
        <w:tc>
          <w:tcPr>
            <w:tcW w:w="1126" w:type="dxa"/>
            <w:vAlign w:val="center"/>
          </w:tcPr>
          <w:p>
            <w:pPr>
              <w:widowControl/>
              <w:spacing w:line="400" w:lineRule="exact"/>
              <w:jc w:val="center"/>
              <w:rPr>
                <w:bCs/>
                <w:color w:val="000000"/>
                <w:kern w:val="0"/>
                <w:szCs w:val="21"/>
              </w:rPr>
            </w:pPr>
            <w:r>
              <w:rPr>
                <w:rFonts w:hint="eastAsia"/>
                <w:bCs/>
                <w:color w:val="000000"/>
                <w:kern w:val="0"/>
                <w:szCs w:val="21"/>
              </w:rPr>
              <w:t>21</w:t>
            </w:r>
            <w:r>
              <w:rPr>
                <w:bCs/>
                <w:color w:val="000000"/>
                <w:kern w:val="0"/>
                <w:szCs w:val="21"/>
              </w:rPr>
              <w:t>00-2</w:t>
            </w:r>
            <w:r>
              <w:rPr>
                <w:rFonts w:hint="eastAsia"/>
                <w:bCs/>
                <w:color w:val="000000"/>
                <w:kern w:val="0"/>
                <w:szCs w:val="21"/>
              </w:rPr>
              <w:t>4</w:t>
            </w:r>
            <w:r>
              <w:rPr>
                <w:bCs/>
                <w:color w:val="000000"/>
                <w:kern w:val="0"/>
                <w:szCs w:val="21"/>
              </w:rPr>
              <w:t>00</w:t>
            </w:r>
          </w:p>
        </w:tc>
        <w:tc>
          <w:tcPr>
            <w:tcW w:w="1047" w:type="dxa"/>
            <w:vAlign w:val="center"/>
          </w:tcPr>
          <w:p>
            <w:pPr>
              <w:widowControl/>
              <w:spacing w:line="400" w:lineRule="exact"/>
              <w:jc w:val="center"/>
              <w:rPr>
                <w:bCs/>
                <w:color w:val="000000"/>
                <w:kern w:val="0"/>
                <w:szCs w:val="21"/>
              </w:rPr>
            </w:pPr>
            <w:r>
              <w:rPr>
                <w:bCs/>
                <w:color w:val="000000"/>
                <w:kern w:val="0"/>
                <w:szCs w:val="21"/>
              </w:rPr>
              <w:t>&gt;2</w:t>
            </w:r>
            <w:r>
              <w:rPr>
                <w:rFonts w:hint="eastAsia"/>
                <w:bCs/>
                <w:color w:val="000000"/>
                <w:kern w:val="0"/>
                <w:szCs w:val="21"/>
              </w:rPr>
              <w:t>4</w:t>
            </w:r>
            <w:r>
              <w:rPr>
                <w:bCs/>
                <w:color w:val="000000"/>
                <w:kern w:val="0"/>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Align w:val="center"/>
          </w:tcPr>
          <w:p>
            <w:pPr>
              <w:widowControl/>
              <w:spacing w:line="400" w:lineRule="exact"/>
              <w:jc w:val="center"/>
              <w:rPr>
                <w:bCs/>
                <w:color w:val="000000"/>
                <w:kern w:val="0"/>
                <w:szCs w:val="21"/>
              </w:rPr>
            </w:pPr>
            <w:r>
              <w:rPr>
                <w:bCs/>
                <w:color w:val="000000"/>
                <w:kern w:val="0"/>
                <w:szCs w:val="21"/>
              </w:rPr>
              <w:t>城市规划</w:t>
            </w:r>
          </w:p>
        </w:tc>
        <w:tc>
          <w:tcPr>
            <w:tcW w:w="1275" w:type="dxa"/>
            <w:vAlign w:val="center"/>
          </w:tcPr>
          <w:p>
            <w:pPr>
              <w:widowControl/>
              <w:spacing w:line="400" w:lineRule="exact"/>
              <w:jc w:val="center"/>
              <w:rPr>
                <w:bCs/>
                <w:color w:val="000000"/>
                <w:kern w:val="0"/>
                <w:szCs w:val="21"/>
              </w:rPr>
            </w:pPr>
            <w:r>
              <w:rPr>
                <w:bCs/>
                <w:color w:val="000000"/>
                <w:kern w:val="0"/>
                <w:szCs w:val="21"/>
              </w:rPr>
              <w:t>城市规划</w:t>
            </w:r>
          </w:p>
        </w:tc>
        <w:tc>
          <w:tcPr>
            <w:tcW w:w="1537" w:type="dxa"/>
            <w:vAlign w:val="center"/>
          </w:tcPr>
          <w:p>
            <w:pPr>
              <w:widowControl/>
              <w:spacing w:line="400" w:lineRule="exact"/>
              <w:jc w:val="center"/>
              <w:rPr>
                <w:bCs/>
                <w:color w:val="000000"/>
                <w:kern w:val="0"/>
                <w:szCs w:val="21"/>
              </w:rPr>
            </w:pPr>
            <w:r>
              <w:rPr>
                <w:bCs/>
                <w:color w:val="000000"/>
                <w:kern w:val="0"/>
                <w:szCs w:val="21"/>
              </w:rPr>
              <w:t>公共设施用地规划</w:t>
            </w:r>
          </w:p>
        </w:tc>
        <w:tc>
          <w:tcPr>
            <w:tcW w:w="857" w:type="dxa"/>
            <w:vAlign w:val="center"/>
          </w:tcPr>
          <w:p>
            <w:pPr>
              <w:widowControl/>
              <w:spacing w:line="400" w:lineRule="exact"/>
              <w:jc w:val="center"/>
              <w:rPr>
                <w:bCs/>
                <w:color w:val="000000"/>
                <w:kern w:val="0"/>
                <w:szCs w:val="21"/>
              </w:rPr>
            </w:pPr>
            <w:r>
              <w:rPr>
                <w:bCs/>
                <w:color w:val="000000"/>
                <w:kern w:val="0"/>
                <w:szCs w:val="21"/>
              </w:rPr>
              <w:t>完善</w:t>
            </w:r>
          </w:p>
        </w:tc>
        <w:tc>
          <w:tcPr>
            <w:tcW w:w="1231" w:type="dxa"/>
            <w:vAlign w:val="center"/>
          </w:tcPr>
          <w:p>
            <w:pPr>
              <w:widowControl/>
              <w:spacing w:line="400" w:lineRule="exact"/>
              <w:jc w:val="center"/>
              <w:rPr>
                <w:bCs/>
                <w:color w:val="000000"/>
                <w:kern w:val="0"/>
                <w:szCs w:val="21"/>
              </w:rPr>
            </w:pPr>
            <w:r>
              <w:rPr>
                <w:bCs/>
                <w:color w:val="000000"/>
                <w:kern w:val="0"/>
                <w:szCs w:val="21"/>
              </w:rPr>
              <w:t>较完善</w:t>
            </w:r>
          </w:p>
        </w:tc>
        <w:tc>
          <w:tcPr>
            <w:tcW w:w="1126" w:type="dxa"/>
            <w:vAlign w:val="center"/>
          </w:tcPr>
          <w:p>
            <w:pPr>
              <w:widowControl/>
              <w:spacing w:line="400" w:lineRule="exact"/>
              <w:jc w:val="center"/>
              <w:rPr>
                <w:bCs/>
                <w:color w:val="000000"/>
                <w:kern w:val="0"/>
                <w:szCs w:val="21"/>
              </w:rPr>
            </w:pPr>
            <w:r>
              <w:rPr>
                <w:bCs/>
                <w:color w:val="000000"/>
                <w:kern w:val="0"/>
                <w:szCs w:val="21"/>
              </w:rPr>
              <w:t>一般</w:t>
            </w:r>
          </w:p>
        </w:tc>
        <w:tc>
          <w:tcPr>
            <w:tcW w:w="1126" w:type="dxa"/>
            <w:vAlign w:val="center"/>
          </w:tcPr>
          <w:p>
            <w:pPr>
              <w:widowControl/>
              <w:spacing w:line="400" w:lineRule="exact"/>
              <w:jc w:val="center"/>
              <w:rPr>
                <w:bCs/>
                <w:color w:val="000000"/>
                <w:kern w:val="0"/>
                <w:szCs w:val="21"/>
              </w:rPr>
            </w:pPr>
            <w:r>
              <w:rPr>
                <w:bCs/>
                <w:color w:val="000000"/>
                <w:kern w:val="0"/>
                <w:szCs w:val="21"/>
              </w:rPr>
              <w:t>较差</w:t>
            </w:r>
          </w:p>
        </w:tc>
        <w:tc>
          <w:tcPr>
            <w:tcW w:w="1047" w:type="dxa"/>
            <w:vAlign w:val="center"/>
          </w:tcPr>
          <w:p>
            <w:pPr>
              <w:widowControl/>
              <w:spacing w:line="400" w:lineRule="exact"/>
              <w:jc w:val="center"/>
              <w:rPr>
                <w:bCs/>
                <w:color w:val="000000"/>
                <w:kern w:val="0"/>
                <w:szCs w:val="21"/>
              </w:rPr>
            </w:pPr>
            <w:r>
              <w:rPr>
                <w:bCs/>
                <w:color w:val="000000"/>
                <w:kern w:val="0"/>
                <w:szCs w:val="21"/>
              </w:rPr>
              <w:t>差</w:t>
            </w:r>
          </w:p>
        </w:tc>
      </w:tr>
    </w:tbl>
    <w:p>
      <w:pPr>
        <w:pStyle w:val="131"/>
        <w:spacing w:beforeLines="50" w:afterLines="50"/>
        <w:ind w:firstLine="0" w:firstLineChars="0"/>
        <w:rPr>
          <w:rFonts w:ascii="Times New Roman" w:hAnsi="Times New Roman"/>
          <w:sz w:val="24"/>
        </w:rPr>
      </w:pPr>
      <w:r>
        <w:rPr>
          <w:rFonts w:ascii="Times New Roman" w:hAnsi="Times New Roman"/>
          <w:sz w:val="24"/>
        </w:rPr>
        <w:t>表4-6-</w:t>
      </w:r>
      <w:r>
        <w:rPr>
          <w:rFonts w:hint="eastAsia" w:ascii="Times New Roman" w:hAnsi="Times New Roman"/>
          <w:sz w:val="24"/>
        </w:rPr>
        <w:t>7</w:t>
      </w:r>
      <w:r>
        <w:rPr>
          <w:rFonts w:ascii="Times New Roman" w:hAnsi="Times New Roman"/>
          <w:sz w:val="24"/>
        </w:rPr>
        <w:t xml:space="preserve">  Ⅴ级公共管理与公共服务一类用地宗地地价区域因素修正系数表</w:t>
      </w:r>
    </w:p>
    <w:tbl>
      <w:tblPr>
        <w:tblW w:w="10303" w:type="dxa"/>
        <w:jc w:val="center"/>
        <w:tblInd w:w="1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988"/>
        <w:gridCol w:w="1248"/>
        <w:gridCol w:w="1006"/>
        <w:gridCol w:w="1276"/>
        <w:gridCol w:w="875"/>
        <w:gridCol w:w="749"/>
        <w:gridCol w:w="708"/>
        <w:gridCol w:w="709"/>
        <w:gridCol w:w="851"/>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blHeader/>
          <w:jc w:val="center"/>
        </w:trPr>
        <w:tc>
          <w:tcPr>
            <w:tcW w:w="1054" w:type="dxa"/>
            <w:vAlign w:val="center"/>
          </w:tcPr>
          <w:p>
            <w:pPr>
              <w:spacing w:line="400" w:lineRule="exact"/>
              <w:jc w:val="center"/>
              <w:rPr>
                <w:b/>
                <w:bCs/>
                <w:szCs w:val="21"/>
              </w:rPr>
            </w:pPr>
            <w:r>
              <w:rPr>
                <w:b/>
                <w:bCs/>
                <w:szCs w:val="21"/>
              </w:rPr>
              <w:t>因素层</w:t>
            </w:r>
          </w:p>
        </w:tc>
        <w:tc>
          <w:tcPr>
            <w:tcW w:w="988" w:type="dxa"/>
            <w:vAlign w:val="center"/>
          </w:tcPr>
          <w:p>
            <w:pPr>
              <w:spacing w:line="400" w:lineRule="exact"/>
              <w:jc w:val="center"/>
              <w:rPr>
                <w:b/>
                <w:bCs/>
                <w:szCs w:val="21"/>
              </w:rPr>
            </w:pPr>
            <w:r>
              <w:rPr>
                <w:b/>
                <w:bCs/>
                <w:szCs w:val="21"/>
              </w:rPr>
              <w:t>权重</w:t>
            </w:r>
          </w:p>
        </w:tc>
        <w:tc>
          <w:tcPr>
            <w:tcW w:w="1248" w:type="dxa"/>
            <w:vAlign w:val="center"/>
          </w:tcPr>
          <w:p>
            <w:pPr>
              <w:spacing w:line="400" w:lineRule="exact"/>
              <w:jc w:val="center"/>
              <w:rPr>
                <w:b/>
                <w:bCs/>
                <w:szCs w:val="21"/>
              </w:rPr>
            </w:pPr>
            <w:r>
              <w:rPr>
                <w:b/>
                <w:bCs/>
                <w:szCs w:val="21"/>
              </w:rPr>
              <w:t>因子层</w:t>
            </w:r>
          </w:p>
        </w:tc>
        <w:tc>
          <w:tcPr>
            <w:tcW w:w="1006" w:type="dxa"/>
            <w:vAlign w:val="center"/>
          </w:tcPr>
          <w:p>
            <w:pPr>
              <w:spacing w:line="400" w:lineRule="exact"/>
              <w:jc w:val="center"/>
              <w:rPr>
                <w:b/>
                <w:bCs/>
                <w:szCs w:val="21"/>
              </w:rPr>
            </w:pPr>
            <w:r>
              <w:rPr>
                <w:b/>
                <w:bCs/>
                <w:szCs w:val="21"/>
              </w:rPr>
              <w:t>权重</w:t>
            </w:r>
          </w:p>
        </w:tc>
        <w:tc>
          <w:tcPr>
            <w:tcW w:w="1276" w:type="dxa"/>
            <w:vAlign w:val="center"/>
          </w:tcPr>
          <w:p>
            <w:pPr>
              <w:spacing w:line="400" w:lineRule="exact"/>
              <w:jc w:val="center"/>
              <w:rPr>
                <w:b/>
                <w:bCs/>
                <w:szCs w:val="21"/>
              </w:rPr>
            </w:pPr>
            <w:r>
              <w:rPr>
                <w:b/>
                <w:bCs/>
                <w:szCs w:val="21"/>
              </w:rPr>
              <w:t>指标层</w:t>
            </w:r>
          </w:p>
        </w:tc>
        <w:tc>
          <w:tcPr>
            <w:tcW w:w="875" w:type="dxa"/>
            <w:vAlign w:val="center"/>
          </w:tcPr>
          <w:p>
            <w:pPr>
              <w:spacing w:line="400" w:lineRule="exact"/>
              <w:jc w:val="center"/>
              <w:rPr>
                <w:b/>
                <w:bCs/>
                <w:szCs w:val="21"/>
              </w:rPr>
            </w:pPr>
            <w:r>
              <w:rPr>
                <w:b/>
                <w:bCs/>
                <w:szCs w:val="21"/>
              </w:rPr>
              <w:t>权重</w:t>
            </w:r>
          </w:p>
        </w:tc>
        <w:tc>
          <w:tcPr>
            <w:tcW w:w="749" w:type="dxa"/>
            <w:vAlign w:val="center"/>
          </w:tcPr>
          <w:p>
            <w:pPr>
              <w:spacing w:line="400" w:lineRule="exact"/>
              <w:jc w:val="center"/>
              <w:rPr>
                <w:b/>
                <w:bCs/>
                <w:szCs w:val="21"/>
              </w:rPr>
            </w:pPr>
            <w:r>
              <w:rPr>
                <w:b/>
                <w:bCs/>
                <w:szCs w:val="21"/>
              </w:rPr>
              <w:t>优</w:t>
            </w:r>
          </w:p>
        </w:tc>
        <w:tc>
          <w:tcPr>
            <w:tcW w:w="708" w:type="dxa"/>
            <w:vAlign w:val="center"/>
          </w:tcPr>
          <w:p>
            <w:pPr>
              <w:spacing w:line="400" w:lineRule="exact"/>
              <w:jc w:val="center"/>
              <w:rPr>
                <w:b/>
                <w:bCs/>
                <w:szCs w:val="21"/>
              </w:rPr>
            </w:pPr>
            <w:r>
              <w:rPr>
                <w:b/>
                <w:bCs/>
                <w:szCs w:val="21"/>
              </w:rPr>
              <w:t>较优</w:t>
            </w:r>
          </w:p>
        </w:tc>
        <w:tc>
          <w:tcPr>
            <w:tcW w:w="709" w:type="dxa"/>
            <w:vAlign w:val="center"/>
          </w:tcPr>
          <w:p>
            <w:pPr>
              <w:spacing w:line="400" w:lineRule="exact"/>
              <w:jc w:val="center"/>
              <w:rPr>
                <w:b/>
                <w:bCs/>
                <w:szCs w:val="21"/>
              </w:rPr>
            </w:pPr>
            <w:r>
              <w:rPr>
                <w:b/>
                <w:bCs/>
                <w:szCs w:val="21"/>
              </w:rPr>
              <w:t>一般</w:t>
            </w:r>
          </w:p>
        </w:tc>
        <w:tc>
          <w:tcPr>
            <w:tcW w:w="851" w:type="dxa"/>
            <w:vAlign w:val="center"/>
          </w:tcPr>
          <w:p>
            <w:pPr>
              <w:spacing w:line="400" w:lineRule="exact"/>
              <w:jc w:val="center"/>
              <w:rPr>
                <w:b/>
                <w:bCs/>
                <w:szCs w:val="21"/>
              </w:rPr>
            </w:pPr>
            <w:r>
              <w:rPr>
                <w:b/>
                <w:bCs/>
                <w:szCs w:val="21"/>
              </w:rPr>
              <w:t>较劣</w:t>
            </w:r>
          </w:p>
        </w:tc>
        <w:tc>
          <w:tcPr>
            <w:tcW w:w="839"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restart"/>
            <w:vAlign w:val="center"/>
          </w:tcPr>
          <w:p>
            <w:pPr>
              <w:widowControl/>
              <w:spacing w:line="400" w:lineRule="exact"/>
              <w:jc w:val="center"/>
              <w:rPr>
                <w:bCs/>
                <w:color w:val="000000"/>
                <w:kern w:val="0"/>
                <w:szCs w:val="21"/>
              </w:rPr>
            </w:pPr>
            <w:r>
              <w:rPr>
                <w:bCs/>
                <w:color w:val="000000"/>
                <w:kern w:val="0"/>
                <w:szCs w:val="21"/>
              </w:rPr>
              <w:t>基本设施状况</w:t>
            </w:r>
          </w:p>
        </w:tc>
        <w:tc>
          <w:tcPr>
            <w:tcW w:w="988" w:type="dxa"/>
            <w:vMerge w:val="restart"/>
            <w:vAlign w:val="center"/>
          </w:tcPr>
          <w:p>
            <w:pPr>
              <w:widowControl/>
              <w:spacing w:line="400" w:lineRule="exact"/>
              <w:jc w:val="center"/>
              <w:rPr>
                <w:bCs/>
                <w:color w:val="000000"/>
                <w:kern w:val="0"/>
                <w:szCs w:val="21"/>
              </w:rPr>
            </w:pPr>
            <w:r>
              <w:rPr>
                <w:bCs/>
                <w:color w:val="000000"/>
                <w:kern w:val="0"/>
                <w:szCs w:val="21"/>
              </w:rPr>
              <w:t>0.1918</w:t>
            </w:r>
          </w:p>
        </w:tc>
        <w:tc>
          <w:tcPr>
            <w:tcW w:w="1248" w:type="dxa"/>
            <w:vMerge w:val="restart"/>
            <w:vAlign w:val="center"/>
          </w:tcPr>
          <w:p>
            <w:pPr>
              <w:widowControl/>
              <w:spacing w:line="400" w:lineRule="exact"/>
              <w:jc w:val="center"/>
              <w:rPr>
                <w:bCs/>
                <w:color w:val="000000"/>
                <w:kern w:val="0"/>
                <w:szCs w:val="21"/>
              </w:rPr>
            </w:pPr>
            <w:r>
              <w:rPr>
                <w:bCs/>
                <w:color w:val="000000"/>
                <w:kern w:val="0"/>
                <w:szCs w:val="21"/>
              </w:rPr>
              <w:t>公用设施完备度</w:t>
            </w:r>
          </w:p>
        </w:tc>
        <w:tc>
          <w:tcPr>
            <w:tcW w:w="1006" w:type="dxa"/>
            <w:vMerge w:val="restart"/>
            <w:vAlign w:val="center"/>
          </w:tcPr>
          <w:p>
            <w:pPr>
              <w:widowControl/>
              <w:spacing w:line="400" w:lineRule="exact"/>
              <w:jc w:val="center"/>
              <w:rPr>
                <w:bCs/>
                <w:color w:val="000000"/>
                <w:kern w:val="0"/>
                <w:szCs w:val="21"/>
              </w:rPr>
            </w:pPr>
            <w:r>
              <w:rPr>
                <w:bCs/>
                <w:color w:val="000000"/>
                <w:kern w:val="0"/>
                <w:szCs w:val="21"/>
              </w:rPr>
              <w:t>0.1918</w:t>
            </w:r>
          </w:p>
        </w:tc>
        <w:tc>
          <w:tcPr>
            <w:tcW w:w="1276" w:type="dxa"/>
            <w:vAlign w:val="center"/>
          </w:tcPr>
          <w:p>
            <w:pPr>
              <w:widowControl/>
              <w:spacing w:line="400" w:lineRule="exact"/>
              <w:jc w:val="center"/>
              <w:rPr>
                <w:bCs/>
                <w:color w:val="000000"/>
                <w:kern w:val="0"/>
                <w:szCs w:val="21"/>
              </w:rPr>
            </w:pPr>
            <w:r>
              <w:rPr>
                <w:bCs/>
                <w:color w:val="000000"/>
                <w:kern w:val="0"/>
                <w:szCs w:val="21"/>
              </w:rPr>
              <w:t>距中小学距离</w:t>
            </w:r>
          </w:p>
        </w:tc>
        <w:tc>
          <w:tcPr>
            <w:tcW w:w="875" w:type="dxa"/>
            <w:vAlign w:val="center"/>
          </w:tcPr>
          <w:p>
            <w:pPr>
              <w:widowControl/>
              <w:spacing w:line="400" w:lineRule="exact"/>
              <w:jc w:val="center"/>
              <w:rPr>
                <w:bCs/>
                <w:color w:val="000000"/>
                <w:kern w:val="0"/>
                <w:szCs w:val="21"/>
              </w:rPr>
            </w:pPr>
            <w:r>
              <w:rPr>
                <w:bCs/>
                <w:color w:val="000000"/>
                <w:kern w:val="0"/>
                <w:szCs w:val="21"/>
              </w:rPr>
              <w:t>0.0639</w:t>
            </w:r>
          </w:p>
        </w:tc>
        <w:tc>
          <w:tcPr>
            <w:tcW w:w="749" w:type="dxa"/>
            <w:vAlign w:val="center"/>
          </w:tcPr>
          <w:p>
            <w:pPr>
              <w:widowControl/>
              <w:spacing w:line="400" w:lineRule="exact"/>
              <w:jc w:val="center"/>
              <w:rPr>
                <w:bCs/>
                <w:color w:val="000000"/>
                <w:kern w:val="0"/>
                <w:szCs w:val="21"/>
              </w:rPr>
            </w:pPr>
            <w:r>
              <w:rPr>
                <w:bCs/>
                <w:color w:val="000000"/>
                <w:kern w:val="0"/>
                <w:szCs w:val="21"/>
              </w:rPr>
              <w:t>1.357</w:t>
            </w:r>
          </w:p>
        </w:tc>
        <w:tc>
          <w:tcPr>
            <w:tcW w:w="708" w:type="dxa"/>
            <w:vAlign w:val="center"/>
          </w:tcPr>
          <w:p>
            <w:pPr>
              <w:widowControl/>
              <w:spacing w:line="400" w:lineRule="exact"/>
              <w:jc w:val="center"/>
              <w:rPr>
                <w:bCs/>
                <w:color w:val="000000"/>
                <w:kern w:val="0"/>
                <w:szCs w:val="21"/>
              </w:rPr>
            </w:pPr>
            <w:r>
              <w:rPr>
                <w:bCs/>
                <w:color w:val="000000"/>
                <w:kern w:val="0"/>
                <w:szCs w:val="21"/>
              </w:rPr>
              <w:t>0.678</w:t>
            </w:r>
          </w:p>
        </w:tc>
        <w:tc>
          <w:tcPr>
            <w:tcW w:w="709" w:type="dxa"/>
            <w:vAlign w:val="center"/>
          </w:tcPr>
          <w:p>
            <w:pPr>
              <w:widowControl/>
              <w:spacing w:line="400" w:lineRule="exact"/>
              <w:jc w:val="center"/>
              <w:rPr>
                <w:bCs/>
                <w:color w:val="000000"/>
                <w:kern w:val="0"/>
                <w:szCs w:val="21"/>
              </w:rPr>
            </w:pPr>
            <w:r>
              <w:rPr>
                <w:bCs/>
                <w:color w:val="000000"/>
                <w:kern w:val="0"/>
                <w:szCs w:val="21"/>
              </w:rPr>
              <w:t>0</w:t>
            </w:r>
          </w:p>
        </w:tc>
        <w:tc>
          <w:tcPr>
            <w:tcW w:w="851" w:type="dxa"/>
            <w:vAlign w:val="center"/>
          </w:tcPr>
          <w:p>
            <w:pPr>
              <w:widowControl/>
              <w:spacing w:line="400" w:lineRule="exact"/>
              <w:jc w:val="center"/>
              <w:rPr>
                <w:bCs/>
                <w:color w:val="000000"/>
                <w:kern w:val="0"/>
                <w:szCs w:val="21"/>
              </w:rPr>
            </w:pPr>
            <w:r>
              <w:rPr>
                <w:bCs/>
                <w:color w:val="000000"/>
                <w:kern w:val="0"/>
                <w:szCs w:val="21"/>
              </w:rPr>
              <w:t>-0.720</w:t>
            </w:r>
          </w:p>
        </w:tc>
        <w:tc>
          <w:tcPr>
            <w:tcW w:w="839" w:type="dxa"/>
            <w:vAlign w:val="center"/>
          </w:tcPr>
          <w:p>
            <w:pPr>
              <w:widowControl/>
              <w:spacing w:line="400" w:lineRule="exact"/>
              <w:jc w:val="center"/>
              <w:rPr>
                <w:bCs/>
                <w:color w:val="000000"/>
                <w:kern w:val="0"/>
                <w:szCs w:val="21"/>
              </w:rPr>
            </w:pPr>
            <w:r>
              <w:rPr>
                <w:bCs/>
                <w:color w:val="000000"/>
                <w:kern w:val="0"/>
                <w:szCs w:val="21"/>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continue"/>
            <w:vAlign w:val="center"/>
          </w:tcPr>
          <w:p>
            <w:pPr>
              <w:widowControl/>
              <w:spacing w:line="400" w:lineRule="exact"/>
              <w:jc w:val="center"/>
              <w:rPr>
                <w:bCs/>
                <w:color w:val="000000"/>
                <w:kern w:val="0"/>
                <w:szCs w:val="21"/>
              </w:rPr>
            </w:pPr>
          </w:p>
        </w:tc>
        <w:tc>
          <w:tcPr>
            <w:tcW w:w="988" w:type="dxa"/>
            <w:vMerge w:val="continue"/>
            <w:vAlign w:val="center"/>
          </w:tcPr>
          <w:p>
            <w:pPr>
              <w:widowControl/>
              <w:spacing w:line="400" w:lineRule="exact"/>
              <w:jc w:val="center"/>
              <w:rPr>
                <w:bCs/>
                <w:color w:val="000000"/>
                <w:kern w:val="0"/>
                <w:szCs w:val="21"/>
              </w:rPr>
            </w:pPr>
          </w:p>
        </w:tc>
        <w:tc>
          <w:tcPr>
            <w:tcW w:w="1248" w:type="dxa"/>
            <w:vMerge w:val="continue"/>
            <w:vAlign w:val="center"/>
          </w:tcPr>
          <w:p>
            <w:pPr>
              <w:widowControl/>
              <w:spacing w:line="400" w:lineRule="exact"/>
              <w:jc w:val="center"/>
              <w:rPr>
                <w:bCs/>
                <w:color w:val="000000"/>
                <w:kern w:val="0"/>
                <w:szCs w:val="21"/>
              </w:rPr>
            </w:pPr>
          </w:p>
        </w:tc>
        <w:tc>
          <w:tcPr>
            <w:tcW w:w="1006" w:type="dxa"/>
            <w:vMerge w:val="continue"/>
            <w:vAlign w:val="center"/>
          </w:tcPr>
          <w:p>
            <w:pPr>
              <w:widowControl/>
              <w:spacing w:line="400" w:lineRule="exact"/>
              <w:jc w:val="center"/>
              <w:rPr>
                <w:bCs/>
                <w:color w:val="000000"/>
                <w:kern w:val="0"/>
                <w:szCs w:val="21"/>
              </w:rPr>
            </w:pPr>
          </w:p>
        </w:tc>
        <w:tc>
          <w:tcPr>
            <w:tcW w:w="1276" w:type="dxa"/>
            <w:vAlign w:val="center"/>
          </w:tcPr>
          <w:p>
            <w:pPr>
              <w:widowControl/>
              <w:spacing w:line="400" w:lineRule="exact"/>
              <w:jc w:val="center"/>
              <w:rPr>
                <w:bCs/>
                <w:color w:val="000000"/>
                <w:kern w:val="0"/>
                <w:szCs w:val="21"/>
              </w:rPr>
            </w:pPr>
            <w:r>
              <w:rPr>
                <w:bCs/>
                <w:color w:val="000000"/>
                <w:kern w:val="0"/>
                <w:szCs w:val="21"/>
              </w:rPr>
              <w:t>距医院距离</w:t>
            </w:r>
          </w:p>
        </w:tc>
        <w:tc>
          <w:tcPr>
            <w:tcW w:w="875" w:type="dxa"/>
            <w:vAlign w:val="center"/>
          </w:tcPr>
          <w:p>
            <w:pPr>
              <w:widowControl/>
              <w:spacing w:line="400" w:lineRule="exact"/>
              <w:jc w:val="center"/>
              <w:rPr>
                <w:bCs/>
                <w:color w:val="000000"/>
                <w:kern w:val="0"/>
                <w:szCs w:val="21"/>
              </w:rPr>
            </w:pPr>
            <w:r>
              <w:rPr>
                <w:bCs/>
                <w:color w:val="000000"/>
                <w:kern w:val="0"/>
                <w:szCs w:val="21"/>
              </w:rPr>
              <w:t>0.0639</w:t>
            </w:r>
          </w:p>
        </w:tc>
        <w:tc>
          <w:tcPr>
            <w:tcW w:w="749" w:type="dxa"/>
            <w:vAlign w:val="center"/>
          </w:tcPr>
          <w:p>
            <w:pPr>
              <w:widowControl/>
              <w:spacing w:line="400" w:lineRule="exact"/>
              <w:jc w:val="center"/>
              <w:rPr>
                <w:bCs/>
                <w:color w:val="000000"/>
                <w:kern w:val="0"/>
                <w:szCs w:val="21"/>
              </w:rPr>
            </w:pPr>
            <w:r>
              <w:rPr>
                <w:bCs/>
                <w:color w:val="000000"/>
                <w:kern w:val="0"/>
                <w:szCs w:val="21"/>
              </w:rPr>
              <w:t>1.357</w:t>
            </w:r>
          </w:p>
        </w:tc>
        <w:tc>
          <w:tcPr>
            <w:tcW w:w="708" w:type="dxa"/>
            <w:vAlign w:val="center"/>
          </w:tcPr>
          <w:p>
            <w:pPr>
              <w:widowControl/>
              <w:spacing w:line="400" w:lineRule="exact"/>
              <w:jc w:val="center"/>
              <w:rPr>
                <w:bCs/>
                <w:color w:val="000000"/>
                <w:kern w:val="0"/>
                <w:szCs w:val="21"/>
              </w:rPr>
            </w:pPr>
            <w:r>
              <w:rPr>
                <w:bCs/>
                <w:color w:val="000000"/>
                <w:kern w:val="0"/>
                <w:szCs w:val="21"/>
              </w:rPr>
              <w:t>0.678</w:t>
            </w:r>
          </w:p>
        </w:tc>
        <w:tc>
          <w:tcPr>
            <w:tcW w:w="709" w:type="dxa"/>
            <w:vAlign w:val="center"/>
          </w:tcPr>
          <w:p>
            <w:pPr>
              <w:widowControl/>
              <w:spacing w:line="400" w:lineRule="exact"/>
              <w:jc w:val="center"/>
              <w:rPr>
                <w:bCs/>
                <w:color w:val="000000"/>
                <w:kern w:val="0"/>
                <w:szCs w:val="21"/>
              </w:rPr>
            </w:pPr>
            <w:r>
              <w:rPr>
                <w:bCs/>
                <w:color w:val="000000"/>
                <w:kern w:val="0"/>
                <w:szCs w:val="21"/>
              </w:rPr>
              <w:t>0</w:t>
            </w:r>
          </w:p>
        </w:tc>
        <w:tc>
          <w:tcPr>
            <w:tcW w:w="851" w:type="dxa"/>
            <w:vAlign w:val="center"/>
          </w:tcPr>
          <w:p>
            <w:pPr>
              <w:widowControl/>
              <w:spacing w:line="400" w:lineRule="exact"/>
              <w:jc w:val="center"/>
              <w:rPr>
                <w:bCs/>
                <w:color w:val="000000"/>
                <w:kern w:val="0"/>
                <w:szCs w:val="21"/>
              </w:rPr>
            </w:pPr>
            <w:r>
              <w:rPr>
                <w:bCs/>
                <w:color w:val="000000"/>
                <w:kern w:val="0"/>
                <w:szCs w:val="21"/>
              </w:rPr>
              <w:t>-0.720</w:t>
            </w:r>
          </w:p>
        </w:tc>
        <w:tc>
          <w:tcPr>
            <w:tcW w:w="839" w:type="dxa"/>
            <w:vAlign w:val="center"/>
          </w:tcPr>
          <w:p>
            <w:pPr>
              <w:widowControl/>
              <w:spacing w:line="400" w:lineRule="exact"/>
              <w:jc w:val="center"/>
              <w:rPr>
                <w:bCs/>
                <w:color w:val="000000"/>
                <w:kern w:val="0"/>
                <w:szCs w:val="21"/>
              </w:rPr>
            </w:pPr>
            <w:r>
              <w:rPr>
                <w:bCs/>
                <w:color w:val="000000"/>
                <w:kern w:val="0"/>
                <w:szCs w:val="21"/>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continue"/>
            <w:vAlign w:val="center"/>
          </w:tcPr>
          <w:p>
            <w:pPr>
              <w:widowControl/>
              <w:spacing w:line="400" w:lineRule="exact"/>
              <w:jc w:val="center"/>
              <w:rPr>
                <w:bCs/>
                <w:color w:val="000000"/>
                <w:kern w:val="0"/>
                <w:szCs w:val="21"/>
              </w:rPr>
            </w:pPr>
          </w:p>
        </w:tc>
        <w:tc>
          <w:tcPr>
            <w:tcW w:w="988" w:type="dxa"/>
            <w:vMerge w:val="continue"/>
            <w:vAlign w:val="center"/>
          </w:tcPr>
          <w:p>
            <w:pPr>
              <w:widowControl/>
              <w:spacing w:line="400" w:lineRule="exact"/>
              <w:jc w:val="center"/>
              <w:rPr>
                <w:bCs/>
                <w:color w:val="000000"/>
                <w:kern w:val="0"/>
                <w:szCs w:val="21"/>
              </w:rPr>
            </w:pPr>
          </w:p>
        </w:tc>
        <w:tc>
          <w:tcPr>
            <w:tcW w:w="1248" w:type="dxa"/>
            <w:vMerge w:val="continue"/>
            <w:vAlign w:val="center"/>
          </w:tcPr>
          <w:p>
            <w:pPr>
              <w:widowControl/>
              <w:spacing w:line="400" w:lineRule="exact"/>
              <w:jc w:val="center"/>
              <w:rPr>
                <w:bCs/>
                <w:color w:val="000000"/>
                <w:kern w:val="0"/>
                <w:szCs w:val="21"/>
              </w:rPr>
            </w:pPr>
          </w:p>
        </w:tc>
        <w:tc>
          <w:tcPr>
            <w:tcW w:w="1006" w:type="dxa"/>
            <w:vMerge w:val="continue"/>
            <w:vAlign w:val="center"/>
          </w:tcPr>
          <w:p>
            <w:pPr>
              <w:widowControl/>
              <w:spacing w:line="400" w:lineRule="exact"/>
              <w:jc w:val="center"/>
              <w:rPr>
                <w:bCs/>
                <w:color w:val="000000"/>
                <w:kern w:val="0"/>
                <w:szCs w:val="21"/>
              </w:rPr>
            </w:pPr>
          </w:p>
        </w:tc>
        <w:tc>
          <w:tcPr>
            <w:tcW w:w="1276" w:type="dxa"/>
            <w:vAlign w:val="center"/>
          </w:tcPr>
          <w:p>
            <w:pPr>
              <w:widowControl/>
              <w:spacing w:line="400" w:lineRule="exact"/>
              <w:jc w:val="center"/>
              <w:rPr>
                <w:bCs/>
                <w:color w:val="000000"/>
                <w:kern w:val="0"/>
                <w:szCs w:val="21"/>
              </w:rPr>
            </w:pPr>
            <w:r>
              <w:rPr>
                <w:bCs/>
                <w:color w:val="000000"/>
                <w:kern w:val="0"/>
                <w:szCs w:val="21"/>
              </w:rPr>
              <w:t>距文体设施用地距离</w:t>
            </w:r>
          </w:p>
        </w:tc>
        <w:tc>
          <w:tcPr>
            <w:tcW w:w="875" w:type="dxa"/>
            <w:vAlign w:val="center"/>
          </w:tcPr>
          <w:p>
            <w:pPr>
              <w:widowControl/>
              <w:spacing w:line="400" w:lineRule="exact"/>
              <w:jc w:val="center"/>
              <w:rPr>
                <w:bCs/>
                <w:color w:val="000000"/>
                <w:kern w:val="0"/>
                <w:szCs w:val="21"/>
              </w:rPr>
            </w:pPr>
            <w:r>
              <w:rPr>
                <w:bCs/>
                <w:color w:val="000000"/>
                <w:kern w:val="0"/>
                <w:szCs w:val="21"/>
              </w:rPr>
              <w:t>0.064</w:t>
            </w:r>
          </w:p>
        </w:tc>
        <w:tc>
          <w:tcPr>
            <w:tcW w:w="749" w:type="dxa"/>
            <w:vAlign w:val="center"/>
          </w:tcPr>
          <w:p>
            <w:pPr>
              <w:widowControl/>
              <w:spacing w:line="400" w:lineRule="exact"/>
              <w:jc w:val="center"/>
              <w:rPr>
                <w:bCs/>
                <w:color w:val="000000"/>
                <w:kern w:val="0"/>
                <w:szCs w:val="21"/>
              </w:rPr>
            </w:pPr>
            <w:r>
              <w:rPr>
                <w:bCs/>
                <w:color w:val="000000"/>
                <w:kern w:val="0"/>
                <w:szCs w:val="21"/>
              </w:rPr>
              <w:t>1.359</w:t>
            </w:r>
          </w:p>
        </w:tc>
        <w:tc>
          <w:tcPr>
            <w:tcW w:w="708" w:type="dxa"/>
            <w:vAlign w:val="center"/>
          </w:tcPr>
          <w:p>
            <w:pPr>
              <w:widowControl/>
              <w:spacing w:line="400" w:lineRule="exact"/>
              <w:jc w:val="center"/>
              <w:rPr>
                <w:bCs/>
                <w:color w:val="000000"/>
                <w:kern w:val="0"/>
                <w:szCs w:val="21"/>
              </w:rPr>
            </w:pPr>
            <w:r>
              <w:rPr>
                <w:bCs/>
                <w:color w:val="000000"/>
                <w:kern w:val="0"/>
                <w:szCs w:val="21"/>
              </w:rPr>
              <w:t>0.679</w:t>
            </w:r>
          </w:p>
        </w:tc>
        <w:tc>
          <w:tcPr>
            <w:tcW w:w="709" w:type="dxa"/>
            <w:vAlign w:val="center"/>
          </w:tcPr>
          <w:p>
            <w:pPr>
              <w:widowControl/>
              <w:spacing w:line="400" w:lineRule="exact"/>
              <w:jc w:val="center"/>
              <w:rPr>
                <w:bCs/>
                <w:color w:val="000000"/>
                <w:kern w:val="0"/>
                <w:szCs w:val="21"/>
              </w:rPr>
            </w:pPr>
            <w:r>
              <w:rPr>
                <w:bCs/>
                <w:color w:val="000000"/>
                <w:kern w:val="0"/>
                <w:szCs w:val="21"/>
              </w:rPr>
              <w:t>0</w:t>
            </w:r>
          </w:p>
        </w:tc>
        <w:tc>
          <w:tcPr>
            <w:tcW w:w="851" w:type="dxa"/>
            <w:vAlign w:val="center"/>
          </w:tcPr>
          <w:p>
            <w:pPr>
              <w:widowControl/>
              <w:spacing w:line="400" w:lineRule="exact"/>
              <w:jc w:val="center"/>
              <w:rPr>
                <w:bCs/>
                <w:color w:val="000000"/>
                <w:kern w:val="0"/>
                <w:szCs w:val="21"/>
              </w:rPr>
            </w:pPr>
            <w:r>
              <w:rPr>
                <w:bCs/>
                <w:color w:val="000000"/>
                <w:kern w:val="0"/>
                <w:szCs w:val="21"/>
              </w:rPr>
              <w:t>-0.721</w:t>
            </w:r>
          </w:p>
        </w:tc>
        <w:tc>
          <w:tcPr>
            <w:tcW w:w="839" w:type="dxa"/>
            <w:vAlign w:val="center"/>
          </w:tcPr>
          <w:p>
            <w:pPr>
              <w:widowControl/>
              <w:spacing w:line="400" w:lineRule="exact"/>
              <w:jc w:val="center"/>
              <w:rPr>
                <w:bCs/>
                <w:color w:val="000000"/>
                <w:kern w:val="0"/>
                <w:szCs w:val="21"/>
              </w:rPr>
            </w:pPr>
            <w:r>
              <w:rPr>
                <w:bCs/>
                <w:color w:val="000000"/>
                <w:kern w:val="0"/>
                <w:szCs w:val="21"/>
              </w:rPr>
              <w:t>-1.443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7" w:hRule="atLeast"/>
          <w:jc w:val="center"/>
        </w:trPr>
        <w:tc>
          <w:tcPr>
            <w:tcW w:w="1054" w:type="dxa"/>
            <w:vAlign w:val="center"/>
          </w:tcPr>
          <w:p>
            <w:pPr>
              <w:widowControl/>
              <w:spacing w:line="400" w:lineRule="exact"/>
              <w:jc w:val="center"/>
              <w:rPr>
                <w:bCs/>
                <w:color w:val="000000"/>
                <w:kern w:val="0"/>
                <w:szCs w:val="21"/>
              </w:rPr>
            </w:pPr>
            <w:r>
              <w:rPr>
                <w:bCs/>
                <w:color w:val="000000"/>
                <w:kern w:val="0"/>
                <w:szCs w:val="21"/>
              </w:rPr>
              <w:t>繁华程度</w:t>
            </w:r>
          </w:p>
        </w:tc>
        <w:tc>
          <w:tcPr>
            <w:tcW w:w="988" w:type="dxa"/>
            <w:vAlign w:val="center"/>
          </w:tcPr>
          <w:p>
            <w:pPr>
              <w:widowControl/>
              <w:spacing w:line="400" w:lineRule="exact"/>
              <w:jc w:val="center"/>
              <w:rPr>
                <w:bCs/>
                <w:color w:val="000000"/>
                <w:kern w:val="0"/>
                <w:szCs w:val="21"/>
              </w:rPr>
            </w:pPr>
            <w:r>
              <w:rPr>
                <w:bCs/>
                <w:color w:val="000000"/>
                <w:kern w:val="0"/>
                <w:szCs w:val="21"/>
              </w:rPr>
              <w:t>0.3123</w:t>
            </w:r>
          </w:p>
        </w:tc>
        <w:tc>
          <w:tcPr>
            <w:tcW w:w="1248" w:type="dxa"/>
            <w:vAlign w:val="center"/>
          </w:tcPr>
          <w:p>
            <w:pPr>
              <w:widowControl/>
              <w:spacing w:line="400" w:lineRule="exact"/>
              <w:jc w:val="center"/>
              <w:rPr>
                <w:bCs/>
                <w:color w:val="000000"/>
                <w:kern w:val="0"/>
                <w:szCs w:val="21"/>
              </w:rPr>
            </w:pPr>
            <w:r>
              <w:rPr>
                <w:bCs/>
                <w:color w:val="000000"/>
                <w:kern w:val="0"/>
                <w:szCs w:val="21"/>
              </w:rPr>
              <w:t>商服繁华影响度</w:t>
            </w:r>
          </w:p>
        </w:tc>
        <w:tc>
          <w:tcPr>
            <w:tcW w:w="1006" w:type="dxa"/>
            <w:vAlign w:val="center"/>
          </w:tcPr>
          <w:p>
            <w:pPr>
              <w:widowControl/>
              <w:spacing w:line="400" w:lineRule="exact"/>
              <w:jc w:val="center"/>
              <w:rPr>
                <w:bCs/>
                <w:color w:val="000000"/>
                <w:kern w:val="0"/>
                <w:szCs w:val="21"/>
              </w:rPr>
            </w:pPr>
            <w:r>
              <w:rPr>
                <w:bCs/>
                <w:color w:val="000000"/>
                <w:kern w:val="0"/>
                <w:szCs w:val="21"/>
              </w:rPr>
              <w:t>0.3123</w:t>
            </w:r>
          </w:p>
        </w:tc>
        <w:tc>
          <w:tcPr>
            <w:tcW w:w="1276" w:type="dxa"/>
            <w:vAlign w:val="center"/>
          </w:tcPr>
          <w:p>
            <w:pPr>
              <w:widowControl/>
              <w:spacing w:line="400" w:lineRule="exact"/>
              <w:jc w:val="center"/>
              <w:rPr>
                <w:bCs/>
                <w:color w:val="000000"/>
                <w:kern w:val="0"/>
                <w:szCs w:val="21"/>
              </w:rPr>
            </w:pPr>
            <w:r>
              <w:rPr>
                <w:bCs/>
                <w:color w:val="000000"/>
                <w:kern w:val="0"/>
                <w:szCs w:val="21"/>
              </w:rPr>
              <w:t>距商服中心距离</w:t>
            </w:r>
          </w:p>
        </w:tc>
        <w:tc>
          <w:tcPr>
            <w:tcW w:w="875" w:type="dxa"/>
            <w:vAlign w:val="center"/>
          </w:tcPr>
          <w:p>
            <w:pPr>
              <w:widowControl/>
              <w:spacing w:line="400" w:lineRule="exact"/>
              <w:jc w:val="center"/>
              <w:rPr>
                <w:bCs/>
                <w:color w:val="000000"/>
                <w:kern w:val="0"/>
                <w:szCs w:val="21"/>
              </w:rPr>
            </w:pPr>
            <w:r>
              <w:rPr>
                <w:bCs/>
                <w:color w:val="000000"/>
                <w:kern w:val="0"/>
                <w:szCs w:val="21"/>
              </w:rPr>
              <w:t>0.3123</w:t>
            </w:r>
          </w:p>
        </w:tc>
        <w:tc>
          <w:tcPr>
            <w:tcW w:w="749" w:type="dxa"/>
            <w:vAlign w:val="center"/>
          </w:tcPr>
          <w:p>
            <w:pPr>
              <w:widowControl/>
              <w:spacing w:line="400" w:lineRule="exact"/>
              <w:jc w:val="center"/>
              <w:rPr>
                <w:bCs/>
                <w:color w:val="000000"/>
                <w:kern w:val="0"/>
                <w:szCs w:val="21"/>
              </w:rPr>
            </w:pPr>
            <w:r>
              <w:rPr>
                <w:bCs/>
                <w:color w:val="000000"/>
                <w:kern w:val="0"/>
                <w:szCs w:val="21"/>
              </w:rPr>
              <w:t>6.630</w:t>
            </w:r>
          </w:p>
        </w:tc>
        <w:tc>
          <w:tcPr>
            <w:tcW w:w="708" w:type="dxa"/>
            <w:vAlign w:val="center"/>
          </w:tcPr>
          <w:p>
            <w:pPr>
              <w:widowControl/>
              <w:spacing w:line="400" w:lineRule="exact"/>
              <w:jc w:val="center"/>
              <w:rPr>
                <w:bCs/>
                <w:color w:val="000000"/>
                <w:kern w:val="0"/>
                <w:szCs w:val="21"/>
              </w:rPr>
            </w:pPr>
            <w:r>
              <w:rPr>
                <w:bCs/>
                <w:color w:val="000000"/>
                <w:kern w:val="0"/>
                <w:szCs w:val="21"/>
              </w:rPr>
              <w:t>3.315</w:t>
            </w:r>
          </w:p>
        </w:tc>
        <w:tc>
          <w:tcPr>
            <w:tcW w:w="709" w:type="dxa"/>
            <w:vAlign w:val="center"/>
          </w:tcPr>
          <w:p>
            <w:pPr>
              <w:widowControl/>
              <w:spacing w:line="400" w:lineRule="exact"/>
              <w:jc w:val="center"/>
              <w:rPr>
                <w:bCs/>
                <w:color w:val="000000"/>
                <w:kern w:val="0"/>
                <w:szCs w:val="21"/>
              </w:rPr>
            </w:pPr>
            <w:r>
              <w:rPr>
                <w:bCs/>
                <w:color w:val="000000"/>
                <w:kern w:val="0"/>
                <w:szCs w:val="21"/>
              </w:rPr>
              <w:t>0</w:t>
            </w:r>
          </w:p>
        </w:tc>
        <w:tc>
          <w:tcPr>
            <w:tcW w:w="851" w:type="dxa"/>
            <w:vAlign w:val="center"/>
          </w:tcPr>
          <w:p>
            <w:pPr>
              <w:widowControl/>
              <w:spacing w:line="400" w:lineRule="exact"/>
              <w:jc w:val="center"/>
              <w:rPr>
                <w:bCs/>
                <w:color w:val="000000"/>
                <w:kern w:val="0"/>
                <w:szCs w:val="21"/>
              </w:rPr>
            </w:pPr>
            <w:r>
              <w:rPr>
                <w:bCs/>
                <w:color w:val="000000"/>
                <w:kern w:val="0"/>
                <w:szCs w:val="21"/>
              </w:rPr>
              <w:t>-3.520</w:t>
            </w:r>
          </w:p>
        </w:tc>
        <w:tc>
          <w:tcPr>
            <w:tcW w:w="839" w:type="dxa"/>
            <w:vAlign w:val="center"/>
          </w:tcPr>
          <w:p>
            <w:pPr>
              <w:widowControl/>
              <w:spacing w:line="400" w:lineRule="exact"/>
              <w:jc w:val="center"/>
              <w:rPr>
                <w:bCs/>
                <w:color w:val="000000"/>
                <w:kern w:val="0"/>
                <w:szCs w:val="21"/>
              </w:rPr>
            </w:pPr>
            <w:r>
              <w:rPr>
                <w:bCs/>
                <w:color w:val="000000"/>
                <w:kern w:val="0"/>
                <w:szCs w:val="21"/>
              </w:rPr>
              <w:t>-7.039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Align w:val="center"/>
          </w:tcPr>
          <w:p>
            <w:pPr>
              <w:widowControl/>
              <w:spacing w:line="400" w:lineRule="exact"/>
              <w:jc w:val="center"/>
              <w:rPr>
                <w:bCs/>
                <w:color w:val="000000"/>
                <w:kern w:val="0"/>
                <w:szCs w:val="21"/>
              </w:rPr>
            </w:pPr>
            <w:r>
              <w:rPr>
                <w:bCs/>
                <w:color w:val="000000"/>
                <w:kern w:val="0"/>
                <w:szCs w:val="21"/>
              </w:rPr>
              <w:t>人口状况</w:t>
            </w:r>
          </w:p>
        </w:tc>
        <w:tc>
          <w:tcPr>
            <w:tcW w:w="988" w:type="dxa"/>
            <w:vAlign w:val="center"/>
          </w:tcPr>
          <w:p>
            <w:pPr>
              <w:widowControl/>
              <w:spacing w:line="400" w:lineRule="exact"/>
              <w:jc w:val="center"/>
              <w:rPr>
                <w:bCs/>
                <w:color w:val="000000"/>
                <w:kern w:val="0"/>
                <w:szCs w:val="21"/>
              </w:rPr>
            </w:pPr>
            <w:r>
              <w:rPr>
                <w:bCs/>
                <w:color w:val="000000"/>
                <w:kern w:val="0"/>
                <w:szCs w:val="21"/>
              </w:rPr>
              <w:t>0.1567</w:t>
            </w:r>
          </w:p>
        </w:tc>
        <w:tc>
          <w:tcPr>
            <w:tcW w:w="1248" w:type="dxa"/>
            <w:vAlign w:val="center"/>
          </w:tcPr>
          <w:p>
            <w:pPr>
              <w:widowControl/>
              <w:spacing w:line="400" w:lineRule="exact"/>
              <w:jc w:val="center"/>
              <w:rPr>
                <w:bCs/>
                <w:color w:val="000000"/>
                <w:kern w:val="0"/>
                <w:szCs w:val="21"/>
              </w:rPr>
            </w:pPr>
            <w:r>
              <w:rPr>
                <w:bCs/>
                <w:color w:val="000000"/>
                <w:kern w:val="0"/>
                <w:szCs w:val="21"/>
              </w:rPr>
              <w:t>人口密度</w:t>
            </w:r>
          </w:p>
        </w:tc>
        <w:tc>
          <w:tcPr>
            <w:tcW w:w="1006" w:type="dxa"/>
            <w:vAlign w:val="center"/>
          </w:tcPr>
          <w:p>
            <w:pPr>
              <w:widowControl/>
              <w:spacing w:line="400" w:lineRule="exact"/>
              <w:jc w:val="center"/>
              <w:rPr>
                <w:bCs/>
                <w:color w:val="000000"/>
                <w:kern w:val="0"/>
                <w:szCs w:val="21"/>
              </w:rPr>
            </w:pPr>
            <w:r>
              <w:rPr>
                <w:bCs/>
                <w:color w:val="000000"/>
                <w:kern w:val="0"/>
                <w:szCs w:val="21"/>
              </w:rPr>
              <w:t>0.1567</w:t>
            </w:r>
          </w:p>
        </w:tc>
        <w:tc>
          <w:tcPr>
            <w:tcW w:w="1276" w:type="dxa"/>
            <w:vAlign w:val="center"/>
          </w:tcPr>
          <w:p>
            <w:pPr>
              <w:widowControl/>
              <w:spacing w:line="400" w:lineRule="exact"/>
              <w:jc w:val="center"/>
              <w:rPr>
                <w:bCs/>
                <w:color w:val="000000"/>
                <w:kern w:val="0"/>
                <w:szCs w:val="21"/>
              </w:rPr>
            </w:pPr>
            <w:r>
              <w:rPr>
                <w:bCs/>
                <w:color w:val="000000"/>
                <w:kern w:val="0"/>
                <w:szCs w:val="21"/>
              </w:rPr>
              <w:t>人口密度</w:t>
            </w:r>
          </w:p>
        </w:tc>
        <w:tc>
          <w:tcPr>
            <w:tcW w:w="875" w:type="dxa"/>
            <w:vAlign w:val="center"/>
          </w:tcPr>
          <w:p>
            <w:pPr>
              <w:widowControl/>
              <w:spacing w:line="400" w:lineRule="exact"/>
              <w:jc w:val="center"/>
              <w:rPr>
                <w:bCs/>
                <w:color w:val="000000"/>
                <w:kern w:val="0"/>
                <w:szCs w:val="21"/>
              </w:rPr>
            </w:pPr>
            <w:r>
              <w:rPr>
                <w:bCs/>
                <w:color w:val="000000"/>
                <w:kern w:val="0"/>
                <w:szCs w:val="21"/>
              </w:rPr>
              <w:t>0.1567</w:t>
            </w:r>
          </w:p>
        </w:tc>
        <w:tc>
          <w:tcPr>
            <w:tcW w:w="749" w:type="dxa"/>
            <w:vAlign w:val="center"/>
          </w:tcPr>
          <w:p>
            <w:pPr>
              <w:widowControl/>
              <w:spacing w:line="400" w:lineRule="exact"/>
              <w:jc w:val="center"/>
              <w:rPr>
                <w:bCs/>
                <w:color w:val="000000"/>
                <w:kern w:val="0"/>
                <w:szCs w:val="21"/>
              </w:rPr>
            </w:pPr>
            <w:r>
              <w:rPr>
                <w:bCs/>
                <w:color w:val="000000"/>
                <w:kern w:val="0"/>
                <w:szCs w:val="21"/>
              </w:rPr>
              <w:t>3.327</w:t>
            </w:r>
          </w:p>
        </w:tc>
        <w:tc>
          <w:tcPr>
            <w:tcW w:w="708" w:type="dxa"/>
            <w:vAlign w:val="center"/>
          </w:tcPr>
          <w:p>
            <w:pPr>
              <w:widowControl/>
              <w:spacing w:line="400" w:lineRule="exact"/>
              <w:jc w:val="center"/>
              <w:rPr>
                <w:bCs/>
                <w:color w:val="000000"/>
                <w:kern w:val="0"/>
                <w:szCs w:val="21"/>
              </w:rPr>
            </w:pPr>
            <w:r>
              <w:rPr>
                <w:bCs/>
                <w:color w:val="000000"/>
                <w:kern w:val="0"/>
                <w:szCs w:val="21"/>
              </w:rPr>
              <w:t>1.663</w:t>
            </w:r>
          </w:p>
        </w:tc>
        <w:tc>
          <w:tcPr>
            <w:tcW w:w="709" w:type="dxa"/>
            <w:vAlign w:val="center"/>
          </w:tcPr>
          <w:p>
            <w:pPr>
              <w:widowControl/>
              <w:spacing w:line="400" w:lineRule="exact"/>
              <w:jc w:val="center"/>
              <w:rPr>
                <w:bCs/>
                <w:color w:val="000000"/>
                <w:kern w:val="0"/>
                <w:szCs w:val="21"/>
              </w:rPr>
            </w:pPr>
            <w:r>
              <w:rPr>
                <w:bCs/>
                <w:color w:val="000000"/>
                <w:kern w:val="0"/>
                <w:szCs w:val="21"/>
              </w:rPr>
              <w:t>0</w:t>
            </w:r>
          </w:p>
        </w:tc>
        <w:tc>
          <w:tcPr>
            <w:tcW w:w="851" w:type="dxa"/>
            <w:vAlign w:val="center"/>
          </w:tcPr>
          <w:p>
            <w:pPr>
              <w:widowControl/>
              <w:spacing w:line="400" w:lineRule="exact"/>
              <w:jc w:val="center"/>
              <w:rPr>
                <w:bCs/>
                <w:color w:val="000000"/>
                <w:kern w:val="0"/>
                <w:szCs w:val="21"/>
              </w:rPr>
            </w:pPr>
            <w:r>
              <w:rPr>
                <w:bCs/>
                <w:color w:val="000000"/>
                <w:kern w:val="0"/>
                <w:szCs w:val="21"/>
              </w:rPr>
              <w:t>-1.766</w:t>
            </w:r>
          </w:p>
        </w:tc>
        <w:tc>
          <w:tcPr>
            <w:tcW w:w="839" w:type="dxa"/>
            <w:vAlign w:val="center"/>
          </w:tcPr>
          <w:p>
            <w:pPr>
              <w:widowControl/>
              <w:spacing w:line="400" w:lineRule="exact"/>
              <w:jc w:val="center"/>
              <w:rPr>
                <w:bCs/>
                <w:color w:val="000000"/>
                <w:kern w:val="0"/>
                <w:szCs w:val="21"/>
              </w:rPr>
            </w:pPr>
            <w:r>
              <w:rPr>
                <w:bCs/>
                <w:color w:val="000000"/>
                <w:kern w:val="0"/>
                <w:szCs w:val="21"/>
              </w:rPr>
              <w:t>-3.532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restart"/>
            <w:vAlign w:val="center"/>
          </w:tcPr>
          <w:p>
            <w:pPr>
              <w:widowControl/>
              <w:spacing w:line="400" w:lineRule="exact"/>
              <w:jc w:val="center"/>
              <w:rPr>
                <w:bCs/>
                <w:color w:val="000000"/>
                <w:kern w:val="0"/>
                <w:szCs w:val="21"/>
              </w:rPr>
            </w:pPr>
            <w:r>
              <w:rPr>
                <w:bCs/>
                <w:color w:val="000000"/>
                <w:kern w:val="0"/>
                <w:szCs w:val="21"/>
              </w:rPr>
              <w:t>交通条件</w:t>
            </w:r>
          </w:p>
        </w:tc>
        <w:tc>
          <w:tcPr>
            <w:tcW w:w="988" w:type="dxa"/>
            <w:vMerge w:val="restart"/>
            <w:vAlign w:val="center"/>
          </w:tcPr>
          <w:p>
            <w:pPr>
              <w:widowControl/>
              <w:spacing w:line="400" w:lineRule="exact"/>
              <w:jc w:val="center"/>
              <w:rPr>
                <w:bCs/>
                <w:color w:val="000000"/>
                <w:kern w:val="0"/>
                <w:szCs w:val="21"/>
              </w:rPr>
            </w:pPr>
            <w:r>
              <w:rPr>
                <w:bCs/>
                <w:color w:val="000000"/>
                <w:kern w:val="0"/>
                <w:szCs w:val="21"/>
              </w:rPr>
              <w:t>0.2384</w:t>
            </w:r>
          </w:p>
        </w:tc>
        <w:tc>
          <w:tcPr>
            <w:tcW w:w="1248" w:type="dxa"/>
            <w:vAlign w:val="center"/>
          </w:tcPr>
          <w:p>
            <w:pPr>
              <w:widowControl/>
              <w:spacing w:line="400" w:lineRule="exact"/>
              <w:jc w:val="center"/>
              <w:rPr>
                <w:bCs/>
                <w:color w:val="000000"/>
                <w:kern w:val="0"/>
                <w:szCs w:val="21"/>
              </w:rPr>
            </w:pPr>
            <w:r>
              <w:rPr>
                <w:bCs/>
                <w:color w:val="000000"/>
                <w:kern w:val="0"/>
                <w:szCs w:val="21"/>
              </w:rPr>
              <w:t>道路通达度</w:t>
            </w:r>
          </w:p>
        </w:tc>
        <w:tc>
          <w:tcPr>
            <w:tcW w:w="1006" w:type="dxa"/>
            <w:vAlign w:val="center"/>
          </w:tcPr>
          <w:p>
            <w:pPr>
              <w:widowControl/>
              <w:spacing w:line="400" w:lineRule="exact"/>
              <w:jc w:val="center"/>
              <w:rPr>
                <w:bCs/>
                <w:color w:val="000000"/>
                <w:kern w:val="0"/>
                <w:szCs w:val="21"/>
              </w:rPr>
            </w:pPr>
            <w:r>
              <w:rPr>
                <w:bCs/>
                <w:color w:val="000000"/>
                <w:kern w:val="0"/>
                <w:szCs w:val="21"/>
              </w:rPr>
              <w:t>0.0794</w:t>
            </w:r>
          </w:p>
        </w:tc>
        <w:tc>
          <w:tcPr>
            <w:tcW w:w="1276" w:type="dxa"/>
            <w:vAlign w:val="center"/>
          </w:tcPr>
          <w:p>
            <w:pPr>
              <w:widowControl/>
              <w:spacing w:line="400" w:lineRule="exact"/>
              <w:jc w:val="center"/>
              <w:rPr>
                <w:bCs/>
                <w:color w:val="000000"/>
                <w:kern w:val="0"/>
                <w:szCs w:val="21"/>
              </w:rPr>
            </w:pPr>
            <w:r>
              <w:rPr>
                <w:bCs/>
                <w:color w:val="000000"/>
                <w:kern w:val="0"/>
                <w:szCs w:val="21"/>
              </w:rPr>
              <w:t>临近道路状况</w:t>
            </w:r>
          </w:p>
        </w:tc>
        <w:tc>
          <w:tcPr>
            <w:tcW w:w="875" w:type="dxa"/>
            <w:vAlign w:val="center"/>
          </w:tcPr>
          <w:p>
            <w:pPr>
              <w:widowControl/>
              <w:spacing w:line="400" w:lineRule="exact"/>
              <w:jc w:val="center"/>
              <w:rPr>
                <w:bCs/>
                <w:color w:val="000000"/>
                <w:kern w:val="0"/>
                <w:szCs w:val="21"/>
              </w:rPr>
            </w:pPr>
            <w:r>
              <w:rPr>
                <w:bCs/>
                <w:color w:val="000000"/>
                <w:kern w:val="0"/>
                <w:szCs w:val="21"/>
              </w:rPr>
              <w:t>0.0794</w:t>
            </w:r>
          </w:p>
        </w:tc>
        <w:tc>
          <w:tcPr>
            <w:tcW w:w="749" w:type="dxa"/>
            <w:vAlign w:val="center"/>
          </w:tcPr>
          <w:p>
            <w:pPr>
              <w:widowControl/>
              <w:spacing w:line="400" w:lineRule="exact"/>
              <w:jc w:val="center"/>
              <w:rPr>
                <w:bCs/>
                <w:color w:val="000000"/>
                <w:kern w:val="0"/>
                <w:szCs w:val="21"/>
              </w:rPr>
            </w:pPr>
            <w:r>
              <w:rPr>
                <w:bCs/>
                <w:color w:val="000000"/>
                <w:kern w:val="0"/>
                <w:szCs w:val="21"/>
              </w:rPr>
              <w:t>1.686</w:t>
            </w:r>
          </w:p>
        </w:tc>
        <w:tc>
          <w:tcPr>
            <w:tcW w:w="708" w:type="dxa"/>
            <w:vAlign w:val="center"/>
          </w:tcPr>
          <w:p>
            <w:pPr>
              <w:widowControl/>
              <w:spacing w:line="400" w:lineRule="exact"/>
              <w:jc w:val="center"/>
              <w:rPr>
                <w:bCs/>
                <w:color w:val="000000"/>
                <w:kern w:val="0"/>
                <w:szCs w:val="21"/>
              </w:rPr>
            </w:pPr>
            <w:r>
              <w:rPr>
                <w:bCs/>
                <w:color w:val="000000"/>
                <w:kern w:val="0"/>
                <w:szCs w:val="21"/>
              </w:rPr>
              <w:t>0.843</w:t>
            </w:r>
          </w:p>
        </w:tc>
        <w:tc>
          <w:tcPr>
            <w:tcW w:w="709" w:type="dxa"/>
            <w:vAlign w:val="center"/>
          </w:tcPr>
          <w:p>
            <w:pPr>
              <w:widowControl/>
              <w:spacing w:line="400" w:lineRule="exact"/>
              <w:jc w:val="center"/>
              <w:rPr>
                <w:bCs/>
                <w:color w:val="000000"/>
                <w:kern w:val="0"/>
                <w:szCs w:val="21"/>
              </w:rPr>
            </w:pPr>
            <w:r>
              <w:rPr>
                <w:bCs/>
                <w:color w:val="000000"/>
                <w:kern w:val="0"/>
                <w:szCs w:val="21"/>
              </w:rPr>
              <w:t>0</w:t>
            </w:r>
          </w:p>
        </w:tc>
        <w:tc>
          <w:tcPr>
            <w:tcW w:w="851" w:type="dxa"/>
            <w:vAlign w:val="center"/>
          </w:tcPr>
          <w:p>
            <w:pPr>
              <w:widowControl/>
              <w:spacing w:line="400" w:lineRule="exact"/>
              <w:jc w:val="center"/>
              <w:rPr>
                <w:bCs/>
                <w:color w:val="000000"/>
                <w:kern w:val="0"/>
                <w:szCs w:val="21"/>
              </w:rPr>
            </w:pPr>
            <w:r>
              <w:rPr>
                <w:bCs/>
                <w:color w:val="000000"/>
                <w:kern w:val="0"/>
                <w:szCs w:val="21"/>
              </w:rPr>
              <w:t>-0.895</w:t>
            </w:r>
          </w:p>
        </w:tc>
        <w:tc>
          <w:tcPr>
            <w:tcW w:w="839" w:type="dxa"/>
            <w:vAlign w:val="center"/>
          </w:tcPr>
          <w:p>
            <w:pPr>
              <w:widowControl/>
              <w:spacing w:line="400" w:lineRule="exact"/>
              <w:jc w:val="center"/>
              <w:rPr>
                <w:bCs/>
                <w:color w:val="000000"/>
                <w:kern w:val="0"/>
                <w:szCs w:val="21"/>
              </w:rPr>
            </w:pPr>
            <w:r>
              <w:rPr>
                <w:bCs/>
                <w:color w:val="000000"/>
                <w:kern w:val="0"/>
                <w:szCs w:val="21"/>
              </w:rPr>
              <w:t>-1.790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054" w:type="dxa"/>
            <w:vMerge w:val="continue"/>
            <w:vAlign w:val="center"/>
          </w:tcPr>
          <w:p>
            <w:pPr>
              <w:widowControl/>
              <w:spacing w:line="400" w:lineRule="exact"/>
              <w:jc w:val="center"/>
              <w:rPr>
                <w:bCs/>
                <w:color w:val="000000"/>
                <w:kern w:val="0"/>
                <w:szCs w:val="21"/>
              </w:rPr>
            </w:pPr>
          </w:p>
        </w:tc>
        <w:tc>
          <w:tcPr>
            <w:tcW w:w="988" w:type="dxa"/>
            <w:vMerge w:val="continue"/>
            <w:vAlign w:val="center"/>
          </w:tcPr>
          <w:p>
            <w:pPr>
              <w:widowControl/>
              <w:spacing w:line="400" w:lineRule="exact"/>
              <w:jc w:val="center"/>
              <w:rPr>
                <w:bCs/>
                <w:color w:val="000000"/>
                <w:kern w:val="0"/>
                <w:szCs w:val="21"/>
              </w:rPr>
            </w:pPr>
          </w:p>
        </w:tc>
        <w:tc>
          <w:tcPr>
            <w:tcW w:w="1248" w:type="dxa"/>
            <w:vAlign w:val="center"/>
          </w:tcPr>
          <w:p>
            <w:pPr>
              <w:widowControl/>
              <w:spacing w:line="400" w:lineRule="exact"/>
              <w:jc w:val="center"/>
              <w:rPr>
                <w:bCs/>
                <w:color w:val="000000"/>
                <w:kern w:val="0"/>
                <w:szCs w:val="21"/>
              </w:rPr>
            </w:pPr>
            <w:r>
              <w:rPr>
                <w:bCs/>
                <w:color w:val="000000"/>
                <w:kern w:val="0"/>
                <w:szCs w:val="21"/>
              </w:rPr>
              <w:t>公交便捷度</w:t>
            </w:r>
          </w:p>
        </w:tc>
        <w:tc>
          <w:tcPr>
            <w:tcW w:w="1006" w:type="dxa"/>
            <w:vAlign w:val="center"/>
          </w:tcPr>
          <w:p>
            <w:pPr>
              <w:widowControl/>
              <w:spacing w:line="400" w:lineRule="exact"/>
              <w:jc w:val="center"/>
              <w:rPr>
                <w:bCs/>
                <w:color w:val="000000"/>
                <w:kern w:val="0"/>
                <w:szCs w:val="21"/>
              </w:rPr>
            </w:pPr>
            <w:r>
              <w:rPr>
                <w:bCs/>
                <w:color w:val="000000"/>
                <w:kern w:val="0"/>
                <w:szCs w:val="21"/>
              </w:rPr>
              <w:t>0.0795</w:t>
            </w:r>
          </w:p>
        </w:tc>
        <w:tc>
          <w:tcPr>
            <w:tcW w:w="1276" w:type="dxa"/>
            <w:vAlign w:val="center"/>
          </w:tcPr>
          <w:p>
            <w:pPr>
              <w:widowControl/>
              <w:spacing w:line="400" w:lineRule="exact"/>
              <w:jc w:val="center"/>
              <w:rPr>
                <w:bCs/>
                <w:color w:val="000000"/>
                <w:kern w:val="0"/>
                <w:szCs w:val="21"/>
              </w:rPr>
            </w:pPr>
            <w:r>
              <w:rPr>
                <w:bCs/>
                <w:color w:val="000000"/>
                <w:kern w:val="0"/>
                <w:szCs w:val="21"/>
              </w:rPr>
              <w:t>距最近公交站点距离</w:t>
            </w:r>
          </w:p>
        </w:tc>
        <w:tc>
          <w:tcPr>
            <w:tcW w:w="875" w:type="dxa"/>
            <w:vAlign w:val="center"/>
          </w:tcPr>
          <w:p>
            <w:pPr>
              <w:widowControl/>
              <w:spacing w:line="400" w:lineRule="exact"/>
              <w:jc w:val="center"/>
              <w:rPr>
                <w:bCs/>
                <w:color w:val="000000"/>
                <w:kern w:val="0"/>
                <w:szCs w:val="21"/>
              </w:rPr>
            </w:pPr>
            <w:r>
              <w:rPr>
                <w:bCs/>
                <w:color w:val="000000"/>
                <w:kern w:val="0"/>
                <w:szCs w:val="21"/>
              </w:rPr>
              <w:t>0.0795</w:t>
            </w:r>
          </w:p>
        </w:tc>
        <w:tc>
          <w:tcPr>
            <w:tcW w:w="749" w:type="dxa"/>
            <w:vAlign w:val="center"/>
          </w:tcPr>
          <w:p>
            <w:pPr>
              <w:widowControl/>
              <w:spacing w:line="400" w:lineRule="exact"/>
              <w:jc w:val="center"/>
              <w:rPr>
                <w:bCs/>
                <w:color w:val="000000"/>
                <w:kern w:val="0"/>
                <w:szCs w:val="21"/>
              </w:rPr>
            </w:pPr>
            <w:r>
              <w:rPr>
                <w:bCs/>
                <w:color w:val="000000"/>
                <w:kern w:val="0"/>
                <w:szCs w:val="21"/>
              </w:rPr>
              <w:t>1.688</w:t>
            </w:r>
          </w:p>
        </w:tc>
        <w:tc>
          <w:tcPr>
            <w:tcW w:w="708" w:type="dxa"/>
            <w:vAlign w:val="center"/>
          </w:tcPr>
          <w:p>
            <w:pPr>
              <w:widowControl/>
              <w:spacing w:line="400" w:lineRule="exact"/>
              <w:jc w:val="center"/>
              <w:rPr>
                <w:bCs/>
                <w:color w:val="000000"/>
                <w:kern w:val="0"/>
                <w:szCs w:val="21"/>
              </w:rPr>
            </w:pPr>
            <w:r>
              <w:rPr>
                <w:bCs/>
                <w:color w:val="000000"/>
                <w:kern w:val="0"/>
                <w:szCs w:val="21"/>
              </w:rPr>
              <w:t>0.844</w:t>
            </w:r>
          </w:p>
        </w:tc>
        <w:tc>
          <w:tcPr>
            <w:tcW w:w="709" w:type="dxa"/>
            <w:vAlign w:val="center"/>
          </w:tcPr>
          <w:p>
            <w:pPr>
              <w:widowControl/>
              <w:spacing w:line="400" w:lineRule="exact"/>
              <w:jc w:val="center"/>
              <w:rPr>
                <w:bCs/>
                <w:color w:val="000000"/>
                <w:kern w:val="0"/>
                <w:szCs w:val="21"/>
              </w:rPr>
            </w:pPr>
            <w:r>
              <w:rPr>
                <w:bCs/>
                <w:color w:val="000000"/>
                <w:kern w:val="0"/>
                <w:szCs w:val="21"/>
              </w:rPr>
              <w:t>0</w:t>
            </w:r>
          </w:p>
        </w:tc>
        <w:tc>
          <w:tcPr>
            <w:tcW w:w="851" w:type="dxa"/>
            <w:vAlign w:val="center"/>
          </w:tcPr>
          <w:p>
            <w:pPr>
              <w:widowControl/>
              <w:spacing w:line="400" w:lineRule="exact"/>
              <w:jc w:val="center"/>
              <w:rPr>
                <w:bCs/>
                <w:color w:val="000000"/>
                <w:kern w:val="0"/>
                <w:szCs w:val="21"/>
              </w:rPr>
            </w:pPr>
            <w:r>
              <w:rPr>
                <w:bCs/>
                <w:color w:val="000000"/>
                <w:kern w:val="0"/>
                <w:szCs w:val="21"/>
              </w:rPr>
              <w:t>-0.896</w:t>
            </w:r>
          </w:p>
        </w:tc>
        <w:tc>
          <w:tcPr>
            <w:tcW w:w="839" w:type="dxa"/>
            <w:vAlign w:val="center"/>
          </w:tcPr>
          <w:p>
            <w:pPr>
              <w:widowControl/>
              <w:spacing w:line="400" w:lineRule="exact"/>
              <w:jc w:val="center"/>
              <w:rPr>
                <w:bCs/>
                <w:color w:val="000000"/>
                <w:kern w:val="0"/>
                <w:szCs w:val="21"/>
              </w:rPr>
            </w:pPr>
            <w:r>
              <w:rPr>
                <w:bCs/>
                <w:color w:val="000000"/>
                <w:kern w:val="0"/>
                <w:szCs w:val="21"/>
              </w:rPr>
              <w:t>-1.792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1054" w:type="dxa"/>
            <w:vMerge w:val="continue"/>
            <w:vAlign w:val="center"/>
          </w:tcPr>
          <w:p>
            <w:pPr>
              <w:widowControl/>
              <w:spacing w:line="400" w:lineRule="exact"/>
              <w:jc w:val="center"/>
              <w:rPr>
                <w:bCs/>
                <w:color w:val="000000"/>
                <w:kern w:val="0"/>
                <w:szCs w:val="21"/>
              </w:rPr>
            </w:pPr>
          </w:p>
        </w:tc>
        <w:tc>
          <w:tcPr>
            <w:tcW w:w="988" w:type="dxa"/>
            <w:vMerge w:val="continue"/>
            <w:vAlign w:val="center"/>
          </w:tcPr>
          <w:p>
            <w:pPr>
              <w:widowControl/>
              <w:spacing w:line="400" w:lineRule="exact"/>
              <w:jc w:val="center"/>
              <w:rPr>
                <w:bCs/>
                <w:color w:val="000000"/>
                <w:kern w:val="0"/>
                <w:szCs w:val="21"/>
              </w:rPr>
            </w:pPr>
          </w:p>
        </w:tc>
        <w:tc>
          <w:tcPr>
            <w:tcW w:w="1248" w:type="dxa"/>
            <w:vAlign w:val="center"/>
          </w:tcPr>
          <w:p>
            <w:pPr>
              <w:widowControl/>
              <w:spacing w:line="400" w:lineRule="exact"/>
              <w:jc w:val="center"/>
              <w:rPr>
                <w:bCs/>
                <w:color w:val="000000"/>
                <w:kern w:val="0"/>
                <w:szCs w:val="21"/>
              </w:rPr>
            </w:pPr>
            <w:r>
              <w:rPr>
                <w:bCs/>
                <w:color w:val="000000"/>
                <w:kern w:val="0"/>
                <w:szCs w:val="21"/>
              </w:rPr>
              <w:t>对外交通便利度</w:t>
            </w:r>
          </w:p>
        </w:tc>
        <w:tc>
          <w:tcPr>
            <w:tcW w:w="1006" w:type="dxa"/>
            <w:vAlign w:val="center"/>
          </w:tcPr>
          <w:p>
            <w:pPr>
              <w:widowControl/>
              <w:spacing w:line="400" w:lineRule="exact"/>
              <w:jc w:val="center"/>
              <w:rPr>
                <w:bCs/>
                <w:color w:val="000000"/>
                <w:kern w:val="0"/>
                <w:szCs w:val="21"/>
              </w:rPr>
            </w:pPr>
            <w:r>
              <w:rPr>
                <w:bCs/>
                <w:color w:val="000000"/>
                <w:kern w:val="0"/>
                <w:szCs w:val="21"/>
              </w:rPr>
              <w:t>0.0795</w:t>
            </w:r>
          </w:p>
        </w:tc>
        <w:tc>
          <w:tcPr>
            <w:tcW w:w="1276" w:type="dxa"/>
            <w:vAlign w:val="center"/>
          </w:tcPr>
          <w:p>
            <w:pPr>
              <w:widowControl/>
              <w:spacing w:line="400" w:lineRule="exact"/>
              <w:jc w:val="center"/>
              <w:rPr>
                <w:bCs/>
                <w:color w:val="000000"/>
                <w:kern w:val="0"/>
                <w:szCs w:val="21"/>
              </w:rPr>
            </w:pPr>
            <w:r>
              <w:rPr>
                <w:bCs/>
                <w:color w:val="000000"/>
                <w:kern w:val="0"/>
                <w:szCs w:val="21"/>
              </w:rPr>
              <w:t>距最近汽车站距离</w:t>
            </w:r>
          </w:p>
        </w:tc>
        <w:tc>
          <w:tcPr>
            <w:tcW w:w="875" w:type="dxa"/>
            <w:vAlign w:val="center"/>
          </w:tcPr>
          <w:p>
            <w:pPr>
              <w:widowControl/>
              <w:spacing w:line="400" w:lineRule="exact"/>
              <w:jc w:val="center"/>
              <w:rPr>
                <w:bCs/>
                <w:color w:val="000000"/>
                <w:kern w:val="0"/>
                <w:szCs w:val="21"/>
              </w:rPr>
            </w:pPr>
            <w:r>
              <w:rPr>
                <w:bCs/>
                <w:color w:val="000000"/>
                <w:kern w:val="0"/>
                <w:szCs w:val="21"/>
              </w:rPr>
              <w:t>0.0795</w:t>
            </w:r>
          </w:p>
        </w:tc>
        <w:tc>
          <w:tcPr>
            <w:tcW w:w="749" w:type="dxa"/>
            <w:vAlign w:val="center"/>
          </w:tcPr>
          <w:p>
            <w:pPr>
              <w:widowControl/>
              <w:spacing w:line="400" w:lineRule="exact"/>
              <w:jc w:val="center"/>
              <w:rPr>
                <w:bCs/>
                <w:color w:val="000000"/>
                <w:kern w:val="0"/>
                <w:szCs w:val="21"/>
              </w:rPr>
            </w:pPr>
            <w:r>
              <w:rPr>
                <w:bCs/>
                <w:color w:val="000000"/>
                <w:kern w:val="0"/>
                <w:szCs w:val="21"/>
              </w:rPr>
              <w:t>1.688</w:t>
            </w:r>
          </w:p>
        </w:tc>
        <w:tc>
          <w:tcPr>
            <w:tcW w:w="708" w:type="dxa"/>
            <w:vAlign w:val="center"/>
          </w:tcPr>
          <w:p>
            <w:pPr>
              <w:widowControl/>
              <w:spacing w:line="400" w:lineRule="exact"/>
              <w:jc w:val="center"/>
              <w:rPr>
                <w:bCs/>
                <w:color w:val="000000"/>
                <w:kern w:val="0"/>
                <w:szCs w:val="21"/>
              </w:rPr>
            </w:pPr>
            <w:r>
              <w:rPr>
                <w:bCs/>
                <w:color w:val="000000"/>
                <w:kern w:val="0"/>
                <w:szCs w:val="21"/>
              </w:rPr>
              <w:t>0.844</w:t>
            </w:r>
          </w:p>
        </w:tc>
        <w:tc>
          <w:tcPr>
            <w:tcW w:w="709" w:type="dxa"/>
            <w:vAlign w:val="center"/>
          </w:tcPr>
          <w:p>
            <w:pPr>
              <w:widowControl/>
              <w:spacing w:line="400" w:lineRule="exact"/>
              <w:jc w:val="center"/>
              <w:rPr>
                <w:bCs/>
                <w:color w:val="000000"/>
                <w:kern w:val="0"/>
                <w:szCs w:val="21"/>
              </w:rPr>
            </w:pPr>
            <w:r>
              <w:rPr>
                <w:bCs/>
                <w:color w:val="000000"/>
                <w:kern w:val="0"/>
                <w:szCs w:val="21"/>
              </w:rPr>
              <w:t>0</w:t>
            </w:r>
          </w:p>
        </w:tc>
        <w:tc>
          <w:tcPr>
            <w:tcW w:w="851" w:type="dxa"/>
            <w:vAlign w:val="center"/>
          </w:tcPr>
          <w:p>
            <w:pPr>
              <w:widowControl/>
              <w:spacing w:line="400" w:lineRule="exact"/>
              <w:jc w:val="center"/>
              <w:rPr>
                <w:bCs/>
                <w:color w:val="000000"/>
                <w:kern w:val="0"/>
                <w:szCs w:val="21"/>
              </w:rPr>
            </w:pPr>
            <w:r>
              <w:rPr>
                <w:bCs/>
                <w:color w:val="000000"/>
                <w:kern w:val="0"/>
                <w:szCs w:val="21"/>
              </w:rPr>
              <w:t>-0.896</w:t>
            </w:r>
          </w:p>
        </w:tc>
        <w:tc>
          <w:tcPr>
            <w:tcW w:w="839" w:type="dxa"/>
            <w:vAlign w:val="center"/>
          </w:tcPr>
          <w:p>
            <w:pPr>
              <w:widowControl/>
              <w:spacing w:line="400" w:lineRule="exact"/>
              <w:jc w:val="center"/>
              <w:rPr>
                <w:bCs/>
                <w:color w:val="000000"/>
                <w:kern w:val="0"/>
                <w:szCs w:val="21"/>
              </w:rPr>
            </w:pPr>
            <w:r>
              <w:rPr>
                <w:bCs/>
                <w:color w:val="000000"/>
                <w:kern w:val="0"/>
                <w:szCs w:val="21"/>
              </w:rPr>
              <w:t>-1.792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7" w:hRule="atLeast"/>
          <w:jc w:val="center"/>
        </w:trPr>
        <w:tc>
          <w:tcPr>
            <w:tcW w:w="1054" w:type="dxa"/>
            <w:vAlign w:val="center"/>
          </w:tcPr>
          <w:p>
            <w:pPr>
              <w:widowControl/>
              <w:spacing w:line="400" w:lineRule="exact"/>
              <w:jc w:val="center"/>
              <w:rPr>
                <w:bCs/>
                <w:color w:val="000000"/>
                <w:kern w:val="0"/>
                <w:szCs w:val="21"/>
              </w:rPr>
            </w:pPr>
            <w:r>
              <w:rPr>
                <w:bCs/>
                <w:color w:val="000000"/>
                <w:kern w:val="0"/>
                <w:szCs w:val="21"/>
              </w:rPr>
              <w:t>城市规划</w:t>
            </w:r>
          </w:p>
        </w:tc>
        <w:tc>
          <w:tcPr>
            <w:tcW w:w="988" w:type="dxa"/>
            <w:vAlign w:val="center"/>
          </w:tcPr>
          <w:p>
            <w:pPr>
              <w:widowControl/>
              <w:spacing w:line="400" w:lineRule="exact"/>
              <w:jc w:val="center"/>
              <w:rPr>
                <w:bCs/>
                <w:color w:val="000000"/>
                <w:kern w:val="0"/>
                <w:szCs w:val="21"/>
              </w:rPr>
            </w:pPr>
            <w:r>
              <w:rPr>
                <w:bCs/>
                <w:color w:val="000000"/>
                <w:kern w:val="0"/>
                <w:szCs w:val="21"/>
              </w:rPr>
              <w:t>0.1008</w:t>
            </w:r>
          </w:p>
        </w:tc>
        <w:tc>
          <w:tcPr>
            <w:tcW w:w="1248" w:type="dxa"/>
            <w:vAlign w:val="center"/>
          </w:tcPr>
          <w:p>
            <w:pPr>
              <w:widowControl/>
              <w:spacing w:line="400" w:lineRule="exact"/>
              <w:jc w:val="center"/>
              <w:rPr>
                <w:bCs/>
                <w:color w:val="000000"/>
                <w:kern w:val="0"/>
                <w:szCs w:val="21"/>
              </w:rPr>
            </w:pPr>
            <w:r>
              <w:rPr>
                <w:bCs/>
                <w:color w:val="000000"/>
                <w:kern w:val="0"/>
                <w:szCs w:val="21"/>
              </w:rPr>
              <w:t>城市规划</w:t>
            </w:r>
          </w:p>
        </w:tc>
        <w:tc>
          <w:tcPr>
            <w:tcW w:w="1006" w:type="dxa"/>
            <w:vAlign w:val="center"/>
          </w:tcPr>
          <w:p>
            <w:pPr>
              <w:widowControl/>
              <w:spacing w:line="400" w:lineRule="exact"/>
              <w:jc w:val="center"/>
              <w:rPr>
                <w:bCs/>
                <w:color w:val="000000"/>
                <w:kern w:val="0"/>
                <w:szCs w:val="21"/>
              </w:rPr>
            </w:pPr>
            <w:r>
              <w:rPr>
                <w:bCs/>
                <w:color w:val="000000"/>
                <w:kern w:val="0"/>
                <w:szCs w:val="21"/>
              </w:rPr>
              <w:t>0.1008</w:t>
            </w:r>
          </w:p>
        </w:tc>
        <w:tc>
          <w:tcPr>
            <w:tcW w:w="1276" w:type="dxa"/>
            <w:vAlign w:val="center"/>
          </w:tcPr>
          <w:p>
            <w:pPr>
              <w:widowControl/>
              <w:spacing w:line="400" w:lineRule="exact"/>
              <w:jc w:val="center"/>
              <w:rPr>
                <w:bCs/>
                <w:color w:val="000000"/>
                <w:kern w:val="0"/>
                <w:szCs w:val="21"/>
              </w:rPr>
            </w:pPr>
            <w:r>
              <w:rPr>
                <w:bCs/>
                <w:color w:val="000000"/>
                <w:kern w:val="0"/>
                <w:szCs w:val="21"/>
              </w:rPr>
              <w:t>公共设施用地规划</w:t>
            </w:r>
          </w:p>
        </w:tc>
        <w:tc>
          <w:tcPr>
            <w:tcW w:w="875" w:type="dxa"/>
            <w:vAlign w:val="center"/>
          </w:tcPr>
          <w:p>
            <w:pPr>
              <w:widowControl/>
              <w:spacing w:line="400" w:lineRule="exact"/>
              <w:jc w:val="center"/>
              <w:rPr>
                <w:bCs/>
                <w:color w:val="000000"/>
                <w:kern w:val="0"/>
                <w:szCs w:val="21"/>
              </w:rPr>
            </w:pPr>
            <w:r>
              <w:rPr>
                <w:bCs/>
                <w:color w:val="000000"/>
                <w:kern w:val="0"/>
                <w:szCs w:val="21"/>
              </w:rPr>
              <w:t>0.1008</w:t>
            </w:r>
          </w:p>
        </w:tc>
        <w:tc>
          <w:tcPr>
            <w:tcW w:w="749" w:type="dxa"/>
            <w:vAlign w:val="center"/>
          </w:tcPr>
          <w:p>
            <w:pPr>
              <w:widowControl/>
              <w:spacing w:line="400" w:lineRule="exact"/>
              <w:jc w:val="center"/>
              <w:rPr>
                <w:bCs/>
                <w:color w:val="000000"/>
                <w:kern w:val="0"/>
                <w:szCs w:val="21"/>
              </w:rPr>
            </w:pPr>
            <w:r>
              <w:rPr>
                <w:bCs/>
                <w:color w:val="000000"/>
                <w:kern w:val="0"/>
                <w:szCs w:val="21"/>
              </w:rPr>
              <w:t>2.140</w:t>
            </w:r>
          </w:p>
        </w:tc>
        <w:tc>
          <w:tcPr>
            <w:tcW w:w="708" w:type="dxa"/>
            <w:vAlign w:val="center"/>
          </w:tcPr>
          <w:p>
            <w:pPr>
              <w:widowControl/>
              <w:spacing w:line="400" w:lineRule="exact"/>
              <w:jc w:val="center"/>
              <w:rPr>
                <w:bCs/>
                <w:color w:val="000000"/>
                <w:kern w:val="0"/>
                <w:szCs w:val="21"/>
              </w:rPr>
            </w:pPr>
            <w:r>
              <w:rPr>
                <w:bCs/>
                <w:color w:val="000000"/>
                <w:kern w:val="0"/>
                <w:szCs w:val="21"/>
              </w:rPr>
              <w:t>1.070</w:t>
            </w:r>
          </w:p>
        </w:tc>
        <w:tc>
          <w:tcPr>
            <w:tcW w:w="709" w:type="dxa"/>
            <w:vAlign w:val="center"/>
          </w:tcPr>
          <w:p>
            <w:pPr>
              <w:widowControl/>
              <w:spacing w:line="400" w:lineRule="exact"/>
              <w:jc w:val="center"/>
              <w:rPr>
                <w:bCs/>
                <w:color w:val="000000"/>
                <w:kern w:val="0"/>
                <w:szCs w:val="21"/>
              </w:rPr>
            </w:pPr>
            <w:r>
              <w:rPr>
                <w:bCs/>
                <w:color w:val="000000"/>
                <w:kern w:val="0"/>
                <w:szCs w:val="21"/>
              </w:rPr>
              <w:t>0</w:t>
            </w:r>
          </w:p>
        </w:tc>
        <w:tc>
          <w:tcPr>
            <w:tcW w:w="851" w:type="dxa"/>
            <w:vAlign w:val="center"/>
          </w:tcPr>
          <w:p>
            <w:pPr>
              <w:widowControl/>
              <w:spacing w:line="400" w:lineRule="exact"/>
              <w:jc w:val="center"/>
              <w:rPr>
                <w:bCs/>
                <w:color w:val="000000"/>
                <w:kern w:val="0"/>
                <w:szCs w:val="21"/>
              </w:rPr>
            </w:pPr>
            <w:r>
              <w:rPr>
                <w:bCs/>
                <w:color w:val="000000"/>
                <w:kern w:val="0"/>
                <w:szCs w:val="21"/>
              </w:rPr>
              <w:t>-1.136</w:t>
            </w:r>
          </w:p>
        </w:tc>
        <w:tc>
          <w:tcPr>
            <w:tcW w:w="839" w:type="dxa"/>
            <w:vAlign w:val="center"/>
          </w:tcPr>
          <w:p>
            <w:pPr>
              <w:widowControl/>
              <w:spacing w:line="400" w:lineRule="exact"/>
              <w:jc w:val="center"/>
              <w:rPr>
                <w:bCs/>
                <w:color w:val="000000"/>
                <w:kern w:val="0"/>
                <w:szCs w:val="21"/>
              </w:rPr>
            </w:pPr>
            <w:r>
              <w:rPr>
                <w:bCs/>
                <w:color w:val="000000"/>
                <w:kern w:val="0"/>
                <w:szCs w:val="21"/>
              </w:rPr>
              <w:t>-2.272</w:t>
            </w:r>
          </w:p>
        </w:tc>
      </w:tr>
    </w:tbl>
    <w:p>
      <w:pPr>
        <w:pStyle w:val="131"/>
        <w:spacing w:beforeLines="50" w:afterLines="50"/>
        <w:ind w:firstLine="0" w:firstLineChars="0"/>
        <w:rPr>
          <w:rFonts w:ascii="Times New Roman" w:hAnsi="Times New Roman"/>
          <w:spacing w:val="-20"/>
          <w:sz w:val="24"/>
        </w:rPr>
      </w:pPr>
      <w:r>
        <w:rPr>
          <w:rFonts w:ascii="Times New Roman" w:hAnsi="Times New Roman"/>
          <w:sz w:val="24"/>
        </w:rPr>
        <w:br w:type="page"/>
      </w:r>
      <w:r>
        <w:rPr>
          <w:rFonts w:ascii="Times New Roman" w:hAnsi="Times New Roman"/>
          <w:sz w:val="24"/>
        </w:rPr>
        <w:t>表4-6-</w:t>
      </w:r>
      <w:r>
        <w:rPr>
          <w:rFonts w:hint="eastAsia" w:ascii="Times New Roman" w:hAnsi="Times New Roman"/>
          <w:sz w:val="24"/>
        </w:rPr>
        <w:t>8</w:t>
      </w:r>
      <w:r>
        <w:rPr>
          <w:rFonts w:ascii="Times New Roman" w:hAnsi="Times New Roman"/>
          <w:sz w:val="24"/>
        </w:rPr>
        <w:t xml:space="preserve">  Ⅴ级公共管理与公共服务一类用地宗地地价区域因素修正系数指标说明表</w:t>
      </w:r>
    </w:p>
    <w:tbl>
      <w:tblPr>
        <w:tblW w:w="9192" w:type="dxa"/>
        <w:jc w:val="center"/>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275"/>
        <w:gridCol w:w="1537"/>
        <w:gridCol w:w="857"/>
        <w:gridCol w:w="1231"/>
        <w:gridCol w:w="1126"/>
        <w:gridCol w:w="1126"/>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993" w:type="dxa"/>
            <w:vAlign w:val="center"/>
          </w:tcPr>
          <w:p>
            <w:pPr>
              <w:spacing w:line="400" w:lineRule="exact"/>
              <w:jc w:val="center"/>
              <w:rPr>
                <w:b/>
                <w:bCs/>
                <w:szCs w:val="21"/>
              </w:rPr>
            </w:pPr>
            <w:r>
              <w:rPr>
                <w:b/>
                <w:bCs/>
                <w:szCs w:val="21"/>
              </w:rPr>
              <w:t>因素层</w:t>
            </w:r>
          </w:p>
        </w:tc>
        <w:tc>
          <w:tcPr>
            <w:tcW w:w="1275" w:type="dxa"/>
            <w:vAlign w:val="center"/>
          </w:tcPr>
          <w:p>
            <w:pPr>
              <w:spacing w:line="400" w:lineRule="exact"/>
              <w:jc w:val="center"/>
              <w:rPr>
                <w:b/>
                <w:bCs/>
                <w:szCs w:val="21"/>
              </w:rPr>
            </w:pPr>
            <w:r>
              <w:rPr>
                <w:b/>
                <w:bCs/>
                <w:szCs w:val="21"/>
              </w:rPr>
              <w:t>因子层</w:t>
            </w:r>
          </w:p>
        </w:tc>
        <w:tc>
          <w:tcPr>
            <w:tcW w:w="1537" w:type="dxa"/>
            <w:vAlign w:val="center"/>
          </w:tcPr>
          <w:p>
            <w:pPr>
              <w:spacing w:line="400" w:lineRule="exact"/>
              <w:jc w:val="center"/>
              <w:rPr>
                <w:b/>
                <w:bCs/>
                <w:szCs w:val="21"/>
              </w:rPr>
            </w:pPr>
            <w:r>
              <w:rPr>
                <w:b/>
                <w:bCs/>
                <w:szCs w:val="21"/>
              </w:rPr>
              <w:t>指标层</w:t>
            </w:r>
          </w:p>
        </w:tc>
        <w:tc>
          <w:tcPr>
            <w:tcW w:w="857" w:type="dxa"/>
            <w:vAlign w:val="center"/>
          </w:tcPr>
          <w:p>
            <w:pPr>
              <w:spacing w:line="400" w:lineRule="exact"/>
              <w:jc w:val="center"/>
              <w:rPr>
                <w:b/>
                <w:bCs/>
                <w:szCs w:val="21"/>
              </w:rPr>
            </w:pPr>
            <w:r>
              <w:rPr>
                <w:b/>
                <w:bCs/>
                <w:szCs w:val="21"/>
              </w:rPr>
              <w:t>优</w:t>
            </w:r>
          </w:p>
        </w:tc>
        <w:tc>
          <w:tcPr>
            <w:tcW w:w="1231" w:type="dxa"/>
            <w:vAlign w:val="center"/>
          </w:tcPr>
          <w:p>
            <w:pPr>
              <w:spacing w:line="400" w:lineRule="exact"/>
              <w:jc w:val="center"/>
              <w:rPr>
                <w:b/>
                <w:bCs/>
                <w:szCs w:val="21"/>
              </w:rPr>
            </w:pPr>
            <w:r>
              <w:rPr>
                <w:b/>
                <w:bCs/>
                <w:szCs w:val="21"/>
              </w:rPr>
              <w:t>较优</w:t>
            </w:r>
          </w:p>
        </w:tc>
        <w:tc>
          <w:tcPr>
            <w:tcW w:w="1126" w:type="dxa"/>
            <w:vAlign w:val="center"/>
          </w:tcPr>
          <w:p>
            <w:pPr>
              <w:spacing w:line="400" w:lineRule="exact"/>
              <w:jc w:val="center"/>
              <w:rPr>
                <w:b/>
                <w:bCs/>
                <w:szCs w:val="21"/>
              </w:rPr>
            </w:pPr>
            <w:r>
              <w:rPr>
                <w:b/>
                <w:bCs/>
                <w:szCs w:val="21"/>
              </w:rPr>
              <w:t>一般</w:t>
            </w:r>
          </w:p>
        </w:tc>
        <w:tc>
          <w:tcPr>
            <w:tcW w:w="1126" w:type="dxa"/>
            <w:vAlign w:val="center"/>
          </w:tcPr>
          <w:p>
            <w:pPr>
              <w:spacing w:line="400" w:lineRule="exact"/>
              <w:jc w:val="center"/>
              <w:rPr>
                <w:b/>
                <w:bCs/>
                <w:szCs w:val="21"/>
              </w:rPr>
            </w:pPr>
            <w:r>
              <w:rPr>
                <w:b/>
                <w:bCs/>
                <w:szCs w:val="21"/>
              </w:rPr>
              <w:t>较劣</w:t>
            </w:r>
          </w:p>
        </w:tc>
        <w:tc>
          <w:tcPr>
            <w:tcW w:w="1047"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restart"/>
            <w:vAlign w:val="center"/>
          </w:tcPr>
          <w:p>
            <w:pPr>
              <w:widowControl/>
              <w:spacing w:line="400" w:lineRule="exact"/>
              <w:jc w:val="center"/>
              <w:rPr>
                <w:bCs/>
                <w:color w:val="000000"/>
                <w:kern w:val="0"/>
                <w:szCs w:val="21"/>
              </w:rPr>
            </w:pPr>
            <w:r>
              <w:rPr>
                <w:bCs/>
                <w:color w:val="000000"/>
                <w:kern w:val="0"/>
                <w:szCs w:val="21"/>
              </w:rPr>
              <w:t>基本设施状况</w:t>
            </w:r>
          </w:p>
        </w:tc>
        <w:tc>
          <w:tcPr>
            <w:tcW w:w="1275" w:type="dxa"/>
            <w:vMerge w:val="restart"/>
            <w:vAlign w:val="center"/>
          </w:tcPr>
          <w:p>
            <w:pPr>
              <w:widowControl/>
              <w:spacing w:line="400" w:lineRule="exact"/>
              <w:jc w:val="center"/>
              <w:rPr>
                <w:bCs/>
                <w:color w:val="000000"/>
                <w:kern w:val="0"/>
                <w:szCs w:val="21"/>
              </w:rPr>
            </w:pPr>
            <w:r>
              <w:rPr>
                <w:bCs/>
                <w:color w:val="000000"/>
                <w:kern w:val="0"/>
                <w:szCs w:val="21"/>
              </w:rPr>
              <w:t>公用设施完备度</w:t>
            </w:r>
          </w:p>
        </w:tc>
        <w:tc>
          <w:tcPr>
            <w:tcW w:w="1537" w:type="dxa"/>
            <w:vAlign w:val="center"/>
          </w:tcPr>
          <w:p>
            <w:pPr>
              <w:widowControl/>
              <w:spacing w:line="400" w:lineRule="exact"/>
              <w:jc w:val="center"/>
              <w:rPr>
                <w:bCs/>
                <w:color w:val="000000"/>
                <w:kern w:val="0"/>
                <w:szCs w:val="21"/>
              </w:rPr>
            </w:pPr>
            <w:r>
              <w:rPr>
                <w:bCs/>
                <w:color w:val="000000"/>
                <w:kern w:val="0"/>
                <w:szCs w:val="21"/>
              </w:rPr>
              <w:t>距中小学距离</w:t>
            </w:r>
          </w:p>
        </w:tc>
        <w:tc>
          <w:tcPr>
            <w:tcW w:w="857" w:type="dxa"/>
            <w:vAlign w:val="center"/>
          </w:tcPr>
          <w:p>
            <w:pPr>
              <w:widowControl/>
              <w:spacing w:line="400" w:lineRule="exact"/>
              <w:jc w:val="center"/>
              <w:rPr>
                <w:bCs/>
                <w:color w:val="000000"/>
                <w:kern w:val="0"/>
                <w:szCs w:val="21"/>
              </w:rPr>
            </w:pPr>
            <w:r>
              <w:rPr>
                <w:bCs/>
                <w:color w:val="000000"/>
                <w:kern w:val="0"/>
                <w:szCs w:val="21"/>
              </w:rPr>
              <w:t>&lt;</w:t>
            </w:r>
            <w:r>
              <w:rPr>
                <w:rFonts w:hint="eastAsia"/>
                <w:bCs/>
                <w:color w:val="000000"/>
                <w:kern w:val="0"/>
                <w:szCs w:val="21"/>
              </w:rPr>
              <w:t>800</w:t>
            </w:r>
          </w:p>
        </w:tc>
        <w:tc>
          <w:tcPr>
            <w:tcW w:w="1231" w:type="dxa"/>
            <w:vAlign w:val="center"/>
          </w:tcPr>
          <w:p>
            <w:pPr>
              <w:widowControl/>
              <w:spacing w:line="400" w:lineRule="exact"/>
              <w:jc w:val="center"/>
              <w:rPr>
                <w:bCs/>
                <w:color w:val="000000"/>
                <w:kern w:val="0"/>
                <w:szCs w:val="21"/>
              </w:rPr>
            </w:pPr>
            <w:r>
              <w:rPr>
                <w:rFonts w:hint="eastAsia"/>
                <w:bCs/>
                <w:color w:val="000000"/>
                <w:kern w:val="0"/>
                <w:szCs w:val="21"/>
              </w:rPr>
              <w:t>800</w:t>
            </w:r>
            <w:r>
              <w:rPr>
                <w:bCs/>
                <w:color w:val="000000"/>
                <w:kern w:val="0"/>
                <w:szCs w:val="21"/>
              </w:rPr>
              <w:t>-</w:t>
            </w:r>
            <w:r>
              <w:rPr>
                <w:rFonts w:hint="eastAsia"/>
                <w:bCs/>
                <w:color w:val="000000"/>
                <w:kern w:val="0"/>
                <w:szCs w:val="21"/>
              </w:rPr>
              <w:t>1000</w:t>
            </w:r>
          </w:p>
        </w:tc>
        <w:tc>
          <w:tcPr>
            <w:tcW w:w="1126" w:type="dxa"/>
            <w:vAlign w:val="center"/>
          </w:tcPr>
          <w:p>
            <w:pPr>
              <w:widowControl/>
              <w:spacing w:line="400" w:lineRule="exact"/>
              <w:jc w:val="center"/>
              <w:rPr>
                <w:bCs/>
                <w:color w:val="000000"/>
                <w:kern w:val="0"/>
                <w:szCs w:val="21"/>
              </w:rPr>
            </w:pPr>
            <w:r>
              <w:rPr>
                <w:rFonts w:hint="eastAsia"/>
                <w:bCs/>
                <w:color w:val="000000"/>
                <w:kern w:val="0"/>
                <w:szCs w:val="21"/>
              </w:rPr>
              <w:t>1000</w:t>
            </w:r>
            <w:r>
              <w:rPr>
                <w:bCs/>
                <w:color w:val="000000"/>
                <w:kern w:val="0"/>
                <w:szCs w:val="21"/>
              </w:rPr>
              <w:t>-</w:t>
            </w:r>
            <w:r>
              <w:rPr>
                <w:rFonts w:hint="eastAsia"/>
                <w:bCs/>
                <w:color w:val="000000"/>
                <w:kern w:val="0"/>
                <w:szCs w:val="21"/>
              </w:rPr>
              <w:t>1200</w:t>
            </w:r>
          </w:p>
        </w:tc>
        <w:tc>
          <w:tcPr>
            <w:tcW w:w="1126" w:type="dxa"/>
            <w:vAlign w:val="center"/>
          </w:tcPr>
          <w:p>
            <w:pPr>
              <w:widowControl/>
              <w:spacing w:line="400" w:lineRule="exact"/>
              <w:jc w:val="center"/>
              <w:rPr>
                <w:bCs/>
                <w:color w:val="000000"/>
                <w:kern w:val="0"/>
                <w:szCs w:val="21"/>
              </w:rPr>
            </w:pPr>
            <w:r>
              <w:rPr>
                <w:rFonts w:hint="eastAsia"/>
                <w:bCs/>
                <w:color w:val="000000"/>
                <w:kern w:val="0"/>
                <w:szCs w:val="21"/>
              </w:rPr>
              <w:t>1200</w:t>
            </w:r>
            <w:r>
              <w:rPr>
                <w:bCs/>
                <w:color w:val="000000"/>
                <w:kern w:val="0"/>
                <w:szCs w:val="21"/>
              </w:rPr>
              <w:t>-</w:t>
            </w:r>
            <w:r>
              <w:rPr>
                <w:rFonts w:hint="eastAsia"/>
                <w:bCs/>
                <w:color w:val="000000"/>
                <w:kern w:val="0"/>
                <w:szCs w:val="21"/>
              </w:rPr>
              <w:t>1500</w:t>
            </w:r>
          </w:p>
        </w:tc>
        <w:tc>
          <w:tcPr>
            <w:tcW w:w="1047" w:type="dxa"/>
            <w:vAlign w:val="center"/>
          </w:tcPr>
          <w:p>
            <w:pPr>
              <w:widowControl/>
              <w:spacing w:line="400" w:lineRule="exact"/>
              <w:jc w:val="center"/>
              <w:rPr>
                <w:bCs/>
                <w:color w:val="000000"/>
                <w:kern w:val="0"/>
                <w:szCs w:val="21"/>
              </w:rPr>
            </w:pPr>
            <w:r>
              <w:rPr>
                <w:bCs/>
                <w:color w:val="000000"/>
                <w:kern w:val="0"/>
                <w:szCs w:val="21"/>
              </w:rPr>
              <w:t>&gt;</w:t>
            </w:r>
            <w:r>
              <w:rPr>
                <w:rFonts w:hint="eastAsia"/>
                <w:bCs/>
                <w:color w:val="000000"/>
                <w:kern w:val="0"/>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continue"/>
            <w:vAlign w:val="center"/>
          </w:tcPr>
          <w:p>
            <w:pPr>
              <w:widowControl/>
              <w:spacing w:line="400" w:lineRule="exact"/>
              <w:jc w:val="center"/>
              <w:rPr>
                <w:bCs/>
                <w:color w:val="000000"/>
                <w:kern w:val="0"/>
                <w:szCs w:val="21"/>
              </w:rPr>
            </w:pPr>
          </w:p>
        </w:tc>
        <w:tc>
          <w:tcPr>
            <w:tcW w:w="1275" w:type="dxa"/>
            <w:vMerge w:val="continue"/>
            <w:vAlign w:val="center"/>
          </w:tcPr>
          <w:p>
            <w:pPr>
              <w:widowControl/>
              <w:spacing w:line="400" w:lineRule="exact"/>
              <w:jc w:val="center"/>
              <w:rPr>
                <w:bCs/>
                <w:color w:val="000000"/>
                <w:kern w:val="0"/>
                <w:szCs w:val="21"/>
              </w:rPr>
            </w:pPr>
          </w:p>
        </w:tc>
        <w:tc>
          <w:tcPr>
            <w:tcW w:w="1537" w:type="dxa"/>
            <w:vAlign w:val="center"/>
          </w:tcPr>
          <w:p>
            <w:pPr>
              <w:widowControl/>
              <w:spacing w:line="400" w:lineRule="exact"/>
              <w:jc w:val="center"/>
              <w:rPr>
                <w:bCs/>
                <w:color w:val="000000"/>
                <w:kern w:val="0"/>
                <w:szCs w:val="21"/>
              </w:rPr>
            </w:pPr>
            <w:r>
              <w:rPr>
                <w:bCs/>
                <w:color w:val="000000"/>
                <w:kern w:val="0"/>
                <w:szCs w:val="21"/>
              </w:rPr>
              <w:t>距医院距离</w:t>
            </w:r>
          </w:p>
        </w:tc>
        <w:tc>
          <w:tcPr>
            <w:tcW w:w="857" w:type="dxa"/>
            <w:vAlign w:val="center"/>
          </w:tcPr>
          <w:p>
            <w:pPr>
              <w:widowControl/>
              <w:spacing w:line="400" w:lineRule="exact"/>
              <w:jc w:val="center"/>
              <w:rPr>
                <w:bCs/>
                <w:color w:val="000000"/>
                <w:kern w:val="0"/>
                <w:szCs w:val="21"/>
              </w:rPr>
            </w:pPr>
            <w:r>
              <w:rPr>
                <w:bCs/>
                <w:color w:val="000000"/>
                <w:kern w:val="0"/>
                <w:szCs w:val="21"/>
              </w:rPr>
              <w:t>&lt;</w:t>
            </w:r>
            <w:r>
              <w:rPr>
                <w:rFonts w:hint="eastAsia"/>
                <w:bCs/>
                <w:color w:val="000000"/>
                <w:kern w:val="0"/>
                <w:szCs w:val="21"/>
              </w:rPr>
              <w:t>100</w:t>
            </w:r>
            <w:r>
              <w:rPr>
                <w:bCs/>
                <w:color w:val="000000"/>
                <w:kern w:val="0"/>
                <w:szCs w:val="21"/>
              </w:rPr>
              <w:t>0</w:t>
            </w:r>
          </w:p>
        </w:tc>
        <w:tc>
          <w:tcPr>
            <w:tcW w:w="1231" w:type="dxa"/>
            <w:vAlign w:val="center"/>
          </w:tcPr>
          <w:p>
            <w:pPr>
              <w:widowControl/>
              <w:spacing w:line="400" w:lineRule="exact"/>
              <w:jc w:val="center"/>
              <w:rPr>
                <w:bCs/>
                <w:color w:val="000000"/>
                <w:kern w:val="0"/>
                <w:szCs w:val="21"/>
              </w:rPr>
            </w:pPr>
            <w:r>
              <w:rPr>
                <w:rFonts w:hint="eastAsia"/>
                <w:bCs/>
                <w:color w:val="000000"/>
                <w:kern w:val="0"/>
                <w:szCs w:val="21"/>
              </w:rPr>
              <w:t>1000</w:t>
            </w:r>
            <w:r>
              <w:rPr>
                <w:bCs/>
                <w:color w:val="000000"/>
                <w:kern w:val="0"/>
                <w:szCs w:val="21"/>
              </w:rPr>
              <w:t>-1</w:t>
            </w:r>
            <w:r>
              <w:rPr>
                <w:rFonts w:hint="eastAsia"/>
                <w:bCs/>
                <w:color w:val="000000"/>
                <w:kern w:val="0"/>
                <w:szCs w:val="21"/>
              </w:rPr>
              <w:t>20</w:t>
            </w:r>
            <w:r>
              <w:rPr>
                <w:bCs/>
                <w:color w:val="000000"/>
                <w:kern w:val="0"/>
                <w:szCs w:val="21"/>
              </w:rPr>
              <w:t>0</w:t>
            </w:r>
          </w:p>
        </w:tc>
        <w:tc>
          <w:tcPr>
            <w:tcW w:w="1126" w:type="dxa"/>
            <w:vAlign w:val="center"/>
          </w:tcPr>
          <w:p>
            <w:pPr>
              <w:widowControl/>
              <w:spacing w:line="400" w:lineRule="exact"/>
              <w:jc w:val="center"/>
              <w:rPr>
                <w:bCs/>
                <w:color w:val="000000"/>
                <w:kern w:val="0"/>
                <w:szCs w:val="21"/>
              </w:rPr>
            </w:pPr>
            <w:r>
              <w:rPr>
                <w:bCs/>
                <w:color w:val="000000"/>
                <w:kern w:val="0"/>
                <w:szCs w:val="21"/>
              </w:rPr>
              <w:t>1</w:t>
            </w:r>
            <w:r>
              <w:rPr>
                <w:rFonts w:hint="eastAsia"/>
                <w:bCs/>
                <w:color w:val="000000"/>
                <w:kern w:val="0"/>
                <w:szCs w:val="21"/>
              </w:rPr>
              <w:t>2</w:t>
            </w:r>
            <w:r>
              <w:rPr>
                <w:bCs/>
                <w:color w:val="000000"/>
                <w:kern w:val="0"/>
                <w:szCs w:val="21"/>
              </w:rPr>
              <w:t>00-1</w:t>
            </w:r>
            <w:r>
              <w:rPr>
                <w:rFonts w:hint="eastAsia"/>
                <w:bCs/>
                <w:color w:val="000000"/>
                <w:kern w:val="0"/>
                <w:szCs w:val="21"/>
              </w:rPr>
              <w:t>500</w:t>
            </w:r>
          </w:p>
        </w:tc>
        <w:tc>
          <w:tcPr>
            <w:tcW w:w="1126" w:type="dxa"/>
            <w:vAlign w:val="center"/>
          </w:tcPr>
          <w:p>
            <w:pPr>
              <w:widowControl/>
              <w:spacing w:line="400" w:lineRule="exact"/>
              <w:jc w:val="center"/>
              <w:rPr>
                <w:bCs/>
                <w:color w:val="000000"/>
                <w:kern w:val="0"/>
                <w:szCs w:val="21"/>
              </w:rPr>
            </w:pPr>
            <w:r>
              <w:rPr>
                <w:bCs/>
                <w:color w:val="000000"/>
                <w:kern w:val="0"/>
                <w:szCs w:val="21"/>
              </w:rPr>
              <w:t>1</w:t>
            </w:r>
            <w:r>
              <w:rPr>
                <w:rFonts w:hint="eastAsia"/>
                <w:bCs/>
                <w:color w:val="000000"/>
                <w:kern w:val="0"/>
                <w:szCs w:val="21"/>
              </w:rPr>
              <w:t>500</w:t>
            </w:r>
            <w:r>
              <w:rPr>
                <w:bCs/>
                <w:color w:val="000000"/>
                <w:kern w:val="0"/>
                <w:szCs w:val="21"/>
              </w:rPr>
              <w:t>-1</w:t>
            </w:r>
            <w:r>
              <w:rPr>
                <w:rFonts w:hint="eastAsia"/>
                <w:bCs/>
                <w:color w:val="000000"/>
                <w:kern w:val="0"/>
                <w:szCs w:val="21"/>
              </w:rPr>
              <w:t>800</w:t>
            </w:r>
          </w:p>
        </w:tc>
        <w:tc>
          <w:tcPr>
            <w:tcW w:w="1047" w:type="dxa"/>
            <w:vAlign w:val="center"/>
          </w:tcPr>
          <w:p>
            <w:pPr>
              <w:widowControl/>
              <w:spacing w:line="400" w:lineRule="exact"/>
              <w:jc w:val="center"/>
              <w:rPr>
                <w:bCs/>
                <w:color w:val="000000"/>
                <w:kern w:val="0"/>
                <w:szCs w:val="21"/>
              </w:rPr>
            </w:pPr>
            <w:r>
              <w:rPr>
                <w:bCs/>
                <w:color w:val="000000"/>
                <w:kern w:val="0"/>
                <w:szCs w:val="21"/>
              </w:rPr>
              <w:t>&gt;1</w:t>
            </w:r>
            <w:r>
              <w:rPr>
                <w:rFonts w:hint="eastAsia"/>
                <w:bCs/>
                <w:color w:val="000000"/>
                <w:kern w:val="0"/>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continue"/>
            <w:vAlign w:val="center"/>
          </w:tcPr>
          <w:p>
            <w:pPr>
              <w:widowControl/>
              <w:spacing w:line="400" w:lineRule="exact"/>
              <w:jc w:val="center"/>
              <w:rPr>
                <w:bCs/>
                <w:color w:val="000000"/>
                <w:kern w:val="0"/>
                <w:szCs w:val="21"/>
              </w:rPr>
            </w:pPr>
          </w:p>
        </w:tc>
        <w:tc>
          <w:tcPr>
            <w:tcW w:w="1275" w:type="dxa"/>
            <w:vMerge w:val="continue"/>
            <w:vAlign w:val="center"/>
          </w:tcPr>
          <w:p>
            <w:pPr>
              <w:widowControl/>
              <w:spacing w:line="400" w:lineRule="exact"/>
              <w:jc w:val="center"/>
              <w:rPr>
                <w:bCs/>
                <w:color w:val="000000"/>
                <w:kern w:val="0"/>
                <w:szCs w:val="21"/>
              </w:rPr>
            </w:pPr>
          </w:p>
        </w:tc>
        <w:tc>
          <w:tcPr>
            <w:tcW w:w="1537" w:type="dxa"/>
            <w:vAlign w:val="center"/>
          </w:tcPr>
          <w:p>
            <w:pPr>
              <w:widowControl/>
              <w:spacing w:line="400" w:lineRule="exact"/>
              <w:jc w:val="center"/>
              <w:rPr>
                <w:bCs/>
                <w:color w:val="000000"/>
                <w:kern w:val="0"/>
                <w:szCs w:val="21"/>
              </w:rPr>
            </w:pPr>
            <w:r>
              <w:rPr>
                <w:bCs/>
                <w:color w:val="000000"/>
                <w:kern w:val="0"/>
                <w:szCs w:val="21"/>
              </w:rPr>
              <w:t>距文体设施用地距离</w:t>
            </w:r>
          </w:p>
        </w:tc>
        <w:tc>
          <w:tcPr>
            <w:tcW w:w="857" w:type="dxa"/>
            <w:vAlign w:val="center"/>
          </w:tcPr>
          <w:p>
            <w:pPr>
              <w:widowControl/>
              <w:spacing w:line="400" w:lineRule="exact"/>
              <w:jc w:val="center"/>
              <w:rPr>
                <w:bCs/>
                <w:color w:val="000000"/>
                <w:kern w:val="0"/>
                <w:szCs w:val="21"/>
              </w:rPr>
            </w:pPr>
            <w:r>
              <w:rPr>
                <w:bCs/>
                <w:color w:val="000000"/>
                <w:kern w:val="0"/>
                <w:szCs w:val="21"/>
              </w:rPr>
              <w:t>&lt;</w:t>
            </w:r>
            <w:r>
              <w:rPr>
                <w:rFonts w:hint="eastAsia"/>
                <w:bCs/>
                <w:color w:val="000000"/>
                <w:kern w:val="0"/>
                <w:szCs w:val="21"/>
              </w:rPr>
              <w:t>1000</w:t>
            </w:r>
          </w:p>
        </w:tc>
        <w:tc>
          <w:tcPr>
            <w:tcW w:w="1231" w:type="dxa"/>
            <w:vAlign w:val="center"/>
          </w:tcPr>
          <w:p>
            <w:pPr>
              <w:widowControl/>
              <w:spacing w:line="400" w:lineRule="exact"/>
              <w:jc w:val="center"/>
              <w:rPr>
                <w:bCs/>
                <w:color w:val="000000"/>
                <w:kern w:val="0"/>
                <w:szCs w:val="21"/>
              </w:rPr>
            </w:pPr>
            <w:r>
              <w:rPr>
                <w:rFonts w:hint="eastAsia"/>
                <w:bCs/>
                <w:color w:val="000000"/>
                <w:kern w:val="0"/>
                <w:szCs w:val="21"/>
              </w:rPr>
              <w:t>1000</w:t>
            </w:r>
            <w:r>
              <w:rPr>
                <w:bCs/>
                <w:color w:val="000000"/>
                <w:kern w:val="0"/>
                <w:szCs w:val="21"/>
              </w:rPr>
              <w:t>-</w:t>
            </w:r>
            <w:r>
              <w:rPr>
                <w:rFonts w:hint="eastAsia"/>
                <w:bCs/>
                <w:color w:val="000000"/>
                <w:kern w:val="0"/>
                <w:szCs w:val="21"/>
              </w:rPr>
              <w:t>1500</w:t>
            </w:r>
          </w:p>
        </w:tc>
        <w:tc>
          <w:tcPr>
            <w:tcW w:w="1126" w:type="dxa"/>
            <w:vAlign w:val="center"/>
          </w:tcPr>
          <w:p>
            <w:pPr>
              <w:widowControl/>
              <w:spacing w:line="400" w:lineRule="exact"/>
              <w:jc w:val="center"/>
              <w:rPr>
                <w:bCs/>
                <w:color w:val="000000"/>
                <w:kern w:val="0"/>
                <w:szCs w:val="21"/>
              </w:rPr>
            </w:pPr>
            <w:r>
              <w:rPr>
                <w:rFonts w:hint="eastAsia"/>
                <w:bCs/>
                <w:color w:val="000000"/>
                <w:kern w:val="0"/>
                <w:szCs w:val="21"/>
              </w:rPr>
              <w:t>1500</w:t>
            </w:r>
            <w:r>
              <w:rPr>
                <w:bCs/>
                <w:color w:val="000000"/>
                <w:kern w:val="0"/>
                <w:szCs w:val="21"/>
              </w:rPr>
              <w:t>-</w:t>
            </w:r>
            <w:r>
              <w:rPr>
                <w:rFonts w:hint="eastAsia"/>
                <w:bCs/>
                <w:color w:val="000000"/>
                <w:kern w:val="0"/>
                <w:szCs w:val="21"/>
              </w:rPr>
              <w:t>2000</w:t>
            </w:r>
          </w:p>
        </w:tc>
        <w:tc>
          <w:tcPr>
            <w:tcW w:w="1126" w:type="dxa"/>
            <w:vAlign w:val="center"/>
          </w:tcPr>
          <w:p>
            <w:pPr>
              <w:widowControl/>
              <w:spacing w:line="400" w:lineRule="exact"/>
              <w:jc w:val="center"/>
              <w:rPr>
                <w:bCs/>
                <w:color w:val="000000"/>
                <w:kern w:val="0"/>
                <w:szCs w:val="21"/>
              </w:rPr>
            </w:pPr>
            <w:r>
              <w:rPr>
                <w:rFonts w:hint="eastAsia"/>
                <w:bCs/>
                <w:color w:val="000000"/>
                <w:kern w:val="0"/>
                <w:szCs w:val="21"/>
              </w:rPr>
              <w:t>2000</w:t>
            </w:r>
            <w:r>
              <w:rPr>
                <w:bCs/>
                <w:color w:val="000000"/>
                <w:kern w:val="0"/>
                <w:szCs w:val="21"/>
              </w:rPr>
              <w:t>-</w:t>
            </w:r>
            <w:r>
              <w:rPr>
                <w:rFonts w:hint="eastAsia"/>
                <w:bCs/>
                <w:color w:val="000000"/>
                <w:kern w:val="0"/>
                <w:szCs w:val="21"/>
              </w:rPr>
              <w:t>2500</w:t>
            </w:r>
          </w:p>
        </w:tc>
        <w:tc>
          <w:tcPr>
            <w:tcW w:w="1047" w:type="dxa"/>
            <w:vAlign w:val="center"/>
          </w:tcPr>
          <w:p>
            <w:pPr>
              <w:widowControl/>
              <w:spacing w:line="400" w:lineRule="exact"/>
              <w:jc w:val="center"/>
              <w:rPr>
                <w:bCs/>
                <w:color w:val="000000"/>
                <w:kern w:val="0"/>
                <w:szCs w:val="21"/>
              </w:rPr>
            </w:pPr>
            <w:r>
              <w:rPr>
                <w:bCs/>
                <w:color w:val="000000"/>
                <w:kern w:val="0"/>
                <w:szCs w:val="21"/>
              </w:rPr>
              <w:t>&gt;</w:t>
            </w:r>
            <w:r>
              <w:rPr>
                <w:rFonts w:hint="eastAsia"/>
                <w:bCs/>
                <w:color w:val="000000"/>
                <w:kern w:val="0"/>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Align w:val="center"/>
          </w:tcPr>
          <w:p>
            <w:pPr>
              <w:widowControl/>
              <w:spacing w:line="400" w:lineRule="exact"/>
              <w:jc w:val="center"/>
              <w:rPr>
                <w:bCs/>
                <w:color w:val="000000"/>
                <w:kern w:val="0"/>
                <w:szCs w:val="21"/>
              </w:rPr>
            </w:pPr>
            <w:r>
              <w:rPr>
                <w:bCs/>
                <w:color w:val="000000"/>
                <w:kern w:val="0"/>
                <w:szCs w:val="21"/>
              </w:rPr>
              <w:t>繁华程度</w:t>
            </w:r>
          </w:p>
        </w:tc>
        <w:tc>
          <w:tcPr>
            <w:tcW w:w="1275" w:type="dxa"/>
            <w:vAlign w:val="center"/>
          </w:tcPr>
          <w:p>
            <w:pPr>
              <w:widowControl/>
              <w:spacing w:line="400" w:lineRule="exact"/>
              <w:jc w:val="center"/>
              <w:rPr>
                <w:bCs/>
                <w:color w:val="000000"/>
                <w:kern w:val="0"/>
                <w:szCs w:val="21"/>
              </w:rPr>
            </w:pPr>
            <w:r>
              <w:rPr>
                <w:bCs/>
                <w:color w:val="000000"/>
                <w:kern w:val="0"/>
                <w:szCs w:val="21"/>
              </w:rPr>
              <w:t>商服繁华影响度</w:t>
            </w:r>
          </w:p>
        </w:tc>
        <w:tc>
          <w:tcPr>
            <w:tcW w:w="1537" w:type="dxa"/>
            <w:vAlign w:val="center"/>
          </w:tcPr>
          <w:p>
            <w:pPr>
              <w:widowControl/>
              <w:spacing w:line="400" w:lineRule="exact"/>
              <w:jc w:val="center"/>
              <w:rPr>
                <w:bCs/>
                <w:color w:val="000000"/>
                <w:kern w:val="0"/>
                <w:szCs w:val="21"/>
              </w:rPr>
            </w:pPr>
            <w:r>
              <w:rPr>
                <w:bCs/>
                <w:color w:val="000000"/>
                <w:kern w:val="0"/>
                <w:szCs w:val="21"/>
              </w:rPr>
              <w:t>距商服中心距离</w:t>
            </w:r>
          </w:p>
        </w:tc>
        <w:tc>
          <w:tcPr>
            <w:tcW w:w="857" w:type="dxa"/>
            <w:vAlign w:val="center"/>
          </w:tcPr>
          <w:p>
            <w:pPr>
              <w:widowControl/>
              <w:spacing w:line="400" w:lineRule="exact"/>
              <w:jc w:val="center"/>
              <w:rPr>
                <w:bCs/>
                <w:color w:val="000000"/>
                <w:kern w:val="0"/>
                <w:szCs w:val="21"/>
              </w:rPr>
            </w:pPr>
            <w:r>
              <w:rPr>
                <w:bCs/>
                <w:color w:val="000000"/>
                <w:kern w:val="0"/>
                <w:szCs w:val="21"/>
              </w:rPr>
              <w:t>&lt;</w:t>
            </w:r>
            <w:r>
              <w:rPr>
                <w:rFonts w:hint="eastAsia"/>
                <w:bCs/>
                <w:color w:val="000000"/>
                <w:kern w:val="0"/>
                <w:szCs w:val="21"/>
              </w:rPr>
              <w:t>15</w:t>
            </w:r>
            <w:r>
              <w:rPr>
                <w:bCs/>
                <w:color w:val="000000"/>
                <w:kern w:val="0"/>
                <w:szCs w:val="21"/>
              </w:rPr>
              <w:t>00</w:t>
            </w:r>
          </w:p>
        </w:tc>
        <w:tc>
          <w:tcPr>
            <w:tcW w:w="1231" w:type="dxa"/>
            <w:vAlign w:val="center"/>
          </w:tcPr>
          <w:p>
            <w:pPr>
              <w:widowControl/>
              <w:spacing w:line="400" w:lineRule="exact"/>
              <w:jc w:val="center"/>
              <w:rPr>
                <w:bCs/>
                <w:color w:val="000000"/>
                <w:kern w:val="0"/>
                <w:szCs w:val="21"/>
              </w:rPr>
            </w:pPr>
            <w:r>
              <w:rPr>
                <w:rFonts w:hint="eastAsia"/>
                <w:bCs/>
                <w:color w:val="000000"/>
                <w:kern w:val="0"/>
                <w:szCs w:val="21"/>
              </w:rPr>
              <w:t>15</w:t>
            </w:r>
            <w:r>
              <w:rPr>
                <w:bCs/>
                <w:color w:val="000000"/>
                <w:kern w:val="0"/>
                <w:szCs w:val="21"/>
              </w:rPr>
              <w:t>00-</w:t>
            </w:r>
            <w:r>
              <w:rPr>
                <w:rFonts w:hint="eastAsia"/>
                <w:bCs/>
                <w:color w:val="000000"/>
                <w:kern w:val="0"/>
                <w:szCs w:val="21"/>
              </w:rPr>
              <w:t>20</w:t>
            </w:r>
            <w:r>
              <w:rPr>
                <w:bCs/>
                <w:color w:val="000000"/>
                <w:kern w:val="0"/>
                <w:szCs w:val="21"/>
              </w:rPr>
              <w:t>00</w:t>
            </w:r>
          </w:p>
        </w:tc>
        <w:tc>
          <w:tcPr>
            <w:tcW w:w="1126" w:type="dxa"/>
            <w:vAlign w:val="center"/>
          </w:tcPr>
          <w:p>
            <w:pPr>
              <w:widowControl/>
              <w:spacing w:line="400" w:lineRule="exact"/>
              <w:jc w:val="center"/>
              <w:rPr>
                <w:bCs/>
                <w:color w:val="000000"/>
                <w:kern w:val="0"/>
                <w:szCs w:val="21"/>
              </w:rPr>
            </w:pPr>
            <w:r>
              <w:rPr>
                <w:rFonts w:hint="eastAsia"/>
                <w:bCs/>
                <w:color w:val="000000"/>
                <w:kern w:val="0"/>
                <w:szCs w:val="21"/>
              </w:rPr>
              <w:t>20</w:t>
            </w:r>
            <w:r>
              <w:rPr>
                <w:bCs/>
                <w:color w:val="000000"/>
                <w:kern w:val="0"/>
                <w:szCs w:val="21"/>
              </w:rPr>
              <w:t>00-</w:t>
            </w:r>
            <w:r>
              <w:rPr>
                <w:rFonts w:hint="eastAsia"/>
                <w:bCs/>
                <w:color w:val="000000"/>
                <w:kern w:val="0"/>
                <w:szCs w:val="21"/>
              </w:rPr>
              <w:t>25</w:t>
            </w:r>
            <w:r>
              <w:rPr>
                <w:bCs/>
                <w:color w:val="000000"/>
                <w:kern w:val="0"/>
                <w:szCs w:val="21"/>
              </w:rPr>
              <w:t>00</w:t>
            </w:r>
          </w:p>
        </w:tc>
        <w:tc>
          <w:tcPr>
            <w:tcW w:w="1126" w:type="dxa"/>
            <w:vAlign w:val="center"/>
          </w:tcPr>
          <w:p>
            <w:pPr>
              <w:widowControl/>
              <w:spacing w:line="400" w:lineRule="exact"/>
              <w:jc w:val="center"/>
              <w:rPr>
                <w:bCs/>
                <w:color w:val="000000"/>
                <w:kern w:val="0"/>
                <w:szCs w:val="21"/>
              </w:rPr>
            </w:pPr>
            <w:r>
              <w:rPr>
                <w:rFonts w:hint="eastAsia"/>
                <w:bCs/>
                <w:color w:val="000000"/>
                <w:kern w:val="0"/>
                <w:szCs w:val="21"/>
              </w:rPr>
              <w:t>25</w:t>
            </w:r>
            <w:r>
              <w:rPr>
                <w:bCs/>
                <w:color w:val="000000"/>
                <w:kern w:val="0"/>
                <w:szCs w:val="21"/>
              </w:rPr>
              <w:t>00-</w:t>
            </w:r>
            <w:r>
              <w:rPr>
                <w:rFonts w:hint="eastAsia"/>
                <w:bCs/>
                <w:color w:val="000000"/>
                <w:kern w:val="0"/>
                <w:szCs w:val="21"/>
              </w:rPr>
              <w:t>30</w:t>
            </w:r>
            <w:r>
              <w:rPr>
                <w:bCs/>
                <w:color w:val="000000"/>
                <w:kern w:val="0"/>
                <w:szCs w:val="21"/>
              </w:rPr>
              <w:t>00</w:t>
            </w:r>
          </w:p>
        </w:tc>
        <w:tc>
          <w:tcPr>
            <w:tcW w:w="1047" w:type="dxa"/>
            <w:vAlign w:val="center"/>
          </w:tcPr>
          <w:p>
            <w:pPr>
              <w:widowControl/>
              <w:spacing w:line="400" w:lineRule="exact"/>
              <w:jc w:val="center"/>
              <w:rPr>
                <w:bCs/>
                <w:color w:val="000000"/>
                <w:kern w:val="0"/>
                <w:szCs w:val="21"/>
              </w:rPr>
            </w:pPr>
            <w:r>
              <w:rPr>
                <w:bCs/>
                <w:color w:val="000000"/>
                <w:kern w:val="0"/>
                <w:szCs w:val="21"/>
              </w:rPr>
              <w:t>&gt;</w:t>
            </w:r>
            <w:r>
              <w:rPr>
                <w:rFonts w:hint="eastAsia"/>
                <w:bCs/>
                <w:color w:val="000000"/>
                <w:kern w:val="0"/>
                <w:szCs w:val="21"/>
              </w:rPr>
              <w:t>30</w:t>
            </w:r>
            <w:r>
              <w:rPr>
                <w:bCs/>
                <w:color w:val="000000"/>
                <w:kern w:val="0"/>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Align w:val="center"/>
          </w:tcPr>
          <w:p>
            <w:pPr>
              <w:widowControl/>
              <w:spacing w:line="400" w:lineRule="exact"/>
              <w:jc w:val="center"/>
              <w:rPr>
                <w:bCs/>
                <w:color w:val="000000"/>
                <w:kern w:val="0"/>
                <w:szCs w:val="21"/>
              </w:rPr>
            </w:pPr>
            <w:r>
              <w:rPr>
                <w:bCs/>
                <w:color w:val="000000"/>
                <w:kern w:val="0"/>
                <w:szCs w:val="21"/>
              </w:rPr>
              <w:t>人口状况</w:t>
            </w:r>
          </w:p>
        </w:tc>
        <w:tc>
          <w:tcPr>
            <w:tcW w:w="1275" w:type="dxa"/>
            <w:vAlign w:val="center"/>
          </w:tcPr>
          <w:p>
            <w:pPr>
              <w:widowControl/>
              <w:spacing w:line="400" w:lineRule="exact"/>
              <w:jc w:val="center"/>
              <w:rPr>
                <w:bCs/>
                <w:color w:val="000000"/>
                <w:kern w:val="0"/>
                <w:szCs w:val="21"/>
              </w:rPr>
            </w:pPr>
            <w:r>
              <w:rPr>
                <w:bCs/>
                <w:color w:val="000000"/>
                <w:kern w:val="0"/>
                <w:szCs w:val="21"/>
              </w:rPr>
              <w:t>人口密度</w:t>
            </w:r>
          </w:p>
        </w:tc>
        <w:tc>
          <w:tcPr>
            <w:tcW w:w="1537" w:type="dxa"/>
            <w:vAlign w:val="center"/>
          </w:tcPr>
          <w:p>
            <w:pPr>
              <w:widowControl/>
              <w:spacing w:line="400" w:lineRule="exact"/>
              <w:jc w:val="center"/>
              <w:rPr>
                <w:bCs/>
                <w:color w:val="000000"/>
                <w:kern w:val="0"/>
                <w:szCs w:val="21"/>
              </w:rPr>
            </w:pPr>
            <w:r>
              <w:rPr>
                <w:bCs/>
                <w:color w:val="000000"/>
                <w:kern w:val="0"/>
                <w:szCs w:val="21"/>
              </w:rPr>
              <w:t>人口密度</w:t>
            </w:r>
          </w:p>
        </w:tc>
        <w:tc>
          <w:tcPr>
            <w:tcW w:w="857" w:type="dxa"/>
            <w:vAlign w:val="center"/>
          </w:tcPr>
          <w:p>
            <w:pPr>
              <w:widowControl/>
              <w:spacing w:line="400" w:lineRule="exact"/>
              <w:jc w:val="center"/>
              <w:rPr>
                <w:bCs/>
                <w:color w:val="000000"/>
                <w:kern w:val="0"/>
                <w:szCs w:val="21"/>
              </w:rPr>
            </w:pPr>
            <w:r>
              <w:rPr>
                <w:bCs/>
                <w:color w:val="000000"/>
                <w:kern w:val="0"/>
                <w:szCs w:val="21"/>
              </w:rPr>
              <w:t>≥10000</w:t>
            </w:r>
          </w:p>
        </w:tc>
        <w:tc>
          <w:tcPr>
            <w:tcW w:w="1231" w:type="dxa"/>
            <w:vAlign w:val="center"/>
          </w:tcPr>
          <w:p>
            <w:pPr>
              <w:widowControl/>
              <w:spacing w:line="400" w:lineRule="exact"/>
              <w:jc w:val="center"/>
              <w:rPr>
                <w:bCs/>
                <w:color w:val="000000"/>
                <w:kern w:val="0"/>
                <w:szCs w:val="21"/>
              </w:rPr>
            </w:pPr>
            <w:r>
              <w:rPr>
                <w:bCs/>
                <w:color w:val="000000"/>
                <w:kern w:val="0"/>
                <w:szCs w:val="21"/>
              </w:rPr>
              <w:t>10000-5000</w:t>
            </w:r>
          </w:p>
        </w:tc>
        <w:tc>
          <w:tcPr>
            <w:tcW w:w="1126" w:type="dxa"/>
            <w:vAlign w:val="center"/>
          </w:tcPr>
          <w:p>
            <w:pPr>
              <w:widowControl/>
              <w:spacing w:line="400" w:lineRule="exact"/>
              <w:jc w:val="center"/>
              <w:rPr>
                <w:bCs/>
                <w:color w:val="000000"/>
                <w:kern w:val="0"/>
                <w:szCs w:val="21"/>
              </w:rPr>
            </w:pPr>
            <w:r>
              <w:rPr>
                <w:bCs/>
                <w:color w:val="000000"/>
                <w:kern w:val="0"/>
                <w:szCs w:val="21"/>
              </w:rPr>
              <w:t>5000-2000</w:t>
            </w:r>
          </w:p>
        </w:tc>
        <w:tc>
          <w:tcPr>
            <w:tcW w:w="1126" w:type="dxa"/>
            <w:vAlign w:val="center"/>
          </w:tcPr>
          <w:p>
            <w:pPr>
              <w:widowControl/>
              <w:spacing w:line="400" w:lineRule="exact"/>
              <w:jc w:val="center"/>
              <w:rPr>
                <w:bCs/>
                <w:color w:val="000000"/>
                <w:kern w:val="0"/>
                <w:szCs w:val="21"/>
              </w:rPr>
            </w:pPr>
            <w:r>
              <w:rPr>
                <w:bCs/>
                <w:color w:val="000000"/>
                <w:kern w:val="0"/>
                <w:szCs w:val="21"/>
              </w:rPr>
              <w:t>2000-1000</w:t>
            </w:r>
          </w:p>
        </w:tc>
        <w:tc>
          <w:tcPr>
            <w:tcW w:w="1047" w:type="dxa"/>
            <w:vAlign w:val="center"/>
          </w:tcPr>
          <w:p>
            <w:pPr>
              <w:widowControl/>
              <w:spacing w:line="400" w:lineRule="exact"/>
              <w:jc w:val="center"/>
              <w:rPr>
                <w:bCs/>
                <w:color w:val="000000"/>
                <w:kern w:val="0"/>
                <w:szCs w:val="21"/>
              </w:rPr>
            </w:pPr>
            <w:r>
              <w:rPr>
                <w:bCs/>
                <w:color w:val="000000"/>
                <w:kern w:val="0"/>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restart"/>
            <w:vAlign w:val="center"/>
          </w:tcPr>
          <w:p>
            <w:pPr>
              <w:widowControl/>
              <w:spacing w:line="400" w:lineRule="exact"/>
              <w:jc w:val="center"/>
              <w:rPr>
                <w:bCs/>
                <w:color w:val="000000"/>
                <w:kern w:val="0"/>
                <w:szCs w:val="21"/>
              </w:rPr>
            </w:pPr>
            <w:r>
              <w:rPr>
                <w:bCs/>
                <w:color w:val="000000"/>
                <w:kern w:val="0"/>
                <w:szCs w:val="21"/>
              </w:rPr>
              <w:t>交通条件</w:t>
            </w:r>
          </w:p>
        </w:tc>
        <w:tc>
          <w:tcPr>
            <w:tcW w:w="1275" w:type="dxa"/>
            <w:vAlign w:val="center"/>
          </w:tcPr>
          <w:p>
            <w:pPr>
              <w:widowControl/>
              <w:spacing w:line="400" w:lineRule="exact"/>
              <w:jc w:val="center"/>
              <w:rPr>
                <w:bCs/>
                <w:color w:val="000000"/>
                <w:kern w:val="0"/>
                <w:szCs w:val="21"/>
              </w:rPr>
            </w:pPr>
            <w:r>
              <w:rPr>
                <w:bCs/>
                <w:color w:val="000000"/>
                <w:kern w:val="0"/>
                <w:szCs w:val="21"/>
              </w:rPr>
              <w:t>道路通达度</w:t>
            </w:r>
          </w:p>
        </w:tc>
        <w:tc>
          <w:tcPr>
            <w:tcW w:w="1537" w:type="dxa"/>
            <w:vAlign w:val="center"/>
          </w:tcPr>
          <w:p>
            <w:pPr>
              <w:widowControl/>
              <w:spacing w:line="400" w:lineRule="exact"/>
              <w:jc w:val="center"/>
              <w:rPr>
                <w:bCs/>
                <w:color w:val="000000"/>
                <w:kern w:val="0"/>
                <w:szCs w:val="21"/>
              </w:rPr>
            </w:pPr>
            <w:r>
              <w:rPr>
                <w:bCs/>
                <w:color w:val="000000"/>
                <w:kern w:val="0"/>
                <w:szCs w:val="21"/>
              </w:rPr>
              <w:t>临近道路状况</w:t>
            </w:r>
          </w:p>
        </w:tc>
        <w:tc>
          <w:tcPr>
            <w:tcW w:w="857" w:type="dxa"/>
            <w:vAlign w:val="center"/>
          </w:tcPr>
          <w:p>
            <w:pPr>
              <w:widowControl/>
              <w:spacing w:line="400" w:lineRule="exact"/>
              <w:jc w:val="center"/>
              <w:rPr>
                <w:bCs/>
                <w:color w:val="000000"/>
                <w:kern w:val="0"/>
                <w:szCs w:val="21"/>
              </w:rPr>
            </w:pPr>
            <w:r>
              <w:rPr>
                <w:bCs/>
                <w:color w:val="000000"/>
                <w:kern w:val="0"/>
                <w:szCs w:val="21"/>
              </w:rPr>
              <w:t>混合型主干道</w:t>
            </w:r>
          </w:p>
        </w:tc>
        <w:tc>
          <w:tcPr>
            <w:tcW w:w="1231" w:type="dxa"/>
            <w:vAlign w:val="center"/>
          </w:tcPr>
          <w:p>
            <w:pPr>
              <w:widowControl/>
              <w:spacing w:line="400" w:lineRule="exact"/>
              <w:jc w:val="center"/>
              <w:rPr>
                <w:bCs/>
                <w:color w:val="000000"/>
                <w:kern w:val="0"/>
                <w:szCs w:val="21"/>
              </w:rPr>
            </w:pPr>
            <w:r>
              <w:rPr>
                <w:bCs/>
                <w:color w:val="000000"/>
                <w:kern w:val="0"/>
                <w:szCs w:val="21"/>
              </w:rPr>
              <w:t>生活型或交通型主干道</w:t>
            </w:r>
          </w:p>
        </w:tc>
        <w:tc>
          <w:tcPr>
            <w:tcW w:w="1126" w:type="dxa"/>
            <w:vAlign w:val="center"/>
          </w:tcPr>
          <w:p>
            <w:pPr>
              <w:widowControl/>
              <w:spacing w:line="400" w:lineRule="exact"/>
              <w:jc w:val="center"/>
              <w:rPr>
                <w:bCs/>
                <w:color w:val="000000"/>
                <w:kern w:val="0"/>
                <w:szCs w:val="21"/>
              </w:rPr>
            </w:pPr>
            <w:r>
              <w:rPr>
                <w:bCs/>
                <w:color w:val="000000"/>
                <w:kern w:val="0"/>
                <w:szCs w:val="21"/>
              </w:rPr>
              <w:t>次主道</w:t>
            </w:r>
          </w:p>
        </w:tc>
        <w:tc>
          <w:tcPr>
            <w:tcW w:w="1126" w:type="dxa"/>
            <w:vAlign w:val="center"/>
          </w:tcPr>
          <w:p>
            <w:pPr>
              <w:widowControl/>
              <w:spacing w:line="400" w:lineRule="exact"/>
              <w:jc w:val="center"/>
              <w:rPr>
                <w:bCs/>
                <w:color w:val="000000"/>
                <w:kern w:val="0"/>
                <w:szCs w:val="21"/>
              </w:rPr>
            </w:pPr>
            <w:r>
              <w:rPr>
                <w:bCs/>
                <w:color w:val="000000"/>
                <w:kern w:val="0"/>
                <w:szCs w:val="21"/>
              </w:rPr>
              <w:t>支路</w:t>
            </w:r>
          </w:p>
        </w:tc>
        <w:tc>
          <w:tcPr>
            <w:tcW w:w="1047" w:type="dxa"/>
            <w:vAlign w:val="center"/>
          </w:tcPr>
          <w:p>
            <w:pPr>
              <w:widowControl/>
              <w:spacing w:line="400" w:lineRule="exact"/>
              <w:jc w:val="center"/>
              <w:rPr>
                <w:bCs/>
                <w:color w:val="000000"/>
                <w:kern w:val="0"/>
                <w:szCs w:val="21"/>
              </w:rPr>
            </w:pPr>
            <w:r>
              <w:rPr>
                <w:bCs/>
                <w:color w:val="000000"/>
                <w:kern w:val="0"/>
                <w:szCs w:val="21"/>
              </w:rPr>
              <w:t>巷道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continue"/>
            <w:vAlign w:val="center"/>
          </w:tcPr>
          <w:p>
            <w:pPr>
              <w:widowControl/>
              <w:spacing w:line="400" w:lineRule="exact"/>
              <w:jc w:val="center"/>
              <w:rPr>
                <w:bCs/>
                <w:color w:val="000000"/>
                <w:kern w:val="0"/>
                <w:szCs w:val="21"/>
              </w:rPr>
            </w:pPr>
          </w:p>
        </w:tc>
        <w:tc>
          <w:tcPr>
            <w:tcW w:w="1275" w:type="dxa"/>
            <w:vAlign w:val="center"/>
          </w:tcPr>
          <w:p>
            <w:pPr>
              <w:widowControl/>
              <w:spacing w:line="400" w:lineRule="exact"/>
              <w:jc w:val="center"/>
              <w:rPr>
                <w:bCs/>
                <w:color w:val="000000"/>
                <w:kern w:val="0"/>
                <w:szCs w:val="21"/>
              </w:rPr>
            </w:pPr>
            <w:r>
              <w:rPr>
                <w:bCs/>
                <w:color w:val="000000"/>
                <w:kern w:val="0"/>
                <w:szCs w:val="21"/>
              </w:rPr>
              <w:t>公交便捷度</w:t>
            </w:r>
          </w:p>
        </w:tc>
        <w:tc>
          <w:tcPr>
            <w:tcW w:w="1537" w:type="dxa"/>
            <w:vAlign w:val="center"/>
          </w:tcPr>
          <w:p>
            <w:pPr>
              <w:widowControl/>
              <w:spacing w:line="400" w:lineRule="exact"/>
              <w:jc w:val="center"/>
              <w:rPr>
                <w:bCs/>
                <w:color w:val="000000"/>
                <w:kern w:val="0"/>
                <w:szCs w:val="21"/>
              </w:rPr>
            </w:pPr>
            <w:r>
              <w:rPr>
                <w:bCs/>
                <w:color w:val="000000"/>
                <w:kern w:val="0"/>
                <w:szCs w:val="21"/>
              </w:rPr>
              <w:t>距最近公交站点距离</w:t>
            </w:r>
          </w:p>
        </w:tc>
        <w:tc>
          <w:tcPr>
            <w:tcW w:w="857" w:type="dxa"/>
            <w:vAlign w:val="center"/>
          </w:tcPr>
          <w:p>
            <w:pPr>
              <w:widowControl/>
              <w:spacing w:line="400" w:lineRule="exact"/>
              <w:jc w:val="center"/>
              <w:rPr>
                <w:bCs/>
                <w:color w:val="000000"/>
                <w:kern w:val="0"/>
                <w:szCs w:val="21"/>
              </w:rPr>
            </w:pPr>
            <w:r>
              <w:rPr>
                <w:bCs/>
                <w:color w:val="000000"/>
                <w:kern w:val="0"/>
                <w:szCs w:val="21"/>
              </w:rPr>
              <w:t>&lt;</w:t>
            </w:r>
            <w:r>
              <w:rPr>
                <w:rFonts w:hint="eastAsia"/>
                <w:bCs/>
                <w:color w:val="000000"/>
                <w:kern w:val="0"/>
                <w:szCs w:val="21"/>
              </w:rPr>
              <w:t>8</w:t>
            </w:r>
            <w:r>
              <w:rPr>
                <w:bCs/>
                <w:color w:val="000000"/>
                <w:kern w:val="0"/>
                <w:szCs w:val="21"/>
              </w:rPr>
              <w:t>00</w:t>
            </w:r>
          </w:p>
        </w:tc>
        <w:tc>
          <w:tcPr>
            <w:tcW w:w="1231" w:type="dxa"/>
            <w:vAlign w:val="center"/>
          </w:tcPr>
          <w:p>
            <w:pPr>
              <w:widowControl/>
              <w:spacing w:line="400" w:lineRule="exact"/>
              <w:jc w:val="center"/>
              <w:rPr>
                <w:bCs/>
                <w:color w:val="000000"/>
                <w:kern w:val="0"/>
                <w:szCs w:val="21"/>
              </w:rPr>
            </w:pPr>
            <w:r>
              <w:rPr>
                <w:rFonts w:hint="eastAsia"/>
                <w:bCs/>
                <w:color w:val="000000"/>
                <w:kern w:val="0"/>
                <w:szCs w:val="21"/>
              </w:rPr>
              <w:t>8</w:t>
            </w:r>
            <w:r>
              <w:rPr>
                <w:bCs/>
                <w:color w:val="000000"/>
                <w:kern w:val="0"/>
                <w:szCs w:val="21"/>
              </w:rPr>
              <w:t>00-</w:t>
            </w:r>
            <w:r>
              <w:rPr>
                <w:rFonts w:hint="eastAsia"/>
                <w:bCs/>
                <w:color w:val="000000"/>
                <w:kern w:val="0"/>
                <w:szCs w:val="21"/>
              </w:rPr>
              <w:t>10</w:t>
            </w:r>
            <w:r>
              <w:rPr>
                <w:bCs/>
                <w:color w:val="000000"/>
                <w:kern w:val="0"/>
                <w:szCs w:val="21"/>
              </w:rPr>
              <w:t>00</w:t>
            </w:r>
          </w:p>
        </w:tc>
        <w:tc>
          <w:tcPr>
            <w:tcW w:w="1126" w:type="dxa"/>
            <w:vAlign w:val="center"/>
          </w:tcPr>
          <w:p>
            <w:pPr>
              <w:widowControl/>
              <w:spacing w:line="400" w:lineRule="exact"/>
              <w:jc w:val="center"/>
              <w:rPr>
                <w:bCs/>
                <w:color w:val="000000"/>
                <w:kern w:val="0"/>
                <w:szCs w:val="21"/>
              </w:rPr>
            </w:pPr>
            <w:r>
              <w:rPr>
                <w:rFonts w:hint="eastAsia"/>
                <w:bCs/>
                <w:color w:val="000000"/>
                <w:kern w:val="0"/>
                <w:szCs w:val="21"/>
              </w:rPr>
              <w:t>10</w:t>
            </w:r>
            <w:r>
              <w:rPr>
                <w:bCs/>
                <w:color w:val="000000"/>
                <w:kern w:val="0"/>
                <w:szCs w:val="21"/>
              </w:rPr>
              <w:t>00-</w:t>
            </w:r>
            <w:r>
              <w:rPr>
                <w:rFonts w:hint="eastAsia"/>
                <w:bCs/>
                <w:color w:val="000000"/>
                <w:kern w:val="0"/>
                <w:szCs w:val="21"/>
              </w:rPr>
              <w:t>12</w:t>
            </w:r>
            <w:r>
              <w:rPr>
                <w:bCs/>
                <w:color w:val="000000"/>
                <w:kern w:val="0"/>
                <w:szCs w:val="21"/>
              </w:rPr>
              <w:t>00</w:t>
            </w:r>
          </w:p>
        </w:tc>
        <w:tc>
          <w:tcPr>
            <w:tcW w:w="1126" w:type="dxa"/>
            <w:vAlign w:val="center"/>
          </w:tcPr>
          <w:p>
            <w:pPr>
              <w:widowControl/>
              <w:spacing w:line="400" w:lineRule="exact"/>
              <w:jc w:val="center"/>
              <w:rPr>
                <w:bCs/>
                <w:color w:val="000000"/>
                <w:kern w:val="0"/>
                <w:szCs w:val="21"/>
              </w:rPr>
            </w:pPr>
            <w:r>
              <w:rPr>
                <w:rFonts w:hint="eastAsia"/>
                <w:bCs/>
                <w:color w:val="000000"/>
                <w:kern w:val="0"/>
                <w:szCs w:val="21"/>
              </w:rPr>
              <w:t>12</w:t>
            </w:r>
            <w:r>
              <w:rPr>
                <w:bCs/>
                <w:color w:val="000000"/>
                <w:kern w:val="0"/>
                <w:szCs w:val="21"/>
              </w:rPr>
              <w:t>00-</w:t>
            </w:r>
            <w:r>
              <w:rPr>
                <w:rFonts w:hint="eastAsia"/>
                <w:bCs/>
                <w:color w:val="000000"/>
                <w:kern w:val="0"/>
                <w:szCs w:val="21"/>
              </w:rPr>
              <w:t>15</w:t>
            </w:r>
            <w:r>
              <w:rPr>
                <w:bCs/>
                <w:color w:val="000000"/>
                <w:kern w:val="0"/>
                <w:szCs w:val="21"/>
              </w:rPr>
              <w:t>00</w:t>
            </w:r>
          </w:p>
        </w:tc>
        <w:tc>
          <w:tcPr>
            <w:tcW w:w="1047" w:type="dxa"/>
            <w:vAlign w:val="center"/>
          </w:tcPr>
          <w:p>
            <w:pPr>
              <w:widowControl/>
              <w:spacing w:line="400" w:lineRule="exact"/>
              <w:jc w:val="center"/>
              <w:rPr>
                <w:bCs/>
                <w:color w:val="000000"/>
                <w:kern w:val="0"/>
                <w:szCs w:val="21"/>
              </w:rPr>
            </w:pPr>
            <w:r>
              <w:rPr>
                <w:bCs/>
                <w:color w:val="000000"/>
                <w:kern w:val="0"/>
                <w:szCs w:val="21"/>
              </w:rPr>
              <w:t>&gt;</w:t>
            </w:r>
            <w:r>
              <w:rPr>
                <w:rFonts w:hint="eastAsia"/>
                <w:bCs/>
                <w:color w:val="000000"/>
                <w:kern w:val="0"/>
                <w:szCs w:val="21"/>
              </w:rPr>
              <w:t>15</w:t>
            </w:r>
            <w:r>
              <w:rPr>
                <w:bCs/>
                <w:color w:val="000000"/>
                <w:kern w:val="0"/>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Merge w:val="continue"/>
            <w:vAlign w:val="center"/>
          </w:tcPr>
          <w:p>
            <w:pPr>
              <w:widowControl/>
              <w:spacing w:line="400" w:lineRule="exact"/>
              <w:jc w:val="center"/>
              <w:rPr>
                <w:bCs/>
                <w:color w:val="000000"/>
                <w:kern w:val="0"/>
                <w:szCs w:val="21"/>
              </w:rPr>
            </w:pPr>
          </w:p>
        </w:tc>
        <w:tc>
          <w:tcPr>
            <w:tcW w:w="1275" w:type="dxa"/>
            <w:vAlign w:val="center"/>
          </w:tcPr>
          <w:p>
            <w:pPr>
              <w:widowControl/>
              <w:spacing w:line="400" w:lineRule="exact"/>
              <w:jc w:val="center"/>
              <w:rPr>
                <w:bCs/>
                <w:color w:val="000000"/>
                <w:kern w:val="0"/>
                <w:szCs w:val="21"/>
              </w:rPr>
            </w:pPr>
            <w:r>
              <w:rPr>
                <w:bCs/>
                <w:color w:val="000000"/>
                <w:kern w:val="0"/>
                <w:szCs w:val="21"/>
              </w:rPr>
              <w:t>对外交通便利度</w:t>
            </w:r>
          </w:p>
        </w:tc>
        <w:tc>
          <w:tcPr>
            <w:tcW w:w="1537" w:type="dxa"/>
            <w:vAlign w:val="center"/>
          </w:tcPr>
          <w:p>
            <w:pPr>
              <w:widowControl/>
              <w:spacing w:line="400" w:lineRule="exact"/>
              <w:jc w:val="center"/>
              <w:rPr>
                <w:bCs/>
                <w:color w:val="000000"/>
                <w:kern w:val="0"/>
                <w:szCs w:val="21"/>
              </w:rPr>
            </w:pPr>
            <w:r>
              <w:rPr>
                <w:bCs/>
                <w:color w:val="000000"/>
                <w:kern w:val="0"/>
                <w:szCs w:val="21"/>
              </w:rPr>
              <w:t>距最近汽车站距离</w:t>
            </w:r>
          </w:p>
        </w:tc>
        <w:tc>
          <w:tcPr>
            <w:tcW w:w="857" w:type="dxa"/>
            <w:vAlign w:val="center"/>
          </w:tcPr>
          <w:p>
            <w:pPr>
              <w:widowControl/>
              <w:spacing w:line="400" w:lineRule="exact"/>
              <w:jc w:val="center"/>
              <w:rPr>
                <w:bCs/>
                <w:color w:val="000000"/>
                <w:kern w:val="0"/>
                <w:szCs w:val="21"/>
              </w:rPr>
            </w:pPr>
            <w:r>
              <w:rPr>
                <w:bCs/>
                <w:color w:val="000000"/>
                <w:kern w:val="0"/>
                <w:szCs w:val="21"/>
              </w:rPr>
              <w:t>&lt;</w:t>
            </w:r>
            <w:r>
              <w:rPr>
                <w:rFonts w:hint="eastAsia"/>
                <w:bCs/>
                <w:color w:val="000000"/>
                <w:kern w:val="0"/>
                <w:szCs w:val="21"/>
              </w:rPr>
              <w:t>15</w:t>
            </w:r>
            <w:r>
              <w:rPr>
                <w:bCs/>
                <w:color w:val="000000"/>
                <w:kern w:val="0"/>
                <w:szCs w:val="21"/>
              </w:rPr>
              <w:t>00</w:t>
            </w:r>
          </w:p>
        </w:tc>
        <w:tc>
          <w:tcPr>
            <w:tcW w:w="1231" w:type="dxa"/>
            <w:vAlign w:val="center"/>
          </w:tcPr>
          <w:p>
            <w:pPr>
              <w:widowControl/>
              <w:spacing w:line="400" w:lineRule="exact"/>
              <w:jc w:val="center"/>
              <w:rPr>
                <w:bCs/>
                <w:color w:val="000000"/>
                <w:kern w:val="0"/>
                <w:szCs w:val="21"/>
              </w:rPr>
            </w:pPr>
            <w:r>
              <w:rPr>
                <w:rFonts w:hint="eastAsia"/>
                <w:bCs/>
                <w:color w:val="000000"/>
                <w:kern w:val="0"/>
                <w:szCs w:val="21"/>
              </w:rPr>
              <w:t>15</w:t>
            </w:r>
            <w:r>
              <w:rPr>
                <w:bCs/>
                <w:color w:val="000000"/>
                <w:kern w:val="0"/>
                <w:szCs w:val="21"/>
              </w:rPr>
              <w:t>00-</w:t>
            </w:r>
            <w:r>
              <w:rPr>
                <w:rFonts w:hint="eastAsia"/>
                <w:bCs/>
                <w:color w:val="000000"/>
                <w:kern w:val="0"/>
                <w:szCs w:val="21"/>
              </w:rPr>
              <w:t>20</w:t>
            </w:r>
            <w:r>
              <w:rPr>
                <w:bCs/>
                <w:color w:val="000000"/>
                <w:kern w:val="0"/>
                <w:szCs w:val="21"/>
              </w:rPr>
              <w:t>00</w:t>
            </w:r>
          </w:p>
        </w:tc>
        <w:tc>
          <w:tcPr>
            <w:tcW w:w="1126" w:type="dxa"/>
            <w:vAlign w:val="center"/>
          </w:tcPr>
          <w:p>
            <w:pPr>
              <w:widowControl/>
              <w:spacing w:line="400" w:lineRule="exact"/>
              <w:jc w:val="center"/>
              <w:rPr>
                <w:bCs/>
                <w:color w:val="000000"/>
                <w:kern w:val="0"/>
                <w:szCs w:val="21"/>
              </w:rPr>
            </w:pPr>
            <w:r>
              <w:rPr>
                <w:rFonts w:hint="eastAsia"/>
                <w:bCs/>
                <w:color w:val="000000"/>
                <w:kern w:val="0"/>
                <w:szCs w:val="21"/>
              </w:rPr>
              <w:t>20</w:t>
            </w:r>
            <w:r>
              <w:rPr>
                <w:bCs/>
                <w:color w:val="000000"/>
                <w:kern w:val="0"/>
                <w:szCs w:val="21"/>
              </w:rPr>
              <w:t>00-</w:t>
            </w:r>
            <w:r>
              <w:rPr>
                <w:rFonts w:hint="eastAsia"/>
                <w:bCs/>
                <w:color w:val="000000"/>
                <w:kern w:val="0"/>
                <w:szCs w:val="21"/>
              </w:rPr>
              <w:t>25</w:t>
            </w:r>
            <w:r>
              <w:rPr>
                <w:bCs/>
                <w:color w:val="000000"/>
                <w:kern w:val="0"/>
                <w:szCs w:val="21"/>
              </w:rPr>
              <w:t>00</w:t>
            </w:r>
          </w:p>
        </w:tc>
        <w:tc>
          <w:tcPr>
            <w:tcW w:w="1126" w:type="dxa"/>
            <w:vAlign w:val="center"/>
          </w:tcPr>
          <w:p>
            <w:pPr>
              <w:widowControl/>
              <w:spacing w:line="400" w:lineRule="exact"/>
              <w:jc w:val="center"/>
              <w:rPr>
                <w:bCs/>
                <w:color w:val="000000"/>
                <w:kern w:val="0"/>
                <w:szCs w:val="21"/>
              </w:rPr>
            </w:pPr>
            <w:r>
              <w:rPr>
                <w:rFonts w:hint="eastAsia"/>
                <w:bCs/>
                <w:color w:val="000000"/>
                <w:kern w:val="0"/>
                <w:szCs w:val="21"/>
              </w:rPr>
              <w:t>25</w:t>
            </w:r>
            <w:r>
              <w:rPr>
                <w:bCs/>
                <w:color w:val="000000"/>
                <w:kern w:val="0"/>
                <w:szCs w:val="21"/>
              </w:rPr>
              <w:t>00-</w:t>
            </w:r>
            <w:r>
              <w:rPr>
                <w:rFonts w:hint="eastAsia"/>
                <w:bCs/>
                <w:color w:val="000000"/>
                <w:kern w:val="0"/>
                <w:szCs w:val="21"/>
              </w:rPr>
              <w:t>30</w:t>
            </w:r>
            <w:r>
              <w:rPr>
                <w:bCs/>
                <w:color w:val="000000"/>
                <w:kern w:val="0"/>
                <w:szCs w:val="21"/>
              </w:rPr>
              <w:t>00</w:t>
            </w:r>
          </w:p>
        </w:tc>
        <w:tc>
          <w:tcPr>
            <w:tcW w:w="1047" w:type="dxa"/>
            <w:vAlign w:val="center"/>
          </w:tcPr>
          <w:p>
            <w:pPr>
              <w:widowControl/>
              <w:spacing w:line="400" w:lineRule="exact"/>
              <w:jc w:val="center"/>
              <w:rPr>
                <w:bCs/>
                <w:color w:val="000000"/>
                <w:kern w:val="0"/>
                <w:szCs w:val="21"/>
              </w:rPr>
            </w:pPr>
            <w:r>
              <w:rPr>
                <w:bCs/>
                <w:color w:val="000000"/>
                <w:kern w:val="0"/>
                <w:szCs w:val="21"/>
              </w:rPr>
              <w:t>&gt;</w:t>
            </w:r>
            <w:r>
              <w:rPr>
                <w:rFonts w:hint="eastAsia"/>
                <w:bCs/>
                <w:color w:val="000000"/>
                <w:kern w:val="0"/>
                <w:szCs w:val="21"/>
              </w:rPr>
              <w:t>30</w:t>
            </w:r>
            <w:r>
              <w:rPr>
                <w:bCs/>
                <w:color w:val="000000"/>
                <w:kern w:val="0"/>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3" w:type="dxa"/>
            <w:vAlign w:val="center"/>
          </w:tcPr>
          <w:p>
            <w:pPr>
              <w:widowControl/>
              <w:spacing w:line="400" w:lineRule="exact"/>
              <w:jc w:val="center"/>
              <w:rPr>
                <w:bCs/>
                <w:color w:val="000000"/>
                <w:kern w:val="0"/>
                <w:szCs w:val="21"/>
              </w:rPr>
            </w:pPr>
            <w:r>
              <w:rPr>
                <w:bCs/>
                <w:color w:val="000000"/>
                <w:kern w:val="0"/>
                <w:szCs w:val="21"/>
              </w:rPr>
              <w:t>城市规划</w:t>
            </w:r>
          </w:p>
        </w:tc>
        <w:tc>
          <w:tcPr>
            <w:tcW w:w="1275" w:type="dxa"/>
            <w:vAlign w:val="center"/>
          </w:tcPr>
          <w:p>
            <w:pPr>
              <w:widowControl/>
              <w:spacing w:line="400" w:lineRule="exact"/>
              <w:jc w:val="center"/>
              <w:rPr>
                <w:bCs/>
                <w:color w:val="000000"/>
                <w:kern w:val="0"/>
                <w:szCs w:val="21"/>
              </w:rPr>
            </w:pPr>
            <w:r>
              <w:rPr>
                <w:bCs/>
                <w:color w:val="000000"/>
                <w:kern w:val="0"/>
                <w:szCs w:val="21"/>
              </w:rPr>
              <w:t>城市规划</w:t>
            </w:r>
          </w:p>
        </w:tc>
        <w:tc>
          <w:tcPr>
            <w:tcW w:w="1537" w:type="dxa"/>
            <w:vAlign w:val="center"/>
          </w:tcPr>
          <w:p>
            <w:pPr>
              <w:widowControl/>
              <w:spacing w:line="400" w:lineRule="exact"/>
              <w:jc w:val="center"/>
              <w:rPr>
                <w:bCs/>
                <w:color w:val="000000"/>
                <w:kern w:val="0"/>
                <w:szCs w:val="21"/>
              </w:rPr>
            </w:pPr>
            <w:r>
              <w:rPr>
                <w:bCs/>
                <w:color w:val="000000"/>
                <w:kern w:val="0"/>
                <w:szCs w:val="21"/>
              </w:rPr>
              <w:t>公共设施用地规划</w:t>
            </w:r>
          </w:p>
        </w:tc>
        <w:tc>
          <w:tcPr>
            <w:tcW w:w="857" w:type="dxa"/>
            <w:vAlign w:val="center"/>
          </w:tcPr>
          <w:p>
            <w:pPr>
              <w:widowControl/>
              <w:spacing w:line="400" w:lineRule="exact"/>
              <w:jc w:val="center"/>
              <w:rPr>
                <w:bCs/>
                <w:color w:val="000000"/>
                <w:kern w:val="0"/>
                <w:szCs w:val="21"/>
              </w:rPr>
            </w:pPr>
            <w:r>
              <w:rPr>
                <w:bCs/>
                <w:color w:val="000000"/>
                <w:kern w:val="0"/>
                <w:szCs w:val="21"/>
              </w:rPr>
              <w:t>完善</w:t>
            </w:r>
          </w:p>
        </w:tc>
        <w:tc>
          <w:tcPr>
            <w:tcW w:w="1231" w:type="dxa"/>
            <w:vAlign w:val="center"/>
          </w:tcPr>
          <w:p>
            <w:pPr>
              <w:widowControl/>
              <w:spacing w:line="400" w:lineRule="exact"/>
              <w:jc w:val="center"/>
              <w:rPr>
                <w:bCs/>
                <w:color w:val="000000"/>
                <w:kern w:val="0"/>
                <w:szCs w:val="21"/>
              </w:rPr>
            </w:pPr>
            <w:r>
              <w:rPr>
                <w:bCs/>
                <w:color w:val="000000"/>
                <w:kern w:val="0"/>
                <w:szCs w:val="21"/>
              </w:rPr>
              <w:t>较完善</w:t>
            </w:r>
          </w:p>
        </w:tc>
        <w:tc>
          <w:tcPr>
            <w:tcW w:w="1126" w:type="dxa"/>
            <w:vAlign w:val="center"/>
          </w:tcPr>
          <w:p>
            <w:pPr>
              <w:widowControl/>
              <w:spacing w:line="400" w:lineRule="exact"/>
              <w:jc w:val="center"/>
              <w:rPr>
                <w:bCs/>
                <w:color w:val="000000"/>
                <w:kern w:val="0"/>
                <w:szCs w:val="21"/>
              </w:rPr>
            </w:pPr>
            <w:r>
              <w:rPr>
                <w:bCs/>
                <w:color w:val="000000"/>
                <w:kern w:val="0"/>
                <w:szCs w:val="21"/>
              </w:rPr>
              <w:t>一般</w:t>
            </w:r>
          </w:p>
        </w:tc>
        <w:tc>
          <w:tcPr>
            <w:tcW w:w="1126" w:type="dxa"/>
            <w:vAlign w:val="center"/>
          </w:tcPr>
          <w:p>
            <w:pPr>
              <w:widowControl/>
              <w:spacing w:line="400" w:lineRule="exact"/>
              <w:jc w:val="center"/>
              <w:rPr>
                <w:bCs/>
                <w:color w:val="000000"/>
                <w:kern w:val="0"/>
                <w:szCs w:val="21"/>
              </w:rPr>
            </w:pPr>
            <w:r>
              <w:rPr>
                <w:bCs/>
                <w:color w:val="000000"/>
                <w:kern w:val="0"/>
                <w:szCs w:val="21"/>
              </w:rPr>
              <w:t>较差</w:t>
            </w:r>
          </w:p>
        </w:tc>
        <w:tc>
          <w:tcPr>
            <w:tcW w:w="1047" w:type="dxa"/>
            <w:vAlign w:val="center"/>
          </w:tcPr>
          <w:p>
            <w:pPr>
              <w:widowControl/>
              <w:spacing w:line="400" w:lineRule="exact"/>
              <w:jc w:val="center"/>
              <w:rPr>
                <w:bCs/>
                <w:color w:val="000000"/>
                <w:kern w:val="0"/>
                <w:szCs w:val="21"/>
              </w:rPr>
            </w:pPr>
            <w:r>
              <w:rPr>
                <w:bCs/>
                <w:color w:val="000000"/>
                <w:kern w:val="0"/>
                <w:szCs w:val="21"/>
              </w:rPr>
              <w:t>差</w:t>
            </w:r>
          </w:p>
        </w:tc>
      </w:tr>
    </w:tbl>
    <w:p>
      <w:pPr>
        <w:pStyle w:val="131"/>
        <w:spacing w:beforeLines="50" w:afterLines="50"/>
        <w:ind w:firstLine="0" w:firstLineChars="0"/>
        <w:rPr>
          <w:rFonts w:ascii="Times New Roman" w:hAnsi="Times New Roman"/>
          <w:sz w:val="24"/>
        </w:rPr>
      </w:pPr>
      <w:r>
        <w:rPr>
          <w:rFonts w:ascii="Times New Roman" w:hAnsi="Times New Roman"/>
          <w:sz w:val="24"/>
        </w:rPr>
        <w:t>表</w:t>
      </w:r>
      <w:r>
        <w:rPr>
          <w:rFonts w:ascii="Times New Roman" w:hAnsi="Times New Roman"/>
          <w:sz w:val="24"/>
          <w:szCs w:val="22"/>
        </w:rPr>
        <w:t>4</w:t>
      </w:r>
      <w:r>
        <w:rPr>
          <w:rFonts w:ascii="Times New Roman" w:hAnsi="Times New Roman"/>
          <w:sz w:val="24"/>
        </w:rPr>
        <w:t>-6-</w:t>
      </w:r>
      <w:r>
        <w:rPr>
          <w:rFonts w:hint="eastAsia" w:ascii="Times New Roman" w:hAnsi="Times New Roman"/>
          <w:sz w:val="24"/>
        </w:rPr>
        <w:t>9</w:t>
      </w:r>
      <w:r>
        <w:rPr>
          <w:rFonts w:ascii="Times New Roman" w:hAnsi="Times New Roman"/>
          <w:sz w:val="24"/>
        </w:rPr>
        <w:t xml:space="preserve">  Ⅰ级公共管理与公共服务二类用地宗地地价区域因素修正系数表</w:t>
      </w:r>
    </w:p>
    <w:tbl>
      <w:tblPr>
        <w:tblW w:w="9271" w:type="dxa"/>
        <w:jc w:val="center"/>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010"/>
        <w:gridCol w:w="861"/>
        <w:gridCol w:w="849"/>
        <w:gridCol w:w="1163"/>
        <w:gridCol w:w="821"/>
        <w:gridCol w:w="712"/>
        <w:gridCol w:w="712"/>
        <w:gridCol w:w="712"/>
        <w:gridCol w:w="785"/>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blHeader/>
          <w:jc w:val="center"/>
        </w:trPr>
        <w:tc>
          <w:tcPr>
            <w:tcW w:w="861" w:type="dxa"/>
            <w:vAlign w:val="center"/>
          </w:tcPr>
          <w:p>
            <w:pPr>
              <w:spacing w:line="400" w:lineRule="exact"/>
              <w:jc w:val="center"/>
              <w:rPr>
                <w:b/>
                <w:bCs/>
                <w:szCs w:val="21"/>
              </w:rPr>
            </w:pPr>
            <w:r>
              <w:rPr>
                <w:b/>
                <w:bCs/>
                <w:szCs w:val="21"/>
              </w:rPr>
              <w:t>因素层</w:t>
            </w:r>
          </w:p>
        </w:tc>
        <w:tc>
          <w:tcPr>
            <w:tcW w:w="1010" w:type="dxa"/>
            <w:vAlign w:val="center"/>
          </w:tcPr>
          <w:p>
            <w:pPr>
              <w:spacing w:line="400" w:lineRule="exact"/>
              <w:jc w:val="center"/>
              <w:rPr>
                <w:b/>
                <w:bCs/>
                <w:szCs w:val="21"/>
              </w:rPr>
            </w:pPr>
            <w:r>
              <w:rPr>
                <w:b/>
                <w:bCs/>
                <w:szCs w:val="21"/>
              </w:rPr>
              <w:t>权重</w:t>
            </w:r>
          </w:p>
        </w:tc>
        <w:tc>
          <w:tcPr>
            <w:tcW w:w="861" w:type="dxa"/>
            <w:vAlign w:val="center"/>
          </w:tcPr>
          <w:p>
            <w:pPr>
              <w:spacing w:line="400" w:lineRule="exact"/>
              <w:jc w:val="center"/>
              <w:rPr>
                <w:b/>
                <w:bCs/>
                <w:szCs w:val="21"/>
              </w:rPr>
            </w:pPr>
            <w:r>
              <w:rPr>
                <w:b/>
                <w:bCs/>
                <w:szCs w:val="21"/>
              </w:rPr>
              <w:t>因子层</w:t>
            </w:r>
          </w:p>
        </w:tc>
        <w:tc>
          <w:tcPr>
            <w:tcW w:w="849" w:type="dxa"/>
            <w:vAlign w:val="center"/>
          </w:tcPr>
          <w:p>
            <w:pPr>
              <w:spacing w:line="400" w:lineRule="exact"/>
              <w:jc w:val="center"/>
              <w:rPr>
                <w:b/>
                <w:bCs/>
                <w:szCs w:val="21"/>
              </w:rPr>
            </w:pPr>
            <w:r>
              <w:rPr>
                <w:b/>
                <w:bCs/>
                <w:szCs w:val="21"/>
              </w:rPr>
              <w:t>权重</w:t>
            </w:r>
          </w:p>
        </w:tc>
        <w:tc>
          <w:tcPr>
            <w:tcW w:w="1163" w:type="dxa"/>
            <w:vAlign w:val="center"/>
          </w:tcPr>
          <w:p>
            <w:pPr>
              <w:spacing w:line="400" w:lineRule="exact"/>
              <w:jc w:val="center"/>
              <w:rPr>
                <w:b/>
                <w:bCs/>
                <w:szCs w:val="21"/>
              </w:rPr>
            </w:pPr>
            <w:r>
              <w:rPr>
                <w:b/>
                <w:bCs/>
                <w:szCs w:val="21"/>
              </w:rPr>
              <w:t>指标层</w:t>
            </w:r>
          </w:p>
        </w:tc>
        <w:tc>
          <w:tcPr>
            <w:tcW w:w="821" w:type="dxa"/>
            <w:vAlign w:val="center"/>
          </w:tcPr>
          <w:p>
            <w:pPr>
              <w:spacing w:line="400" w:lineRule="exact"/>
              <w:jc w:val="center"/>
              <w:rPr>
                <w:b/>
                <w:bCs/>
                <w:szCs w:val="21"/>
              </w:rPr>
            </w:pPr>
            <w:r>
              <w:rPr>
                <w:b/>
                <w:bCs/>
                <w:szCs w:val="21"/>
              </w:rPr>
              <w:t>权重</w:t>
            </w:r>
          </w:p>
        </w:tc>
        <w:tc>
          <w:tcPr>
            <w:tcW w:w="712" w:type="dxa"/>
            <w:vAlign w:val="center"/>
          </w:tcPr>
          <w:p>
            <w:pPr>
              <w:spacing w:line="400" w:lineRule="exact"/>
              <w:jc w:val="center"/>
              <w:rPr>
                <w:b/>
                <w:bCs/>
                <w:szCs w:val="21"/>
              </w:rPr>
            </w:pPr>
            <w:r>
              <w:rPr>
                <w:b/>
                <w:bCs/>
                <w:szCs w:val="21"/>
              </w:rPr>
              <w:t>优</w:t>
            </w:r>
          </w:p>
        </w:tc>
        <w:tc>
          <w:tcPr>
            <w:tcW w:w="712" w:type="dxa"/>
            <w:vAlign w:val="center"/>
          </w:tcPr>
          <w:p>
            <w:pPr>
              <w:spacing w:line="400" w:lineRule="exact"/>
              <w:jc w:val="center"/>
              <w:rPr>
                <w:b/>
                <w:bCs/>
                <w:szCs w:val="21"/>
              </w:rPr>
            </w:pPr>
            <w:r>
              <w:rPr>
                <w:b/>
                <w:bCs/>
                <w:szCs w:val="21"/>
              </w:rPr>
              <w:t>较优</w:t>
            </w:r>
          </w:p>
        </w:tc>
        <w:tc>
          <w:tcPr>
            <w:tcW w:w="712" w:type="dxa"/>
            <w:vAlign w:val="center"/>
          </w:tcPr>
          <w:p>
            <w:pPr>
              <w:spacing w:line="400" w:lineRule="exact"/>
              <w:jc w:val="center"/>
              <w:rPr>
                <w:b/>
                <w:bCs/>
                <w:szCs w:val="21"/>
              </w:rPr>
            </w:pPr>
            <w:r>
              <w:rPr>
                <w:b/>
                <w:bCs/>
                <w:szCs w:val="21"/>
              </w:rPr>
              <w:t>一般</w:t>
            </w:r>
          </w:p>
        </w:tc>
        <w:tc>
          <w:tcPr>
            <w:tcW w:w="785" w:type="dxa"/>
            <w:vAlign w:val="center"/>
          </w:tcPr>
          <w:p>
            <w:pPr>
              <w:spacing w:line="400" w:lineRule="exact"/>
              <w:jc w:val="center"/>
              <w:rPr>
                <w:b/>
                <w:bCs/>
                <w:szCs w:val="21"/>
              </w:rPr>
            </w:pPr>
            <w:r>
              <w:rPr>
                <w:b/>
                <w:bCs/>
                <w:szCs w:val="21"/>
              </w:rPr>
              <w:t>较劣</w:t>
            </w:r>
          </w:p>
        </w:tc>
        <w:tc>
          <w:tcPr>
            <w:tcW w:w="785"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861" w:type="dxa"/>
            <w:vMerge w:val="restart"/>
            <w:vAlign w:val="center"/>
          </w:tcPr>
          <w:p>
            <w:pPr>
              <w:widowControl/>
              <w:spacing w:line="400" w:lineRule="exact"/>
              <w:jc w:val="center"/>
              <w:rPr>
                <w:bCs/>
                <w:color w:val="000000"/>
                <w:kern w:val="0"/>
                <w:szCs w:val="21"/>
              </w:rPr>
            </w:pPr>
            <w:r>
              <w:rPr>
                <w:bCs/>
                <w:color w:val="000000"/>
                <w:kern w:val="0"/>
                <w:szCs w:val="21"/>
              </w:rPr>
              <w:t>基本设施状况</w:t>
            </w:r>
          </w:p>
        </w:tc>
        <w:tc>
          <w:tcPr>
            <w:tcW w:w="1010" w:type="dxa"/>
            <w:vMerge w:val="restart"/>
            <w:vAlign w:val="center"/>
          </w:tcPr>
          <w:p>
            <w:pPr>
              <w:widowControl/>
              <w:spacing w:line="400" w:lineRule="exact"/>
              <w:jc w:val="center"/>
              <w:rPr>
                <w:bCs/>
                <w:color w:val="000000"/>
                <w:kern w:val="0"/>
                <w:szCs w:val="21"/>
              </w:rPr>
            </w:pPr>
            <w:r>
              <w:rPr>
                <w:bCs/>
                <w:color w:val="000000"/>
                <w:kern w:val="0"/>
                <w:szCs w:val="21"/>
              </w:rPr>
              <w:t>0.3354</w:t>
            </w:r>
          </w:p>
        </w:tc>
        <w:tc>
          <w:tcPr>
            <w:tcW w:w="861" w:type="dxa"/>
            <w:vMerge w:val="restart"/>
            <w:vAlign w:val="center"/>
          </w:tcPr>
          <w:p>
            <w:pPr>
              <w:widowControl/>
              <w:spacing w:line="400" w:lineRule="exact"/>
              <w:jc w:val="center"/>
              <w:rPr>
                <w:bCs/>
                <w:color w:val="000000"/>
                <w:kern w:val="0"/>
                <w:szCs w:val="21"/>
              </w:rPr>
            </w:pPr>
            <w:r>
              <w:rPr>
                <w:bCs/>
                <w:color w:val="000000"/>
                <w:kern w:val="0"/>
                <w:szCs w:val="21"/>
              </w:rPr>
              <w:t>基础设施完善度</w:t>
            </w:r>
          </w:p>
        </w:tc>
        <w:tc>
          <w:tcPr>
            <w:tcW w:w="849" w:type="dxa"/>
            <w:vMerge w:val="restart"/>
            <w:vAlign w:val="center"/>
          </w:tcPr>
          <w:p>
            <w:pPr>
              <w:widowControl/>
              <w:spacing w:line="400" w:lineRule="exact"/>
              <w:jc w:val="center"/>
              <w:rPr>
                <w:bCs/>
                <w:color w:val="000000"/>
                <w:kern w:val="0"/>
                <w:szCs w:val="21"/>
              </w:rPr>
            </w:pPr>
            <w:r>
              <w:rPr>
                <w:bCs/>
                <w:color w:val="000000"/>
                <w:kern w:val="0"/>
                <w:szCs w:val="21"/>
              </w:rPr>
              <w:t>0.3354</w:t>
            </w:r>
          </w:p>
        </w:tc>
        <w:tc>
          <w:tcPr>
            <w:tcW w:w="1163" w:type="dxa"/>
            <w:vAlign w:val="center"/>
          </w:tcPr>
          <w:p>
            <w:pPr>
              <w:widowControl/>
              <w:spacing w:line="400" w:lineRule="exact"/>
              <w:jc w:val="center"/>
              <w:rPr>
                <w:bCs/>
                <w:color w:val="000000"/>
                <w:kern w:val="0"/>
                <w:szCs w:val="21"/>
              </w:rPr>
            </w:pPr>
            <w:r>
              <w:rPr>
                <w:bCs/>
                <w:color w:val="000000"/>
                <w:kern w:val="0"/>
                <w:szCs w:val="21"/>
              </w:rPr>
              <w:t>排水状况</w:t>
            </w:r>
          </w:p>
        </w:tc>
        <w:tc>
          <w:tcPr>
            <w:tcW w:w="821" w:type="dxa"/>
            <w:vAlign w:val="center"/>
          </w:tcPr>
          <w:p>
            <w:pPr>
              <w:widowControl/>
              <w:spacing w:line="400" w:lineRule="exact"/>
              <w:jc w:val="center"/>
              <w:rPr>
                <w:bCs/>
                <w:color w:val="000000"/>
                <w:kern w:val="0"/>
                <w:szCs w:val="21"/>
              </w:rPr>
            </w:pPr>
            <w:r>
              <w:rPr>
                <w:bCs/>
                <w:color w:val="000000"/>
                <w:kern w:val="0"/>
                <w:szCs w:val="21"/>
              </w:rPr>
              <w:t>0.0838</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1.672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0.836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-0.805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-1.611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861" w:type="dxa"/>
            <w:vMerge w:val="continue"/>
            <w:vAlign w:val="center"/>
          </w:tcPr>
          <w:p>
            <w:pPr>
              <w:widowControl/>
              <w:spacing w:line="400" w:lineRule="exact"/>
              <w:jc w:val="center"/>
              <w:rPr>
                <w:bCs/>
                <w:color w:val="000000"/>
                <w:kern w:val="0"/>
                <w:szCs w:val="21"/>
              </w:rPr>
            </w:pPr>
          </w:p>
        </w:tc>
        <w:tc>
          <w:tcPr>
            <w:tcW w:w="1010" w:type="dxa"/>
            <w:vMerge w:val="continue"/>
            <w:vAlign w:val="center"/>
          </w:tcPr>
          <w:p>
            <w:pPr>
              <w:widowControl/>
              <w:spacing w:line="400" w:lineRule="exact"/>
              <w:jc w:val="center"/>
              <w:rPr>
                <w:bCs/>
                <w:color w:val="000000"/>
                <w:kern w:val="0"/>
                <w:szCs w:val="21"/>
              </w:rPr>
            </w:pPr>
          </w:p>
        </w:tc>
        <w:tc>
          <w:tcPr>
            <w:tcW w:w="861" w:type="dxa"/>
            <w:vMerge w:val="continue"/>
            <w:vAlign w:val="center"/>
          </w:tcPr>
          <w:p>
            <w:pPr>
              <w:widowControl/>
              <w:spacing w:line="400" w:lineRule="exact"/>
              <w:jc w:val="center"/>
              <w:rPr>
                <w:bCs/>
                <w:color w:val="000000"/>
                <w:kern w:val="0"/>
                <w:szCs w:val="21"/>
              </w:rPr>
            </w:pPr>
          </w:p>
        </w:tc>
        <w:tc>
          <w:tcPr>
            <w:tcW w:w="849" w:type="dxa"/>
            <w:vMerge w:val="continue"/>
            <w:vAlign w:val="center"/>
          </w:tcPr>
          <w:p>
            <w:pPr>
              <w:widowControl/>
              <w:spacing w:line="400" w:lineRule="exact"/>
              <w:jc w:val="center"/>
              <w:rPr>
                <w:bCs/>
                <w:color w:val="000000"/>
                <w:kern w:val="0"/>
                <w:szCs w:val="21"/>
              </w:rPr>
            </w:pPr>
          </w:p>
        </w:tc>
        <w:tc>
          <w:tcPr>
            <w:tcW w:w="1163" w:type="dxa"/>
            <w:vAlign w:val="center"/>
          </w:tcPr>
          <w:p>
            <w:pPr>
              <w:widowControl/>
              <w:spacing w:line="400" w:lineRule="exact"/>
              <w:jc w:val="center"/>
              <w:rPr>
                <w:bCs/>
                <w:color w:val="000000"/>
                <w:kern w:val="0"/>
                <w:szCs w:val="21"/>
              </w:rPr>
            </w:pPr>
            <w:r>
              <w:rPr>
                <w:bCs/>
                <w:color w:val="000000"/>
                <w:kern w:val="0"/>
                <w:szCs w:val="21"/>
              </w:rPr>
              <w:t>供水状况</w:t>
            </w:r>
          </w:p>
        </w:tc>
        <w:tc>
          <w:tcPr>
            <w:tcW w:w="821" w:type="dxa"/>
            <w:vAlign w:val="center"/>
          </w:tcPr>
          <w:p>
            <w:pPr>
              <w:widowControl/>
              <w:spacing w:line="400" w:lineRule="exact"/>
              <w:jc w:val="center"/>
              <w:rPr>
                <w:bCs/>
                <w:color w:val="000000"/>
                <w:kern w:val="0"/>
                <w:szCs w:val="21"/>
              </w:rPr>
            </w:pPr>
            <w:r>
              <w:rPr>
                <w:bCs/>
                <w:color w:val="000000"/>
                <w:kern w:val="0"/>
                <w:szCs w:val="21"/>
              </w:rPr>
              <w:t>0.0838</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1.672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0.836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-0.805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-1.611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861" w:type="dxa"/>
            <w:vMerge w:val="continue"/>
            <w:vAlign w:val="center"/>
          </w:tcPr>
          <w:p>
            <w:pPr>
              <w:widowControl/>
              <w:spacing w:line="400" w:lineRule="exact"/>
              <w:jc w:val="center"/>
              <w:rPr>
                <w:bCs/>
                <w:color w:val="000000"/>
                <w:kern w:val="0"/>
                <w:szCs w:val="21"/>
              </w:rPr>
            </w:pPr>
          </w:p>
        </w:tc>
        <w:tc>
          <w:tcPr>
            <w:tcW w:w="1010" w:type="dxa"/>
            <w:vMerge w:val="continue"/>
            <w:vAlign w:val="center"/>
          </w:tcPr>
          <w:p>
            <w:pPr>
              <w:widowControl/>
              <w:spacing w:line="400" w:lineRule="exact"/>
              <w:jc w:val="center"/>
              <w:rPr>
                <w:bCs/>
                <w:color w:val="000000"/>
                <w:kern w:val="0"/>
                <w:szCs w:val="21"/>
              </w:rPr>
            </w:pPr>
          </w:p>
        </w:tc>
        <w:tc>
          <w:tcPr>
            <w:tcW w:w="861" w:type="dxa"/>
            <w:vMerge w:val="continue"/>
            <w:vAlign w:val="center"/>
          </w:tcPr>
          <w:p>
            <w:pPr>
              <w:widowControl/>
              <w:spacing w:line="400" w:lineRule="exact"/>
              <w:jc w:val="center"/>
              <w:rPr>
                <w:bCs/>
                <w:color w:val="000000"/>
                <w:kern w:val="0"/>
                <w:szCs w:val="21"/>
              </w:rPr>
            </w:pPr>
          </w:p>
        </w:tc>
        <w:tc>
          <w:tcPr>
            <w:tcW w:w="849" w:type="dxa"/>
            <w:vMerge w:val="continue"/>
            <w:vAlign w:val="center"/>
          </w:tcPr>
          <w:p>
            <w:pPr>
              <w:widowControl/>
              <w:spacing w:line="400" w:lineRule="exact"/>
              <w:jc w:val="center"/>
              <w:rPr>
                <w:bCs/>
                <w:color w:val="000000"/>
                <w:kern w:val="0"/>
                <w:szCs w:val="21"/>
              </w:rPr>
            </w:pPr>
          </w:p>
        </w:tc>
        <w:tc>
          <w:tcPr>
            <w:tcW w:w="1163" w:type="dxa"/>
            <w:vAlign w:val="center"/>
          </w:tcPr>
          <w:p>
            <w:pPr>
              <w:widowControl/>
              <w:spacing w:line="400" w:lineRule="exact"/>
              <w:jc w:val="center"/>
              <w:rPr>
                <w:bCs/>
                <w:color w:val="000000"/>
                <w:kern w:val="0"/>
                <w:szCs w:val="21"/>
              </w:rPr>
            </w:pPr>
            <w:r>
              <w:rPr>
                <w:bCs/>
                <w:color w:val="000000"/>
                <w:kern w:val="0"/>
                <w:szCs w:val="21"/>
              </w:rPr>
              <w:t>供电状况</w:t>
            </w:r>
          </w:p>
        </w:tc>
        <w:tc>
          <w:tcPr>
            <w:tcW w:w="821" w:type="dxa"/>
            <w:vAlign w:val="center"/>
          </w:tcPr>
          <w:p>
            <w:pPr>
              <w:widowControl/>
              <w:spacing w:line="400" w:lineRule="exact"/>
              <w:jc w:val="center"/>
              <w:rPr>
                <w:bCs/>
                <w:color w:val="000000"/>
                <w:kern w:val="0"/>
                <w:szCs w:val="21"/>
              </w:rPr>
            </w:pPr>
            <w:r>
              <w:rPr>
                <w:bCs/>
                <w:color w:val="000000"/>
                <w:kern w:val="0"/>
                <w:szCs w:val="21"/>
              </w:rPr>
              <w:t>0.0839</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1.674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0.837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-0.806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-1.613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861" w:type="dxa"/>
            <w:vMerge w:val="continue"/>
            <w:vAlign w:val="center"/>
          </w:tcPr>
          <w:p>
            <w:pPr>
              <w:widowControl/>
              <w:spacing w:line="400" w:lineRule="exact"/>
              <w:jc w:val="center"/>
              <w:rPr>
                <w:bCs/>
                <w:color w:val="000000"/>
                <w:kern w:val="0"/>
                <w:szCs w:val="21"/>
              </w:rPr>
            </w:pPr>
          </w:p>
        </w:tc>
        <w:tc>
          <w:tcPr>
            <w:tcW w:w="1010" w:type="dxa"/>
            <w:vMerge w:val="continue"/>
            <w:vAlign w:val="center"/>
          </w:tcPr>
          <w:p>
            <w:pPr>
              <w:widowControl/>
              <w:spacing w:line="400" w:lineRule="exact"/>
              <w:jc w:val="center"/>
              <w:rPr>
                <w:bCs/>
                <w:color w:val="000000"/>
                <w:kern w:val="0"/>
                <w:szCs w:val="21"/>
              </w:rPr>
            </w:pPr>
          </w:p>
        </w:tc>
        <w:tc>
          <w:tcPr>
            <w:tcW w:w="861" w:type="dxa"/>
            <w:vMerge w:val="continue"/>
            <w:vAlign w:val="center"/>
          </w:tcPr>
          <w:p>
            <w:pPr>
              <w:widowControl/>
              <w:spacing w:line="400" w:lineRule="exact"/>
              <w:jc w:val="center"/>
              <w:rPr>
                <w:bCs/>
                <w:color w:val="000000"/>
                <w:kern w:val="0"/>
                <w:szCs w:val="21"/>
              </w:rPr>
            </w:pPr>
          </w:p>
        </w:tc>
        <w:tc>
          <w:tcPr>
            <w:tcW w:w="849" w:type="dxa"/>
            <w:vMerge w:val="continue"/>
            <w:vAlign w:val="center"/>
          </w:tcPr>
          <w:p>
            <w:pPr>
              <w:widowControl/>
              <w:spacing w:line="400" w:lineRule="exact"/>
              <w:jc w:val="center"/>
              <w:rPr>
                <w:bCs/>
                <w:color w:val="000000"/>
                <w:kern w:val="0"/>
                <w:szCs w:val="21"/>
              </w:rPr>
            </w:pPr>
          </w:p>
        </w:tc>
        <w:tc>
          <w:tcPr>
            <w:tcW w:w="1163" w:type="dxa"/>
            <w:vAlign w:val="center"/>
          </w:tcPr>
          <w:p>
            <w:pPr>
              <w:widowControl/>
              <w:spacing w:line="400" w:lineRule="exact"/>
              <w:jc w:val="center"/>
              <w:rPr>
                <w:bCs/>
                <w:color w:val="000000"/>
                <w:kern w:val="0"/>
                <w:szCs w:val="21"/>
              </w:rPr>
            </w:pPr>
            <w:r>
              <w:rPr>
                <w:bCs/>
                <w:color w:val="000000"/>
                <w:kern w:val="0"/>
                <w:szCs w:val="21"/>
              </w:rPr>
              <w:t>供气状况</w:t>
            </w:r>
          </w:p>
        </w:tc>
        <w:tc>
          <w:tcPr>
            <w:tcW w:w="821" w:type="dxa"/>
            <w:vAlign w:val="center"/>
          </w:tcPr>
          <w:p>
            <w:pPr>
              <w:widowControl/>
              <w:spacing w:line="400" w:lineRule="exact"/>
              <w:jc w:val="center"/>
              <w:rPr>
                <w:bCs/>
                <w:color w:val="000000"/>
                <w:kern w:val="0"/>
                <w:szCs w:val="21"/>
              </w:rPr>
            </w:pPr>
            <w:r>
              <w:rPr>
                <w:bCs/>
                <w:color w:val="000000"/>
                <w:kern w:val="0"/>
                <w:szCs w:val="21"/>
              </w:rPr>
              <w:t>0.0839</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1.674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0.837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-0.806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-1.613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861" w:type="dxa"/>
            <w:vMerge w:val="restart"/>
            <w:vAlign w:val="center"/>
          </w:tcPr>
          <w:p>
            <w:pPr>
              <w:widowControl/>
              <w:spacing w:line="400" w:lineRule="exact"/>
              <w:jc w:val="center"/>
              <w:rPr>
                <w:bCs/>
                <w:color w:val="000000"/>
                <w:kern w:val="0"/>
                <w:szCs w:val="21"/>
              </w:rPr>
            </w:pPr>
            <w:r>
              <w:rPr>
                <w:bCs/>
                <w:color w:val="000000"/>
                <w:kern w:val="0"/>
                <w:szCs w:val="21"/>
              </w:rPr>
              <w:t>交通条件</w:t>
            </w:r>
          </w:p>
        </w:tc>
        <w:tc>
          <w:tcPr>
            <w:tcW w:w="1010" w:type="dxa"/>
            <w:vMerge w:val="restart"/>
            <w:vAlign w:val="center"/>
          </w:tcPr>
          <w:p>
            <w:pPr>
              <w:widowControl/>
              <w:spacing w:line="400" w:lineRule="exact"/>
              <w:jc w:val="center"/>
              <w:rPr>
                <w:bCs/>
                <w:color w:val="000000"/>
                <w:kern w:val="0"/>
                <w:szCs w:val="21"/>
              </w:rPr>
            </w:pPr>
            <w:r>
              <w:rPr>
                <w:bCs/>
                <w:color w:val="000000"/>
                <w:kern w:val="0"/>
                <w:szCs w:val="21"/>
              </w:rPr>
              <w:t>0.2732</w:t>
            </w:r>
          </w:p>
        </w:tc>
        <w:tc>
          <w:tcPr>
            <w:tcW w:w="861" w:type="dxa"/>
            <w:vAlign w:val="center"/>
          </w:tcPr>
          <w:p>
            <w:pPr>
              <w:widowControl/>
              <w:spacing w:line="400" w:lineRule="exact"/>
              <w:jc w:val="center"/>
              <w:rPr>
                <w:bCs/>
                <w:color w:val="000000"/>
                <w:kern w:val="0"/>
                <w:szCs w:val="21"/>
              </w:rPr>
            </w:pPr>
            <w:r>
              <w:rPr>
                <w:bCs/>
                <w:color w:val="000000"/>
                <w:kern w:val="0"/>
                <w:szCs w:val="21"/>
              </w:rPr>
              <w:t>道路通达度</w:t>
            </w:r>
          </w:p>
        </w:tc>
        <w:tc>
          <w:tcPr>
            <w:tcW w:w="849" w:type="dxa"/>
            <w:vAlign w:val="center"/>
          </w:tcPr>
          <w:p>
            <w:pPr>
              <w:widowControl/>
              <w:spacing w:line="400" w:lineRule="exact"/>
              <w:jc w:val="center"/>
              <w:rPr>
                <w:bCs/>
                <w:color w:val="000000"/>
                <w:kern w:val="0"/>
                <w:szCs w:val="21"/>
              </w:rPr>
            </w:pPr>
            <w:r>
              <w:rPr>
                <w:bCs/>
                <w:color w:val="000000"/>
                <w:kern w:val="0"/>
                <w:szCs w:val="21"/>
              </w:rPr>
              <w:t>0.1366</w:t>
            </w:r>
          </w:p>
        </w:tc>
        <w:tc>
          <w:tcPr>
            <w:tcW w:w="1163" w:type="dxa"/>
            <w:vAlign w:val="center"/>
          </w:tcPr>
          <w:p>
            <w:pPr>
              <w:widowControl/>
              <w:spacing w:line="400" w:lineRule="exact"/>
              <w:jc w:val="center"/>
              <w:rPr>
                <w:bCs/>
                <w:color w:val="000000"/>
                <w:kern w:val="0"/>
                <w:szCs w:val="21"/>
              </w:rPr>
            </w:pPr>
            <w:r>
              <w:rPr>
                <w:bCs/>
                <w:color w:val="000000"/>
                <w:kern w:val="0"/>
                <w:szCs w:val="21"/>
              </w:rPr>
              <w:t>临近道路状况</w:t>
            </w:r>
          </w:p>
        </w:tc>
        <w:tc>
          <w:tcPr>
            <w:tcW w:w="821" w:type="dxa"/>
            <w:vAlign w:val="center"/>
          </w:tcPr>
          <w:p>
            <w:pPr>
              <w:widowControl/>
              <w:spacing w:line="400" w:lineRule="exact"/>
              <w:jc w:val="center"/>
              <w:rPr>
                <w:bCs/>
                <w:color w:val="000000"/>
                <w:kern w:val="0"/>
                <w:szCs w:val="21"/>
              </w:rPr>
            </w:pPr>
            <w:r>
              <w:rPr>
                <w:bCs/>
                <w:color w:val="000000"/>
                <w:kern w:val="0"/>
                <w:szCs w:val="21"/>
              </w:rPr>
              <w:t>0.1366</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2.725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1.363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-1.313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-2.625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861" w:type="dxa"/>
            <w:vMerge w:val="continue"/>
            <w:vAlign w:val="center"/>
          </w:tcPr>
          <w:p>
            <w:pPr>
              <w:widowControl/>
              <w:spacing w:line="400" w:lineRule="exact"/>
              <w:jc w:val="center"/>
              <w:rPr>
                <w:bCs/>
                <w:color w:val="000000"/>
                <w:kern w:val="0"/>
                <w:szCs w:val="21"/>
              </w:rPr>
            </w:pPr>
          </w:p>
        </w:tc>
        <w:tc>
          <w:tcPr>
            <w:tcW w:w="1010" w:type="dxa"/>
            <w:vMerge w:val="continue"/>
            <w:vAlign w:val="center"/>
          </w:tcPr>
          <w:p>
            <w:pPr>
              <w:widowControl/>
              <w:spacing w:line="400" w:lineRule="exact"/>
              <w:jc w:val="center"/>
              <w:rPr>
                <w:bCs/>
                <w:color w:val="000000"/>
                <w:kern w:val="0"/>
                <w:szCs w:val="21"/>
              </w:rPr>
            </w:pPr>
          </w:p>
        </w:tc>
        <w:tc>
          <w:tcPr>
            <w:tcW w:w="861" w:type="dxa"/>
            <w:vAlign w:val="center"/>
          </w:tcPr>
          <w:p>
            <w:pPr>
              <w:widowControl/>
              <w:spacing w:line="400" w:lineRule="exact"/>
              <w:jc w:val="center"/>
              <w:rPr>
                <w:bCs/>
                <w:color w:val="000000"/>
                <w:kern w:val="0"/>
                <w:szCs w:val="21"/>
              </w:rPr>
            </w:pPr>
            <w:r>
              <w:rPr>
                <w:bCs/>
                <w:color w:val="000000"/>
                <w:kern w:val="0"/>
                <w:szCs w:val="21"/>
              </w:rPr>
              <w:t>公交便捷度</w:t>
            </w:r>
          </w:p>
        </w:tc>
        <w:tc>
          <w:tcPr>
            <w:tcW w:w="849" w:type="dxa"/>
            <w:vAlign w:val="center"/>
          </w:tcPr>
          <w:p>
            <w:pPr>
              <w:widowControl/>
              <w:spacing w:line="400" w:lineRule="exact"/>
              <w:jc w:val="center"/>
              <w:rPr>
                <w:bCs/>
                <w:color w:val="000000"/>
                <w:kern w:val="0"/>
                <w:szCs w:val="21"/>
              </w:rPr>
            </w:pPr>
            <w:r>
              <w:rPr>
                <w:bCs/>
                <w:color w:val="000000"/>
                <w:kern w:val="0"/>
                <w:szCs w:val="21"/>
              </w:rPr>
              <w:t>0.1366</w:t>
            </w:r>
          </w:p>
        </w:tc>
        <w:tc>
          <w:tcPr>
            <w:tcW w:w="1163" w:type="dxa"/>
            <w:vAlign w:val="center"/>
          </w:tcPr>
          <w:p>
            <w:pPr>
              <w:widowControl/>
              <w:spacing w:line="400" w:lineRule="exact"/>
              <w:jc w:val="center"/>
              <w:rPr>
                <w:bCs/>
                <w:color w:val="000000"/>
                <w:kern w:val="0"/>
                <w:szCs w:val="21"/>
              </w:rPr>
            </w:pPr>
            <w:r>
              <w:rPr>
                <w:bCs/>
                <w:color w:val="000000"/>
                <w:kern w:val="0"/>
                <w:szCs w:val="21"/>
              </w:rPr>
              <w:t>距最近公交站点距离</w:t>
            </w:r>
          </w:p>
        </w:tc>
        <w:tc>
          <w:tcPr>
            <w:tcW w:w="821" w:type="dxa"/>
            <w:vAlign w:val="center"/>
          </w:tcPr>
          <w:p>
            <w:pPr>
              <w:widowControl/>
              <w:spacing w:line="400" w:lineRule="exact"/>
              <w:jc w:val="center"/>
              <w:rPr>
                <w:bCs/>
                <w:color w:val="000000"/>
                <w:kern w:val="0"/>
                <w:szCs w:val="21"/>
              </w:rPr>
            </w:pPr>
            <w:r>
              <w:rPr>
                <w:bCs/>
                <w:color w:val="000000"/>
                <w:kern w:val="0"/>
                <w:szCs w:val="21"/>
              </w:rPr>
              <w:t>0.1366</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2.725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1.363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-1.313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-2.625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861" w:type="dxa"/>
            <w:vAlign w:val="center"/>
          </w:tcPr>
          <w:p>
            <w:pPr>
              <w:widowControl/>
              <w:spacing w:line="400" w:lineRule="exact"/>
              <w:jc w:val="center"/>
              <w:rPr>
                <w:bCs/>
                <w:color w:val="000000"/>
                <w:kern w:val="0"/>
                <w:szCs w:val="21"/>
              </w:rPr>
            </w:pPr>
            <w:r>
              <w:rPr>
                <w:bCs/>
                <w:color w:val="000000"/>
                <w:kern w:val="0"/>
                <w:szCs w:val="21"/>
              </w:rPr>
              <w:t>人口状况</w:t>
            </w:r>
          </w:p>
        </w:tc>
        <w:tc>
          <w:tcPr>
            <w:tcW w:w="1010" w:type="dxa"/>
            <w:vAlign w:val="center"/>
          </w:tcPr>
          <w:p>
            <w:pPr>
              <w:widowControl/>
              <w:spacing w:line="400" w:lineRule="exact"/>
              <w:jc w:val="center"/>
              <w:rPr>
                <w:bCs/>
                <w:color w:val="000000"/>
                <w:kern w:val="0"/>
                <w:szCs w:val="21"/>
              </w:rPr>
            </w:pPr>
            <w:r>
              <w:rPr>
                <w:bCs/>
                <w:color w:val="000000"/>
                <w:kern w:val="0"/>
                <w:szCs w:val="21"/>
              </w:rPr>
              <w:t>0.0886</w:t>
            </w:r>
          </w:p>
        </w:tc>
        <w:tc>
          <w:tcPr>
            <w:tcW w:w="861" w:type="dxa"/>
            <w:vAlign w:val="center"/>
          </w:tcPr>
          <w:p>
            <w:pPr>
              <w:widowControl/>
              <w:spacing w:line="400" w:lineRule="exact"/>
              <w:jc w:val="center"/>
              <w:rPr>
                <w:bCs/>
                <w:color w:val="000000"/>
                <w:kern w:val="0"/>
                <w:szCs w:val="21"/>
              </w:rPr>
            </w:pPr>
            <w:r>
              <w:rPr>
                <w:bCs/>
                <w:color w:val="000000"/>
                <w:kern w:val="0"/>
                <w:szCs w:val="21"/>
              </w:rPr>
              <w:t>人口密度</w:t>
            </w:r>
          </w:p>
        </w:tc>
        <w:tc>
          <w:tcPr>
            <w:tcW w:w="849" w:type="dxa"/>
            <w:vAlign w:val="center"/>
          </w:tcPr>
          <w:p>
            <w:pPr>
              <w:widowControl/>
              <w:spacing w:line="400" w:lineRule="exact"/>
              <w:jc w:val="center"/>
              <w:rPr>
                <w:bCs/>
                <w:color w:val="000000"/>
                <w:kern w:val="0"/>
                <w:szCs w:val="21"/>
              </w:rPr>
            </w:pPr>
            <w:r>
              <w:rPr>
                <w:bCs/>
                <w:color w:val="000000"/>
                <w:kern w:val="0"/>
                <w:szCs w:val="21"/>
              </w:rPr>
              <w:t>0.0886</w:t>
            </w:r>
          </w:p>
        </w:tc>
        <w:tc>
          <w:tcPr>
            <w:tcW w:w="1163" w:type="dxa"/>
            <w:vAlign w:val="center"/>
          </w:tcPr>
          <w:p>
            <w:pPr>
              <w:widowControl/>
              <w:spacing w:line="400" w:lineRule="exact"/>
              <w:jc w:val="center"/>
              <w:rPr>
                <w:bCs/>
                <w:color w:val="000000"/>
                <w:kern w:val="0"/>
                <w:szCs w:val="21"/>
              </w:rPr>
            </w:pPr>
            <w:r>
              <w:rPr>
                <w:bCs/>
                <w:color w:val="000000"/>
                <w:kern w:val="0"/>
                <w:szCs w:val="21"/>
              </w:rPr>
              <w:t>人口密度</w:t>
            </w:r>
          </w:p>
        </w:tc>
        <w:tc>
          <w:tcPr>
            <w:tcW w:w="821" w:type="dxa"/>
            <w:vAlign w:val="center"/>
          </w:tcPr>
          <w:p>
            <w:pPr>
              <w:widowControl/>
              <w:spacing w:line="400" w:lineRule="exact"/>
              <w:jc w:val="center"/>
              <w:rPr>
                <w:bCs/>
                <w:color w:val="000000"/>
                <w:kern w:val="0"/>
                <w:szCs w:val="21"/>
              </w:rPr>
            </w:pPr>
            <w:r>
              <w:rPr>
                <w:bCs/>
                <w:color w:val="000000"/>
                <w:kern w:val="0"/>
                <w:szCs w:val="21"/>
              </w:rPr>
              <w:t>0.0886</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1.768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0.884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-0.851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-1.703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861" w:type="dxa"/>
            <w:vMerge w:val="restart"/>
            <w:vAlign w:val="center"/>
          </w:tcPr>
          <w:p>
            <w:pPr>
              <w:widowControl/>
              <w:spacing w:line="400" w:lineRule="exact"/>
              <w:jc w:val="center"/>
              <w:rPr>
                <w:bCs/>
                <w:color w:val="000000"/>
                <w:kern w:val="0"/>
                <w:szCs w:val="21"/>
              </w:rPr>
            </w:pPr>
            <w:r>
              <w:rPr>
                <w:bCs/>
                <w:color w:val="000000"/>
                <w:kern w:val="0"/>
                <w:szCs w:val="21"/>
              </w:rPr>
              <w:t>环境条件</w:t>
            </w:r>
          </w:p>
        </w:tc>
        <w:tc>
          <w:tcPr>
            <w:tcW w:w="1010" w:type="dxa"/>
            <w:vMerge w:val="restart"/>
            <w:vAlign w:val="center"/>
          </w:tcPr>
          <w:p>
            <w:pPr>
              <w:widowControl/>
              <w:spacing w:line="400" w:lineRule="exact"/>
              <w:jc w:val="center"/>
              <w:rPr>
                <w:bCs/>
                <w:color w:val="000000"/>
                <w:kern w:val="0"/>
                <w:szCs w:val="21"/>
              </w:rPr>
            </w:pPr>
            <w:r>
              <w:rPr>
                <w:bCs/>
                <w:color w:val="000000"/>
                <w:kern w:val="0"/>
                <w:szCs w:val="21"/>
              </w:rPr>
              <w:t>0.2014</w:t>
            </w:r>
          </w:p>
        </w:tc>
        <w:tc>
          <w:tcPr>
            <w:tcW w:w="861" w:type="dxa"/>
            <w:vMerge w:val="restart"/>
            <w:vAlign w:val="center"/>
          </w:tcPr>
          <w:p>
            <w:pPr>
              <w:widowControl/>
              <w:spacing w:line="400" w:lineRule="exact"/>
              <w:jc w:val="center"/>
              <w:rPr>
                <w:bCs/>
                <w:color w:val="000000"/>
                <w:kern w:val="0"/>
                <w:szCs w:val="21"/>
              </w:rPr>
            </w:pPr>
            <w:r>
              <w:rPr>
                <w:bCs/>
                <w:color w:val="000000"/>
                <w:kern w:val="0"/>
                <w:szCs w:val="21"/>
              </w:rPr>
              <w:t>自然条件优劣度</w:t>
            </w:r>
          </w:p>
        </w:tc>
        <w:tc>
          <w:tcPr>
            <w:tcW w:w="849" w:type="dxa"/>
            <w:vMerge w:val="restart"/>
            <w:vAlign w:val="center"/>
          </w:tcPr>
          <w:p>
            <w:pPr>
              <w:widowControl/>
              <w:spacing w:line="400" w:lineRule="exact"/>
              <w:jc w:val="center"/>
              <w:rPr>
                <w:bCs/>
                <w:color w:val="000000"/>
                <w:kern w:val="0"/>
                <w:szCs w:val="21"/>
              </w:rPr>
            </w:pPr>
            <w:r>
              <w:rPr>
                <w:bCs/>
                <w:color w:val="000000"/>
                <w:kern w:val="0"/>
                <w:szCs w:val="21"/>
              </w:rPr>
              <w:t>0.2014</w:t>
            </w:r>
          </w:p>
        </w:tc>
        <w:tc>
          <w:tcPr>
            <w:tcW w:w="1163" w:type="dxa"/>
            <w:vAlign w:val="center"/>
          </w:tcPr>
          <w:p>
            <w:pPr>
              <w:widowControl/>
              <w:spacing w:line="400" w:lineRule="exact"/>
              <w:jc w:val="center"/>
              <w:rPr>
                <w:bCs/>
                <w:color w:val="000000"/>
                <w:kern w:val="0"/>
                <w:szCs w:val="21"/>
              </w:rPr>
            </w:pPr>
            <w:r>
              <w:rPr>
                <w:bCs/>
                <w:color w:val="000000"/>
                <w:kern w:val="0"/>
                <w:szCs w:val="21"/>
              </w:rPr>
              <w:t>地形状况</w:t>
            </w:r>
          </w:p>
        </w:tc>
        <w:tc>
          <w:tcPr>
            <w:tcW w:w="821" w:type="dxa"/>
            <w:vAlign w:val="center"/>
          </w:tcPr>
          <w:p>
            <w:pPr>
              <w:widowControl/>
              <w:spacing w:line="400" w:lineRule="exact"/>
              <w:jc w:val="center"/>
              <w:rPr>
                <w:bCs/>
                <w:color w:val="000000"/>
                <w:kern w:val="0"/>
                <w:szCs w:val="21"/>
              </w:rPr>
            </w:pPr>
            <w:r>
              <w:rPr>
                <w:bCs/>
                <w:color w:val="000000"/>
                <w:kern w:val="0"/>
                <w:szCs w:val="21"/>
              </w:rPr>
              <w:t>0.1007</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2.009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1.004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-0.968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-1.935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861" w:type="dxa"/>
            <w:vMerge w:val="continue"/>
            <w:vAlign w:val="center"/>
          </w:tcPr>
          <w:p>
            <w:pPr>
              <w:widowControl/>
              <w:spacing w:line="400" w:lineRule="exact"/>
              <w:jc w:val="center"/>
              <w:rPr>
                <w:bCs/>
                <w:color w:val="000000"/>
                <w:kern w:val="0"/>
                <w:szCs w:val="21"/>
              </w:rPr>
            </w:pPr>
          </w:p>
        </w:tc>
        <w:tc>
          <w:tcPr>
            <w:tcW w:w="1010" w:type="dxa"/>
            <w:vMerge w:val="continue"/>
            <w:vAlign w:val="center"/>
          </w:tcPr>
          <w:p>
            <w:pPr>
              <w:widowControl/>
              <w:spacing w:line="400" w:lineRule="exact"/>
              <w:jc w:val="center"/>
              <w:rPr>
                <w:bCs/>
                <w:color w:val="000000"/>
                <w:kern w:val="0"/>
                <w:szCs w:val="21"/>
              </w:rPr>
            </w:pPr>
          </w:p>
        </w:tc>
        <w:tc>
          <w:tcPr>
            <w:tcW w:w="861" w:type="dxa"/>
            <w:vMerge w:val="continue"/>
            <w:vAlign w:val="center"/>
          </w:tcPr>
          <w:p>
            <w:pPr>
              <w:widowControl/>
              <w:spacing w:line="400" w:lineRule="exact"/>
              <w:jc w:val="center"/>
              <w:rPr>
                <w:bCs/>
                <w:color w:val="000000"/>
                <w:kern w:val="0"/>
                <w:szCs w:val="21"/>
              </w:rPr>
            </w:pPr>
          </w:p>
        </w:tc>
        <w:tc>
          <w:tcPr>
            <w:tcW w:w="849" w:type="dxa"/>
            <w:vMerge w:val="continue"/>
            <w:vAlign w:val="center"/>
          </w:tcPr>
          <w:p>
            <w:pPr>
              <w:widowControl/>
              <w:spacing w:line="400" w:lineRule="exact"/>
              <w:jc w:val="center"/>
              <w:rPr>
                <w:bCs/>
                <w:color w:val="000000"/>
                <w:kern w:val="0"/>
                <w:szCs w:val="21"/>
              </w:rPr>
            </w:pPr>
          </w:p>
        </w:tc>
        <w:tc>
          <w:tcPr>
            <w:tcW w:w="1163" w:type="dxa"/>
            <w:vAlign w:val="center"/>
          </w:tcPr>
          <w:p>
            <w:pPr>
              <w:widowControl/>
              <w:spacing w:line="400" w:lineRule="exact"/>
              <w:jc w:val="center"/>
              <w:rPr>
                <w:bCs/>
                <w:color w:val="000000"/>
                <w:kern w:val="0"/>
                <w:szCs w:val="21"/>
              </w:rPr>
            </w:pPr>
            <w:r>
              <w:rPr>
                <w:bCs/>
                <w:color w:val="000000"/>
                <w:kern w:val="0"/>
                <w:szCs w:val="21"/>
              </w:rPr>
              <w:t>洪水淹没状况</w:t>
            </w:r>
          </w:p>
        </w:tc>
        <w:tc>
          <w:tcPr>
            <w:tcW w:w="821" w:type="dxa"/>
            <w:vAlign w:val="center"/>
          </w:tcPr>
          <w:p>
            <w:pPr>
              <w:widowControl/>
              <w:spacing w:line="400" w:lineRule="exact"/>
              <w:jc w:val="center"/>
              <w:rPr>
                <w:bCs/>
                <w:color w:val="000000"/>
                <w:kern w:val="0"/>
                <w:szCs w:val="21"/>
              </w:rPr>
            </w:pPr>
            <w:r>
              <w:rPr>
                <w:bCs/>
                <w:color w:val="000000"/>
                <w:kern w:val="0"/>
                <w:szCs w:val="21"/>
              </w:rPr>
              <w:t>0.1007</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2.009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1.004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-0.968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-1.935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861" w:type="dxa"/>
            <w:vAlign w:val="center"/>
          </w:tcPr>
          <w:p>
            <w:pPr>
              <w:widowControl/>
              <w:spacing w:line="400" w:lineRule="exact"/>
              <w:jc w:val="center"/>
              <w:rPr>
                <w:bCs/>
                <w:color w:val="000000"/>
                <w:kern w:val="0"/>
                <w:szCs w:val="21"/>
              </w:rPr>
            </w:pPr>
            <w:r>
              <w:rPr>
                <w:bCs/>
                <w:color w:val="000000"/>
                <w:kern w:val="0"/>
                <w:szCs w:val="21"/>
              </w:rPr>
              <w:t>城市规划</w:t>
            </w:r>
          </w:p>
        </w:tc>
        <w:tc>
          <w:tcPr>
            <w:tcW w:w="1010" w:type="dxa"/>
            <w:vAlign w:val="center"/>
          </w:tcPr>
          <w:p>
            <w:pPr>
              <w:widowControl/>
              <w:spacing w:line="400" w:lineRule="exact"/>
              <w:jc w:val="center"/>
              <w:rPr>
                <w:bCs/>
                <w:color w:val="000000"/>
                <w:kern w:val="0"/>
                <w:szCs w:val="21"/>
              </w:rPr>
            </w:pPr>
            <w:r>
              <w:rPr>
                <w:bCs/>
                <w:color w:val="000000"/>
                <w:kern w:val="0"/>
                <w:szCs w:val="21"/>
              </w:rPr>
              <w:t>0.1014</w:t>
            </w:r>
          </w:p>
        </w:tc>
        <w:tc>
          <w:tcPr>
            <w:tcW w:w="861" w:type="dxa"/>
            <w:vAlign w:val="center"/>
          </w:tcPr>
          <w:p>
            <w:pPr>
              <w:widowControl/>
              <w:spacing w:line="400" w:lineRule="exact"/>
              <w:jc w:val="center"/>
              <w:rPr>
                <w:bCs/>
                <w:color w:val="000000"/>
                <w:kern w:val="0"/>
                <w:szCs w:val="21"/>
              </w:rPr>
            </w:pPr>
            <w:r>
              <w:rPr>
                <w:bCs/>
                <w:color w:val="000000"/>
                <w:kern w:val="0"/>
                <w:szCs w:val="21"/>
              </w:rPr>
              <w:t>城市规划</w:t>
            </w:r>
          </w:p>
        </w:tc>
        <w:tc>
          <w:tcPr>
            <w:tcW w:w="849" w:type="dxa"/>
            <w:vAlign w:val="center"/>
          </w:tcPr>
          <w:p>
            <w:pPr>
              <w:widowControl/>
              <w:spacing w:line="400" w:lineRule="exact"/>
              <w:jc w:val="center"/>
              <w:rPr>
                <w:bCs/>
                <w:color w:val="000000"/>
                <w:kern w:val="0"/>
                <w:szCs w:val="21"/>
              </w:rPr>
            </w:pPr>
            <w:r>
              <w:rPr>
                <w:bCs/>
                <w:color w:val="000000"/>
                <w:kern w:val="0"/>
                <w:szCs w:val="21"/>
              </w:rPr>
              <w:t>0.1014</w:t>
            </w:r>
          </w:p>
        </w:tc>
        <w:tc>
          <w:tcPr>
            <w:tcW w:w="1163" w:type="dxa"/>
            <w:vAlign w:val="center"/>
          </w:tcPr>
          <w:p>
            <w:pPr>
              <w:widowControl/>
              <w:spacing w:line="400" w:lineRule="exact"/>
              <w:jc w:val="center"/>
              <w:rPr>
                <w:bCs/>
                <w:color w:val="000000"/>
                <w:kern w:val="0"/>
                <w:szCs w:val="21"/>
              </w:rPr>
            </w:pPr>
            <w:r>
              <w:rPr>
                <w:bCs/>
                <w:color w:val="000000"/>
                <w:kern w:val="0"/>
                <w:szCs w:val="21"/>
              </w:rPr>
              <w:t>道路规划</w:t>
            </w:r>
          </w:p>
        </w:tc>
        <w:tc>
          <w:tcPr>
            <w:tcW w:w="821" w:type="dxa"/>
            <w:vAlign w:val="center"/>
          </w:tcPr>
          <w:p>
            <w:pPr>
              <w:widowControl/>
              <w:spacing w:line="400" w:lineRule="exact"/>
              <w:jc w:val="center"/>
              <w:rPr>
                <w:bCs/>
                <w:color w:val="000000"/>
                <w:kern w:val="0"/>
                <w:szCs w:val="21"/>
              </w:rPr>
            </w:pPr>
            <w:r>
              <w:rPr>
                <w:bCs/>
                <w:color w:val="000000"/>
                <w:kern w:val="0"/>
                <w:szCs w:val="21"/>
              </w:rPr>
              <w:t>0.1014</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2.023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1.011 </w:t>
            </w:r>
          </w:p>
        </w:tc>
        <w:tc>
          <w:tcPr>
            <w:tcW w:w="71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-0.974 </w:t>
            </w:r>
          </w:p>
        </w:tc>
        <w:tc>
          <w:tcPr>
            <w:tcW w:w="785" w:type="dxa"/>
            <w:vAlign w:val="center"/>
          </w:tcPr>
          <w:p>
            <w:pPr>
              <w:widowControl/>
              <w:spacing w:line="400" w:lineRule="exact"/>
              <w:jc w:val="center"/>
              <w:rPr>
                <w:bCs/>
                <w:color w:val="000000"/>
                <w:kern w:val="0"/>
                <w:szCs w:val="21"/>
              </w:rPr>
            </w:pPr>
            <w:r>
              <w:rPr>
                <w:bCs/>
                <w:color w:val="000000"/>
                <w:kern w:val="0"/>
                <w:szCs w:val="21"/>
              </w:rPr>
              <w:t xml:space="preserve">-1.949 </w:t>
            </w:r>
          </w:p>
        </w:tc>
      </w:tr>
    </w:tbl>
    <w:p>
      <w:pPr>
        <w:pStyle w:val="131"/>
        <w:spacing w:beforeLines="50" w:afterLines="50"/>
        <w:ind w:firstLine="0" w:firstLineChars="0"/>
        <w:rPr>
          <w:rFonts w:ascii="Times New Roman" w:hAnsi="Times New Roman"/>
          <w:sz w:val="24"/>
        </w:rPr>
      </w:pPr>
      <w:r>
        <w:rPr>
          <w:rFonts w:ascii="Times New Roman" w:hAnsi="Times New Roman"/>
          <w:sz w:val="24"/>
        </w:rPr>
        <w:t>表</w:t>
      </w:r>
      <w:r>
        <w:rPr>
          <w:rFonts w:ascii="Times New Roman" w:hAnsi="Times New Roman"/>
          <w:sz w:val="24"/>
          <w:szCs w:val="22"/>
        </w:rPr>
        <w:t>4</w:t>
      </w:r>
      <w:r>
        <w:rPr>
          <w:rFonts w:ascii="Times New Roman" w:hAnsi="Times New Roman"/>
          <w:sz w:val="24"/>
        </w:rPr>
        <w:t>-6-</w:t>
      </w:r>
      <w:r>
        <w:rPr>
          <w:rFonts w:hint="eastAsia" w:ascii="Times New Roman" w:hAnsi="Times New Roman"/>
          <w:sz w:val="24"/>
        </w:rPr>
        <w:t>10</w:t>
      </w:r>
      <w:r>
        <w:rPr>
          <w:rFonts w:ascii="Times New Roman" w:hAnsi="Times New Roman"/>
          <w:sz w:val="24"/>
        </w:rPr>
        <w:t>Ⅰ级公共管理与公共服务二类用地宗地地价区域因素修正系数指标说明表</w:t>
      </w:r>
    </w:p>
    <w:tbl>
      <w:tblPr>
        <w:tblW w:w="9359" w:type="dxa"/>
        <w:jc w:val="center"/>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103"/>
        <w:gridCol w:w="1103"/>
        <w:gridCol w:w="1147"/>
        <w:gridCol w:w="1333"/>
        <w:gridCol w:w="1219"/>
        <w:gridCol w:w="1219"/>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blHeader/>
          <w:jc w:val="center"/>
        </w:trPr>
        <w:tc>
          <w:tcPr>
            <w:tcW w:w="1104" w:type="dxa"/>
            <w:vAlign w:val="center"/>
          </w:tcPr>
          <w:p>
            <w:pPr>
              <w:spacing w:line="400" w:lineRule="exact"/>
              <w:jc w:val="center"/>
              <w:rPr>
                <w:b/>
                <w:bCs/>
                <w:szCs w:val="21"/>
              </w:rPr>
            </w:pPr>
            <w:r>
              <w:rPr>
                <w:b/>
                <w:bCs/>
                <w:szCs w:val="21"/>
              </w:rPr>
              <w:t>因素层</w:t>
            </w:r>
          </w:p>
        </w:tc>
        <w:tc>
          <w:tcPr>
            <w:tcW w:w="1103" w:type="dxa"/>
            <w:vAlign w:val="center"/>
          </w:tcPr>
          <w:p>
            <w:pPr>
              <w:spacing w:line="400" w:lineRule="exact"/>
              <w:jc w:val="center"/>
              <w:rPr>
                <w:b/>
                <w:bCs/>
                <w:szCs w:val="21"/>
              </w:rPr>
            </w:pPr>
            <w:r>
              <w:rPr>
                <w:b/>
                <w:bCs/>
                <w:szCs w:val="21"/>
              </w:rPr>
              <w:t>因子层</w:t>
            </w:r>
          </w:p>
        </w:tc>
        <w:tc>
          <w:tcPr>
            <w:tcW w:w="1103" w:type="dxa"/>
            <w:vAlign w:val="center"/>
          </w:tcPr>
          <w:p>
            <w:pPr>
              <w:spacing w:line="400" w:lineRule="exact"/>
              <w:jc w:val="center"/>
              <w:rPr>
                <w:b/>
                <w:bCs/>
                <w:szCs w:val="21"/>
              </w:rPr>
            </w:pPr>
            <w:r>
              <w:rPr>
                <w:b/>
                <w:bCs/>
                <w:szCs w:val="21"/>
              </w:rPr>
              <w:t>指标层</w:t>
            </w:r>
          </w:p>
        </w:tc>
        <w:tc>
          <w:tcPr>
            <w:tcW w:w="1147" w:type="dxa"/>
            <w:vAlign w:val="center"/>
          </w:tcPr>
          <w:p>
            <w:pPr>
              <w:spacing w:line="400" w:lineRule="exact"/>
              <w:jc w:val="center"/>
              <w:rPr>
                <w:b/>
                <w:bCs/>
                <w:szCs w:val="21"/>
              </w:rPr>
            </w:pPr>
            <w:r>
              <w:rPr>
                <w:b/>
                <w:bCs/>
                <w:szCs w:val="21"/>
              </w:rPr>
              <w:t>优</w:t>
            </w:r>
          </w:p>
        </w:tc>
        <w:tc>
          <w:tcPr>
            <w:tcW w:w="1333" w:type="dxa"/>
            <w:vAlign w:val="center"/>
          </w:tcPr>
          <w:p>
            <w:pPr>
              <w:spacing w:line="400" w:lineRule="exact"/>
              <w:jc w:val="center"/>
              <w:rPr>
                <w:b/>
                <w:bCs/>
                <w:szCs w:val="21"/>
              </w:rPr>
            </w:pPr>
            <w:r>
              <w:rPr>
                <w:b/>
                <w:bCs/>
                <w:szCs w:val="21"/>
              </w:rPr>
              <w:t>较优</w:t>
            </w:r>
          </w:p>
        </w:tc>
        <w:tc>
          <w:tcPr>
            <w:tcW w:w="1219" w:type="dxa"/>
            <w:vAlign w:val="center"/>
          </w:tcPr>
          <w:p>
            <w:pPr>
              <w:spacing w:line="400" w:lineRule="exact"/>
              <w:jc w:val="center"/>
              <w:rPr>
                <w:b/>
                <w:bCs/>
                <w:szCs w:val="21"/>
              </w:rPr>
            </w:pPr>
            <w:r>
              <w:rPr>
                <w:b/>
                <w:bCs/>
                <w:szCs w:val="21"/>
              </w:rPr>
              <w:t>一般</w:t>
            </w:r>
          </w:p>
        </w:tc>
        <w:tc>
          <w:tcPr>
            <w:tcW w:w="1219" w:type="dxa"/>
            <w:vAlign w:val="center"/>
          </w:tcPr>
          <w:p>
            <w:pPr>
              <w:spacing w:line="400" w:lineRule="exact"/>
              <w:jc w:val="center"/>
              <w:rPr>
                <w:b/>
                <w:bCs/>
                <w:szCs w:val="21"/>
              </w:rPr>
            </w:pPr>
            <w:r>
              <w:rPr>
                <w:b/>
                <w:bCs/>
                <w:szCs w:val="21"/>
              </w:rPr>
              <w:t>较劣</w:t>
            </w:r>
          </w:p>
        </w:tc>
        <w:tc>
          <w:tcPr>
            <w:tcW w:w="1131"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104" w:type="dxa"/>
            <w:vMerge w:val="restart"/>
            <w:vAlign w:val="center"/>
          </w:tcPr>
          <w:p>
            <w:pPr>
              <w:widowControl/>
              <w:spacing w:line="400" w:lineRule="exact"/>
              <w:jc w:val="center"/>
              <w:rPr>
                <w:bCs/>
                <w:color w:val="000000"/>
                <w:kern w:val="0"/>
                <w:szCs w:val="21"/>
              </w:rPr>
            </w:pPr>
            <w:r>
              <w:rPr>
                <w:bCs/>
                <w:color w:val="000000"/>
                <w:kern w:val="0"/>
                <w:szCs w:val="21"/>
              </w:rPr>
              <w:t>基本设施状况</w:t>
            </w:r>
          </w:p>
        </w:tc>
        <w:tc>
          <w:tcPr>
            <w:tcW w:w="1103" w:type="dxa"/>
            <w:vMerge w:val="restart"/>
            <w:vAlign w:val="center"/>
          </w:tcPr>
          <w:p>
            <w:pPr>
              <w:widowControl/>
              <w:spacing w:line="400" w:lineRule="exact"/>
              <w:jc w:val="center"/>
              <w:rPr>
                <w:bCs/>
                <w:color w:val="000000"/>
                <w:kern w:val="0"/>
                <w:szCs w:val="21"/>
              </w:rPr>
            </w:pPr>
            <w:r>
              <w:rPr>
                <w:bCs/>
                <w:color w:val="000000"/>
                <w:kern w:val="0"/>
                <w:szCs w:val="21"/>
              </w:rPr>
              <w:t>基础设施完善度</w:t>
            </w:r>
          </w:p>
        </w:tc>
        <w:tc>
          <w:tcPr>
            <w:tcW w:w="1103" w:type="dxa"/>
            <w:vAlign w:val="center"/>
          </w:tcPr>
          <w:p>
            <w:pPr>
              <w:widowControl/>
              <w:spacing w:line="400" w:lineRule="exact"/>
              <w:jc w:val="center"/>
              <w:rPr>
                <w:bCs/>
                <w:color w:val="000000"/>
                <w:kern w:val="0"/>
                <w:szCs w:val="21"/>
              </w:rPr>
            </w:pPr>
            <w:r>
              <w:rPr>
                <w:bCs/>
                <w:color w:val="000000"/>
                <w:kern w:val="0"/>
                <w:szCs w:val="21"/>
              </w:rPr>
              <w:t>排水状况</w:t>
            </w:r>
          </w:p>
        </w:tc>
        <w:tc>
          <w:tcPr>
            <w:tcW w:w="1147" w:type="dxa"/>
            <w:vAlign w:val="center"/>
          </w:tcPr>
          <w:p>
            <w:pPr>
              <w:widowControl/>
              <w:spacing w:line="400" w:lineRule="exact"/>
              <w:jc w:val="center"/>
              <w:rPr>
                <w:bCs/>
                <w:color w:val="000000"/>
                <w:kern w:val="0"/>
                <w:szCs w:val="21"/>
              </w:rPr>
            </w:pPr>
            <w:r>
              <w:rPr>
                <w:bCs/>
                <w:color w:val="000000"/>
                <w:kern w:val="0"/>
                <w:szCs w:val="21"/>
              </w:rPr>
              <w:t>好</w:t>
            </w:r>
          </w:p>
        </w:tc>
        <w:tc>
          <w:tcPr>
            <w:tcW w:w="1333" w:type="dxa"/>
            <w:vAlign w:val="center"/>
          </w:tcPr>
          <w:p>
            <w:pPr>
              <w:widowControl/>
              <w:spacing w:line="400" w:lineRule="exact"/>
              <w:jc w:val="center"/>
              <w:rPr>
                <w:bCs/>
                <w:color w:val="000000"/>
                <w:kern w:val="0"/>
                <w:szCs w:val="21"/>
              </w:rPr>
            </w:pPr>
            <w:r>
              <w:rPr>
                <w:bCs/>
                <w:color w:val="000000"/>
                <w:kern w:val="0"/>
                <w:szCs w:val="21"/>
              </w:rPr>
              <w:t>较好</w:t>
            </w:r>
          </w:p>
        </w:tc>
        <w:tc>
          <w:tcPr>
            <w:tcW w:w="1219" w:type="dxa"/>
            <w:vAlign w:val="center"/>
          </w:tcPr>
          <w:p>
            <w:pPr>
              <w:widowControl/>
              <w:spacing w:line="400" w:lineRule="exact"/>
              <w:jc w:val="center"/>
              <w:rPr>
                <w:bCs/>
                <w:color w:val="000000"/>
                <w:kern w:val="0"/>
                <w:szCs w:val="21"/>
              </w:rPr>
            </w:pPr>
            <w:r>
              <w:rPr>
                <w:bCs/>
                <w:color w:val="000000"/>
                <w:kern w:val="0"/>
                <w:szCs w:val="21"/>
              </w:rPr>
              <w:t>一般</w:t>
            </w:r>
          </w:p>
        </w:tc>
        <w:tc>
          <w:tcPr>
            <w:tcW w:w="1219" w:type="dxa"/>
            <w:vAlign w:val="center"/>
          </w:tcPr>
          <w:p>
            <w:pPr>
              <w:widowControl/>
              <w:spacing w:line="400" w:lineRule="exact"/>
              <w:jc w:val="center"/>
              <w:rPr>
                <w:bCs/>
                <w:color w:val="000000"/>
                <w:kern w:val="0"/>
                <w:szCs w:val="21"/>
              </w:rPr>
            </w:pPr>
            <w:r>
              <w:rPr>
                <w:bCs/>
                <w:color w:val="000000"/>
                <w:kern w:val="0"/>
                <w:szCs w:val="21"/>
              </w:rPr>
              <w:t>较差</w:t>
            </w:r>
          </w:p>
        </w:tc>
        <w:tc>
          <w:tcPr>
            <w:tcW w:w="1131" w:type="dxa"/>
            <w:vAlign w:val="center"/>
          </w:tcPr>
          <w:p>
            <w:pPr>
              <w:widowControl/>
              <w:spacing w:line="400" w:lineRule="exact"/>
              <w:jc w:val="center"/>
              <w:rPr>
                <w:bCs/>
                <w:color w:val="000000"/>
                <w:kern w:val="0"/>
                <w:szCs w:val="21"/>
              </w:rPr>
            </w:pPr>
            <w:r>
              <w:rPr>
                <w:bCs/>
                <w:color w:val="000000"/>
                <w:kern w:val="0"/>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104" w:type="dxa"/>
            <w:vMerge w:val="continue"/>
            <w:vAlign w:val="center"/>
          </w:tcPr>
          <w:p>
            <w:pPr>
              <w:widowControl/>
              <w:spacing w:line="400" w:lineRule="exact"/>
              <w:jc w:val="center"/>
              <w:rPr>
                <w:bCs/>
                <w:color w:val="000000"/>
                <w:kern w:val="0"/>
                <w:szCs w:val="21"/>
              </w:rPr>
            </w:pPr>
          </w:p>
        </w:tc>
        <w:tc>
          <w:tcPr>
            <w:tcW w:w="1103" w:type="dxa"/>
            <w:vMerge w:val="continue"/>
            <w:vAlign w:val="center"/>
          </w:tcPr>
          <w:p>
            <w:pPr>
              <w:widowControl/>
              <w:spacing w:line="400" w:lineRule="exact"/>
              <w:jc w:val="center"/>
              <w:rPr>
                <w:bCs/>
                <w:color w:val="000000"/>
                <w:kern w:val="0"/>
                <w:szCs w:val="21"/>
              </w:rPr>
            </w:pPr>
          </w:p>
        </w:tc>
        <w:tc>
          <w:tcPr>
            <w:tcW w:w="1103" w:type="dxa"/>
            <w:vAlign w:val="center"/>
          </w:tcPr>
          <w:p>
            <w:pPr>
              <w:widowControl/>
              <w:spacing w:line="400" w:lineRule="exact"/>
              <w:jc w:val="center"/>
              <w:rPr>
                <w:bCs/>
                <w:color w:val="000000"/>
                <w:kern w:val="0"/>
                <w:szCs w:val="21"/>
              </w:rPr>
            </w:pPr>
            <w:r>
              <w:rPr>
                <w:bCs/>
                <w:color w:val="000000"/>
                <w:kern w:val="0"/>
                <w:szCs w:val="21"/>
              </w:rPr>
              <w:t>供水状况</w:t>
            </w:r>
          </w:p>
        </w:tc>
        <w:tc>
          <w:tcPr>
            <w:tcW w:w="1147" w:type="dxa"/>
            <w:vAlign w:val="center"/>
          </w:tcPr>
          <w:p>
            <w:pPr>
              <w:widowControl/>
              <w:spacing w:line="400" w:lineRule="exact"/>
              <w:jc w:val="center"/>
              <w:rPr>
                <w:bCs/>
                <w:color w:val="000000"/>
                <w:kern w:val="0"/>
                <w:szCs w:val="21"/>
              </w:rPr>
            </w:pPr>
            <w:r>
              <w:rPr>
                <w:bCs/>
                <w:color w:val="000000"/>
                <w:kern w:val="0"/>
                <w:szCs w:val="21"/>
              </w:rPr>
              <w:t>100%</w:t>
            </w:r>
          </w:p>
        </w:tc>
        <w:tc>
          <w:tcPr>
            <w:tcW w:w="1333" w:type="dxa"/>
            <w:vAlign w:val="center"/>
          </w:tcPr>
          <w:p>
            <w:pPr>
              <w:widowControl/>
              <w:spacing w:line="400" w:lineRule="exact"/>
              <w:jc w:val="center"/>
              <w:rPr>
                <w:bCs/>
                <w:color w:val="000000"/>
                <w:kern w:val="0"/>
                <w:szCs w:val="21"/>
              </w:rPr>
            </w:pPr>
            <w:r>
              <w:rPr>
                <w:bCs/>
                <w:color w:val="000000"/>
                <w:kern w:val="0"/>
                <w:szCs w:val="21"/>
              </w:rPr>
              <w:t>90-99%</w:t>
            </w:r>
          </w:p>
        </w:tc>
        <w:tc>
          <w:tcPr>
            <w:tcW w:w="1219" w:type="dxa"/>
            <w:vAlign w:val="center"/>
          </w:tcPr>
          <w:p>
            <w:pPr>
              <w:widowControl/>
              <w:spacing w:line="400" w:lineRule="exact"/>
              <w:jc w:val="center"/>
              <w:rPr>
                <w:bCs/>
                <w:color w:val="000000"/>
                <w:kern w:val="0"/>
                <w:szCs w:val="21"/>
              </w:rPr>
            </w:pPr>
            <w:r>
              <w:rPr>
                <w:bCs/>
                <w:color w:val="000000"/>
                <w:kern w:val="0"/>
                <w:szCs w:val="21"/>
              </w:rPr>
              <w:t>75-89%</w:t>
            </w:r>
          </w:p>
        </w:tc>
        <w:tc>
          <w:tcPr>
            <w:tcW w:w="1219" w:type="dxa"/>
            <w:vAlign w:val="center"/>
          </w:tcPr>
          <w:p>
            <w:pPr>
              <w:widowControl/>
              <w:spacing w:line="400" w:lineRule="exact"/>
              <w:jc w:val="center"/>
              <w:rPr>
                <w:bCs/>
                <w:color w:val="000000"/>
                <w:kern w:val="0"/>
                <w:szCs w:val="21"/>
              </w:rPr>
            </w:pPr>
            <w:r>
              <w:rPr>
                <w:bCs/>
                <w:color w:val="000000"/>
                <w:kern w:val="0"/>
                <w:szCs w:val="21"/>
              </w:rPr>
              <w:t>60-74%</w:t>
            </w:r>
          </w:p>
        </w:tc>
        <w:tc>
          <w:tcPr>
            <w:tcW w:w="1131" w:type="dxa"/>
            <w:vAlign w:val="center"/>
          </w:tcPr>
          <w:p>
            <w:pPr>
              <w:widowControl/>
              <w:spacing w:line="400" w:lineRule="exact"/>
              <w:jc w:val="center"/>
              <w:rPr>
                <w:bCs/>
                <w:color w:val="000000"/>
                <w:kern w:val="0"/>
                <w:szCs w:val="21"/>
              </w:rPr>
            </w:pPr>
            <w:r>
              <w:rPr>
                <w:bCs/>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104" w:type="dxa"/>
            <w:vMerge w:val="continue"/>
            <w:vAlign w:val="center"/>
          </w:tcPr>
          <w:p>
            <w:pPr>
              <w:widowControl/>
              <w:spacing w:line="400" w:lineRule="exact"/>
              <w:jc w:val="center"/>
              <w:rPr>
                <w:bCs/>
                <w:color w:val="000000"/>
                <w:kern w:val="0"/>
                <w:szCs w:val="21"/>
              </w:rPr>
            </w:pPr>
          </w:p>
        </w:tc>
        <w:tc>
          <w:tcPr>
            <w:tcW w:w="1103" w:type="dxa"/>
            <w:vMerge w:val="continue"/>
            <w:vAlign w:val="center"/>
          </w:tcPr>
          <w:p>
            <w:pPr>
              <w:widowControl/>
              <w:spacing w:line="400" w:lineRule="exact"/>
              <w:jc w:val="center"/>
              <w:rPr>
                <w:bCs/>
                <w:color w:val="000000"/>
                <w:kern w:val="0"/>
                <w:szCs w:val="21"/>
              </w:rPr>
            </w:pPr>
          </w:p>
        </w:tc>
        <w:tc>
          <w:tcPr>
            <w:tcW w:w="1103" w:type="dxa"/>
            <w:vAlign w:val="center"/>
          </w:tcPr>
          <w:p>
            <w:pPr>
              <w:widowControl/>
              <w:spacing w:line="400" w:lineRule="exact"/>
              <w:jc w:val="center"/>
              <w:rPr>
                <w:bCs/>
                <w:color w:val="000000"/>
                <w:kern w:val="0"/>
                <w:szCs w:val="21"/>
              </w:rPr>
            </w:pPr>
            <w:r>
              <w:rPr>
                <w:bCs/>
                <w:color w:val="000000"/>
                <w:kern w:val="0"/>
                <w:szCs w:val="21"/>
              </w:rPr>
              <w:t>供电状况</w:t>
            </w:r>
          </w:p>
        </w:tc>
        <w:tc>
          <w:tcPr>
            <w:tcW w:w="1147" w:type="dxa"/>
            <w:vAlign w:val="center"/>
          </w:tcPr>
          <w:p>
            <w:pPr>
              <w:widowControl/>
              <w:spacing w:line="400" w:lineRule="exact"/>
              <w:jc w:val="center"/>
              <w:rPr>
                <w:bCs/>
                <w:color w:val="000000"/>
                <w:kern w:val="0"/>
                <w:szCs w:val="21"/>
              </w:rPr>
            </w:pPr>
            <w:r>
              <w:rPr>
                <w:bCs/>
                <w:color w:val="000000"/>
                <w:kern w:val="0"/>
                <w:szCs w:val="21"/>
              </w:rPr>
              <w:t>好</w:t>
            </w:r>
          </w:p>
        </w:tc>
        <w:tc>
          <w:tcPr>
            <w:tcW w:w="1333" w:type="dxa"/>
            <w:vAlign w:val="center"/>
          </w:tcPr>
          <w:p>
            <w:pPr>
              <w:widowControl/>
              <w:spacing w:line="400" w:lineRule="exact"/>
              <w:jc w:val="center"/>
              <w:rPr>
                <w:bCs/>
                <w:color w:val="000000"/>
                <w:kern w:val="0"/>
                <w:szCs w:val="21"/>
              </w:rPr>
            </w:pPr>
            <w:r>
              <w:rPr>
                <w:bCs/>
                <w:color w:val="000000"/>
                <w:kern w:val="0"/>
                <w:szCs w:val="21"/>
              </w:rPr>
              <w:t>较好</w:t>
            </w:r>
          </w:p>
        </w:tc>
        <w:tc>
          <w:tcPr>
            <w:tcW w:w="1219" w:type="dxa"/>
            <w:vAlign w:val="center"/>
          </w:tcPr>
          <w:p>
            <w:pPr>
              <w:widowControl/>
              <w:spacing w:line="400" w:lineRule="exact"/>
              <w:jc w:val="center"/>
              <w:rPr>
                <w:bCs/>
                <w:color w:val="000000"/>
                <w:kern w:val="0"/>
                <w:szCs w:val="21"/>
              </w:rPr>
            </w:pPr>
            <w:r>
              <w:rPr>
                <w:bCs/>
                <w:color w:val="000000"/>
                <w:kern w:val="0"/>
                <w:szCs w:val="21"/>
              </w:rPr>
              <w:t>一般</w:t>
            </w:r>
          </w:p>
        </w:tc>
        <w:tc>
          <w:tcPr>
            <w:tcW w:w="1219" w:type="dxa"/>
            <w:vAlign w:val="center"/>
          </w:tcPr>
          <w:p>
            <w:pPr>
              <w:widowControl/>
              <w:spacing w:line="400" w:lineRule="exact"/>
              <w:jc w:val="center"/>
              <w:rPr>
                <w:bCs/>
                <w:color w:val="000000"/>
                <w:kern w:val="0"/>
                <w:szCs w:val="21"/>
              </w:rPr>
            </w:pPr>
            <w:r>
              <w:rPr>
                <w:bCs/>
                <w:color w:val="000000"/>
                <w:kern w:val="0"/>
                <w:szCs w:val="21"/>
              </w:rPr>
              <w:t>较差</w:t>
            </w:r>
          </w:p>
        </w:tc>
        <w:tc>
          <w:tcPr>
            <w:tcW w:w="1131" w:type="dxa"/>
            <w:vAlign w:val="center"/>
          </w:tcPr>
          <w:p>
            <w:pPr>
              <w:widowControl/>
              <w:spacing w:line="400" w:lineRule="exact"/>
              <w:jc w:val="center"/>
              <w:rPr>
                <w:bCs/>
                <w:color w:val="000000"/>
                <w:kern w:val="0"/>
                <w:szCs w:val="21"/>
              </w:rPr>
            </w:pPr>
            <w:r>
              <w:rPr>
                <w:bCs/>
                <w:color w:val="000000"/>
                <w:kern w:val="0"/>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30" w:hRule="atLeast"/>
          <w:jc w:val="center"/>
        </w:trPr>
        <w:tc>
          <w:tcPr>
            <w:tcW w:w="1104" w:type="dxa"/>
            <w:vMerge w:val="continue"/>
            <w:vAlign w:val="center"/>
          </w:tcPr>
          <w:p>
            <w:pPr>
              <w:widowControl/>
              <w:spacing w:line="400" w:lineRule="exact"/>
              <w:jc w:val="center"/>
              <w:rPr>
                <w:bCs/>
                <w:color w:val="000000"/>
                <w:kern w:val="0"/>
                <w:szCs w:val="21"/>
              </w:rPr>
            </w:pPr>
          </w:p>
        </w:tc>
        <w:tc>
          <w:tcPr>
            <w:tcW w:w="1103" w:type="dxa"/>
            <w:vMerge w:val="continue"/>
            <w:vAlign w:val="center"/>
          </w:tcPr>
          <w:p>
            <w:pPr>
              <w:widowControl/>
              <w:spacing w:line="400" w:lineRule="exact"/>
              <w:jc w:val="center"/>
              <w:rPr>
                <w:bCs/>
                <w:color w:val="000000"/>
                <w:kern w:val="0"/>
                <w:szCs w:val="21"/>
              </w:rPr>
            </w:pPr>
          </w:p>
        </w:tc>
        <w:tc>
          <w:tcPr>
            <w:tcW w:w="1103" w:type="dxa"/>
            <w:vAlign w:val="center"/>
          </w:tcPr>
          <w:p>
            <w:pPr>
              <w:widowControl/>
              <w:spacing w:line="400" w:lineRule="exact"/>
              <w:jc w:val="center"/>
              <w:rPr>
                <w:bCs/>
                <w:color w:val="000000"/>
                <w:kern w:val="0"/>
                <w:szCs w:val="21"/>
              </w:rPr>
            </w:pPr>
            <w:r>
              <w:rPr>
                <w:bCs/>
                <w:color w:val="000000"/>
                <w:kern w:val="0"/>
                <w:szCs w:val="21"/>
              </w:rPr>
              <w:t>供气状况</w:t>
            </w:r>
          </w:p>
        </w:tc>
        <w:tc>
          <w:tcPr>
            <w:tcW w:w="1147" w:type="dxa"/>
            <w:vAlign w:val="center"/>
          </w:tcPr>
          <w:p>
            <w:pPr>
              <w:widowControl/>
              <w:spacing w:line="400" w:lineRule="exact"/>
              <w:jc w:val="center"/>
              <w:rPr>
                <w:bCs/>
                <w:color w:val="000000"/>
                <w:kern w:val="0"/>
                <w:szCs w:val="21"/>
              </w:rPr>
            </w:pPr>
            <w:r>
              <w:rPr>
                <w:bCs/>
                <w:color w:val="000000"/>
                <w:kern w:val="0"/>
                <w:szCs w:val="21"/>
              </w:rPr>
              <w:t>好</w:t>
            </w:r>
          </w:p>
        </w:tc>
        <w:tc>
          <w:tcPr>
            <w:tcW w:w="1333" w:type="dxa"/>
            <w:vAlign w:val="center"/>
          </w:tcPr>
          <w:p>
            <w:pPr>
              <w:widowControl/>
              <w:spacing w:line="400" w:lineRule="exact"/>
              <w:jc w:val="center"/>
              <w:rPr>
                <w:bCs/>
                <w:color w:val="000000"/>
                <w:kern w:val="0"/>
                <w:szCs w:val="21"/>
              </w:rPr>
            </w:pPr>
            <w:r>
              <w:rPr>
                <w:bCs/>
                <w:color w:val="000000"/>
                <w:kern w:val="0"/>
                <w:szCs w:val="21"/>
              </w:rPr>
              <w:t>较好</w:t>
            </w:r>
          </w:p>
        </w:tc>
        <w:tc>
          <w:tcPr>
            <w:tcW w:w="1219" w:type="dxa"/>
            <w:vAlign w:val="center"/>
          </w:tcPr>
          <w:p>
            <w:pPr>
              <w:widowControl/>
              <w:spacing w:line="400" w:lineRule="exact"/>
              <w:jc w:val="center"/>
              <w:rPr>
                <w:bCs/>
                <w:color w:val="000000"/>
                <w:kern w:val="0"/>
                <w:szCs w:val="21"/>
              </w:rPr>
            </w:pPr>
            <w:r>
              <w:rPr>
                <w:bCs/>
                <w:color w:val="000000"/>
                <w:kern w:val="0"/>
                <w:szCs w:val="21"/>
              </w:rPr>
              <w:t>一般</w:t>
            </w:r>
          </w:p>
        </w:tc>
        <w:tc>
          <w:tcPr>
            <w:tcW w:w="1219" w:type="dxa"/>
            <w:vAlign w:val="center"/>
          </w:tcPr>
          <w:p>
            <w:pPr>
              <w:widowControl/>
              <w:spacing w:line="400" w:lineRule="exact"/>
              <w:jc w:val="center"/>
              <w:rPr>
                <w:bCs/>
                <w:color w:val="000000"/>
                <w:kern w:val="0"/>
                <w:szCs w:val="21"/>
              </w:rPr>
            </w:pPr>
            <w:r>
              <w:rPr>
                <w:bCs/>
                <w:color w:val="000000"/>
                <w:kern w:val="0"/>
                <w:szCs w:val="21"/>
              </w:rPr>
              <w:t>较差</w:t>
            </w:r>
          </w:p>
        </w:tc>
        <w:tc>
          <w:tcPr>
            <w:tcW w:w="1131" w:type="dxa"/>
            <w:vAlign w:val="center"/>
          </w:tcPr>
          <w:p>
            <w:pPr>
              <w:widowControl/>
              <w:spacing w:line="400" w:lineRule="exact"/>
              <w:jc w:val="center"/>
              <w:rPr>
                <w:bCs/>
                <w:color w:val="000000"/>
                <w:kern w:val="0"/>
                <w:szCs w:val="21"/>
              </w:rPr>
            </w:pPr>
            <w:r>
              <w:rPr>
                <w:bCs/>
                <w:color w:val="000000"/>
                <w:kern w:val="0"/>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104" w:type="dxa"/>
            <w:vMerge w:val="restart"/>
            <w:vAlign w:val="center"/>
          </w:tcPr>
          <w:p>
            <w:pPr>
              <w:widowControl/>
              <w:spacing w:line="400" w:lineRule="exact"/>
              <w:jc w:val="center"/>
              <w:rPr>
                <w:bCs/>
                <w:color w:val="000000"/>
                <w:kern w:val="0"/>
                <w:szCs w:val="21"/>
              </w:rPr>
            </w:pPr>
            <w:r>
              <w:rPr>
                <w:bCs/>
                <w:color w:val="000000"/>
                <w:kern w:val="0"/>
                <w:szCs w:val="21"/>
              </w:rPr>
              <w:t>交通条件</w:t>
            </w:r>
          </w:p>
        </w:tc>
        <w:tc>
          <w:tcPr>
            <w:tcW w:w="1103" w:type="dxa"/>
            <w:vAlign w:val="center"/>
          </w:tcPr>
          <w:p>
            <w:pPr>
              <w:widowControl/>
              <w:spacing w:line="400" w:lineRule="exact"/>
              <w:jc w:val="center"/>
              <w:rPr>
                <w:bCs/>
                <w:color w:val="000000"/>
                <w:kern w:val="0"/>
                <w:szCs w:val="21"/>
              </w:rPr>
            </w:pPr>
            <w:r>
              <w:rPr>
                <w:bCs/>
                <w:color w:val="000000"/>
                <w:kern w:val="0"/>
                <w:szCs w:val="21"/>
              </w:rPr>
              <w:t>道路通达度</w:t>
            </w:r>
          </w:p>
        </w:tc>
        <w:tc>
          <w:tcPr>
            <w:tcW w:w="1103" w:type="dxa"/>
            <w:vAlign w:val="center"/>
          </w:tcPr>
          <w:p>
            <w:pPr>
              <w:widowControl/>
              <w:spacing w:line="400" w:lineRule="exact"/>
              <w:jc w:val="center"/>
              <w:rPr>
                <w:bCs/>
                <w:color w:val="000000"/>
                <w:kern w:val="0"/>
                <w:szCs w:val="21"/>
              </w:rPr>
            </w:pPr>
            <w:r>
              <w:rPr>
                <w:bCs/>
                <w:color w:val="000000"/>
                <w:kern w:val="0"/>
                <w:szCs w:val="21"/>
              </w:rPr>
              <w:t>临近道路状况</w:t>
            </w:r>
          </w:p>
        </w:tc>
        <w:tc>
          <w:tcPr>
            <w:tcW w:w="1147" w:type="dxa"/>
            <w:vAlign w:val="center"/>
          </w:tcPr>
          <w:p>
            <w:pPr>
              <w:widowControl/>
              <w:spacing w:line="400" w:lineRule="exact"/>
              <w:jc w:val="center"/>
              <w:rPr>
                <w:bCs/>
                <w:color w:val="000000"/>
                <w:kern w:val="0"/>
                <w:szCs w:val="21"/>
              </w:rPr>
            </w:pPr>
            <w:r>
              <w:rPr>
                <w:bCs/>
                <w:color w:val="000000"/>
                <w:kern w:val="0"/>
                <w:szCs w:val="21"/>
              </w:rPr>
              <w:t>混合型主干道</w:t>
            </w:r>
          </w:p>
        </w:tc>
        <w:tc>
          <w:tcPr>
            <w:tcW w:w="1333" w:type="dxa"/>
            <w:vAlign w:val="center"/>
          </w:tcPr>
          <w:p>
            <w:pPr>
              <w:widowControl/>
              <w:spacing w:line="400" w:lineRule="exact"/>
              <w:jc w:val="center"/>
              <w:rPr>
                <w:bCs/>
                <w:color w:val="000000"/>
                <w:kern w:val="0"/>
                <w:szCs w:val="21"/>
              </w:rPr>
            </w:pPr>
            <w:r>
              <w:rPr>
                <w:bCs/>
                <w:color w:val="000000"/>
                <w:kern w:val="0"/>
                <w:szCs w:val="21"/>
              </w:rPr>
              <w:t>生活型或交通型主干道</w:t>
            </w:r>
          </w:p>
        </w:tc>
        <w:tc>
          <w:tcPr>
            <w:tcW w:w="1219" w:type="dxa"/>
            <w:vAlign w:val="center"/>
          </w:tcPr>
          <w:p>
            <w:pPr>
              <w:widowControl/>
              <w:spacing w:line="400" w:lineRule="exact"/>
              <w:jc w:val="center"/>
              <w:rPr>
                <w:bCs/>
                <w:color w:val="000000"/>
                <w:kern w:val="0"/>
                <w:szCs w:val="21"/>
              </w:rPr>
            </w:pPr>
            <w:r>
              <w:rPr>
                <w:bCs/>
                <w:color w:val="000000"/>
                <w:kern w:val="0"/>
                <w:szCs w:val="21"/>
              </w:rPr>
              <w:t>次主道</w:t>
            </w:r>
          </w:p>
        </w:tc>
        <w:tc>
          <w:tcPr>
            <w:tcW w:w="1219" w:type="dxa"/>
            <w:vAlign w:val="center"/>
          </w:tcPr>
          <w:p>
            <w:pPr>
              <w:widowControl/>
              <w:spacing w:line="400" w:lineRule="exact"/>
              <w:jc w:val="center"/>
              <w:rPr>
                <w:bCs/>
                <w:color w:val="000000"/>
                <w:kern w:val="0"/>
                <w:szCs w:val="21"/>
              </w:rPr>
            </w:pPr>
            <w:r>
              <w:rPr>
                <w:bCs/>
                <w:color w:val="000000"/>
                <w:kern w:val="0"/>
                <w:szCs w:val="21"/>
              </w:rPr>
              <w:t>支路</w:t>
            </w:r>
          </w:p>
        </w:tc>
        <w:tc>
          <w:tcPr>
            <w:tcW w:w="1131" w:type="dxa"/>
            <w:vAlign w:val="center"/>
          </w:tcPr>
          <w:p>
            <w:pPr>
              <w:widowControl/>
              <w:spacing w:line="400" w:lineRule="exact"/>
              <w:jc w:val="center"/>
              <w:rPr>
                <w:bCs/>
                <w:color w:val="000000"/>
                <w:kern w:val="0"/>
                <w:szCs w:val="21"/>
              </w:rPr>
            </w:pPr>
            <w:r>
              <w:rPr>
                <w:bCs/>
                <w:color w:val="000000"/>
                <w:kern w:val="0"/>
                <w:szCs w:val="21"/>
              </w:rPr>
              <w:t>巷道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104" w:type="dxa"/>
            <w:vMerge w:val="continue"/>
            <w:vAlign w:val="center"/>
          </w:tcPr>
          <w:p>
            <w:pPr>
              <w:widowControl/>
              <w:spacing w:line="400" w:lineRule="exact"/>
              <w:jc w:val="center"/>
              <w:rPr>
                <w:bCs/>
                <w:color w:val="000000"/>
                <w:kern w:val="0"/>
                <w:szCs w:val="21"/>
              </w:rPr>
            </w:pPr>
          </w:p>
        </w:tc>
        <w:tc>
          <w:tcPr>
            <w:tcW w:w="1103" w:type="dxa"/>
            <w:vAlign w:val="center"/>
          </w:tcPr>
          <w:p>
            <w:pPr>
              <w:widowControl/>
              <w:spacing w:line="400" w:lineRule="exact"/>
              <w:jc w:val="center"/>
              <w:rPr>
                <w:bCs/>
                <w:color w:val="000000"/>
                <w:kern w:val="0"/>
                <w:szCs w:val="21"/>
              </w:rPr>
            </w:pPr>
            <w:r>
              <w:rPr>
                <w:bCs/>
                <w:color w:val="000000"/>
                <w:kern w:val="0"/>
                <w:szCs w:val="21"/>
              </w:rPr>
              <w:t>公交便捷度</w:t>
            </w:r>
          </w:p>
        </w:tc>
        <w:tc>
          <w:tcPr>
            <w:tcW w:w="1103" w:type="dxa"/>
            <w:vAlign w:val="center"/>
          </w:tcPr>
          <w:p>
            <w:pPr>
              <w:widowControl/>
              <w:spacing w:line="400" w:lineRule="exact"/>
              <w:jc w:val="center"/>
              <w:rPr>
                <w:bCs/>
                <w:color w:val="000000"/>
                <w:kern w:val="0"/>
                <w:szCs w:val="21"/>
              </w:rPr>
            </w:pPr>
            <w:r>
              <w:rPr>
                <w:bCs/>
                <w:color w:val="000000"/>
                <w:kern w:val="0"/>
                <w:szCs w:val="21"/>
              </w:rPr>
              <w:t>距最近公交站点距离</w:t>
            </w:r>
          </w:p>
        </w:tc>
        <w:tc>
          <w:tcPr>
            <w:tcW w:w="1147" w:type="dxa"/>
            <w:vAlign w:val="center"/>
          </w:tcPr>
          <w:p>
            <w:pPr>
              <w:widowControl/>
              <w:spacing w:line="400" w:lineRule="exact"/>
              <w:jc w:val="center"/>
              <w:rPr>
                <w:bCs/>
                <w:color w:val="000000"/>
                <w:kern w:val="0"/>
                <w:szCs w:val="21"/>
              </w:rPr>
            </w:pPr>
            <w:r>
              <w:rPr>
                <w:bCs/>
                <w:color w:val="000000"/>
                <w:kern w:val="0"/>
                <w:szCs w:val="21"/>
              </w:rPr>
              <w:t>&lt;100</w:t>
            </w:r>
          </w:p>
        </w:tc>
        <w:tc>
          <w:tcPr>
            <w:tcW w:w="1333" w:type="dxa"/>
            <w:vAlign w:val="center"/>
          </w:tcPr>
          <w:p>
            <w:pPr>
              <w:widowControl/>
              <w:spacing w:line="400" w:lineRule="exact"/>
              <w:jc w:val="center"/>
              <w:rPr>
                <w:bCs/>
                <w:color w:val="000000"/>
                <w:kern w:val="0"/>
                <w:szCs w:val="21"/>
              </w:rPr>
            </w:pPr>
            <w:r>
              <w:rPr>
                <w:bCs/>
                <w:color w:val="000000"/>
                <w:kern w:val="0"/>
                <w:szCs w:val="21"/>
              </w:rPr>
              <w:t>100-400</w:t>
            </w:r>
          </w:p>
        </w:tc>
        <w:tc>
          <w:tcPr>
            <w:tcW w:w="1219" w:type="dxa"/>
            <w:vAlign w:val="center"/>
          </w:tcPr>
          <w:p>
            <w:pPr>
              <w:widowControl/>
              <w:spacing w:line="400" w:lineRule="exact"/>
              <w:jc w:val="center"/>
              <w:rPr>
                <w:bCs/>
                <w:color w:val="000000"/>
                <w:kern w:val="0"/>
                <w:szCs w:val="21"/>
              </w:rPr>
            </w:pPr>
            <w:r>
              <w:rPr>
                <w:bCs/>
                <w:color w:val="000000"/>
                <w:kern w:val="0"/>
                <w:szCs w:val="21"/>
              </w:rPr>
              <w:t>400-700</w:t>
            </w:r>
          </w:p>
        </w:tc>
        <w:tc>
          <w:tcPr>
            <w:tcW w:w="1219" w:type="dxa"/>
            <w:vAlign w:val="center"/>
          </w:tcPr>
          <w:p>
            <w:pPr>
              <w:widowControl/>
              <w:spacing w:line="400" w:lineRule="exact"/>
              <w:jc w:val="center"/>
              <w:rPr>
                <w:bCs/>
                <w:color w:val="000000"/>
                <w:kern w:val="0"/>
                <w:szCs w:val="21"/>
              </w:rPr>
            </w:pPr>
            <w:r>
              <w:rPr>
                <w:bCs/>
                <w:color w:val="000000"/>
                <w:kern w:val="0"/>
                <w:szCs w:val="21"/>
              </w:rPr>
              <w:t>700-1000</w:t>
            </w:r>
          </w:p>
        </w:tc>
        <w:tc>
          <w:tcPr>
            <w:tcW w:w="1131" w:type="dxa"/>
            <w:vAlign w:val="center"/>
          </w:tcPr>
          <w:p>
            <w:pPr>
              <w:widowControl/>
              <w:spacing w:line="400" w:lineRule="exact"/>
              <w:jc w:val="center"/>
              <w:rPr>
                <w:bCs/>
                <w:color w:val="000000"/>
                <w:kern w:val="0"/>
                <w:szCs w:val="21"/>
              </w:rPr>
            </w:pPr>
            <w:r>
              <w:rPr>
                <w:bCs/>
                <w:color w:val="000000"/>
                <w:kern w:val="0"/>
                <w:szCs w:val="21"/>
              </w:rPr>
              <w:t>&gt;1000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104" w:type="dxa"/>
            <w:vAlign w:val="center"/>
          </w:tcPr>
          <w:p>
            <w:pPr>
              <w:widowControl/>
              <w:spacing w:line="400" w:lineRule="exact"/>
              <w:jc w:val="center"/>
              <w:rPr>
                <w:bCs/>
                <w:color w:val="000000"/>
                <w:kern w:val="0"/>
                <w:szCs w:val="21"/>
              </w:rPr>
            </w:pPr>
            <w:r>
              <w:rPr>
                <w:bCs/>
                <w:color w:val="000000"/>
                <w:kern w:val="0"/>
                <w:szCs w:val="21"/>
              </w:rPr>
              <w:t>人口状况</w:t>
            </w:r>
          </w:p>
        </w:tc>
        <w:tc>
          <w:tcPr>
            <w:tcW w:w="1103" w:type="dxa"/>
            <w:vAlign w:val="center"/>
          </w:tcPr>
          <w:p>
            <w:pPr>
              <w:widowControl/>
              <w:spacing w:line="400" w:lineRule="exact"/>
              <w:jc w:val="center"/>
              <w:rPr>
                <w:bCs/>
                <w:color w:val="000000"/>
                <w:kern w:val="0"/>
                <w:szCs w:val="21"/>
              </w:rPr>
            </w:pPr>
            <w:r>
              <w:rPr>
                <w:bCs/>
                <w:color w:val="000000"/>
                <w:kern w:val="0"/>
                <w:szCs w:val="21"/>
              </w:rPr>
              <w:t>人口密度</w:t>
            </w:r>
          </w:p>
        </w:tc>
        <w:tc>
          <w:tcPr>
            <w:tcW w:w="1103" w:type="dxa"/>
            <w:vAlign w:val="center"/>
          </w:tcPr>
          <w:p>
            <w:pPr>
              <w:widowControl/>
              <w:spacing w:line="400" w:lineRule="exact"/>
              <w:jc w:val="center"/>
              <w:rPr>
                <w:bCs/>
                <w:color w:val="000000"/>
                <w:kern w:val="0"/>
                <w:szCs w:val="21"/>
              </w:rPr>
            </w:pPr>
            <w:r>
              <w:rPr>
                <w:bCs/>
                <w:color w:val="000000"/>
                <w:kern w:val="0"/>
                <w:szCs w:val="21"/>
              </w:rPr>
              <w:t>人口密度</w:t>
            </w:r>
          </w:p>
        </w:tc>
        <w:tc>
          <w:tcPr>
            <w:tcW w:w="1147" w:type="dxa"/>
            <w:vAlign w:val="center"/>
          </w:tcPr>
          <w:p>
            <w:pPr>
              <w:widowControl/>
              <w:spacing w:line="400" w:lineRule="exact"/>
              <w:jc w:val="center"/>
              <w:rPr>
                <w:bCs/>
                <w:color w:val="000000"/>
                <w:kern w:val="0"/>
                <w:szCs w:val="21"/>
              </w:rPr>
            </w:pPr>
            <w:r>
              <w:rPr>
                <w:bCs/>
                <w:color w:val="000000"/>
                <w:kern w:val="0"/>
                <w:szCs w:val="21"/>
              </w:rPr>
              <w:t>≥10000</w:t>
            </w:r>
          </w:p>
        </w:tc>
        <w:tc>
          <w:tcPr>
            <w:tcW w:w="1333" w:type="dxa"/>
            <w:vAlign w:val="center"/>
          </w:tcPr>
          <w:p>
            <w:pPr>
              <w:widowControl/>
              <w:spacing w:line="400" w:lineRule="exact"/>
              <w:jc w:val="center"/>
              <w:rPr>
                <w:bCs/>
                <w:color w:val="000000"/>
                <w:kern w:val="0"/>
                <w:szCs w:val="21"/>
              </w:rPr>
            </w:pPr>
            <w:r>
              <w:rPr>
                <w:bCs/>
                <w:color w:val="000000"/>
                <w:kern w:val="0"/>
                <w:szCs w:val="21"/>
              </w:rPr>
              <w:t>10000-5000</w:t>
            </w:r>
          </w:p>
        </w:tc>
        <w:tc>
          <w:tcPr>
            <w:tcW w:w="1219" w:type="dxa"/>
            <w:vAlign w:val="center"/>
          </w:tcPr>
          <w:p>
            <w:pPr>
              <w:widowControl/>
              <w:spacing w:line="400" w:lineRule="exact"/>
              <w:jc w:val="center"/>
              <w:rPr>
                <w:bCs/>
                <w:color w:val="000000"/>
                <w:kern w:val="0"/>
                <w:szCs w:val="21"/>
              </w:rPr>
            </w:pPr>
            <w:r>
              <w:rPr>
                <w:bCs/>
                <w:color w:val="000000"/>
                <w:kern w:val="0"/>
                <w:szCs w:val="21"/>
              </w:rPr>
              <w:t>5000-2000</w:t>
            </w:r>
          </w:p>
        </w:tc>
        <w:tc>
          <w:tcPr>
            <w:tcW w:w="1219" w:type="dxa"/>
            <w:vAlign w:val="center"/>
          </w:tcPr>
          <w:p>
            <w:pPr>
              <w:widowControl/>
              <w:spacing w:line="400" w:lineRule="exact"/>
              <w:jc w:val="center"/>
              <w:rPr>
                <w:bCs/>
                <w:color w:val="000000"/>
                <w:kern w:val="0"/>
                <w:szCs w:val="21"/>
              </w:rPr>
            </w:pPr>
            <w:r>
              <w:rPr>
                <w:bCs/>
                <w:color w:val="000000"/>
                <w:kern w:val="0"/>
                <w:szCs w:val="21"/>
              </w:rPr>
              <w:t>2000-1000</w:t>
            </w:r>
          </w:p>
        </w:tc>
        <w:tc>
          <w:tcPr>
            <w:tcW w:w="1131" w:type="dxa"/>
            <w:vAlign w:val="center"/>
          </w:tcPr>
          <w:p>
            <w:pPr>
              <w:widowControl/>
              <w:spacing w:line="400" w:lineRule="exact"/>
              <w:jc w:val="center"/>
              <w:rPr>
                <w:bCs/>
                <w:color w:val="000000"/>
                <w:kern w:val="0"/>
                <w:szCs w:val="21"/>
              </w:rPr>
            </w:pPr>
            <w:r>
              <w:rPr>
                <w:bCs/>
                <w:color w:val="000000"/>
                <w:kern w:val="0"/>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104" w:type="dxa"/>
            <w:vMerge w:val="restart"/>
            <w:vAlign w:val="center"/>
          </w:tcPr>
          <w:p>
            <w:pPr>
              <w:widowControl/>
              <w:spacing w:line="400" w:lineRule="exact"/>
              <w:jc w:val="center"/>
              <w:rPr>
                <w:bCs/>
                <w:color w:val="000000"/>
                <w:kern w:val="0"/>
                <w:szCs w:val="21"/>
              </w:rPr>
            </w:pPr>
            <w:r>
              <w:rPr>
                <w:bCs/>
                <w:color w:val="000000"/>
                <w:kern w:val="0"/>
                <w:szCs w:val="21"/>
              </w:rPr>
              <w:t>环境条件</w:t>
            </w:r>
          </w:p>
        </w:tc>
        <w:tc>
          <w:tcPr>
            <w:tcW w:w="1103" w:type="dxa"/>
            <w:vMerge w:val="restart"/>
            <w:vAlign w:val="center"/>
          </w:tcPr>
          <w:p>
            <w:pPr>
              <w:widowControl/>
              <w:spacing w:line="400" w:lineRule="exact"/>
              <w:jc w:val="center"/>
              <w:rPr>
                <w:bCs/>
                <w:color w:val="000000"/>
                <w:kern w:val="0"/>
                <w:szCs w:val="21"/>
              </w:rPr>
            </w:pPr>
            <w:r>
              <w:rPr>
                <w:bCs/>
                <w:color w:val="000000"/>
                <w:kern w:val="0"/>
                <w:szCs w:val="21"/>
              </w:rPr>
              <w:t>自然条件优劣度</w:t>
            </w:r>
          </w:p>
        </w:tc>
        <w:tc>
          <w:tcPr>
            <w:tcW w:w="1103" w:type="dxa"/>
            <w:vAlign w:val="center"/>
          </w:tcPr>
          <w:p>
            <w:pPr>
              <w:widowControl/>
              <w:spacing w:line="400" w:lineRule="exact"/>
              <w:jc w:val="center"/>
              <w:rPr>
                <w:bCs/>
                <w:color w:val="000000"/>
                <w:kern w:val="0"/>
                <w:szCs w:val="21"/>
              </w:rPr>
            </w:pPr>
            <w:r>
              <w:rPr>
                <w:bCs/>
                <w:color w:val="000000"/>
                <w:kern w:val="0"/>
                <w:szCs w:val="21"/>
              </w:rPr>
              <w:t>地形状况</w:t>
            </w:r>
          </w:p>
        </w:tc>
        <w:tc>
          <w:tcPr>
            <w:tcW w:w="1147" w:type="dxa"/>
            <w:vAlign w:val="center"/>
          </w:tcPr>
          <w:p>
            <w:pPr>
              <w:widowControl/>
              <w:spacing w:line="400" w:lineRule="exact"/>
              <w:jc w:val="center"/>
              <w:rPr>
                <w:bCs/>
                <w:color w:val="000000"/>
                <w:kern w:val="0"/>
                <w:szCs w:val="21"/>
              </w:rPr>
            </w:pPr>
            <w:r>
              <w:rPr>
                <w:bCs/>
                <w:color w:val="000000"/>
                <w:kern w:val="0"/>
                <w:szCs w:val="21"/>
              </w:rPr>
              <w:t>地势平坦</w:t>
            </w:r>
          </w:p>
        </w:tc>
        <w:tc>
          <w:tcPr>
            <w:tcW w:w="1333" w:type="dxa"/>
            <w:vAlign w:val="center"/>
          </w:tcPr>
          <w:p>
            <w:pPr>
              <w:widowControl/>
              <w:spacing w:line="400" w:lineRule="exact"/>
              <w:jc w:val="center"/>
              <w:rPr>
                <w:bCs/>
                <w:color w:val="000000"/>
                <w:kern w:val="0"/>
                <w:szCs w:val="21"/>
              </w:rPr>
            </w:pPr>
            <w:r>
              <w:rPr>
                <w:bCs/>
                <w:color w:val="000000"/>
                <w:kern w:val="0"/>
                <w:szCs w:val="21"/>
              </w:rPr>
              <w:t>较平坦，对建筑物无影响</w:t>
            </w:r>
          </w:p>
        </w:tc>
        <w:tc>
          <w:tcPr>
            <w:tcW w:w="1219" w:type="dxa"/>
            <w:vAlign w:val="center"/>
          </w:tcPr>
          <w:p>
            <w:pPr>
              <w:widowControl/>
              <w:spacing w:line="400" w:lineRule="exact"/>
              <w:jc w:val="center"/>
              <w:rPr>
                <w:bCs/>
                <w:color w:val="000000"/>
                <w:kern w:val="0"/>
                <w:szCs w:val="21"/>
              </w:rPr>
            </w:pPr>
            <w:r>
              <w:rPr>
                <w:bCs/>
                <w:color w:val="000000"/>
                <w:kern w:val="0"/>
                <w:szCs w:val="21"/>
              </w:rPr>
              <w:t>较平坦，对建筑物影响较小</w:t>
            </w:r>
          </w:p>
        </w:tc>
        <w:tc>
          <w:tcPr>
            <w:tcW w:w="1219" w:type="dxa"/>
            <w:vAlign w:val="center"/>
          </w:tcPr>
          <w:p>
            <w:pPr>
              <w:widowControl/>
              <w:spacing w:line="400" w:lineRule="exact"/>
              <w:jc w:val="center"/>
              <w:rPr>
                <w:bCs/>
                <w:color w:val="000000"/>
                <w:kern w:val="0"/>
                <w:szCs w:val="21"/>
              </w:rPr>
            </w:pPr>
            <w:r>
              <w:rPr>
                <w:bCs/>
                <w:color w:val="000000"/>
                <w:kern w:val="0"/>
                <w:szCs w:val="21"/>
              </w:rPr>
              <w:t>不平坦，需考虑坡度影响</w:t>
            </w:r>
          </w:p>
        </w:tc>
        <w:tc>
          <w:tcPr>
            <w:tcW w:w="1131" w:type="dxa"/>
            <w:vAlign w:val="center"/>
          </w:tcPr>
          <w:p>
            <w:pPr>
              <w:widowControl/>
              <w:spacing w:line="400" w:lineRule="exact"/>
              <w:jc w:val="center"/>
              <w:rPr>
                <w:bCs/>
                <w:color w:val="000000"/>
                <w:kern w:val="0"/>
                <w:szCs w:val="21"/>
              </w:rPr>
            </w:pPr>
            <w:r>
              <w:rPr>
                <w:bCs/>
                <w:color w:val="000000"/>
                <w:kern w:val="0"/>
                <w:szCs w:val="21"/>
              </w:rPr>
              <w:t>不平坦，需经平整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30" w:hRule="atLeast"/>
          <w:jc w:val="center"/>
        </w:trPr>
        <w:tc>
          <w:tcPr>
            <w:tcW w:w="1104" w:type="dxa"/>
            <w:vMerge w:val="continue"/>
            <w:vAlign w:val="center"/>
          </w:tcPr>
          <w:p>
            <w:pPr>
              <w:widowControl/>
              <w:spacing w:line="400" w:lineRule="exact"/>
              <w:jc w:val="center"/>
              <w:rPr>
                <w:bCs/>
                <w:color w:val="000000"/>
                <w:kern w:val="0"/>
                <w:szCs w:val="21"/>
              </w:rPr>
            </w:pPr>
          </w:p>
        </w:tc>
        <w:tc>
          <w:tcPr>
            <w:tcW w:w="1103" w:type="dxa"/>
            <w:vMerge w:val="continue"/>
            <w:vAlign w:val="center"/>
          </w:tcPr>
          <w:p>
            <w:pPr>
              <w:widowControl/>
              <w:spacing w:line="400" w:lineRule="exact"/>
              <w:jc w:val="center"/>
              <w:rPr>
                <w:bCs/>
                <w:color w:val="000000"/>
                <w:kern w:val="0"/>
                <w:szCs w:val="21"/>
              </w:rPr>
            </w:pPr>
          </w:p>
        </w:tc>
        <w:tc>
          <w:tcPr>
            <w:tcW w:w="1103" w:type="dxa"/>
            <w:vAlign w:val="center"/>
          </w:tcPr>
          <w:p>
            <w:pPr>
              <w:widowControl/>
              <w:spacing w:line="400" w:lineRule="exact"/>
              <w:jc w:val="center"/>
              <w:rPr>
                <w:bCs/>
                <w:color w:val="000000"/>
                <w:kern w:val="0"/>
                <w:szCs w:val="21"/>
              </w:rPr>
            </w:pPr>
            <w:r>
              <w:rPr>
                <w:bCs/>
                <w:color w:val="000000"/>
                <w:kern w:val="0"/>
                <w:szCs w:val="21"/>
              </w:rPr>
              <w:t>洪水淹没状况</w:t>
            </w:r>
          </w:p>
        </w:tc>
        <w:tc>
          <w:tcPr>
            <w:tcW w:w="1147" w:type="dxa"/>
            <w:vAlign w:val="center"/>
          </w:tcPr>
          <w:p>
            <w:pPr>
              <w:widowControl/>
              <w:spacing w:line="400" w:lineRule="exact"/>
              <w:jc w:val="center"/>
              <w:rPr>
                <w:bCs/>
                <w:color w:val="000000"/>
                <w:kern w:val="0"/>
                <w:szCs w:val="21"/>
              </w:rPr>
            </w:pPr>
            <w:r>
              <w:rPr>
                <w:bCs/>
                <w:color w:val="000000"/>
                <w:kern w:val="0"/>
                <w:szCs w:val="21"/>
              </w:rPr>
              <w:t>&gt;100年一遇</w:t>
            </w:r>
          </w:p>
        </w:tc>
        <w:tc>
          <w:tcPr>
            <w:tcW w:w="1333" w:type="dxa"/>
            <w:vAlign w:val="center"/>
          </w:tcPr>
          <w:p>
            <w:pPr>
              <w:widowControl/>
              <w:spacing w:line="400" w:lineRule="exact"/>
              <w:jc w:val="center"/>
              <w:rPr>
                <w:bCs/>
                <w:color w:val="000000"/>
                <w:kern w:val="0"/>
                <w:szCs w:val="21"/>
              </w:rPr>
            </w:pPr>
            <w:r>
              <w:rPr>
                <w:bCs/>
                <w:color w:val="000000"/>
                <w:kern w:val="0"/>
                <w:szCs w:val="21"/>
              </w:rPr>
              <w:t>50-100年一遇</w:t>
            </w:r>
          </w:p>
        </w:tc>
        <w:tc>
          <w:tcPr>
            <w:tcW w:w="1219" w:type="dxa"/>
            <w:vAlign w:val="center"/>
          </w:tcPr>
          <w:p>
            <w:pPr>
              <w:widowControl/>
              <w:spacing w:line="400" w:lineRule="exact"/>
              <w:jc w:val="center"/>
              <w:rPr>
                <w:bCs/>
                <w:color w:val="000000"/>
                <w:kern w:val="0"/>
                <w:szCs w:val="21"/>
              </w:rPr>
            </w:pPr>
            <w:r>
              <w:rPr>
                <w:bCs/>
                <w:color w:val="000000"/>
                <w:kern w:val="0"/>
                <w:szCs w:val="21"/>
              </w:rPr>
              <w:t>20—50年一遇</w:t>
            </w:r>
          </w:p>
        </w:tc>
        <w:tc>
          <w:tcPr>
            <w:tcW w:w="1219" w:type="dxa"/>
            <w:vAlign w:val="center"/>
          </w:tcPr>
          <w:p>
            <w:pPr>
              <w:widowControl/>
              <w:spacing w:line="400" w:lineRule="exact"/>
              <w:jc w:val="center"/>
              <w:rPr>
                <w:bCs/>
                <w:color w:val="000000"/>
                <w:kern w:val="0"/>
                <w:szCs w:val="21"/>
              </w:rPr>
            </w:pPr>
            <w:r>
              <w:rPr>
                <w:bCs/>
                <w:color w:val="000000"/>
                <w:kern w:val="0"/>
                <w:szCs w:val="21"/>
              </w:rPr>
              <w:t>10-20年一遇</w:t>
            </w:r>
          </w:p>
        </w:tc>
        <w:tc>
          <w:tcPr>
            <w:tcW w:w="1131" w:type="dxa"/>
            <w:vAlign w:val="center"/>
          </w:tcPr>
          <w:p>
            <w:pPr>
              <w:widowControl/>
              <w:spacing w:line="400" w:lineRule="exact"/>
              <w:jc w:val="center"/>
              <w:rPr>
                <w:bCs/>
                <w:color w:val="000000"/>
                <w:kern w:val="0"/>
                <w:szCs w:val="21"/>
              </w:rPr>
            </w:pPr>
            <w:r>
              <w:rPr>
                <w:bCs/>
                <w:color w:val="000000"/>
                <w:kern w:val="0"/>
                <w:szCs w:val="21"/>
              </w:rPr>
              <w:t>&lt;10年一遇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104" w:type="dxa"/>
            <w:vAlign w:val="center"/>
          </w:tcPr>
          <w:p>
            <w:pPr>
              <w:widowControl/>
              <w:spacing w:line="400" w:lineRule="exact"/>
              <w:jc w:val="center"/>
              <w:rPr>
                <w:bCs/>
                <w:color w:val="000000"/>
                <w:kern w:val="0"/>
                <w:szCs w:val="21"/>
              </w:rPr>
            </w:pPr>
            <w:r>
              <w:rPr>
                <w:bCs/>
                <w:color w:val="000000"/>
                <w:kern w:val="0"/>
                <w:szCs w:val="21"/>
              </w:rPr>
              <w:t>城市规划</w:t>
            </w:r>
          </w:p>
        </w:tc>
        <w:tc>
          <w:tcPr>
            <w:tcW w:w="1103" w:type="dxa"/>
            <w:vAlign w:val="center"/>
          </w:tcPr>
          <w:p>
            <w:pPr>
              <w:widowControl/>
              <w:spacing w:line="400" w:lineRule="exact"/>
              <w:jc w:val="center"/>
              <w:rPr>
                <w:bCs/>
                <w:color w:val="000000"/>
                <w:kern w:val="0"/>
                <w:szCs w:val="21"/>
              </w:rPr>
            </w:pPr>
            <w:r>
              <w:rPr>
                <w:bCs/>
                <w:color w:val="000000"/>
                <w:kern w:val="0"/>
                <w:szCs w:val="21"/>
              </w:rPr>
              <w:t>城市规划</w:t>
            </w:r>
          </w:p>
        </w:tc>
        <w:tc>
          <w:tcPr>
            <w:tcW w:w="1103" w:type="dxa"/>
            <w:vAlign w:val="center"/>
          </w:tcPr>
          <w:p>
            <w:pPr>
              <w:widowControl/>
              <w:spacing w:line="400" w:lineRule="exact"/>
              <w:jc w:val="center"/>
              <w:rPr>
                <w:bCs/>
                <w:color w:val="000000"/>
                <w:kern w:val="0"/>
                <w:szCs w:val="21"/>
              </w:rPr>
            </w:pPr>
            <w:r>
              <w:rPr>
                <w:bCs/>
                <w:color w:val="000000"/>
                <w:kern w:val="0"/>
                <w:szCs w:val="21"/>
              </w:rPr>
              <w:t>道路规划</w:t>
            </w:r>
          </w:p>
        </w:tc>
        <w:tc>
          <w:tcPr>
            <w:tcW w:w="1147" w:type="dxa"/>
            <w:vAlign w:val="center"/>
          </w:tcPr>
          <w:p>
            <w:pPr>
              <w:widowControl/>
              <w:spacing w:line="400" w:lineRule="exact"/>
              <w:jc w:val="center"/>
              <w:rPr>
                <w:bCs/>
                <w:color w:val="000000"/>
                <w:kern w:val="0"/>
                <w:szCs w:val="21"/>
              </w:rPr>
            </w:pPr>
            <w:r>
              <w:rPr>
                <w:bCs/>
                <w:color w:val="000000"/>
                <w:kern w:val="0"/>
                <w:szCs w:val="21"/>
              </w:rPr>
              <w:t>交通型主干道</w:t>
            </w:r>
          </w:p>
        </w:tc>
        <w:tc>
          <w:tcPr>
            <w:tcW w:w="1333" w:type="dxa"/>
            <w:vAlign w:val="center"/>
          </w:tcPr>
          <w:p>
            <w:pPr>
              <w:widowControl/>
              <w:spacing w:line="400" w:lineRule="exact"/>
              <w:jc w:val="center"/>
              <w:rPr>
                <w:bCs/>
                <w:color w:val="000000"/>
                <w:kern w:val="0"/>
                <w:szCs w:val="21"/>
              </w:rPr>
            </w:pPr>
            <w:r>
              <w:rPr>
                <w:bCs/>
                <w:color w:val="000000"/>
                <w:kern w:val="0"/>
                <w:szCs w:val="21"/>
              </w:rPr>
              <w:t>混合型主干道</w:t>
            </w:r>
          </w:p>
        </w:tc>
        <w:tc>
          <w:tcPr>
            <w:tcW w:w="1219" w:type="dxa"/>
            <w:vAlign w:val="center"/>
          </w:tcPr>
          <w:p>
            <w:pPr>
              <w:widowControl/>
              <w:spacing w:line="400" w:lineRule="exact"/>
              <w:jc w:val="center"/>
              <w:rPr>
                <w:bCs/>
                <w:color w:val="000000"/>
                <w:kern w:val="0"/>
                <w:szCs w:val="21"/>
              </w:rPr>
            </w:pPr>
            <w:r>
              <w:rPr>
                <w:bCs/>
                <w:color w:val="000000"/>
                <w:kern w:val="0"/>
                <w:szCs w:val="21"/>
              </w:rPr>
              <w:t>交通型次干道，生活型主干道</w:t>
            </w:r>
          </w:p>
        </w:tc>
        <w:tc>
          <w:tcPr>
            <w:tcW w:w="1219" w:type="dxa"/>
            <w:vAlign w:val="center"/>
          </w:tcPr>
          <w:p>
            <w:pPr>
              <w:widowControl/>
              <w:spacing w:line="400" w:lineRule="exact"/>
              <w:jc w:val="center"/>
              <w:rPr>
                <w:bCs/>
                <w:color w:val="000000"/>
                <w:kern w:val="0"/>
                <w:szCs w:val="21"/>
              </w:rPr>
            </w:pPr>
            <w:r>
              <w:rPr>
                <w:bCs/>
                <w:color w:val="000000"/>
                <w:kern w:val="0"/>
                <w:szCs w:val="21"/>
              </w:rPr>
              <w:t>生活型次干道</w:t>
            </w:r>
          </w:p>
        </w:tc>
        <w:tc>
          <w:tcPr>
            <w:tcW w:w="1131" w:type="dxa"/>
            <w:vAlign w:val="center"/>
          </w:tcPr>
          <w:p>
            <w:pPr>
              <w:widowControl/>
              <w:spacing w:line="400" w:lineRule="exact"/>
              <w:jc w:val="center"/>
              <w:rPr>
                <w:bCs/>
                <w:color w:val="000000"/>
                <w:kern w:val="0"/>
                <w:szCs w:val="21"/>
              </w:rPr>
            </w:pPr>
            <w:r>
              <w:rPr>
                <w:bCs/>
                <w:color w:val="000000"/>
                <w:kern w:val="0"/>
                <w:szCs w:val="21"/>
              </w:rPr>
              <w:t>支路</w:t>
            </w:r>
          </w:p>
        </w:tc>
      </w:tr>
    </w:tbl>
    <w:p>
      <w:pPr>
        <w:pStyle w:val="131"/>
        <w:spacing w:beforeLines="50" w:afterLines="50"/>
        <w:ind w:firstLine="0" w:firstLineChars="0"/>
        <w:rPr>
          <w:rFonts w:ascii="Times New Roman" w:hAnsi="Times New Roman"/>
          <w:sz w:val="24"/>
        </w:rPr>
      </w:pPr>
      <w:r>
        <w:rPr>
          <w:rFonts w:ascii="Times New Roman" w:hAnsi="Times New Roman"/>
          <w:sz w:val="24"/>
        </w:rPr>
        <w:br w:type="page"/>
      </w:r>
      <w:r>
        <w:rPr>
          <w:rFonts w:ascii="Times New Roman" w:hAnsi="Times New Roman"/>
          <w:sz w:val="24"/>
        </w:rPr>
        <w:t>表4-6-</w:t>
      </w:r>
      <w:r>
        <w:rPr>
          <w:rFonts w:hint="eastAsia" w:ascii="Times New Roman" w:hAnsi="Times New Roman"/>
          <w:sz w:val="24"/>
        </w:rPr>
        <w:t>11</w:t>
      </w:r>
      <w:r>
        <w:rPr>
          <w:rFonts w:ascii="Times New Roman" w:hAnsi="Times New Roman"/>
          <w:sz w:val="24"/>
        </w:rPr>
        <w:t xml:space="preserve">  Ⅱ级公共管理与公共服务二类用地宗地地价区域因素修正系数表</w:t>
      </w:r>
    </w:p>
    <w:tbl>
      <w:tblPr>
        <w:tblW w:w="9136" w:type="dxa"/>
        <w:jc w:val="center"/>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995"/>
        <w:gridCol w:w="849"/>
        <w:gridCol w:w="831"/>
        <w:gridCol w:w="1151"/>
        <w:gridCol w:w="809"/>
        <w:gridCol w:w="702"/>
        <w:gridCol w:w="702"/>
        <w:gridCol w:w="702"/>
        <w:gridCol w:w="773"/>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blHeader/>
          <w:jc w:val="center"/>
        </w:trPr>
        <w:tc>
          <w:tcPr>
            <w:tcW w:w="849" w:type="dxa"/>
            <w:vAlign w:val="center"/>
          </w:tcPr>
          <w:p>
            <w:pPr>
              <w:spacing w:line="400" w:lineRule="exact"/>
              <w:jc w:val="center"/>
              <w:rPr>
                <w:b/>
                <w:bCs/>
                <w:szCs w:val="21"/>
              </w:rPr>
            </w:pPr>
            <w:r>
              <w:rPr>
                <w:b/>
                <w:bCs/>
                <w:szCs w:val="21"/>
              </w:rPr>
              <w:t>因素层</w:t>
            </w:r>
          </w:p>
        </w:tc>
        <w:tc>
          <w:tcPr>
            <w:tcW w:w="995" w:type="dxa"/>
            <w:vAlign w:val="center"/>
          </w:tcPr>
          <w:p>
            <w:pPr>
              <w:spacing w:line="400" w:lineRule="exact"/>
              <w:jc w:val="center"/>
              <w:rPr>
                <w:b/>
                <w:bCs/>
                <w:szCs w:val="21"/>
              </w:rPr>
            </w:pPr>
            <w:r>
              <w:rPr>
                <w:b/>
                <w:bCs/>
                <w:szCs w:val="21"/>
              </w:rPr>
              <w:t>权重</w:t>
            </w:r>
          </w:p>
        </w:tc>
        <w:tc>
          <w:tcPr>
            <w:tcW w:w="849" w:type="dxa"/>
            <w:vAlign w:val="center"/>
          </w:tcPr>
          <w:p>
            <w:pPr>
              <w:spacing w:line="400" w:lineRule="exact"/>
              <w:jc w:val="center"/>
              <w:rPr>
                <w:b/>
                <w:bCs/>
                <w:szCs w:val="21"/>
              </w:rPr>
            </w:pPr>
            <w:r>
              <w:rPr>
                <w:b/>
                <w:bCs/>
                <w:szCs w:val="21"/>
              </w:rPr>
              <w:t>因子层</w:t>
            </w:r>
          </w:p>
        </w:tc>
        <w:tc>
          <w:tcPr>
            <w:tcW w:w="831" w:type="dxa"/>
            <w:vAlign w:val="center"/>
          </w:tcPr>
          <w:p>
            <w:pPr>
              <w:spacing w:line="400" w:lineRule="exact"/>
              <w:jc w:val="center"/>
              <w:rPr>
                <w:b/>
                <w:bCs/>
                <w:szCs w:val="21"/>
              </w:rPr>
            </w:pPr>
            <w:r>
              <w:rPr>
                <w:b/>
                <w:bCs/>
                <w:szCs w:val="21"/>
              </w:rPr>
              <w:t>权重</w:t>
            </w:r>
          </w:p>
        </w:tc>
        <w:tc>
          <w:tcPr>
            <w:tcW w:w="1151" w:type="dxa"/>
            <w:vAlign w:val="center"/>
          </w:tcPr>
          <w:p>
            <w:pPr>
              <w:spacing w:line="400" w:lineRule="exact"/>
              <w:jc w:val="center"/>
              <w:rPr>
                <w:b/>
                <w:bCs/>
                <w:szCs w:val="21"/>
              </w:rPr>
            </w:pPr>
            <w:r>
              <w:rPr>
                <w:b/>
                <w:bCs/>
                <w:szCs w:val="21"/>
              </w:rPr>
              <w:t>指标层</w:t>
            </w:r>
          </w:p>
        </w:tc>
        <w:tc>
          <w:tcPr>
            <w:tcW w:w="809" w:type="dxa"/>
            <w:vAlign w:val="center"/>
          </w:tcPr>
          <w:p>
            <w:pPr>
              <w:spacing w:line="400" w:lineRule="exact"/>
              <w:jc w:val="center"/>
              <w:rPr>
                <w:b/>
                <w:bCs/>
                <w:szCs w:val="21"/>
              </w:rPr>
            </w:pPr>
            <w:r>
              <w:rPr>
                <w:b/>
                <w:bCs/>
                <w:szCs w:val="21"/>
              </w:rPr>
              <w:t>权重</w:t>
            </w:r>
          </w:p>
        </w:tc>
        <w:tc>
          <w:tcPr>
            <w:tcW w:w="702" w:type="dxa"/>
            <w:vAlign w:val="center"/>
          </w:tcPr>
          <w:p>
            <w:pPr>
              <w:spacing w:line="400" w:lineRule="exact"/>
              <w:jc w:val="center"/>
              <w:rPr>
                <w:b/>
                <w:bCs/>
                <w:szCs w:val="21"/>
              </w:rPr>
            </w:pPr>
            <w:r>
              <w:rPr>
                <w:b/>
                <w:bCs/>
                <w:szCs w:val="21"/>
              </w:rPr>
              <w:t>优</w:t>
            </w:r>
          </w:p>
        </w:tc>
        <w:tc>
          <w:tcPr>
            <w:tcW w:w="702" w:type="dxa"/>
            <w:vAlign w:val="center"/>
          </w:tcPr>
          <w:p>
            <w:pPr>
              <w:spacing w:line="400" w:lineRule="exact"/>
              <w:jc w:val="center"/>
              <w:rPr>
                <w:b/>
                <w:bCs/>
                <w:szCs w:val="21"/>
              </w:rPr>
            </w:pPr>
            <w:r>
              <w:rPr>
                <w:b/>
                <w:bCs/>
                <w:szCs w:val="21"/>
              </w:rPr>
              <w:t>较优</w:t>
            </w:r>
          </w:p>
        </w:tc>
        <w:tc>
          <w:tcPr>
            <w:tcW w:w="702" w:type="dxa"/>
            <w:vAlign w:val="center"/>
          </w:tcPr>
          <w:p>
            <w:pPr>
              <w:spacing w:line="400" w:lineRule="exact"/>
              <w:jc w:val="center"/>
              <w:rPr>
                <w:b/>
                <w:bCs/>
                <w:szCs w:val="21"/>
              </w:rPr>
            </w:pPr>
            <w:r>
              <w:rPr>
                <w:b/>
                <w:bCs/>
                <w:szCs w:val="21"/>
              </w:rPr>
              <w:t>一般</w:t>
            </w:r>
          </w:p>
        </w:tc>
        <w:tc>
          <w:tcPr>
            <w:tcW w:w="773" w:type="dxa"/>
            <w:vAlign w:val="center"/>
          </w:tcPr>
          <w:p>
            <w:pPr>
              <w:spacing w:line="400" w:lineRule="exact"/>
              <w:jc w:val="center"/>
              <w:rPr>
                <w:b/>
                <w:bCs/>
                <w:szCs w:val="21"/>
              </w:rPr>
            </w:pPr>
            <w:r>
              <w:rPr>
                <w:b/>
                <w:bCs/>
                <w:szCs w:val="21"/>
              </w:rPr>
              <w:t>较劣</w:t>
            </w:r>
          </w:p>
        </w:tc>
        <w:tc>
          <w:tcPr>
            <w:tcW w:w="773"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49" w:type="dxa"/>
            <w:vMerge w:val="restart"/>
            <w:vAlign w:val="center"/>
          </w:tcPr>
          <w:p>
            <w:pPr>
              <w:widowControl/>
              <w:spacing w:line="400" w:lineRule="exact"/>
              <w:jc w:val="center"/>
              <w:rPr>
                <w:bCs/>
                <w:color w:val="000000"/>
                <w:kern w:val="0"/>
                <w:szCs w:val="21"/>
              </w:rPr>
            </w:pPr>
            <w:r>
              <w:rPr>
                <w:bCs/>
                <w:color w:val="000000"/>
                <w:kern w:val="0"/>
                <w:szCs w:val="21"/>
              </w:rPr>
              <w:t>基本设施状况</w:t>
            </w:r>
          </w:p>
        </w:tc>
        <w:tc>
          <w:tcPr>
            <w:tcW w:w="995" w:type="dxa"/>
            <w:vMerge w:val="restart"/>
            <w:vAlign w:val="center"/>
          </w:tcPr>
          <w:p>
            <w:pPr>
              <w:widowControl/>
              <w:spacing w:line="400" w:lineRule="exact"/>
              <w:jc w:val="center"/>
              <w:rPr>
                <w:bCs/>
                <w:color w:val="000000"/>
                <w:kern w:val="0"/>
                <w:szCs w:val="21"/>
              </w:rPr>
            </w:pPr>
            <w:r>
              <w:rPr>
                <w:bCs/>
                <w:color w:val="000000"/>
                <w:kern w:val="0"/>
                <w:szCs w:val="21"/>
              </w:rPr>
              <w:t>0.3354</w:t>
            </w:r>
          </w:p>
        </w:tc>
        <w:tc>
          <w:tcPr>
            <w:tcW w:w="849" w:type="dxa"/>
            <w:vMerge w:val="restart"/>
            <w:vAlign w:val="center"/>
          </w:tcPr>
          <w:p>
            <w:pPr>
              <w:widowControl/>
              <w:spacing w:line="400" w:lineRule="exact"/>
              <w:jc w:val="center"/>
              <w:rPr>
                <w:bCs/>
                <w:color w:val="000000"/>
                <w:kern w:val="0"/>
                <w:szCs w:val="21"/>
              </w:rPr>
            </w:pPr>
            <w:r>
              <w:rPr>
                <w:bCs/>
                <w:color w:val="000000"/>
                <w:kern w:val="0"/>
                <w:szCs w:val="21"/>
              </w:rPr>
              <w:t>基础设施完善度</w:t>
            </w:r>
          </w:p>
        </w:tc>
        <w:tc>
          <w:tcPr>
            <w:tcW w:w="831" w:type="dxa"/>
            <w:vMerge w:val="restart"/>
            <w:vAlign w:val="center"/>
          </w:tcPr>
          <w:p>
            <w:pPr>
              <w:widowControl/>
              <w:spacing w:line="400" w:lineRule="exact"/>
              <w:jc w:val="center"/>
              <w:rPr>
                <w:bCs/>
                <w:color w:val="000000"/>
                <w:kern w:val="0"/>
                <w:szCs w:val="21"/>
              </w:rPr>
            </w:pPr>
            <w:r>
              <w:rPr>
                <w:bCs/>
                <w:color w:val="000000"/>
                <w:kern w:val="0"/>
                <w:szCs w:val="21"/>
              </w:rPr>
              <w:t>0.3354</w:t>
            </w:r>
          </w:p>
        </w:tc>
        <w:tc>
          <w:tcPr>
            <w:tcW w:w="1151" w:type="dxa"/>
            <w:vAlign w:val="center"/>
          </w:tcPr>
          <w:p>
            <w:pPr>
              <w:widowControl/>
              <w:spacing w:line="400" w:lineRule="exact"/>
              <w:jc w:val="center"/>
              <w:rPr>
                <w:bCs/>
                <w:color w:val="000000"/>
                <w:kern w:val="0"/>
                <w:szCs w:val="21"/>
              </w:rPr>
            </w:pPr>
            <w:r>
              <w:rPr>
                <w:bCs/>
                <w:color w:val="000000"/>
                <w:kern w:val="0"/>
                <w:szCs w:val="21"/>
              </w:rPr>
              <w:t>排水状况</w:t>
            </w:r>
          </w:p>
        </w:tc>
        <w:tc>
          <w:tcPr>
            <w:tcW w:w="809" w:type="dxa"/>
            <w:vAlign w:val="center"/>
          </w:tcPr>
          <w:p>
            <w:pPr>
              <w:widowControl/>
              <w:spacing w:line="400" w:lineRule="exact"/>
              <w:jc w:val="center"/>
              <w:rPr>
                <w:bCs/>
                <w:color w:val="000000"/>
                <w:kern w:val="0"/>
                <w:szCs w:val="21"/>
              </w:rPr>
            </w:pPr>
            <w:r>
              <w:rPr>
                <w:bCs/>
                <w:color w:val="000000"/>
                <w:kern w:val="0"/>
                <w:szCs w:val="21"/>
              </w:rPr>
              <w:t>0.0838</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1.496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0.748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-0.722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-1.443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49" w:type="dxa"/>
            <w:vMerge w:val="continue"/>
            <w:vAlign w:val="center"/>
          </w:tcPr>
          <w:p>
            <w:pPr>
              <w:widowControl/>
              <w:spacing w:line="400" w:lineRule="exact"/>
              <w:jc w:val="center"/>
              <w:rPr>
                <w:bCs/>
                <w:color w:val="000000"/>
                <w:kern w:val="0"/>
                <w:szCs w:val="21"/>
              </w:rPr>
            </w:pPr>
          </w:p>
        </w:tc>
        <w:tc>
          <w:tcPr>
            <w:tcW w:w="995" w:type="dxa"/>
            <w:vMerge w:val="continue"/>
            <w:vAlign w:val="center"/>
          </w:tcPr>
          <w:p>
            <w:pPr>
              <w:widowControl/>
              <w:spacing w:line="400" w:lineRule="exact"/>
              <w:jc w:val="center"/>
              <w:rPr>
                <w:bCs/>
                <w:color w:val="000000"/>
                <w:kern w:val="0"/>
                <w:szCs w:val="21"/>
              </w:rPr>
            </w:pPr>
          </w:p>
        </w:tc>
        <w:tc>
          <w:tcPr>
            <w:tcW w:w="849" w:type="dxa"/>
            <w:vMerge w:val="continue"/>
            <w:vAlign w:val="center"/>
          </w:tcPr>
          <w:p>
            <w:pPr>
              <w:widowControl/>
              <w:spacing w:line="400" w:lineRule="exact"/>
              <w:jc w:val="center"/>
              <w:rPr>
                <w:bCs/>
                <w:color w:val="000000"/>
                <w:kern w:val="0"/>
                <w:szCs w:val="21"/>
              </w:rPr>
            </w:pPr>
          </w:p>
        </w:tc>
        <w:tc>
          <w:tcPr>
            <w:tcW w:w="831" w:type="dxa"/>
            <w:vMerge w:val="continue"/>
            <w:vAlign w:val="center"/>
          </w:tcPr>
          <w:p>
            <w:pPr>
              <w:widowControl/>
              <w:spacing w:line="400" w:lineRule="exact"/>
              <w:jc w:val="center"/>
              <w:rPr>
                <w:bCs/>
                <w:color w:val="000000"/>
                <w:kern w:val="0"/>
                <w:szCs w:val="21"/>
              </w:rPr>
            </w:pPr>
          </w:p>
        </w:tc>
        <w:tc>
          <w:tcPr>
            <w:tcW w:w="1151" w:type="dxa"/>
            <w:vAlign w:val="center"/>
          </w:tcPr>
          <w:p>
            <w:pPr>
              <w:widowControl/>
              <w:spacing w:line="400" w:lineRule="exact"/>
              <w:jc w:val="center"/>
              <w:rPr>
                <w:bCs/>
                <w:color w:val="000000"/>
                <w:kern w:val="0"/>
                <w:szCs w:val="21"/>
              </w:rPr>
            </w:pPr>
            <w:r>
              <w:rPr>
                <w:bCs/>
                <w:color w:val="000000"/>
                <w:kern w:val="0"/>
                <w:szCs w:val="21"/>
              </w:rPr>
              <w:t>供水状况</w:t>
            </w:r>
          </w:p>
        </w:tc>
        <w:tc>
          <w:tcPr>
            <w:tcW w:w="809" w:type="dxa"/>
            <w:vAlign w:val="center"/>
          </w:tcPr>
          <w:p>
            <w:pPr>
              <w:widowControl/>
              <w:spacing w:line="400" w:lineRule="exact"/>
              <w:jc w:val="center"/>
              <w:rPr>
                <w:bCs/>
                <w:color w:val="000000"/>
                <w:kern w:val="0"/>
                <w:szCs w:val="21"/>
              </w:rPr>
            </w:pPr>
            <w:r>
              <w:rPr>
                <w:bCs/>
                <w:color w:val="000000"/>
                <w:kern w:val="0"/>
                <w:szCs w:val="21"/>
              </w:rPr>
              <w:t>0.0838</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1.496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0.748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-0.722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-1.443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49" w:type="dxa"/>
            <w:vMerge w:val="continue"/>
            <w:vAlign w:val="center"/>
          </w:tcPr>
          <w:p>
            <w:pPr>
              <w:widowControl/>
              <w:spacing w:line="400" w:lineRule="exact"/>
              <w:jc w:val="center"/>
              <w:rPr>
                <w:bCs/>
                <w:color w:val="000000"/>
                <w:kern w:val="0"/>
                <w:szCs w:val="21"/>
              </w:rPr>
            </w:pPr>
          </w:p>
        </w:tc>
        <w:tc>
          <w:tcPr>
            <w:tcW w:w="995" w:type="dxa"/>
            <w:vMerge w:val="continue"/>
            <w:vAlign w:val="center"/>
          </w:tcPr>
          <w:p>
            <w:pPr>
              <w:widowControl/>
              <w:spacing w:line="400" w:lineRule="exact"/>
              <w:jc w:val="center"/>
              <w:rPr>
                <w:bCs/>
                <w:color w:val="000000"/>
                <w:kern w:val="0"/>
                <w:szCs w:val="21"/>
              </w:rPr>
            </w:pPr>
          </w:p>
        </w:tc>
        <w:tc>
          <w:tcPr>
            <w:tcW w:w="849" w:type="dxa"/>
            <w:vMerge w:val="continue"/>
            <w:vAlign w:val="center"/>
          </w:tcPr>
          <w:p>
            <w:pPr>
              <w:widowControl/>
              <w:spacing w:line="400" w:lineRule="exact"/>
              <w:jc w:val="center"/>
              <w:rPr>
                <w:bCs/>
                <w:color w:val="000000"/>
                <w:kern w:val="0"/>
                <w:szCs w:val="21"/>
              </w:rPr>
            </w:pPr>
          </w:p>
        </w:tc>
        <w:tc>
          <w:tcPr>
            <w:tcW w:w="831" w:type="dxa"/>
            <w:vMerge w:val="continue"/>
            <w:vAlign w:val="center"/>
          </w:tcPr>
          <w:p>
            <w:pPr>
              <w:widowControl/>
              <w:spacing w:line="400" w:lineRule="exact"/>
              <w:jc w:val="center"/>
              <w:rPr>
                <w:bCs/>
                <w:color w:val="000000"/>
                <w:kern w:val="0"/>
                <w:szCs w:val="21"/>
              </w:rPr>
            </w:pPr>
          </w:p>
        </w:tc>
        <w:tc>
          <w:tcPr>
            <w:tcW w:w="1151" w:type="dxa"/>
            <w:vAlign w:val="center"/>
          </w:tcPr>
          <w:p>
            <w:pPr>
              <w:widowControl/>
              <w:spacing w:line="400" w:lineRule="exact"/>
              <w:jc w:val="center"/>
              <w:rPr>
                <w:bCs/>
                <w:color w:val="000000"/>
                <w:kern w:val="0"/>
                <w:szCs w:val="21"/>
              </w:rPr>
            </w:pPr>
            <w:r>
              <w:rPr>
                <w:bCs/>
                <w:color w:val="000000"/>
                <w:kern w:val="0"/>
                <w:szCs w:val="21"/>
              </w:rPr>
              <w:t>供电状况</w:t>
            </w:r>
          </w:p>
        </w:tc>
        <w:tc>
          <w:tcPr>
            <w:tcW w:w="809" w:type="dxa"/>
            <w:vAlign w:val="center"/>
          </w:tcPr>
          <w:p>
            <w:pPr>
              <w:widowControl/>
              <w:spacing w:line="400" w:lineRule="exact"/>
              <w:jc w:val="center"/>
              <w:rPr>
                <w:bCs/>
                <w:color w:val="000000"/>
                <w:kern w:val="0"/>
                <w:szCs w:val="21"/>
              </w:rPr>
            </w:pPr>
            <w:r>
              <w:rPr>
                <w:bCs/>
                <w:color w:val="000000"/>
                <w:kern w:val="0"/>
                <w:szCs w:val="21"/>
              </w:rPr>
              <w:t>0.0839</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1.498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0.749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-0.722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-1.445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46" w:hRule="atLeast"/>
          <w:jc w:val="center"/>
        </w:trPr>
        <w:tc>
          <w:tcPr>
            <w:tcW w:w="849" w:type="dxa"/>
            <w:vMerge w:val="continue"/>
            <w:vAlign w:val="center"/>
          </w:tcPr>
          <w:p>
            <w:pPr>
              <w:widowControl/>
              <w:spacing w:line="400" w:lineRule="exact"/>
              <w:jc w:val="center"/>
              <w:rPr>
                <w:bCs/>
                <w:color w:val="000000"/>
                <w:kern w:val="0"/>
                <w:szCs w:val="21"/>
              </w:rPr>
            </w:pPr>
          </w:p>
        </w:tc>
        <w:tc>
          <w:tcPr>
            <w:tcW w:w="995" w:type="dxa"/>
            <w:vMerge w:val="continue"/>
            <w:vAlign w:val="center"/>
          </w:tcPr>
          <w:p>
            <w:pPr>
              <w:widowControl/>
              <w:spacing w:line="400" w:lineRule="exact"/>
              <w:jc w:val="center"/>
              <w:rPr>
                <w:bCs/>
                <w:color w:val="000000"/>
                <w:kern w:val="0"/>
                <w:szCs w:val="21"/>
              </w:rPr>
            </w:pPr>
          </w:p>
        </w:tc>
        <w:tc>
          <w:tcPr>
            <w:tcW w:w="849" w:type="dxa"/>
            <w:vMerge w:val="continue"/>
            <w:vAlign w:val="center"/>
          </w:tcPr>
          <w:p>
            <w:pPr>
              <w:widowControl/>
              <w:spacing w:line="400" w:lineRule="exact"/>
              <w:jc w:val="center"/>
              <w:rPr>
                <w:bCs/>
                <w:color w:val="000000"/>
                <w:kern w:val="0"/>
                <w:szCs w:val="21"/>
              </w:rPr>
            </w:pPr>
          </w:p>
        </w:tc>
        <w:tc>
          <w:tcPr>
            <w:tcW w:w="831" w:type="dxa"/>
            <w:vMerge w:val="continue"/>
            <w:vAlign w:val="center"/>
          </w:tcPr>
          <w:p>
            <w:pPr>
              <w:widowControl/>
              <w:spacing w:line="400" w:lineRule="exact"/>
              <w:jc w:val="center"/>
              <w:rPr>
                <w:bCs/>
                <w:color w:val="000000"/>
                <w:kern w:val="0"/>
                <w:szCs w:val="21"/>
              </w:rPr>
            </w:pPr>
          </w:p>
        </w:tc>
        <w:tc>
          <w:tcPr>
            <w:tcW w:w="1151" w:type="dxa"/>
            <w:vAlign w:val="center"/>
          </w:tcPr>
          <w:p>
            <w:pPr>
              <w:widowControl/>
              <w:spacing w:line="400" w:lineRule="exact"/>
              <w:jc w:val="center"/>
              <w:rPr>
                <w:bCs/>
                <w:color w:val="000000"/>
                <w:kern w:val="0"/>
                <w:szCs w:val="21"/>
              </w:rPr>
            </w:pPr>
            <w:r>
              <w:rPr>
                <w:bCs/>
                <w:color w:val="000000"/>
                <w:kern w:val="0"/>
                <w:szCs w:val="21"/>
              </w:rPr>
              <w:t>供气状况</w:t>
            </w:r>
          </w:p>
        </w:tc>
        <w:tc>
          <w:tcPr>
            <w:tcW w:w="809" w:type="dxa"/>
            <w:vAlign w:val="center"/>
          </w:tcPr>
          <w:p>
            <w:pPr>
              <w:widowControl/>
              <w:spacing w:line="400" w:lineRule="exact"/>
              <w:jc w:val="center"/>
              <w:rPr>
                <w:bCs/>
                <w:color w:val="000000"/>
                <w:kern w:val="0"/>
                <w:szCs w:val="21"/>
              </w:rPr>
            </w:pPr>
            <w:r>
              <w:rPr>
                <w:bCs/>
                <w:color w:val="000000"/>
                <w:kern w:val="0"/>
                <w:szCs w:val="21"/>
              </w:rPr>
              <w:t>0.0839</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1.498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0.749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-0.722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-1.445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49" w:type="dxa"/>
            <w:vMerge w:val="restart"/>
            <w:vAlign w:val="center"/>
          </w:tcPr>
          <w:p>
            <w:pPr>
              <w:widowControl/>
              <w:spacing w:line="400" w:lineRule="exact"/>
              <w:jc w:val="center"/>
              <w:rPr>
                <w:bCs/>
                <w:color w:val="000000"/>
                <w:kern w:val="0"/>
                <w:szCs w:val="21"/>
              </w:rPr>
            </w:pPr>
            <w:r>
              <w:rPr>
                <w:bCs/>
                <w:color w:val="000000"/>
                <w:kern w:val="0"/>
                <w:szCs w:val="21"/>
              </w:rPr>
              <w:t>交通条件</w:t>
            </w:r>
          </w:p>
        </w:tc>
        <w:tc>
          <w:tcPr>
            <w:tcW w:w="995" w:type="dxa"/>
            <w:vMerge w:val="restart"/>
            <w:vAlign w:val="center"/>
          </w:tcPr>
          <w:p>
            <w:pPr>
              <w:widowControl/>
              <w:spacing w:line="400" w:lineRule="exact"/>
              <w:jc w:val="center"/>
              <w:rPr>
                <w:bCs/>
                <w:color w:val="000000"/>
                <w:kern w:val="0"/>
                <w:szCs w:val="21"/>
              </w:rPr>
            </w:pPr>
            <w:r>
              <w:rPr>
                <w:bCs/>
                <w:color w:val="000000"/>
                <w:kern w:val="0"/>
                <w:szCs w:val="21"/>
              </w:rPr>
              <w:t>0.2732</w:t>
            </w:r>
          </w:p>
        </w:tc>
        <w:tc>
          <w:tcPr>
            <w:tcW w:w="849" w:type="dxa"/>
            <w:vAlign w:val="center"/>
          </w:tcPr>
          <w:p>
            <w:pPr>
              <w:widowControl/>
              <w:spacing w:line="400" w:lineRule="exact"/>
              <w:jc w:val="center"/>
              <w:rPr>
                <w:bCs/>
                <w:color w:val="000000"/>
                <w:kern w:val="0"/>
                <w:szCs w:val="21"/>
              </w:rPr>
            </w:pPr>
            <w:r>
              <w:rPr>
                <w:bCs/>
                <w:color w:val="000000"/>
                <w:kern w:val="0"/>
                <w:szCs w:val="21"/>
              </w:rPr>
              <w:t>道路通达度</w:t>
            </w:r>
          </w:p>
        </w:tc>
        <w:tc>
          <w:tcPr>
            <w:tcW w:w="831" w:type="dxa"/>
            <w:vAlign w:val="center"/>
          </w:tcPr>
          <w:p>
            <w:pPr>
              <w:widowControl/>
              <w:spacing w:line="400" w:lineRule="exact"/>
              <w:jc w:val="center"/>
              <w:rPr>
                <w:bCs/>
                <w:color w:val="000000"/>
                <w:kern w:val="0"/>
                <w:szCs w:val="21"/>
              </w:rPr>
            </w:pPr>
            <w:r>
              <w:rPr>
                <w:bCs/>
                <w:color w:val="000000"/>
                <w:kern w:val="0"/>
                <w:szCs w:val="21"/>
              </w:rPr>
              <w:t>0.1366</w:t>
            </w:r>
          </w:p>
        </w:tc>
        <w:tc>
          <w:tcPr>
            <w:tcW w:w="1151" w:type="dxa"/>
            <w:vAlign w:val="center"/>
          </w:tcPr>
          <w:p>
            <w:pPr>
              <w:widowControl/>
              <w:spacing w:line="400" w:lineRule="exact"/>
              <w:jc w:val="center"/>
              <w:rPr>
                <w:bCs/>
                <w:color w:val="000000"/>
                <w:kern w:val="0"/>
                <w:szCs w:val="21"/>
              </w:rPr>
            </w:pPr>
            <w:r>
              <w:rPr>
                <w:bCs/>
                <w:color w:val="000000"/>
                <w:kern w:val="0"/>
                <w:szCs w:val="21"/>
              </w:rPr>
              <w:t>临近道路状况</w:t>
            </w:r>
          </w:p>
        </w:tc>
        <w:tc>
          <w:tcPr>
            <w:tcW w:w="809" w:type="dxa"/>
            <w:vAlign w:val="center"/>
          </w:tcPr>
          <w:p>
            <w:pPr>
              <w:widowControl/>
              <w:spacing w:line="400" w:lineRule="exact"/>
              <w:jc w:val="center"/>
              <w:rPr>
                <w:bCs/>
                <w:color w:val="000000"/>
                <w:kern w:val="0"/>
                <w:szCs w:val="21"/>
              </w:rPr>
            </w:pPr>
            <w:r>
              <w:rPr>
                <w:bCs/>
                <w:color w:val="000000"/>
                <w:kern w:val="0"/>
                <w:szCs w:val="21"/>
              </w:rPr>
              <w:t>0.1366</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2.438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1.219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-1.176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-2.352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49" w:type="dxa"/>
            <w:vMerge w:val="continue"/>
            <w:vAlign w:val="center"/>
          </w:tcPr>
          <w:p>
            <w:pPr>
              <w:widowControl/>
              <w:spacing w:line="400" w:lineRule="exact"/>
              <w:jc w:val="center"/>
              <w:rPr>
                <w:bCs/>
                <w:color w:val="000000"/>
                <w:kern w:val="0"/>
                <w:szCs w:val="21"/>
              </w:rPr>
            </w:pPr>
          </w:p>
        </w:tc>
        <w:tc>
          <w:tcPr>
            <w:tcW w:w="995" w:type="dxa"/>
            <w:vMerge w:val="continue"/>
            <w:vAlign w:val="center"/>
          </w:tcPr>
          <w:p>
            <w:pPr>
              <w:widowControl/>
              <w:spacing w:line="400" w:lineRule="exact"/>
              <w:jc w:val="center"/>
              <w:rPr>
                <w:bCs/>
                <w:color w:val="000000"/>
                <w:kern w:val="0"/>
                <w:szCs w:val="21"/>
              </w:rPr>
            </w:pPr>
          </w:p>
        </w:tc>
        <w:tc>
          <w:tcPr>
            <w:tcW w:w="849" w:type="dxa"/>
            <w:vAlign w:val="center"/>
          </w:tcPr>
          <w:p>
            <w:pPr>
              <w:widowControl/>
              <w:spacing w:line="400" w:lineRule="exact"/>
              <w:jc w:val="center"/>
              <w:rPr>
                <w:bCs/>
                <w:color w:val="000000"/>
                <w:kern w:val="0"/>
                <w:szCs w:val="21"/>
              </w:rPr>
            </w:pPr>
            <w:r>
              <w:rPr>
                <w:bCs/>
                <w:color w:val="000000"/>
                <w:kern w:val="0"/>
                <w:szCs w:val="21"/>
              </w:rPr>
              <w:t>公交便捷度</w:t>
            </w:r>
          </w:p>
        </w:tc>
        <w:tc>
          <w:tcPr>
            <w:tcW w:w="831" w:type="dxa"/>
            <w:vAlign w:val="center"/>
          </w:tcPr>
          <w:p>
            <w:pPr>
              <w:widowControl/>
              <w:spacing w:line="400" w:lineRule="exact"/>
              <w:jc w:val="center"/>
              <w:rPr>
                <w:bCs/>
                <w:color w:val="000000"/>
                <w:kern w:val="0"/>
                <w:szCs w:val="21"/>
              </w:rPr>
            </w:pPr>
            <w:r>
              <w:rPr>
                <w:bCs/>
                <w:color w:val="000000"/>
                <w:kern w:val="0"/>
                <w:szCs w:val="21"/>
              </w:rPr>
              <w:t>0.1366</w:t>
            </w:r>
          </w:p>
        </w:tc>
        <w:tc>
          <w:tcPr>
            <w:tcW w:w="1151" w:type="dxa"/>
            <w:vAlign w:val="center"/>
          </w:tcPr>
          <w:p>
            <w:pPr>
              <w:widowControl/>
              <w:spacing w:line="400" w:lineRule="exact"/>
              <w:jc w:val="center"/>
              <w:rPr>
                <w:bCs/>
                <w:color w:val="000000"/>
                <w:kern w:val="0"/>
                <w:szCs w:val="21"/>
              </w:rPr>
            </w:pPr>
            <w:r>
              <w:rPr>
                <w:bCs/>
                <w:color w:val="000000"/>
                <w:kern w:val="0"/>
                <w:szCs w:val="21"/>
              </w:rPr>
              <w:t>距最近公交站点距离</w:t>
            </w:r>
          </w:p>
        </w:tc>
        <w:tc>
          <w:tcPr>
            <w:tcW w:w="809" w:type="dxa"/>
            <w:vAlign w:val="center"/>
          </w:tcPr>
          <w:p>
            <w:pPr>
              <w:widowControl/>
              <w:spacing w:line="400" w:lineRule="exact"/>
              <w:jc w:val="center"/>
              <w:rPr>
                <w:bCs/>
                <w:color w:val="000000"/>
                <w:kern w:val="0"/>
                <w:szCs w:val="21"/>
              </w:rPr>
            </w:pPr>
            <w:r>
              <w:rPr>
                <w:bCs/>
                <w:color w:val="000000"/>
                <w:kern w:val="0"/>
                <w:szCs w:val="21"/>
              </w:rPr>
              <w:t>0.1366</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2.438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1.219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-1.176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-2.352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49" w:type="dxa"/>
            <w:vAlign w:val="center"/>
          </w:tcPr>
          <w:p>
            <w:pPr>
              <w:widowControl/>
              <w:spacing w:line="400" w:lineRule="exact"/>
              <w:jc w:val="center"/>
              <w:rPr>
                <w:bCs/>
                <w:color w:val="000000"/>
                <w:kern w:val="0"/>
                <w:szCs w:val="21"/>
              </w:rPr>
            </w:pPr>
            <w:r>
              <w:rPr>
                <w:bCs/>
                <w:color w:val="000000"/>
                <w:kern w:val="0"/>
                <w:szCs w:val="21"/>
              </w:rPr>
              <w:t>人口状况</w:t>
            </w:r>
          </w:p>
        </w:tc>
        <w:tc>
          <w:tcPr>
            <w:tcW w:w="995" w:type="dxa"/>
            <w:vAlign w:val="center"/>
          </w:tcPr>
          <w:p>
            <w:pPr>
              <w:widowControl/>
              <w:spacing w:line="400" w:lineRule="exact"/>
              <w:jc w:val="center"/>
              <w:rPr>
                <w:bCs/>
                <w:color w:val="000000"/>
                <w:kern w:val="0"/>
                <w:szCs w:val="21"/>
              </w:rPr>
            </w:pPr>
            <w:r>
              <w:rPr>
                <w:bCs/>
                <w:color w:val="000000"/>
                <w:kern w:val="0"/>
                <w:szCs w:val="21"/>
              </w:rPr>
              <w:t>0.0886</w:t>
            </w:r>
          </w:p>
        </w:tc>
        <w:tc>
          <w:tcPr>
            <w:tcW w:w="849" w:type="dxa"/>
            <w:vAlign w:val="center"/>
          </w:tcPr>
          <w:p>
            <w:pPr>
              <w:widowControl/>
              <w:spacing w:line="400" w:lineRule="exact"/>
              <w:jc w:val="center"/>
              <w:rPr>
                <w:bCs/>
                <w:color w:val="000000"/>
                <w:kern w:val="0"/>
                <w:szCs w:val="21"/>
              </w:rPr>
            </w:pPr>
            <w:r>
              <w:rPr>
                <w:bCs/>
                <w:color w:val="000000"/>
                <w:kern w:val="0"/>
                <w:szCs w:val="21"/>
              </w:rPr>
              <w:t>人口密度</w:t>
            </w:r>
          </w:p>
        </w:tc>
        <w:tc>
          <w:tcPr>
            <w:tcW w:w="831" w:type="dxa"/>
            <w:vAlign w:val="center"/>
          </w:tcPr>
          <w:p>
            <w:pPr>
              <w:widowControl/>
              <w:spacing w:line="400" w:lineRule="exact"/>
              <w:jc w:val="center"/>
              <w:rPr>
                <w:bCs/>
                <w:color w:val="000000"/>
                <w:kern w:val="0"/>
                <w:szCs w:val="21"/>
              </w:rPr>
            </w:pPr>
            <w:r>
              <w:rPr>
                <w:bCs/>
                <w:color w:val="000000"/>
                <w:kern w:val="0"/>
                <w:szCs w:val="21"/>
              </w:rPr>
              <w:t>0.0886</w:t>
            </w:r>
          </w:p>
        </w:tc>
        <w:tc>
          <w:tcPr>
            <w:tcW w:w="1151" w:type="dxa"/>
            <w:vAlign w:val="center"/>
          </w:tcPr>
          <w:p>
            <w:pPr>
              <w:widowControl/>
              <w:spacing w:line="400" w:lineRule="exact"/>
              <w:jc w:val="center"/>
              <w:rPr>
                <w:bCs/>
                <w:color w:val="000000"/>
                <w:kern w:val="0"/>
                <w:szCs w:val="21"/>
              </w:rPr>
            </w:pPr>
            <w:r>
              <w:rPr>
                <w:bCs/>
                <w:color w:val="000000"/>
                <w:kern w:val="0"/>
                <w:szCs w:val="21"/>
              </w:rPr>
              <w:t>人口密度</w:t>
            </w:r>
          </w:p>
        </w:tc>
        <w:tc>
          <w:tcPr>
            <w:tcW w:w="809" w:type="dxa"/>
            <w:vAlign w:val="center"/>
          </w:tcPr>
          <w:p>
            <w:pPr>
              <w:widowControl/>
              <w:spacing w:line="400" w:lineRule="exact"/>
              <w:jc w:val="center"/>
              <w:rPr>
                <w:bCs/>
                <w:color w:val="000000"/>
                <w:kern w:val="0"/>
                <w:szCs w:val="21"/>
              </w:rPr>
            </w:pPr>
            <w:r>
              <w:rPr>
                <w:bCs/>
                <w:color w:val="000000"/>
                <w:kern w:val="0"/>
                <w:szCs w:val="21"/>
              </w:rPr>
              <w:t>0.0886</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1.582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0.791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-0.763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-1.526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49" w:type="dxa"/>
            <w:vMerge w:val="restart"/>
            <w:vAlign w:val="center"/>
          </w:tcPr>
          <w:p>
            <w:pPr>
              <w:widowControl/>
              <w:spacing w:line="400" w:lineRule="exact"/>
              <w:jc w:val="center"/>
              <w:rPr>
                <w:bCs/>
                <w:color w:val="000000"/>
                <w:kern w:val="0"/>
                <w:szCs w:val="21"/>
              </w:rPr>
            </w:pPr>
            <w:r>
              <w:rPr>
                <w:bCs/>
                <w:color w:val="000000"/>
                <w:kern w:val="0"/>
                <w:szCs w:val="21"/>
              </w:rPr>
              <w:t>环境条件</w:t>
            </w:r>
          </w:p>
        </w:tc>
        <w:tc>
          <w:tcPr>
            <w:tcW w:w="995" w:type="dxa"/>
            <w:vMerge w:val="restart"/>
            <w:vAlign w:val="center"/>
          </w:tcPr>
          <w:p>
            <w:pPr>
              <w:widowControl/>
              <w:spacing w:line="400" w:lineRule="exact"/>
              <w:jc w:val="center"/>
              <w:rPr>
                <w:bCs/>
                <w:color w:val="000000"/>
                <w:kern w:val="0"/>
                <w:szCs w:val="21"/>
              </w:rPr>
            </w:pPr>
            <w:r>
              <w:rPr>
                <w:bCs/>
                <w:color w:val="000000"/>
                <w:kern w:val="0"/>
                <w:szCs w:val="21"/>
              </w:rPr>
              <w:t>0.2014</w:t>
            </w:r>
          </w:p>
        </w:tc>
        <w:tc>
          <w:tcPr>
            <w:tcW w:w="849" w:type="dxa"/>
            <w:vMerge w:val="restart"/>
            <w:vAlign w:val="center"/>
          </w:tcPr>
          <w:p>
            <w:pPr>
              <w:widowControl/>
              <w:spacing w:line="400" w:lineRule="exact"/>
              <w:jc w:val="center"/>
              <w:rPr>
                <w:bCs/>
                <w:color w:val="000000"/>
                <w:kern w:val="0"/>
                <w:szCs w:val="21"/>
              </w:rPr>
            </w:pPr>
            <w:r>
              <w:rPr>
                <w:bCs/>
                <w:color w:val="000000"/>
                <w:kern w:val="0"/>
                <w:szCs w:val="21"/>
              </w:rPr>
              <w:t>自然条件优劣度</w:t>
            </w:r>
          </w:p>
        </w:tc>
        <w:tc>
          <w:tcPr>
            <w:tcW w:w="831" w:type="dxa"/>
            <w:vMerge w:val="restart"/>
            <w:vAlign w:val="center"/>
          </w:tcPr>
          <w:p>
            <w:pPr>
              <w:widowControl/>
              <w:spacing w:line="400" w:lineRule="exact"/>
              <w:jc w:val="center"/>
              <w:rPr>
                <w:bCs/>
                <w:color w:val="000000"/>
                <w:kern w:val="0"/>
                <w:szCs w:val="21"/>
              </w:rPr>
            </w:pPr>
            <w:r>
              <w:rPr>
                <w:bCs/>
                <w:color w:val="000000"/>
                <w:kern w:val="0"/>
                <w:szCs w:val="21"/>
              </w:rPr>
              <w:t>0.2014</w:t>
            </w:r>
          </w:p>
        </w:tc>
        <w:tc>
          <w:tcPr>
            <w:tcW w:w="1151" w:type="dxa"/>
            <w:vAlign w:val="center"/>
          </w:tcPr>
          <w:p>
            <w:pPr>
              <w:widowControl/>
              <w:spacing w:line="400" w:lineRule="exact"/>
              <w:jc w:val="center"/>
              <w:rPr>
                <w:bCs/>
                <w:color w:val="000000"/>
                <w:kern w:val="0"/>
                <w:szCs w:val="21"/>
              </w:rPr>
            </w:pPr>
            <w:r>
              <w:rPr>
                <w:bCs/>
                <w:color w:val="000000"/>
                <w:kern w:val="0"/>
                <w:szCs w:val="21"/>
              </w:rPr>
              <w:t>地形状况</w:t>
            </w:r>
          </w:p>
        </w:tc>
        <w:tc>
          <w:tcPr>
            <w:tcW w:w="809" w:type="dxa"/>
            <w:vAlign w:val="center"/>
          </w:tcPr>
          <w:p>
            <w:pPr>
              <w:widowControl/>
              <w:spacing w:line="400" w:lineRule="exact"/>
              <w:jc w:val="center"/>
              <w:rPr>
                <w:bCs/>
                <w:color w:val="000000"/>
                <w:kern w:val="0"/>
                <w:szCs w:val="21"/>
              </w:rPr>
            </w:pPr>
            <w:r>
              <w:rPr>
                <w:bCs/>
                <w:color w:val="000000"/>
                <w:kern w:val="0"/>
                <w:szCs w:val="21"/>
              </w:rPr>
              <w:t>0.1007</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1.797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0.899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-0.867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-1.734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46" w:hRule="atLeast"/>
          <w:jc w:val="center"/>
        </w:trPr>
        <w:tc>
          <w:tcPr>
            <w:tcW w:w="849" w:type="dxa"/>
            <w:vMerge w:val="continue"/>
            <w:vAlign w:val="center"/>
          </w:tcPr>
          <w:p>
            <w:pPr>
              <w:widowControl/>
              <w:spacing w:line="400" w:lineRule="exact"/>
              <w:jc w:val="center"/>
              <w:rPr>
                <w:bCs/>
                <w:color w:val="000000"/>
                <w:kern w:val="0"/>
                <w:szCs w:val="21"/>
              </w:rPr>
            </w:pPr>
          </w:p>
        </w:tc>
        <w:tc>
          <w:tcPr>
            <w:tcW w:w="995" w:type="dxa"/>
            <w:vMerge w:val="continue"/>
            <w:vAlign w:val="center"/>
          </w:tcPr>
          <w:p>
            <w:pPr>
              <w:widowControl/>
              <w:spacing w:line="400" w:lineRule="exact"/>
              <w:jc w:val="center"/>
              <w:rPr>
                <w:bCs/>
                <w:color w:val="000000"/>
                <w:kern w:val="0"/>
                <w:szCs w:val="21"/>
              </w:rPr>
            </w:pPr>
          </w:p>
        </w:tc>
        <w:tc>
          <w:tcPr>
            <w:tcW w:w="849" w:type="dxa"/>
            <w:vMerge w:val="continue"/>
            <w:vAlign w:val="center"/>
          </w:tcPr>
          <w:p>
            <w:pPr>
              <w:widowControl/>
              <w:spacing w:line="400" w:lineRule="exact"/>
              <w:jc w:val="center"/>
              <w:rPr>
                <w:bCs/>
                <w:color w:val="000000"/>
                <w:kern w:val="0"/>
                <w:szCs w:val="21"/>
              </w:rPr>
            </w:pPr>
          </w:p>
        </w:tc>
        <w:tc>
          <w:tcPr>
            <w:tcW w:w="831" w:type="dxa"/>
            <w:vMerge w:val="continue"/>
            <w:vAlign w:val="center"/>
          </w:tcPr>
          <w:p>
            <w:pPr>
              <w:widowControl/>
              <w:spacing w:line="400" w:lineRule="exact"/>
              <w:jc w:val="center"/>
              <w:rPr>
                <w:bCs/>
                <w:color w:val="000000"/>
                <w:kern w:val="0"/>
                <w:szCs w:val="21"/>
              </w:rPr>
            </w:pPr>
          </w:p>
        </w:tc>
        <w:tc>
          <w:tcPr>
            <w:tcW w:w="1151" w:type="dxa"/>
            <w:vAlign w:val="center"/>
          </w:tcPr>
          <w:p>
            <w:pPr>
              <w:widowControl/>
              <w:spacing w:line="400" w:lineRule="exact"/>
              <w:jc w:val="center"/>
              <w:rPr>
                <w:bCs/>
                <w:color w:val="000000"/>
                <w:kern w:val="0"/>
                <w:szCs w:val="21"/>
              </w:rPr>
            </w:pPr>
            <w:r>
              <w:rPr>
                <w:bCs/>
                <w:color w:val="000000"/>
                <w:kern w:val="0"/>
                <w:szCs w:val="21"/>
              </w:rPr>
              <w:t>洪水淹没状况</w:t>
            </w:r>
          </w:p>
        </w:tc>
        <w:tc>
          <w:tcPr>
            <w:tcW w:w="809" w:type="dxa"/>
            <w:vAlign w:val="center"/>
          </w:tcPr>
          <w:p>
            <w:pPr>
              <w:widowControl/>
              <w:spacing w:line="400" w:lineRule="exact"/>
              <w:jc w:val="center"/>
              <w:rPr>
                <w:bCs/>
                <w:color w:val="000000"/>
                <w:kern w:val="0"/>
                <w:szCs w:val="21"/>
              </w:rPr>
            </w:pPr>
            <w:r>
              <w:rPr>
                <w:bCs/>
                <w:color w:val="000000"/>
                <w:kern w:val="0"/>
                <w:szCs w:val="21"/>
              </w:rPr>
              <w:t>0.1007</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1.797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0.899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-0.867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-1.734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49" w:type="dxa"/>
            <w:vAlign w:val="center"/>
          </w:tcPr>
          <w:p>
            <w:pPr>
              <w:widowControl/>
              <w:spacing w:line="400" w:lineRule="exact"/>
              <w:jc w:val="center"/>
              <w:rPr>
                <w:bCs/>
                <w:color w:val="000000"/>
                <w:kern w:val="0"/>
                <w:szCs w:val="21"/>
              </w:rPr>
            </w:pPr>
            <w:r>
              <w:rPr>
                <w:bCs/>
                <w:color w:val="000000"/>
                <w:kern w:val="0"/>
                <w:szCs w:val="21"/>
              </w:rPr>
              <w:t>城市规划</w:t>
            </w:r>
          </w:p>
        </w:tc>
        <w:tc>
          <w:tcPr>
            <w:tcW w:w="995" w:type="dxa"/>
            <w:vAlign w:val="center"/>
          </w:tcPr>
          <w:p>
            <w:pPr>
              <w:widowControl/>
              <w:spacing w:line="400" w:lineRule="exact"/>
              <w:jc w:val="center"/>
              <w:rPr>
                <w:bCs/>
                <w:color w:val="000000"/>
                <w:kern w:val="0"/>
                <w:szCs w:val="21"/>
              </w:rPr>
            </w:pPr>
            <w:r>
              <w:rPr>
                <w:bCs/>
                <w:color w:val="000000"/>
                <w:kern w:val="0"/>
                <w:szCs w:val="21"/>
              </w:rPr>
              <w:t>0.1014</w:t>
            </w:r>
          </w:p>
        </w:tc>
        <w:tc>
          <w:tcPr>
            <w:tcW w:w="849" w:type="dxa"/>
            <w:vAlign w:val="center"/>
          </w:tcPr>
          <w:p>
            <w:pPr>
              <w:widowControl/>
              <w:spacing w:line="400" w:lineRule="exact"/>
              <w:jc w:val="center"/>
              <w:rPr>
                <w:bCs/>
                <w:color w:val="000000"/>
                <w:kern w:val="0"/>
                <w:szCs w:val="21"/>
              </w:rPr>
            </w:pPr>
            <w:r>
              <w:rPr>
                <w:bCs/>
                <w:color w:val="000000"/>
                <w:kern w:val="0"/>
                <w:szCs w:val="21"/>
              </w:rPr>
              <w:t>城市规划</w:t>
            </w:r>
          </w:p>
        </w:tc>
        <w:tc>
          <w:tcPr>
            <w:tcW w:w="831" w:type="dxa"/>
            <w:vAlign w:val="center"/>
          </w:tcPr>
          <w:p>
            <w:pPr>
              <w:widowControl/>
              <w:spacing w:line="400" w:lineRule="exact"/>
              <w:jc w:val="center"/>
              <w:rPr>
                <w:bCs/>
                <w:color w:val="000000"/>
                <w:kern w:val="0"/>
                <w:szCs w:val="21"/>
              </w:rPr>
            </w:pPr>
            <w:r>
              <w:rPr>
                <w:bCs/>
                <w:color w:val="000000"/>
                <w:kern w:val="0"/>
                <w:szCs w:val="21"/>
              </w:rPr>
              <w:t>0.1014</w:t>
            </w:r>
          </w:p>
        </w:tc>
        <w:tc>
          <w:tcPr>
            <w:tcW w:w="1151" w:type="dxa"/>
            <w:vAlign w:val="center"/>
          </w:tcPr>
          <w:p>
            <w:pPr>
              <w:widowControl/>
              <w:spacing w:line="400" w:lineRule="exact"/>
              <w:jc w:val="center"/>
              <w:rPr>
                <w:bCs/>
                <w:color w:val="000000"/>
                <w:kern w:val="0"/>
                <w:szCs w:val="21"/>
              </w:rPr>
            </w:pPr>
            <w:r>
              <w:rPr>
                <w:bCs/>
                <w:color w:val="000000"/>
                <w:kern w:val="0"/>
                <w:szCs w:val="21"/>
              </w:rPr>
              <w:t>道路规划</w:t>
            </w:r>
          </w:p>
        </w:tc>
        <w:tc>
          <w:tcPr>
            <w:tcW w:w="809" w:type="dxa"/>
            <w:vAlign w:val="center"/>
          </w:tcPr>
          <w:p>
            <w:pPr>
              <w:widowControl/>
              <w:spacing w:line="400" w:lineRule="exact"/>
              <w:jc w:val="center"/>
              <w:rPr>
                <w:bCs/>
                <w:color w:val="000000"/>
                <w:kern w:val="0"/>
                <w:szCs w:val="21"/>
              </w:rPr>
            </w:pPr>
            <w:r>
              <w:rPr>
                <w:bCs/>
                <w:color w:val="000000"/>
                <w:kern w:val="0"/>
                <w:szCs w:val="21"/>
              </w:rPr>
              <w:t>0.1014</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1.810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0.905 </w:t>
            </w:r>
          </w:p>
        </w:tc>
        <w:tc>
          <w:tcPr>
            <w:tcW w:w="702" w:type="dxa"/>
            <w:vAlign w:val="center"/>
          </w:tcPr>
          <w:p>
            <w:pPr>
              <w:widowControl/>
              <w:spacing w:line="400" w:lineRule="exact"/>
              <w:jc w:val="center"/>
              <w:rPr>
                <w:bCs/>
                <w:color w:val="000000"/>
                <w:kern w:val="0"/>
                <w:szCs w:val="21"/>
              </w:rPr>
            </w:pPr>
            <w:r>
              <w:rPr>
                <w:bCs/>
                <w:color w:val="000000"/>
                <w:kern w:val="0"/>
                <w:szCs w:val="21"/>
              </w:rPr>
              <w:t xml:space="preserve">0.000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-0.873 </w:t>
            </w:r>
          </w:p>
        </w:tc>
        <w:tc>
          <w:tcPr>
            <w:tcW w:w="773" w:type="dxa"/>
            <w:vAlign w:val="center"/>
          </w:tcPr>
          <w:p>
            <w:pPr>
              <w:widowControl/>
              <w:spacing w:line="400" w:lineRule="exact"/>
              <w:jc w:val="center"/>
              <w:rPr>
                <w:bCs/>
                <w:color w:val="000000"/>
                <w:kern w:val="0"/>
                <w:szCs w:val="21"/>
              </w:rPr>
            </w:pPr>
            <w:r>
              <w:rPr>
                <w:bCs/>
                <w:color w:val="000000"/>
                <w:kern w:val="0"/>
                <w:szCs w:val="21"/>
              </w:rPr>
              <w:t xml:space="preserve">-1.746 </w:t>
            </w:r>
          </w:p>
        </w:tc>
      </w:tr>
    </w:tbl>
    <w:p>
      <w:pPr>
        <w:pStyle w:val="131"/>
        <w:spacing w:beforeLines="50" w:afterLines="50"/>
        <w:ind w:firstLine="0" w:firstLineChars="0"/>
        <w:rPr>
          <w:rFonts w:ascii="Times New Roman" w:hAnsi="Times New Roman"/>
          <w:sz w:val="24"/>
        </w:rPr>
      </w:pPr>
    </w:p>
    <w:p>
      <w:pPr>
        <w:pStyle w:val="131"/>
        <w:spacing w:beforeLines="50" w:afterLines="50"/>
        <w:ind w:firstLine="0" w:firstLineChars="0"/>
        <w:rPr>
          <w:rFonts w:ascii="Times New Roman" w:hAnsi="Times New Roman"/>
          <w:sz w:val="24"/>
        </w:rPr>
      </w:pPr>
      <w:r>
        <w:rPr>
          <w:rFonts w:ascii="Times New Roman" w:hAnsi="Times New Roman"/>
          <w:sz w:val="24"/>
        </w:rPr>
        <w:t>表4-6-1</w:t>
      </w:r>
      <w:r>
        <w:rPr>
          <w:rFonts w:hint="eastAsia" w:ascii="Times New Roman" w:hAnsi="Times New Roman"/>
          <w:sz w:val="24"/>
        </w:rPr>
        <w:t>2</w:t>
      </w:r>
      <w:r>
        <w:rPr>
          <w:rFonts w:ascii="Times New Roman" w:hAnsi="Times New Roman"/>
          <w:sz w:val="24"/>
        </w:rPr>
        <w:t xml:space="preserve"> Ⅱ级公共管理与公共服务二类用地宗地地价区域因素修正系数指标说明表</w:t>
      </w:r>
    </w:p>
    <w:tbl>
      <w:tblPr>
        <w:tblW w:w="9107" w:type="dxa"/>
        <w:jc w:val="center"/>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1073"/>
        <w:gridCol w:w="1073"/>
        <w:gridCol w:w="1116"/>
        <w:gridCol w:w="1297"/>
        <w:gridCol w:w="1187"/>
        <w:gridCol w:w="1187"/>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blHeader/>
          <w:jc w:val="center"/>
        </w:trPr>
        <w:tc>
          <w:tcPr>
            <w:tcW w:w="1074" w:type="dxa"/>
            <w:vAlign w:val="center"/>
          </w:tcPr>
          <w:p>
            <w:pPr>
              <w:spacing w:line="400" w:lineRule="exact"/>
              <w:jc w:val="center"/>
              <w:rPr>
                <w:b/>
                <w:bCs/>
                <w:szCs w:val="21"/>
              </w:rPr>
            </w:pPr>
            <w:r>
              <w:rPr>
                <w:b/>
                <w:bCs/>
                <w:szCs w:val="21"/>
              </w:rPr>
              <w:t>因素层</w:t>
            </w:r>
          </w:p>
        </w:tc>
        <w:tc>
          <w:tcPr>
            <w:tcW w:w="1073" w:type="dxa"/>
            <w:vAlign w:val="center"/>
          </w:tcPr>
          <w:p>
            <w:pPr>
              <w:spacing w:line="400" w:lineRule="exact"/>
              <w:jc w:val="center"/>
              <w:rPr>
                <w:b/>
                <w:bCs/>
                <w:szCs w:val="21"/>
              </w:rPr>
            </w:pPr>
            <w:r>
              <w:rPr>
                <w:b/>
                <w:bCs/>
                <w:szCs w:val="21"/>
              </w:rPr>
              <w:t>因子层</w:t>
            </w:r>
          </w:p>
        </w:tc>
        <w:tc>
          <w:tcPr>
            <w:tcW w:w="1073" w:type="dxa"/>
            <w:vAlign w:val="center"/>
          </w:tcPr>
          <w:p>
            <w:pPr>
              <w:spacing w:line="400" w:lineRule="exact"/>
              <w:jc w:val="center"/>
              <w:rPr>
                <w:b/>
                <w:bCs/>
                <w:szCs w:val="21"/>
              </w:rPr>
            </w:pPr>
            <w:r>
              <w:rPr>
                <w:b/>
                <w:bCs/>
                <w:szCs w:val="21"/>
              </w:rPr>
              <w:t>指标层</w:t>
            </w:r>
          </w:p>
        </w:tc>
        <w:tc>
          <w:tcPr>
            <w:tcW w:w="1116" w:type="dxa"/>
            <w:vAlign w:val="center"/>
          </w:tcPr>
          <w:p>
            <w:pPr>
              <w:spacing w:line="400" w:lineRule="exact"/>
              <w:jc w:val="center"/>
              <w:rPr>
                <w:b/>
                <w:bCs/>
                <w:szCs w:val="21"/>
              </w:rPr>
            </w:pPr>
            <w:r>
              <w:rPr>
                <w:b/>
                <w:bCs/>
                <w:szCs w:val="21"/>
              </w:rPr>
              <w:t>优</w:t>
            </w:r>
          </w:p>
        </w:tc>
        <w:tc>
          <w:tcPr>
            <w:tcW w:w="1297" w:type="dxa"/>
            <w:vAlign w:val="center"/>
          </w:tcPr>
          <w:p>
            <w:pPr>
              <w:spacing w:line="400" w:lineRule="exact"/>
              <w:jc w:val="center"/>
              <w:rPr>
                <w:b/>
                <w:bCs/>
                <w:szCs w:val="21"/>
              </w:rPr>
            </w:pPr>
            <w:r>
              <w:rPr>
                <w:b/>
                <w:bCs/>
                <w:szCs w:val="21"/>
              </w:rPr>
              <w:t>较优</w:t>
            </w:r>
          </w:p>
        </w:tc>
        <w:tc>
          <w:tcPr>
            <w:tcW w:w="1187" w:type="dxa"/>
            <w:vAlign w:val="center"/>
          </w:tcPr>
          <w:p>
            <w:pPr>
              <w:spacing w:line="400" w:lineRule="exact"/>
              <w:jc w:val="center"/>
              <w:rPr>
                <w:b/>
                <w:bCs/>
                <w:szCs w:val="21"/>
              </w:rPr>
            </w:pPr>
            <w:r>
              <w:rPr>
                <w:b/>
                <w:bCs/>
                <w:szCs w:val="21"/>
              </w:rPr>
              <w:t>一般</w:t>
            </w:r>
          </w:p>
        </w:tc>
        <w:tc>
          <w:tcPr>
            <w:tcW w:w="1187" w:type="dxa"/>
            <w:vAlign w:val="center"/>
          </w:tcPr>
          <w:p>
            <w:pPr>
              <w:spacing w:line="400" w:lineRule="exact"/>
              <w:jc w:val="center"/>
              <w:rPr>
                <w:b/>
                <w:bCs/>
                <w:szCs w:val="21"/>
              </w:rPr>
            </w:pPr>
            <w:r>
              <w:rPr>
                <w:b/>
                <w:bCs/>
                <w:szCs w:val="21"/>
              </w:rPr>
              <w:t>较劣</w:t>
            </w:r>
          </w:p>
        </w:tc>
        <w:tc>
          <w:tcPr>
            <w:tcW w:w="1100"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1074" w:type="dxa"/>
            <w:vMerge w:val="restart"/>
            <w:vAlign w:val="center"/>
          </w:tcPr>
          <w:p>
            <w:pPr>
              <w:spacing w:line="400" w:lineRule="exact"/>
              <w:jc w:val="center"/>
              <w:rPr>
                <w:szCs w:val="21"/>
              </w:rPr>
            </w:pPr>
            <w:r>
              <w:rPr>
                <w:szCs w:val="21"/>
              </w:rPr>
              <w:t>基本设施状况</w:t>
            </w:r>
          </w:p>
        </w:tc>
        <w:tc>
          <w:tcPr>
            <w:tcW w:w="1073" w:type="dxa"/>
            <w:vMerge w:val="restart"/>
            <w:vAlign w:val="center"/>
          </w:tcPr>
          <w:p>
            <w:pPr>
              <w:spacing w:line="400" w:lineRule="exact"/>
              <w:jc w:val="center"/>
              <w:rPr>
                <w:szCs w:val="21"/>
              </w:rPr>
            </w:pPr>
            <w:r>
              <w:rPr>
                <w:szCs w:val="21"/>
              </w:rPr>
              <w:t>基础设施完善度</w:t>
            </w:r>
          </w:p>
        </w:tc>
        <w:tc>
          <w:tcPr>
            <w:tcW w:w="1073" w:type="dxa"/>
            <w:vAlign w:val="center"/>
          </w:tcPr>
          <w:p>
            <w:pPr>
              <w:spacing w:line="400" w:lineRule="exact"/>
              <w:jc w:val="center"/>
              <w:rPr>
                <w:szCs w:val="21"/>
              </w:rPr>
            </w:pPr>
            <w:r>
              <w:rPr>
                <w:szCs w:val="21"/>
              </w:rPr>
              <w:t>排水状况</w:t>
            </w:r>
          </w:p>
        </w:tc>
        <w:tc>
          <w:tcPr>
            <w:tcW w:w="1116" w:type="dxa"/>
            <w:vAlign w:val="center"/>
          </w:tcPr>
          <w:p>
            <w:pPr>
              <w:spacing w:line="400" w:lineRule="exact"/>
              <w:jc w:val="center"/>
              <w:rPr>
                <w:szCs w:val="21"/>
              </w:rPr>
            </w:pPr>
            <w:r>
              <w:rPr>
                <w:szCs w:val="21"/>
              </w:rPr>
              <w:t>好</w:t>
            </w:r>
          </w:p>
        </w:tc>
        <w:tc>
          <w:tcPr>
            <w:tcW w:w="1297" w:type="dxa"/>
            <w:vAlign w:val="center"/>
          </w:tcPr>
          <w:p>
            <w:pPr>
              <w:spacing w:line="400" w:lineRule="exact"/>
              <w:jc w:val="center"/>
              <w:rPr>
                <w:szCs w:val="21"/>
              </w:rPr>
            </w:pPr>
            <w:r>
              <w:rPr>
                <w:szCs w:val="21"/>
              </w:rPr>
              <w:t>较好</w:t>
            </w:r>
          </w:p>
        </w:tc>
        <w:tc>
          <w:tcPr>
            <w:tcW w:w="1187" w:type="dxa"/>
            <w:vAlign w:val="center"/>
          </w:tcPr>
          <w:p>
            <w:pPr>
              <w:spacing w:line="400" w:lineRule="exact"/>
              <w:jc w:val="center"/>
              <w:rPr>
                <w:szCs w:val="21"/>
              </w:rPr>
            </w:pPr>
            <w:r>
              <w:rPr>
                <w:szCs w:val="21"/>
              </w:rPr>
              <w:t>一般</w:t>
            </w:r>
          </w:p>
        </w:tc>
        <w:tc>
          <w:tcPr>
            <w:tcW w:w="1187" w:type="dxa"/>
            <w:vAlign w:val="center"/>
          </w:tcPr>
          <w:p>
            <w:pPr>
              <w:spacing w:line="400" w:lineRule="exact"/>
              <w:jc w:val="center"/>
              <w:rPr>
                <w:szCs w:val="21"/>
              </w:rPr>
            </w:pPr>
            <w:r>
              <w:rPr>
                <w:szCs w:val="21"/>
              </w:rPr>
              <w:t>较差</w:t>
            </w:r>
          </w:p>
        </w:tc>
        <w:tc>
          <w:tcPr>
            <w:tcW w:w="1100" w:type="dxa"/>
            <w:vAlign w:val="center"/>
          </w:tcPr>
          <w:p>
            <w:pPr>
              <w:spacing w:line="400" w:lineRule="exact"/>
              <w:jc w:val="center"/>
              <w:rPr>
                <w:szCs w:val="21"/>
              </w:rPr>
            </w:pPr>
            <w:r>
              <w:rPr>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1074" w:type="dxa"/>
            <w:vMerge w:val="continue"/>
            <w:vAlign w:val="center"/>
          </w:tcPr>
          <w:p>
            <w:pPr>
              <w:spacing w:line="400" w:lineRule="exact"/>
              <w:jc w:val="center"/>
              <w:rPr>
                <w:szCs w:val="21"/>
              </w:rPr>
            </w:pPr>
          </w:p>
        </w:tc>
        <w:tc>
          <w:tcPr>
            <w:tcW w:w="1073" w:type="dxa"/>
            <w:vMerge w:val="continue"/>
            <w:vAlign w:val="center"/>
          </w:tcPr>
          <w:p>
            <w:pPr>
              <w:spacing w:line="400" w:lineRule="exact"/>
              <w:jc w:val="center"/>
              <w:rPr>
                <w:szCs w:val="21"/>
              </w:rPr>
            </w:pPr>
          </w:p>
        </w:tc>
        <w:tc>
          <w:tcPr>
            <w:tcW w:w="1073" w:type="dxa"/>
            <w:vAlign w:val="center"/>
          </w:tcPr>
          <w:p>
            <w:pPr>
              <w:spacing w:line="400" w:lineRule="exact"/>
              <w:jc w:val="center"/>
              <w:rPr>
                <w:szCs w:val="21"/>
              </w:rPr>
            </w:pPr>
            <w:r>
              <w:rPr>
                <w:szCs w:val="21"/>
              </w:rPr>
              <w:t>供水状况</w:t>
            </w:r>
          </w:p>
        </w:tc>
        <w:tc>
          <w:tcPr>
            <w:tcW w:w="1116" w:type="dxa"/>
            <w:vAlign w:val="center"/>
          </w:tcPr>
          <w:p>
            <w:pPr>
              <w:spacing w:line="400" w:lineRule="exact"/>
              <w:jc w:val="center"/>
              <w:rPr>
                <w:szCs w:val="21"/>
              </w:rPr>
            </w:pPr>
            <w:r>
              <w:rPr>
                <w:szCs w:val="21"/>
              </w:rPr>
              <w:t>100%</w:t>
            </w:r>
          </w:p>
        </w:tc>
        <w:tc>
          <w:tcPr>
            <w:tcW w:w="1297" w:type="dxa"/>
            <w:vAlign w:val="center"/>
          </w:tcPr>
          <w:p>
            <w:pPr>
              <w:spacing w:line="400" w:lineRule="exact"/>
              <w:jc w:val="center"/>
              <w:rPr>
                <w:szCs w:val="21"/>
              </w:rPr>
            </w:pPr>
            <w:r>
              <w:rPr>
                <w:szCs w:val="21"/>
              </w:rPr>
              <w:t>90-99%</w:t>
            </w:r>
          </w:p>
        </w:tc>
        <w:tc>
          <w:tcPr>
            <w:tcW w:w="1187" w:type="dxa"/>
            <w:vAlign w:val="center"/>
          </w:tcPr>
          <w:p>
            <w:pPr>
              <w:spacing w:line="400" w:lineRule="exact"/>
              <w:jc w:val="center"/>
              <w:rPr>
                <w:szCs w:val="21"/>
              </w:rPr>
            </w:pPr>
            <w:r>
              <w:rPr>
                <w:szCs w:val="21"/>
              </w:rPr>
              <w:t>75-89%</w:t>
            </w:r>
          </w:p>
        </w:tc>
        <w:tc>
          <w:tcPr>
            <w:tcW w:w="1187" w:type="dxa"/>
            <w:vAlign w:val="center"/>
          </w:tcPr>
          <w:p>
            <w:pPr>
              <w:spacing w:line="400" w:lineRule="exact"/>
              <w:jc w:val="center"/>
              <w:rPr>
                <w:szCs w:val="21"/>
              </w:rPr>
            </w:pPr>
            <w:r>
              <w:rPr>
                <w:szCs w:val="21"/>
              </w:rPr>
              <w:t>60-74%</w:t>
            </w:r>
          </w:p>
        </w:tc>
        <w:tc>
          <w:tcPr>
            <w:tcW w:w="1100" w:type="dxa"/>
            <w:vAlign w:val="center"/>
          </w:tcPr>
          <w:p>
            <w:pPr>
              <w:spacing w:line="400" w:lineRule="exact"/>
              <w:jc w:val="center"/>
              <w:rPr>
                <w:szCs w:val="21"/>
              </w:rPr>
            </w:pPr>
            <w:r>
              <w:rPr>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1074" w:type="dxa"/>
            <w:vMerge w:val="continue"/>
            <w:vAlign w:val="center"/>
          </w:tcPr>
          <w:p>
            <w:pPr>
              <w:spacing w:line="400" w:lineRule="exact"/>
              <w:jc w:val="center"/>
              <w:rPr>
                <w:szCs w:val="21"/>
              </w:rPr>
            </w:pPr>
          </w:p>
        </w:tc>
        <w:tc>
          <w:tcPr>
            <w:tcW w:w="1073" w:type="dxa"/>
            <w:vMerge w:val="continue"/>
            <w:vAlign w:val="center"/>
          </w:tcPr>
          <w:p>
            <w:pPr>
              <w:spacing w:line="400" w:lineRule="exact"/>
              <w:jc w:val="center"/>
              <w:rPr>
                <w:szCs w:val="21"/>
              </w:rPr>
            </w:pPr>
          </w:p>
        </w:tc>
        <w:tc>
          <w:tcPr>
            <w:tcW w:w="1073" w:type="dxa"/>
            <w:vAlign w:val="center"/>
          </w:tcPr>
          <w:p>
            <w:pPr>
              <w:spacing w:line="400" w:lineRule="exact"/>
              <w:jc w:val="center"/>
              <w:rPr>
                <w:szCs w:val="21"/>
              </w:rPr>
            </w:pPr>
            <w:r>
              <w:rPr>
                <w:szCs w:val="21"/>
              </w:rPr>
              <w:t>供电状况</w:t>
            </w:r>
          </w:p>
        </w:tc>
        <w:tc>
          <w:tcPr>
            <w:tcW w:w="1116" w:type="dxa"/>
            <w:vAlign w:val="center"/>
          </w:tcPr>
          <w:p>
            <w:pPr>
              <w:spacing w:line="400" w:lineRule="exact"/>
              <w:jc w:val="center"/>
              <w:rPr>
                <w:szCs w:val="21"/>
              </w:rPr>
            </w:pPr>
            <w:r>
              <w:rPr>
                <w:szCs w:val="21"/>
              </w:rPr>
              <w:t>好</w:t>
            </w:r>
          </w:p>
        </w:tc>
        <w:tc>
          <w:tcPr>
            <w:tcW w:w="1297" w:type="dxa"/>
            <w:vAlign w:val="center"/>
          </w:tcPr>
          <w:p>
            <w:pPr>
              <w:spacing w:line="400" w:lineRule="exact"/>
              <w:jc w:val="center"/>
              <w:rPr>
                <w:szCs w:val="21"/>
              </w:rPr>
            </w:pPr>
            <w:r>
              <w:rPr>
                <w:szCs w:val="21"/>
              </w:rPr>
              <w:t>较好</w:t>
            </w:r>
          </w:p>
        </w:tc>
        <w:tc>
          <w:tcPr>
            <w:tcW w:w="1187" w:type="dxa"/>
            <w:vAlign w:val="center"/>
          </w:tcPr>
          <w:p>
            <w:pPr>
              <w:spacing w:line="400" w:lineRule="exact"/>
              <w:jc w:val="center"/>
              <w:rPr>
                <w:szCs w:val="21"/>
              </w:rPr>
            </w:pPr>
            <w:r>
              <w:rPr>
                <w:szCs w:val="21"/>
              </w:rPr>
              <w:t>一般</w:t>
            </w:r>
          </w:p>
        </w:tc>
        <w:tc>
          <w:tcPr>
            <w:tcW w:w="1187" w:type="dxa"/>
            <w:vAlign w:val="center"/>
          </w:tcPr>
          <w:p>
            <w:pPr>
              <w:spacing w:line="400" w:lineRule="exact"/>
              <w:jc w:val="center"/>
              <w:rPr>
                <w:szCs w:val="21"/>
              </w:rPr>
            </w:pPr>
            <w:r>
              <w:rPr>
                <w:szCs w:val="21"/>
              </w:rPr>
              <w:t>较差</w:t>
            </w:r>
          </w:p>
        </w:tc>
        <w:tc>
          <w:tcPr>
            <w:tcW w:w="1100" w:type="dxa"/>
            <w:vAlign w:val="center"/>
          </w:tcPr>
          <w:p>
            <w:pPr>
              <w:spacing w:line="400" w:lineRule="exact"/>
              <w:jc w:val="center"/>
              <w:rPr>
                <w:szCs w:val="21"/>
              </w:rPr>
            </w:pPr>
            <w:r>
              <w:rPr>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43" w:hRule="atLeast"/>
          <w:jc w:val="center"/>
        </w:trPr>
        <w:tc>
          <w:tcPr>
            <w:tcW w:w="1074" w:type="dxa"/>
            <w:vMerge w:val="continue"/>
            <w:vAlign w:val="center"/>
          </w:tcPr>
          <w:p>
            <w:pPr>
              <w:spacing w:line="400" w:lineRule="exact"/>
              <w:jc w:val="center"/>
              <w:rPr>
                <w:szCs w:val="21"/>
              </w:rPr>
            </w:pPr>
          </w:p>
        </w:tc>
        <w:tc>
          <w:tcPr>
            <w:tcW w:w="1073" w:type="dxa"/>
            <w:vMerge w:val="continue"/>
            <w:vAlign w:val="center"/>
          </w:tcPr>
          <w:p>
            <w:pPr>
              <w:spacing w:line="400" w:lineRule="exact"/>
              <w:jc w:val="center"/>
              <w:rPr>
                <w:szCs w:val="21"/>
              </w:rPr>
            </w:pPr>
          </w:p>
        </w:tc>
        <w:tc>
          <w:tcPr>
            <w:tcW w:w="1073" w:type="dxa"/>
            <w:vAlign w:val="center"/>
          </w:tcPr>
          <w:p>
            <w:pPr>
              <w:spacing w:line="400" w:lineRule="exact"/>
              <w:jc w:val="center"/>
              <w:rPr>
                <w:szCs w:val="21"/>
              </w:rPr>
            </w:pPr>
            <w:r>
              <w:rPr>
                <w:szCs w:val="21"/>
              </w:rPr>
              <w:t>供气状况</w:t>
            </w:r>
          </w:p>
        </w:tc>
        <w:tc>
          <w:tcPr>
            <w:tcW w:w="1116" w:type="dxa"/>
            <w:vAlign w:val="center"/>
          </w:tcPr>
          <w:p>
            <w:pPr>
              <w:spacing w:line="400" w:lineRule="exact"/>
              <w:jc w:val="center"/>
              <w:rPr>
                <w:szCs w:val="21"/>
              </w:rPr>
            </w:pPr>
            <w:r>
              <w:rPr>
                <w:szCs w:val="21"/>
              </w:rPr>
              <w:t>好</w:t>
            </w:r>
          </w:p>
        </w:tc>
        <w:tc>
          <w:tcPr>
            <w:tcW w:w="1297" w:type="dxa"/>
            <w:vAlign w:val="center"/>
          </w:tcPr>
          <w:p>
            <w:pPr>
              <w:spacing w:line="400" w:lineRule="exact"/>
              <w:jc w:val="center"/>
              <w:rPr>
                <w:szCs w:val="21"/>
              </w:rPr>
            </w:pPr>
            <w:r>
              <w:rPr>
                <w:szCs w:val="21"/>
              </w:rPr>
              <w:t>较好</w:t>
            </w:r>
          </w:p>
        </w:tc>
        <w:tc>
          <w:tcPr>
            <w:tcW w:w="1187" w:type="dxa"/>
            <w:vAlign w:val="center"/>
          </w:tcPr>
          <w:p>
            <w:pPr>
              <w:spacing w:line="400" w:lineRule="exact"/>
              <w:jc w:val="center"/>
              <w:rPr>
                <w:szCs w:val="21"/>
              </w:rPr>
            </w:pPr>
            <w:r>
              <w:rPr>
                <w:szCs w:val="21"/>
              </w:rPr>
              <w:t>一般</w:t>
            </w:r>
          </w:p>
        </w:tc>
        <w:tc>
          <w:tcPr>
            <w:tcW w:w="1187" w:type="dxa"/>
            <w:vAlign w:val="center"/>
          </w:tcPr>
          <w:p>
            <w:pPr>
              <w:spacing w:line="400" w:lineRule="exact"/>
              <w:jc w:val="center"/>
              <w:rPr>
                <w:szCs w:val="21"/>
              </w:rPr>
            </w:pPr>
            <w:r>
              <w:rPr>
                <w:szCs w:val="21"/>
              </w:rPr>
              <w:t>较差</w:t>
            </w:r>
          </w:p>
        </w:tc>
        <w:tc>
          <w:tcPr>
            <w:tcW w:w="1100" w:type="dxa"/>
            <w:vAlign w:val="center"/>
          </w:tcPr>
          <w:p>
            <w:pPr>
              <w:spacing w:line="400" w:lineRule="exact"/>
              <w:jc w:val="center"/>
              <w:rPr>
                <w:szCs w:val="21"/>
              </w:rPr>
            </w:pPr>
            <w:r>
              <w:rPr>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1074" w:type="dxa"/>
            <w:vMerge w:val="restart"/>
            <w:vAlign w:val="center"/>
          </w:tcPr>
          <w:p>
            <w:pPr>
              <w:spacing w:line="400" w:lineRule="exact"/>
              <w:jc w:val="center"/>
              <w:rPr>
                <w:szCs w:val="21"/>
              </w:rPr>
            </w:pPr>
            <w:r>
              <w:rPr>
                <w:szCs w:val="21"/>
              </w:rPr>
              <w:t>交通条件</w:t>
            </w:r>
          </w:p>
        </w:tc>
        <w:tc>
          <w:tcPr>
            <w:tcW w:w="1073" w:type="dxa"/>
            <w:vAlign w:val="center"/>
          </w:tcPr>
          <w:p>
            <w:pPr>
              <w:spacing w:line="400" w:lineRule="exact"/>
              <w:jc w:val="center"/>
              <w:rPr>
                <w:szCs w:val="21"/>
              </w:rPr>
            </w:pPr>
            <w:r>
              <w:rPr>
                <w:szCs w:val="21"/>
              </w:rPr>
              <w:t>道路通达度</w:t>
            </w:r>
          </w:p>
        </w:tc>
        <w:tc>
          <w:tcPr>
            <w:tcW w:w="1073" w:type="dxa"/>
            <w:vAlign w:val="center"/>
          </w:tcPr>
          <w:p>
            <w:pPr>
              <w:spacing w:line="400" w:lineRule="exact"/>
              <w:jc w:val="center"/>
              <w:rPr>
                <w:szCs w:val="21"/>
              </w:rPr>
            </w:pPr>
            <w:r>
              <w:rPr>
                <w:szCs w:val="21"/>
              </w:rPr>
              <w:t>临近道路状况</w:t>
            </w:r>
          </w:p>
        </w:tc>
        <w:tc>
          <w:tcPr>
            <w:tcW w:w="1116" w:type="dxa"/>
            <w:vAlign w:val="center"/>
          </w:tcPr>
          <w:p>
            <w:pPr>
              <w:spacing w:line="400" w:lineRule="exact"/>
              <w:jc w:val="center"/>
              <w:rPr>
                <w:szCs w:val="21"/>
              </w:rPr>
            </w:pPr>
            <w:r>
              <w:rPr>
                <w:szCs w:val="21"/>
              </w:rPr>
              <w:t>交通型主干道</w:t>
            </w:r>
          </w:p>
        </w:tc>
        <w:tc>
          <w:tcPr>
            <w:tcW w:w="1297" w:type="dxa"/>
            <w:vAlign w:val="center"/>
          </w:tcPr>
          <w:p>
            <w:pPr>
              <w:spacing w:line="400" w:lineRule="exact"/>
              <w:jc w:val="center"/>
              <w:rPr>
                <w:szCs w:val="21"/>
              </w:rPr>
            </w:pPr>
            <w:r>
              <w:rPr>
                <w:szCs w:val="21"/>
              </w:rPr>
              <w:t>混合型主干道</w:t>
            </w:r>
          </w:p>
        </w:tc>
        <w:tc>
          <w:tcPr>
            <w:tcW w:w="1187" w:type="dxa"/>
            <w:vAlign w:val="center"/>
          </w:tcPr>
          <w:p>
            <w:pPr>
              <w:spacing w:line="400" w:lineRule="exact"/>
              <w:jc w:val="center"/>
              <w:rPr>
                <w:szCs w:val="21"/>
              </w:rPr>
            </w:pPr>
            <w:r>
              <w:rPr>
                <w:szCs w:val="21"/>
              </w:rPr>
              <w:t>交通型次干道</w:t>
            </w:r>
          </w:p>
        </w:tc>
        <w:tc>
          <w:tcPr>
            <w:tcW w:w="1187" w:type="dxa"/>
            <w:vAlign w:val="center"/>
          </w:tcPr>
          <w:p>
            <w:pPr>
              <w:spacing w:line="400" w:lineRule="exact"/>
              <w:jc w:val="center"/>
              <w:rPr>
                <w:szCs w:val="21"/>
              </w:rPr>
            </w:pPr>
            <w:r>
              <w:rPr>
                <w:szCs w:val="21"/>
              </w:rPr>
              <w:t>生活型次干道</w:t>
            </w:r>
          </w:p>
        </w:tc>
        <w:tc>
          <w:tcPr>
            <w:tcW w:w="1100" w:type="dxa"/>
            <w:vAlign w:val="center"/>
          </w:tcPr>
          <w:p>
            <w:pPr>
              <w:spacing w:line="400" w:lineRule="exact"/>
              <w:jc w:val="center"/>
              <w:rPr>
                <w:szCs w:val="21"/>
              </w:rPr>
            </w:pPr>
            <w:r>
              <w:rPr>
                <w:szCs w:val="21"/>
              </w:rPr>
              <w:t>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1074" w:type="dxa"/>
            <w:vMerge w:val="continue"/>
            <w:vAlign w:val="center"/>
          </w:tcPr>
          <w:p>
            <w:pPr>
              <w:spacing w:line="400" w:lineRule="exact"/>
              <w:jc w:val="center"/>
              <w:rPr>
                <w:szCs w:val="21"/>
              </w:rPr>
            </w:pPr>
          </w:p>
        </w:tc>
        <w:tc>
          <w:tcPr>
            <w:tcW w:w="1073" w:type="dxa"/>
            <w:vAlign w:val="center"/>
          </w:tcPr>
          <w:p>
            <w:pPr>
              <w:spacing w:line="400" w:lineRule="exact"/>
              <w:jc w:val="center"/>
              <w:rPr>
                <w:szCs w:val="21"/>
              </w:rPr>
            </w:pPr>
            <w:r>
              <w:rPr>
                <w:szCs w:val="21"/>
              </w:rPr>
              <w:t>公交便捷度</w:t>
            </w:r>
          </w:p>
        </w:tc>
        <w:tc>
          <w:tcPr>
            <w:tcW w:w="1073" w:type="dxa"/>
            <w:vAlign w:val="center"/>
          </w:tcPr>
          <w:p>
            <w:pPr>
              <w:spacing w:line="400" w:lineRule="exact"/>
              <w:jc w:val="center"/>
              <w:rPr>
                <w:szCs w:val="21"/>
              </w:rPr>
            </w:pPr>
            <w:r>
              <w:rPr>
                <w:szCs w:val="21"/>
              </w:rPr>
              <w:t>距最近公交站点距离</w:t>
            </w:r>
          </w:p>
        </w:tc>
        <w:tc>
          <w:tcPr>
            <w:tcW w:w="1116" w:type="dxa"/>
            <w:vAlign w:val="center"/>
          </w:tcPr>
          <w:p>
            <w:pPr>
              <w:widowControl/>
              <w:spacing w:line="400" w:lineRule="exact"/>
              <w:jc w:val="center"/>
              <w:rPr>
                <w:szCs w:val="21"/>
              </w:rPr>
            </w:pPr>
            <w:r>
              <w:rPr>
                <w:bCs/>
                <w:color w:val="000000"/>
                <w:kern w:val="0"/>
                <w:szCs w:val="21"/>
              </w:rPr>
              <w:t>&lt;</w:t>
            </w:r>
            <w:r>
              <w:rPr>
                <w:rFonts w:hint="eastAsia"/>
                <w:bCs/>
                <w:color w:val="000000"/>
                <w:kern w:val="0"/>
                <w:szCs w:val="21"/>
              </w:rPr>
              <w:t>3</w:t>
            </w:r>
            <w:r>
              <w:rPr>
                <w:bCs/>
                <w:color w:val="000000"/>
                <w:kern w:val="0"/>
                <w:szCs w:val="21"/>
              </w:rPr>
              <w:t>00</w:t>
            </w:r>
          </w:p>
        </w:tc>
        <w:tc>
          <w:tcPr>
            <w:tcW w:w="1297" w:type="dxa"/>
            <w:vAlign w:val="center"/>
          </w:tcPr>
          <w:p>
            <w:pPr>
              <w:widowControl/>
              <w:spacing w:line="400" w:lineRule="exact"/>
              <w:jc w:val="center"/>
              <w:rPr>
                <w:szCs w:val="21"/>
              </w:rPr>
            </w:pPr>
            <w:r>
              <w:rPr>
                <w:rFonts w:hint="eastAsia"/>
                <w:bCs/>
                <w:color w:val="000000"/>
                <w:kern w:val="0"/>
                <w:szCs w:val="21"/>
              </w:rPr>
              <w:t>3</w:t>
            </w:r>
            <w:r>
              <w:rPr>
                <w:bCs/>
                <w:color w:val="000000"/>
                <w:kern w:val="0"/>
                <w:szCs w:val="21"/>
              </w:rPr>
              <w:t>00-</w:t>
            </w:r>
            <w:r>
              <w:rPr>
                <w:rFonts w:hint="eastAsia"/>
                <w:bCs/>
                <w:color w:val="000000"/>
                <w:kern w:val="0"/>
                <w:szCs w:val="21"/>
              </w:rPr>
              <w:t>5</w:t>
            </w:r>
            <w:r>
              <w:rPr>
                <w:bCs/>
                <w:color w:val="000000"/>
                <w:kern w:val="0"/>
                <w:szCs w:val="21"/>
              </w:rPr>
              <w:t>00</w:t>
            </w:r>
          </w:p>
        </w:tc>
        <w:tc>
          <w:tcPr>
            <w:tcW w:w="1187" w:type="dxa"/>
            <w:vAlign w:val="center"/>
          </w:tcPr>
          <w:p>
            <w:pPr>
              <w:widowControl/>
              <w:spacing w:line="400" w:lineRule="exact"/>
              <w:jc w:val="center"/>
              <w:rPr>
                <w:szCs w:val="21"/>
              </w:rPr>
            </w:pPr>
            <w:r>
              <w:rPr>
                <w:rFonts w:hint="eastAsia"/>
                <w:bCs/>
                <w:color w:val="000000"/>
                <w:kern w:val="0"/>
                <w:szCs w:val="21"/>
              </w:rPr>
              <w:t>5</w:t>
            </w:r>
            <w:r>
              <w:rPr>
                <w:bCs/>
                <w:color w:val="000000"/>
                <w:kern w:val="0"/>
                <w:szCs w:val="21"/>
              </w:rPr>
              <w:t>00-</w:t>
            </w:r>
            <w:r>
              <w:rPr>
                <w:rFonts w:hint="eastAsia"/>
                <w:bCs/>
                <w:color w:val="000000"/>
                <w:kern w:val="0"/>
                <w:szCs w:val="21"/>
              </w:rPr>
              <w:t>8</w:t>
            </w:r>
            <w:r>
              <w:rPr>
                <w:bCs/>
                <w:color w:val="000000"/>
                <w:kern w:val="0"/>
                <w:szCs w:val="21"/>
              </w:rPr>
              <w:t>00</w:t>
            </w:r>
          </w:p>
        </w:tc>
        <w:tc>
          <w:tcPr>
            <w:tcW w:w="1187" w:type="dxa"/>
            <w:vAlign w:val="center"/>
          </w:tcPr>
          <w:p>
            <w:pPr>
              <w:widowControl/>
              <w:spacing w:line="400" w:lineRule="exact"/>
              <w:jc w:val="center"/>
              <w:rPr>
                <w:szCs w:val="21"/>
              </w:rPr>
            </w:pPr>
            <w:r>
              <w:rPr>
                <w:rFonts w:hint="eastAsia"/>
                <w:bCs/>
                <w:color w:val="000000"/>
                <w:kern w:val="0"/>
                <w:szCs w:val="21"/>
              </w:rPr>
              <w:t>8</w:t>
            </w:r>
            <w:r>
              <w:rPr>
                <w:bCs/>
                <w:color w:val="000000"/>
                <w:kern w:val="0"/>
                <w:szCs w:val="21"/>
              </w:rPr>
              <w:t>00-1</w:t>
            </w:r>
            <w:r>
              <w:rPr>
                <w:rFonts w:hint="eastAsia"/>
                <w:bCs/>
                <w:color w:val="000000"/>
                <w:kern w:val="0"/>
                <w:szCs w:val="21"/>
              </w:rPr>
              <w:t>2</w:t>
            </w:r>
            <w:r>
              <w:rPr>
                <w:bCs/>
                <w:color w:val="000000"/>
                <w:kern w:val="0"/>
                <w:szCs w:val="21"/>
              </w:rPr>
              <w:t>00</w:t>
            </w:r>
          </w:p>
        </w:tc>
        <w:tc>
          <w:tcPr>
            <w:tcW w:w="1100" w:type="dxa"/>
            <w:vAlign w:val="center"/>
          </w:tcPr>
          <w:p>
            <w:pPr>
              <w:widowControl/>
              <w:spacing w:line="400" w:lineRule="exact"/>
              <w:jc w:val="center"/>
              <w:rPr>
                <w:szCs w:val="21"/>
              </w:rPr>
            </w:pPr>
            <w:r>
              <w:rPr>
                <w:bCs/>
                <w:color w:val="000000"/>
                <w:kern w:val="0"/>
                <w:szCs w:val="21"/>
              </w:rPr>
              <w:t>&gt;1</w:t>
            </w:r>
            <w:r>
              <w:rPr>
                <w:rFonts w:hint="eastAsia"/>
                <w:bCs/>
                <w:color w:val="000000"/>
                <w:kern w:val="0"/>
                <w:szCs w:val="21"/>
              </w:rPr>
              <w:t>2</w:t>
            </w:r>
            <w:r>
              <w:rPr>
                <w:bCs/>
                <w:color w:val="000000"/>
                <w:kern w:val="0"/>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8" w:hRule="atLeast"/>
          <w:jc w:val="center"/>
        </w:trPr>
        <w:tc>
          <w:tcPr>
            <w:tcW w:w="1074" w:type="dxa"/>
            <w:vAlign w:val="center"/>
          </w:tcPr>
          <w:p>
            <w:pPr>
              <w:spacing w:line="400" w:lineRule="exact"/>
              <w:jc w:val="center"/>
              <w:rPr>
                <w:szCs w:val="21"/>
              </w:rPr>
            </w:pPr>
            <w:r>
              <w:rPr>
                <w:szCs w:val="21"/>
              </w:rPr>
              <w:t>人口状况</w:t>
            </w:r>
          </w:p>
        </w:tc>
        <w:tc>
          <w:tcPr>
            <w:tcW w:w="1073" w:type="dxa"/>
            <w:vAlign w:val="center"/>
          </w:tcPr>
          <w:p>
            <w:pPr>
              <w:spacing w:line="400" w:lineRule="exact"/>
              <w:jc w:val="center"/>
              <w:rPr>
                <w:szCs w:val="21"/>
              </w:rPr>
            </w:pPr>
            <w:r>
              <w:rPr>
                <w:szCs w:val="21"/>
              </w:rPr>
              <w:t>人口密度</w:t>
            </w:r>
          </w:p>
        </w:tc>
        <w:tc>
          <w:tcPr>
            <w:tcW w:w="1073" w:type="dxa"/>
            <w:vAlign w:val="center"/>
          </w:tcPr>
          <w:p>
            <w:pPr>
              <w:spacing w:line="400" w:lineRule="exact"/>
              <w:jc w:val="center"/>
              <w:rPr>
                <w:szCs w:val="21"/>
              </w:rPr>
            </w:pPr>
            <w:r>
              <w:rPr>
                <w:szCs w:val="21"/>
              </w:rPr>
              <w:t>人口密度</w:t>
            </w:r>
          </w:p>
        </w:tc>
        <w:tc>
          <w:tcPr>
            <w:tcW w:w="1116" w:type="dxa"/>
            <w:vAlign w:val="center"/>
          </w:tcPr>
          <w:p>
            <w:pPr>
              <w:widowControl/>
              <w:spacing w:line="400" w:lineRule="exact"/>
              <w:jc w:val="center"/>
              <w:rPr>
                <w:szCs w:val="21"/>
              </w:rPr>
            </w:pPr>
            <w:r>
              <w:rPr>
                <w:bCs/>
                <w:color w:val="000000"/>
                <w:kern w:val="0"/>
                <w:szCs w:val="21"/>
              </w:rPr>
              <w:t>≥10000</w:t>
            </w:r>
          </w:p>
        </w:tc>
        <w:tc>
          <w:tcPr>
            <w:tcW w:w="1297" w:type="dxa"/>
            <w:vAlign w:val="center"/>
          </w:tcPr>
          <w:p>
            <w:pPr>
              <w:widowControl/>
              <w:spacing w:line="400" w:lineRule="exact"/>
              <w:jc w:val="center"/>
              <w:rPr>
                <w:szCs w:val="21"/>
              </w:rPr>
            </w:pPr>
            <w:r>
              <w:rPr>
                <w:bCs/>
                <w:color w:val="000000"/>
                <w:kern w:val="0"/>
                <w:szCs w:val="21"/>
              </w:rPr>
              <w:t>10000-5000</w:t>
            </w:r>
          </w:p>
        </w:tc>
        <w:tc>
          <w:tcPr>
            <w:tcW w:w="1187" w:type="dxa"/>
            <w:vAlign w:val="center"/>
          </w:tcPr>
          <w:p>
            <w:pPr>
              <w:widowControl/>
              <w:spacing w:line="400" w:lineRule="exact"/>
              <w:jc w:val="center"/>
              <w:rPr>
                <w:szCs w:val="21"/>
              </w:rPr>
            </w:pPr>
            <w:r>
              <w:rPr>
                <w:bCs/>
                <w:color w:val="000000"/>
                <w:kern w:val="0"/>
                <w:szCs w:val="21"/>
              </w:rPr>
              <w:t>5000-2000</w:t>
            </w:r>
          </w:p>
        </w:tc>
        <w:tc>
          <w:tcPr>
            <w:tcW w:w="1187" w:type="dxa"/>
            <w:vAlign w:val="center"/>
          </w:tcPr>
          <w:p>
            <w:pPr>
              <w:widowControl/>
              <w:spacing w:line="400" w:lineRule="exact"/>
              <w:jc w:val="center"/>
              <w:rPr>
                <w:szCs w:val="21"/>
              </w:rPr>
            </w:pPr>
            <w:r>
              <w:rPr>
                <w:bCs/>
                <w:color w:val="000000"/>
                <w:kern w:val="0"/>
                <w:szCs w:val="21"/>
              </w:rPr>
              <w:t>2000-1000</w:t>
            </w:r>
          </w:p>
        </w:tc>
        <w:tc>
          <w:tcPr>
            <w:tcW w:w="1100" w:type="dxa"/>
            <w:vAlign w:val="center"/>
          </w:tcPr>
          <w:p>
            <w:pPr>
              <w:widowControl/>
              <w:spacing w:line="400" w:lineRule="exact"/>
              <w:jc w:val="center"/>
              <w:rPr>
                <w:szCs w:val="21"/>
              </w:rPr>
            </w:pPr>
            <w:r>
              <w:rPr>
                <w:bCs/>
                <w:color w:val="000000"/>
                <w:kern w:val="0"/>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1074" w:type="dxa"/>
            <w:vMerge w:val="restart"/>
            <w:vAlign w:val="center"/>
          </w:tcPr>
          <w:p>
            <w:pPr>
              <w:spacing w:line="400" w:lineRule="exact"/>
              <w:jc w:val="center"/>
              <w:rPr>
                <w:szCs w:val="21"/>
              </w:rPr>
            </w:pPr>
            <w:r>
              <w:rPr>
                <w:szCs w:val="21"/>
              </w:rPr>
              <w:t>环境条件</w:t>
            </w:r>
          </w:p>
        </w:tc>
        <w:tc>
          <w:tcPr>
            <w:tcW w:w="1073" w:type="dxa"/>
            <w:vMerge w:val="restart"/>
            <w:vAlign w:val="center"/>
          </w:tcPr>
          <w:p>
            <w:pPr>
              <w:spacing w:line="400" w:lineRule="exact"/>
              <w:jc w:val="center"/>
              <w:rPr>
                <w:szCs w:val="21"/>
              </w:rPr>
            </w:pPr>
            <w:r>
              <w:rPr>
                <w:szCs w:val="21"/>
              </w:rPr>
              <w:t>自然条件优劣度</w:t>
            </w:r>
          </w:p>
        </w:tc>
        <w:tc>
          <w:tcPr>
            <w:tcW w:w="1073" w:type="dxa"/>
            <w:vAlign w:val="center"/>
          </w:tcPr>
          <w:p>
            <w:pPr>
              <w:spacing w:line="400" w:lineRule="exact"/>
              <w:jc w:val="center"/>
              <w:rPr>
                <w:szCs w:val="21"/>
              </w:rPr>
            </w:pPr>
            <w:r>
              <w:rPr>
                <w:szCs w:val="21"/>
              </w:rPr>
              <w:t>地形状况</w:t>
            </w:r>
          </w:p>
        </w:tc>
        <w:tc>
          <w:tcPr>
            <w:tcW w:w="1116" w:type="dxa"/>
            <w:vAlign w:val="center"/>
          </w:tcPr>
          <w:p>
            <w:pPr>
              <w:spacing w:line="400" w:lineRule="exact"/>
              <w:jc w:val="center"/>
              <w:rPr>
                <w:szCs w:val="21"/>
              </w:rPr>
            </w:pPr>
            <w:r>
              <w:rPr>
                <w:szCs w:val="21"/>
              </w:rPr>
              <w:t>地势平坦</w:t>
            </w:r>
          </w:p>
        </w:tc>
        <w:tc>
          <w:tcPr>
            <w:tcW w:w="1297" w:type="dxa"/>
            <w:vAlign w:val="center"/>
          </w:tcPr>
          <w:p>
            <w:pPr>
              <w:spacing w:line="400" w:lineRule="exact"/>
              <w:jc w:val="center"/>
              <w:rPr>
                <w:szCs w:val="21"/>
              </w:rPr>
            </w:pPr>
            <w:r>
              <w:rPr>
                <w:szCs w:val="21"/>
              </w:rPr>
              <w:t>较平坦，对建筑物无影响</w:t>
            </w:r>
          </w:p>
        </w:tc>
        <w:tc>
          <w:tcPr>
            <w:tcW w:w="1187" w:type="dxa"/>
            <w:vAlign w:val="center"/>
          </w:tcPr>
          <w:p>
            <w:pPr>
              <w:spacing w:line="400" w:lineRule="exact"/>
              <w:jc w:val="center"/>
              <w:rPr>
                <w:szCs w:val="21"/>
              </w:rPr>
            </w:pPr>
            <w:r>
              <w:rPr>
                <w:szCs w:val="21"/>
              </w:rPr>
              <w:t>较平坦，对建筑物影响较小</w:t>
            </w:r>
          </w:p>
        </w:tc>
        <w:tc>
          <w:tcPr>
            <w:tcW w:w="1187" w:type="dxa"/>
            <w:vAlign w:val="center"/>
          </w:tcPr>
          <w:p>
            <w:pPr>
              <w:spacing w:line="400" w:lineRule="exact"/>
              <w:jc w:val="center"/>
              <w:rPr>
                <w:szCs w:val="21"/>
              </w:rPr>
            </w:pPr>
            <w:r>
              <w:rPr>
                <w:szCs w:val="21"/>
              </w:rPr>
              <w:t>不平坦，需考虑坡度影响</w:t>
            </w:r>
          </w:p>
        </w:tc>
        <w:tc>
          <w:tcPr>
            <w:tcW w:w="1100" w:type="dxa"/>
            <w:vAlign w:val="center"/>
          </w:tcPr>
          <w:p>
            <w:pPr>
              <w:spacing w:line="400" w:lineRule="exact"/>
              <w:jc w:val="center"/>
              <w:rPr>
                <w:szCs w:val="21"/>
              </w:rPr>
            </w:pPr>
            <w:r>
              <w:rPr>
                <w:szCs w:val="21"/>
              </w:rPr>
              <w:t>不平坦，需经平整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43" w:hRule="atLeast"/>
          <w:jc w:val="center"/>
        </w:trPr>
        <w:tc>
          <w:tcPr>
            <w:tcW w:w="1074" w:type="dxa"/>
            <w:vMerge w:val="continue"/>
            <w:vAlign w:val="center"/>
          </w:tcPr>
          <w:p>
            <w:pPr>
              <w:spacing w:line="400" w:lineRule="exact"/>
              <w:jc w:val="center"/>
              <w:rPr>
                <w:szCs w:val="21"/>
              </w:rPr>
            </w:pPr>
          </w:p>
        </w:tc>
        <w:tc>
          <w:tcPr>
            <w:tcW w:w="1073" w:type="dxa"/>
            <w:vMerge w:val="continue"/>
            <w:vAlign w:val="center"/>
          </w:tcPr>
          <w:p>
            <w:pPr>
              <w:spacing w:line="400" w:lineRule="exact"/>
              <w:jc w:val="center"/>
              <w:rPr>
                <w:szCs w:val="21"/>
              </w:rPr>
            </w:pPr>
          </w:p>
        </w:tc>
        <w:tc>
          <w:tcPr>
            <w:tcW w:w="1073" w:type="dxa"/>
            <w:vAlign w:val="center"/>
          </w:tcPr>
          <w:p>
            <w:pPr>
              <w:spacing w:line="400" w:lineRule="exact"/>
              <w:jc w:val="center"/>
              <w:rPr>
                <w:szCs w:val="21"/>
              </w:rPr>
            </w:pPr>
            <w:r>
              <w:rPr>
                <w:szCs w:val="21"/>
              </w:rPr>
              <w:t>洪水淹没状况</w:t>
            </w:r>
          </w:p>
        </w:tc>
        <w:tc>
          <w:tcPr>
            <w:tcW w:w="1116" w:type="dxa"/>
            <w:vAlign w:val="center"/>
          </w:tcPr>
          <w:p>
            <w:pPr>
              <w:spacing w:line="400" w:lineRule="exact"/>
              <w:jc w:val="center"/>
              <w:rPr>
                <w:szCs w:val="21"/>
              </w:rPr>
            </w:pPr>
            <w:r>
              <w:rPr>
                <w:szCs w:val="21"/>
              </w:rPr>
              <w:t>&gt;100年一遇</w:t>
            </w:r>
          </w:p>
        </w:tc>
        <w:tc>
          <w:tcPr>
            <w:tcW w:w="1297" w:type="dxa"/>
            <w:vAlign w:val="center"/>
          </w:tcPr>
          <w:p>
            <w:pPr>
              <w:spacing w:line="400" w:lineRule="exact"/>
              <w:jc w:val="center"/>
              <w:rPr>
                <w:szCs w:val="21"/>
              </w:rPr>
            </w:pPr>
            <w:r>
              <w:rPr>
                <w:szCs w:val="21"/>
              </w:rPr>
              <w:t>50-100年一遇</w:t>
            </w:r>
          </w:p>
        </w:tc>
        <w:tc>
          <w:tcPr>
            <w:tcW w:w="1187" w:type="dxa"/>
            <w:vAlign w:val="center"/>
          </w:tcPr>
          <w:p>
            <w:pPr>
              <w:spacing w:line="400" w:lineRule="exact"/>
              <w:jc w:val="center"/>
              <w:rPr>
                <w:szCs w:val="21"/>
              </w:rPr>
            </w:pPr>
            <w:r>
              <w:rPr>
                <w:szCs w:val="21"/>
              </w:rPr>
              <w:t>20—50年一遇</w:t>
            </w:r>
          </w:p>
        </w:tc>
        <w:tc>
          <w:tcPr>
            <w:tcW w:w="1187" w:type="dxa"/>
            <w:vAlign w:val="center"/>
          </w:tcPr>
          <w:p>
            <w:pPr>
              <w:spacing w:line="400" w:lineRule="exact"/>
              <w:jc w:val="center"/>
              <w:rPr>
                <w:szCs w:val="21"/>
              </w:rPr>
            </w:pPr>
            <w:r>
              <w:rPr>
                <w:szCs w:val="21"/>
              </w:rPr>
              <w:t>10-20年一遇</w:t>
            </w:r>
          </w:p>
        </w:tc>
        <w:tc>
          <w:tcPr>
            <w:tcW w:w="1100" w:type="dxa"/>
            <w:vAlign w:val="center"/>
          </w:tcPr>
          <w:p>
            <w:pPr>
              <w:spacing w:line="400" w:lineRule="exact"/>
              <w:jc w:val="center"/>
              <w:rPr>
                <w:szCs w:val="21"/>
              </w:rPr>
            </w:pPr>
            <w:r>
              <w:rPr>
                <w:szCs w:val="21"/>
              </w:rPr>
              <w:t>&lt;10年一遇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1074" w:type="dxa"/>
            <w:vAlign w:val="center"/>
          </w:tcPr>
          <w:p>
            <w:pPr>
              <w:spacing w:line="400" w:lineRule="exact"/>
              <w:jc w:val="center"/>
              <w:rPr>
                <w:szCs w:val="21"/>
              </w:rPr>
            </w:pPr>
            <w:r>
              <w:rPr>
                <w:szCs w:val="21"/>
              </w:rPr>
              <w:t>城市规划</w:t>
            </w:r>
          </w:p>
        </w:tc>
        <w:tc>
          <w:tcPr>
            <w:tcW w:w="1073" w:type="dxa"/>
            <w:vAlign w:val="center"/>
          </w:tcPr>
          <w:p>
            <w:pPr>
              <w:spacing w:line="400" w:lineRule="exact"/>
              <w:jc w:val="center"/>
              <w:rPr>
                <w:szCs w:val="21"/>
              </w:rPr>
            </w:pPr>
            <w:r>
              <w:rPr>
                <w:szCs w:val="21"/>
              </w:rPr>
              <w:t>城市规划</w:t>
            </w:r>
          </w:p>
        </w:tc>
        <w:tc>
          <w:tcPr>
            <w:tcW w:w="1073" w:type="dxa"/>
            <w:vAlign w:val="center"/>
          </w:tcPr>
          <w:p>
            <w:pPr>
              <w:spacing w:line="400" w:lineRule="exact"/>
              <w:jc w:val="center"/>
              <w:rPr>
                <w:szCs w:val="21"/>
              </w:rPr>
            </w:pPr>
            <w:r>
              <w:rPr>
                <w:szCs w:val="21"/>
              </w:rPr>
              <w:t>道路规划</w:t>
            </w:r>
          </w:p>
        </w:tc>
        <w:tc>
          <w:tcPr>
            <w:tcW w:w="1116" w:type="dxa"/>
            <w:vAlign w:val="center"/>
          </w:tcPr>
          <w:p>
            <w:pPr>
              <w:spacing w:line="400" w:lineRule="exact"/>
              <w:jc w:val="center"/>
              <w:rPr>
                <w:szCs w:val="21"/>
              </w:rPr>
            </w:pPr>
            <w:r>
              <w:rPr>
                <w:szCs w:val="21"/>
              </w:rPr>
              <w:t>交通型主干道</w:t>
            </w:r>
          </w:p>
        </w:tc>
        <w:tc>
          <w:tcPr>
            <w:tcW w:w="1297" w:type="dxa"/>
            <w:vAlign w:val="center"/>
          </w:tcPr>
          <w:p>
            <w:pPr>
              <w:spacing w:line="400" w:lineRule="exact"/>
              <w:jc w:val="center"/>
              <w:rPr>
                <w:szCs w:val="21"/>
              </w:rPr>
            </w:pPr>
            <w:r>
              <w:rPr>
                <w:szCs w:val="21"/>
              </w:rPr>
              <w:t>混合型主干道</w:t>
            </w:r>
          </w:p>
        </w:tc>
        <w:tc>
          <w:tcPr>
            <w:tcW w:w="1187" w:type="dxa"/>
            <w:vAlign w:val="center"/>
          </w:tcPr>
          <w:p>
            <w:pPr>
              <w:spacing w:line="400" w:lineRule="exact"/>
              <w:jc w:val="center"/>
              <w:rPr>
                <w:szCs w:val="21"/>
              </w:rPr>
            </w:pPr>
            <w:r>
              <w:rPr>
                <w:szCs w:val="21"/>
              </w:rPr>
              <w:t>交通型次干道，生活型主干道</w:t>
            </w:r>
          </w:p>
        </w:tc>
        <w:tc>
          <w:tcPr>
            <w:tcW w:w="1187" w:type="dxa"/>
            <w:vAlign w:val="center"/>
          </w:tcPr>
          <w:p>
            <w:pPr>
              <w:spacing w:line="400" w:lineRule="exact"/>
              <w:jc w:val="center"/>
              <w:rPr>
                <w:szCs w:val="21"/>
              </w:rPr>
            </w:pPr>
            <w:r>
              <w:rPr>
                <w:szCs w:val="21"/>
              </w:rPr>
              <w:t>生活型次干道</w:t>
            </w:r>
          </w:p>
        </w:tc>
        <w:tc>
          <w:tcPr>
            <w:tcW w:w="1100" w:type="dxa"/>
            <w:vAlign w:val="center"/>
          </w:tcPr>
          <w:p>
            <w:pPr>
              <w:spacing w:line="400" w:lineRule="exact"/>
              <w:jc w:val="center"/>
              <w:rPr>
                <w:szCs w:val="21"/>
              </w:rPr>
            </w:pPr>
            <w:r>
              <w:rPr>
                <w:szCs w:val="21"/>
              </w:rPr>
              <w:t>支路</w:t>
            </w:r>
          </w:p>
        </w:tc>
      </w:tr>
    </w:tbl>
    <w:p>
      <w:pPr>
        <w:pStyle w:val="131"/>
        <w:spacing w:beforeLines="50" w:afterLines="50"/>
        <w:ind w:firstLine="0" w:firstLineChars="0"/>
        <w:rPr>
          <w:rFonts w:ascii="Times New Roman" w:hAnsi="Times New Roman"/>
          <w:sz w:val="24"/>
        </w:rPr>
      </w:pPr>
      <w:r>
        <w:rPr>
          <w:rFonts w:ascii="Times New Roman" w:hAnsi="Times New Roman"/>
          <w:sz w:val="24"/>
        </w:rPr>
        <w:t>表4-6-1</w:t>
      </w:r>
      <w:r>
        <w:rPr>
          <w:rFonts w:hint="eastAsia" w:ascii="Times New Roman" w:hAnsi="Times New Roman"/>
          <w:sz w:val="24"/>
        </w:rPr>
        <w:t>3</w:t>
      </w:r>
      <w:r>
        <w:rPr>
          <w:rFonts w:ascii="Times New Roman" w:hAnsi="Times New Roman"/>
          <w:sz w:val="24"/>
        </w:rPr>
        <w:t xml:space="preserve">  Ⅲ级公共管理与公共服务二类用地宗地地价区域因素修正系数表</w:t>
      </w:r>
    </w:p>
    <w:tbl>
      <w:tblPr>
        <w:tblW w:w="9042" w:type="dxa"/>
        <w:jc w:val="center"/>
        <w:tblInd w:w="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821"/>
        <w:gridCol w:w="843"/>
        <w:gridCol w:w="851"/>
        <w:gridCol w:w="1091"/>
        <w:gridCol w:w="873"/>
        <w:gridCol w:w="711"/>
        <w:gridCol w:w="711"/>
        <w:gridCol w:w="689"/>
        <w:gridCol w:w="785"/>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882" w:type="dxa"/>
            <w:vAlign w:val="center"/>
          </w:tcPr>
          <w:p>
            <w:pPr>
              <w:spacing w:line="400" w:lineRule="exact"/>
              <w:jc w:val="center"/>
              <w:rPr>
                <w:b/>
                <w:bCs/>
                <w:szCs w:val="21"/>
              </w:rPr>
            </w:pPr>
            <w:r>
              <w:rPr>
                <w:b/>
                <w:bCs/>
                <w:szCs w:val="21"/>
              </w:rPr>
              <w:t>因素层</w:t>
            </w:r>
          </w:p>
        </w:tc>
        <w:tc>
          <w:tcPr>
            <w:tcW w:w="821" w:type="dxa"/>
            <w:vAlign w:val="center"/>
          </w:tcPr>
          <w:p>
            <w:pPr>
              <w:spacing w:line="400" w:lineRule="exact"/>
              <w:jc w:val="center"/>
              <w:rPr>
                <w:b/>
                <w:bCs/>
                <w:szCs w:val="21"/>
              </w:rPr>
            </w:pPr>
            <w:r>
              <w:rPr>
                <w:b/>
                <w:bCs/>
                <w:szCs w:val="21"/>
              </w:rPr>
              <w:t>权重</w:t>
            </w:r>
          </w:p>
        </w:tc>
        <w:tc>
          <w:tcPr>
            <w:tcW w:w="843" w:type="dxa"/>
            <w:vAlign w:val="center"/>
          </w:tcPr>
          <w:p>
            <w:pPr>
              <w:spacing w:line="400" w:lineRule="exact"/>
              <w:jc w:val="center"/>
              <w:rPr>
                <w:b/>
                <w:bCs/>
                <w:szCs w:val="21"/>
              </w:rPr>
            </w:pPr>
            <w:r>
              <w:rPr>
                <w:b/>
                <w:bCs/>
                <w:szCs w:val="21"/>
              </w:rPr>
              <w:t>因子层</w:t>
            </w:r>
          </w:p>
        </w:tc>
        <w:tc>
          <w:tcPr>
            <w:tcW w:w="851" w:type="dxa"/>
            <w:vAlign w:val="center"/>
          </w:tcPr>
          <w:p>
            <w:pPr>
              <w:spacing w:line="400" w:lineRule="exact"/>
              <w:jc w:val="center"/>
              <w:rPr>
                <w:b/>
                <w:bCs/>
                <w:szCs w:val="21"/>
              </w:rPr>
            </w:pPr>
            <w:r>
              <w:rPr>
                <w:b/>
                <w:bCs/>
                <w:szCs w:val="21"/>
              </w:rPr>
              <w:t>权重</w:t>
            </w:r>
          </w:p>
        </w:tc>
        <w:tc>
          <w:tcPr>
            <w:tcW w:w="1091" w:type="dxa"/>
            <w:vAlign w:val="center"/>
          </w:tcPr>
          <w:p>
            <w:pPr>
              <w:spacing w:line="400" w:lineRule="exact"/>
              <w:jc w:val="center"/>
              <w:rPr>
                <w:b/>
                <w:bCs/>
                <w:szCs w:val="21"/>
              </w:rPr>
            </w:pPr>
            <w:r>
              <w:rPr>
                <w:b/>
                <w:bCs/>
                <w:szCs w:val="21"/>
              </w:rPr>
              <w:t>指标层</w:t>
            </w:r>
          </w:p>
        </w:tc>
        <w:tc>
          <w:tcPr>
            <w:tcW w:w="873" w:type="dxa"/>
            <w:vAlign w:val="center"/>
          </w:tcPr>
          <w:p>
            <w:pPr>
              <w:spacing w:line="400" w:lineRule="exact"/>
              <w:jc w:val="center"/>
              <w:rPr>
                <w:b/>
                <w:bCs/>
                <w:szCs w:val="21"/>
              </w:rPr>
            </w:pPr>
            <w:r>
              <w:rPr>
                <w:b/>
                <w:bCs/>
                <w:szCs w:val="21"/>
              </w:rPr>
              <w:t>权重</w:t>
            </w:r>
          </w:p>
        </w:tc>
        <w:tc>
          <w:tcPr>
            <w:tcW w:w="711" w:type="dxa"/>
            <w:vAlign w:val="center"/>
          </w:tcPr>
          <w:p>
            <w:pPr>
              <w:spacing w:line="400" w:lineRule="exact"/>
              <w:jc w:val="center"/>
              <w:rPr>
                <w:b/>
                <w:bCs/>
                <w:szCs w:val="21"/>
              </w:rPr>
            </w:pPr>
            <w:r>
              <w:rPr>
                <w:b/>
                <w:bCs/>
                <w:szCs w:val="21"/>
              </w:rPr>
              <w:t>优</w:t>
            </w:r>
          </w:p>
        </w:tc>
        <w:tc>
          <w:tcPr>
            <w:tcW w:w="711" w:type="dxa"/>
            <w:vAlign w:val="center"/>
          </w:tcPr>
          <w:p>
            <w:pPr>
              <w:spacing w:line="400" w:lineRule="exact"/>
              <w:jc w:val="center"/>
              <w:rPr>
                <w:b/>
                <w:bCs/>
                <w:szCs w:val="21"/>
              </w:rPr>
            </w:pPr>
            <w:r>
              <w:rPr>
                <w:b/>
                <w:bCs/>
                <w:szCs w:val="21"/>
              </w:rPr>
              <w:t>较优</w:t>
            </w:r>
          </w:p>
        </w:tc>
        <w:tc>
          <w:tcPr>
            <w:tcW w:w="689" w:type="dxa"/>
            <w:vAlign w:val="center"/>
          </w:tcPr>
          <w:p>
            <w:pPr>
              <w:spacing w:line="400" w:lineRule="exact"/>
              <w:jc w:val="center"/>
              <w:rPr>
                <w:b/>
                <w:bCs/>
                <w:szCs w:val="21"/>
              </w:rPr>
            </w:pPr>
            <w:r>
              <w:rPr>
                <w:b/>
                <w:bCs/>
                <w:szCs w:val="21"/>
              </w:rPr>
              <w:t>一般</w:t>
            </w:r>
          </w:p>
        </w:tc>
        <w:tc>
          <w:tcPr>
            <w:tcW w:w="785" w:type="dxa"/>
            <w:vAlign w:val="center"/>
          </w:tcPr>
          <w:p>
            <w:pPr>
              <w:spacing w:line="400" w:lineRule="exact"/>
              <w:jc w:val="center"/>
              <w:rPr>
                <w:b/>
                <w:bCs/>
                <w:szCs w:val="21"/>
              </w:rPr>
            </w:pPr>
            <w:r>
              <w:rPr>
                <w:b/>
                <w:bCs/>
                <w:szCs w:val="21"/>
              </w:rPr>
              <w:t>较劣</w:t>
            </w:r>
          </w:p>
        </w:tc>
        <w:tc>
          <w:tcPr>
            <w:tcW w:w="785"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Merge w:val="restart"/>
            <w:vAlign w:val="center"/>
          </w:tcPr>
          <w:p>
            <w:pPr>
              <w:spacing w:line="400" w:lineRule="exact"/>
              <w:jc w:val="center"/>
              <w:rPr>
                <w:szCs w:val="21"/>
              </w:rPr>
            </w:pPr>
            <w:r>
              <w:rPr>
                <w:szCs w:val="21"/>
              </w:rPr>
              <w:t>基本设施状况</w:t>
            </w:r>
          </w:p>
        </w:tc>
        <w:tc>
          <w:tcPr>
            <w:tcW w:w="821" w:type="dxa"/>
            <w:vMerge w:val="restart"/>
            <w:vAlign w:val="center"/>
          </w:tcPr>
          <w:p>
            <w:pPr>
              <w:spacing w:line="400" w:lineRule="exact"/>
              <w:jc w:val="center"/>
              <w:rPr>
                <w:szCs w:val="21"/>
              </w:rPr>
            </w:pPr>
            <w:r>
              <w:rPr>
                <w:szCs w:val="21"/>
              </w:rPr>
              <w:t>0.3354</w:t>
            </w:r>
          </w:p>
        </w:tc>
        <w:tc>
          <w:tcPr>
            <w:tcW w:w="843" w:type="dxa"/>
            <w:vMerge w:val="restart"/>
            <w:vAlign w:val="center"/>
          </w:tcPr>
          <w:p>
            <w:pPr>
              <w:spacing w:line="400" w:lineRule="exact"/>
              <w:jc w:val="center"/>
              <w:rPr>
                <w:szCs w:val="21"/>
              </w:rPr>
            </w:pPr>
            <w:r>
              <w:rPr>
                <w:szCs w:val="21"/>
              </w:rPr>
              <w:t>基础设施完善度</w:t>
            </w:r>
          </w:p>
        </w:tc>
        <w:tc>
          <w:tcPr>
            <w:tcW w:w="851" w:type="dxa"/>
            <w:vMerge w:val="restart"/>
            <w:vAlign w:val="center"/>
          </w:tcPr>
          <w:p>
            <w:pPr>
              <w:spacing w:line="400" w:lineRule="exact"/>
              <w:jc w:val="center"/>
              <w:rPr>
                <w:szCs w:val="21"/>
              </w:rPr>
            </w:pPr>
            <w:r>
              <w:rPr>
                <w:szCs w:val="21"/>
              </w:rPr>
              <w:t>0.3354</w:t>
            </w:r>
          </w:p>
        </w:tc>
        <w:tc>
          <w:tcPr>
            <w:tcW w:w="1091" w:type="dxa"/>
            <w:vAlign w:val="center"/>
          </w:tcPr>
          <w:p>
            <w:pPr>
              <w:spacing w:line="400" w:lineRule="exact"/>
              <w:jc w:val="center"/>
              <w:rPr>
                <w:szCs w:val="21"/>
              </w:rPr>
            </w:pPr>
            <w:r>
              <w:rPr>
                <w:szCs w:val="21"/>
              </w:rPr>
              <w:t>排水状况</w:t>
            </w:r>
          </w:p>
        </w:tc>
        <w:tc>
          <w:tcPr>
            <w:tcW w:w="873" w:type="dxa"/>
            <w:vAlign w:val="center"/>
          </w:tcPr>
          <w:p>
            <w:pPr>
              <w:spacing w:line="400" w:lineRule="exact"/>
              <w:jc w:val="center"/>
              <w:rPr>
                <w:szCs w:val="21"/>
              </w:rPr>
            </w:pPr>
            <w:r>
              <w:rPr>
                <w:szCs w:val="21"/>
              </w:rPr>
              <w:t>0.0838</w:t>
            </w:r>
          </w:p>
        </w:tc>
        <w:tc>
          <w:tcPr>
            <w:tcW w:w="711" w:type="dxa"/>
            <w:vAlign w:val="center"/>
          </w:tcPr>
          <w:p>
            <w:pPr>
              <w:spacing w:line="400" w:lineRule="exact"/>
              <w:jc w:val="center"/>
              <w:rPr>
                <w:szCs w:val="21"/>
              </w:rPr>
            </w:pPr>
            <w:r>
              <w:rPr>
                <w:szCs w:val="21"/>
              </w:rPr>
              <w:t xml:space="preserve">1.777 </w:t>
            </w:r>
          </w:p>
        </w:tc>
        <w:tc>
          <w:tcPr>
            <w:tcW w:w="711" w:type="dxa"/>
            <w:vAlign w:val="center"/>
          </w:tcPr>
          <w:p>
            <w:pPr>
              <w:spacing w:line="400" w:lineRule="exact"/>
              <w:jc w:val="center"/>
              <w:rPr>
                <w:szCs w:val="21"/>
              </w:rPr>
            </w:pPr>
            <w:r>
              <w:rPr>
                <w:szCs w:val="21"/>
              </w:rPr>
              <w:t xml:space="preserve">0.889 </w:t>
            </w:r>
          </w:p>
        </w:tc>
        <w:tc>
          <w:tcPr>
            <w:tcW w:w="689" w:type="dxa"/>
            <w:vAlign w:val="center"/>
          </w:tcPr>
          <w:p>
            <w:pPr>
              <w:spacing w:line="400" w:lineRule="exact"/>
              <w:jc w:val="center"/>
              <w:rPr>
                <w:szCs w:val="21"/>
              </w:rPr>
            </w:pPr>
            <w:r>
              <w:rPr>
                <w:szCs w:val="21"/>
              </w:rPr>
              <w:t xml:space="preserve">0.000 </w:t>
            </w:r>
          </w:p>
        </w:tc>
        <w:tc>
          <w:tcPr>
            <w:tcW w:w="785" w:type="dxa"/>
            <w:vAlign w:val="center"/>
          </w:tcPr>
          <w:p>
            <w:pPr>
              <w:spacing w:line="400" w:lineRule="exact"/>
              <w:jc w:val="center"/>
              <w:rPr>
                <w:szCs w:val="21"/>
              </w:rPr>
            </w:pPr>
            <w:r>
              <w:rPr>
                <w:szCs w:val="21"/>
              </w:rPr>
              <w:t xml:space="preserve">-0.858 </w:t>
            </w:r>
          </w:p>
        </w:tc>
        <w:tc>
          <w:tcPr>
            <w:tcW w:w="785" w:type="dxa"/>
            <w:vAlign w:val="center"/>
          </w:tcPr>
          <w:p>
            <w:pPr>
              <w:spacing w:line="400" w:lineRule="exact"/>
              <w:jc w:val="center"/>
              <w:rPr>
                <w:szCs w:val="21"/>
              </w:rPr>
            </w:pPr>
            <w:r>
              <w:rPr>
                <w:szCs w:val="21"/>
              </w:rPr>
              <w:t xml:space="preserve">-1.716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Merge w:val="continue"/>
            <w:vAlign w:val="center"/>
          </w:tcPr>
          <w:p>
            <w:pPr>
              <w:spacing w:line="400" w:lineRule="exact"/>
              <w:jc w:val="center"/>
              <w:rPr>
                <w:szCs w:val="21"/>
              </w:rPr>
            </w:pPr>
          </w:p>
        </w:tc>
        <w:tc>
          <w:tcPr>
            <w:tcW w:w="821" w:type="dxa"/>
            <w:vMerge w:val="continue"/>
            <w:vAlign w:val="center"/>
          </w:tcPr>
          <w:p>
            <w:pPr>
              <w:spacing w:line="400" w:lineRule="exact"/>
              <w:jc w:val="center"/>
              <w:rPr>
                <w:szCs w:val="21"/>
              </w:rPr>
            </w:pPr>
          </w:p>
        </w:tc>
        <w:tc>
          <w:tcPr>
            <w:tcW w:w="843" w:type="dxa"/>
            <w:vMerge w:val="continue"/>
            <w:vAlign w:val="center"/>
          </w:tcPr>
          <w:p>
            <w:pPr>
              <w:spacing w:line="400" w:lineRule="exact"/>
              <w:jc w:val="center"/>
              <w:rPr>
                <w:szCs w:val="21"/>
              </w:rPr>
            </w:pPr>
          </w:p>
        </w:tc>
        <w:tc>
          <w:tcPr>
            <w:tcW w:w="851" w:type="dxa"/>
            <w:vMerge w:val="continue"/>
            <w:vAlign w:val="center"/>
          </w:tcPr>
          <w:p>
            <w:pPr>
              <w:spacing w:line="400" w:lineRule="exact"/>
              <w:jc w:val="center"/>
              <w:rPr>
                <w:szCs w:val="21"/>
              </w:rPr>
            </w:pPr>
          </w:p>
        </w:tc>
        <w:tc>
          <w:tcPr>
            <w:tcW w:w="1091" w:type="dxa"/>
            <w:vAlign w:val="center"/>
          </w:tcPr>
          <w:p>
            <w:pPr>
              <w:spacing w:line="400" w:lineRule="exact"/>
              <w:jc w:val="center"/>
              <w:rPr>
                <w:szCs w:val="21"/>
              </w:rPr>
            </w:pPr>
            <w:r>
              <w:rPr>
                <w:szCs w:val="21"/>
              </w:rPr>
              <w:t>供水状况</w:t>
            </w:r>
          </w:p>
        </w:tc>
        <w:tc>
          <w:tcPr>
            <w:tcW w:w="873" w:type="dxa"/>
            <w:vAlign w:val="center"/>
          </w:tcPr>
          <w:p>
            <w:pPr>
              <w:spacing w:line="400" w:lineRule="exact"/>
              <w:jc w:val="center"/>
              <w:rPr>
                <w:szCs w:val="21"/>
              </w:rPr>
            </w:pPr>
            <w:r>
              <w:rPr>
                <w:szCs w:val="21"/>
              </w:rPr>
              <w:t>0.0838</w:t>
            </w:r>
          </w:p>
        </w:tc>
        <w:tc>
          <w:tcPr>
            <w:tcW w:w="711" w:type="dxa"/>
            <w:vAlign w:val="center"/>
          </w:tcPr>
          <w:p>
            <w:pPr>
              <w:spacing w:line="400" w:lineRule="exact"/>
              <w:jc w:val="center"/>
              <w:rPr>
                <w:szCs w:val="21"/>
              </w:rPr>
            </w:pPr>
            <w:r>
              <w:rPr>
                <w:szCs w:val="21"/>
              </w:rPr>
              <w:t xml:space="preserve">1.777 </w:t>
            </w:r>
          </w:p>
        </w:tc>
        <w:tc>
          <w:tcPr>
            <w:tcW w:w="711" w:type="dxa"/>
            <w:vAlign w:val="center"/>
          </w:tcPr>
          <w:p>
            <w:pPr>
              <w:spacing w:line="400" w:lineRule="exact"/>
              <w:jc w:val="center"/>
              <w:rPr>
                <w:szCs w:val="21"/>
              </w:rPr>
            </w:pPr>
            <w:r>
              <w:rPr>
                <w:szCs w:val="21"/>
              </w:rPr>
              <w:t xml:space="preserve">0.889 </w:t>
            </w:r>
          </w:p>
        </w:tc>
        <w:tc>
          <w:tcPr>
            <w:tcW w:w="689" w:type="dxa"/>
            <w:vAlign w:val="center"/>
          </w:tcPr>
          <w:p>
            <w:pPr>
              <w:spacing w:line="400" w:lineRule="exact"/>
              <w:jc w:val="center"/>
              <w:rPr>
                <w:szCs w:val="21"/>
              </w:rPr>
            </w:pPr>
            <w:r>
              <w:rPr>
                <w:szCs w:val="21"/>
              </w:rPr>
              <w:t xml:space="preserve">0.000 </w:t>
            </w:r>
          </w:p>
        </w:tc>
        <w:tc>
          <w:tcPr>
            <w:tcW w:w="785" w:type="dxa"/>
            <w:vAlign w:val="center"/>
          </w:tcPr>
          <w:p>
            <w:pPr>
              <w:spacing w:line="400" w:lineRule="exact"/>
              <w:jc w:val="center"/>
              <w:rPr>
                <w:szCs w:val="21"/>
              </w:rPr>
            </w:pPr>
            <w:r>
              <w:rPr>
                <w:szCs w:val="21"/>
              </w:rPr>
              <w:t xml:space="preserve">-0.858 </w:t>
            </w:r>
          </w:p>
        </w:tc>
        <w:tc>
          <w:tcPr>
            <w:tcW w:w="785" w:type="dxa"/>
            <w:vAlign w:val="center"/>
          </w:tcPr>
          <w:p>
            <w:pPr>
              <w:spacing w:line="400" w:lineRule="exact"/>
              <w:jc w:val="center"/>
              <w:rPr>
                <w:szCs w:val="21"/>
              </w:rPr>
            </w:pPr>
            <w:r>
              <w:rPr>
                <w:szCs w:val="21"/>
              </w:rPr>
              <w:t xml:space="preserve">-1.716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Merge w:val="continue"/>
            <w:vAlign w:val="center"/>
          </w:tcPr>
          <w:p>
            <w:pPr>
              <w:spacing w:line="400" w:lineRule="exact"/>
              <w:jc w:val="center"/>
              <w:rPr>
                <w:szCs w:val="21"/>
              </w:rPr>
            </w:pPr>
          </w:p>
        </w:tc>
        <w:tc>
          <w:tcPr>
            <w:tcW w:w="821" w:type="dxa"/>
            <w:vMerge w:val="continue"/>
            <w:vAlign w:val="center"/>
          </w:tcPr>
          <w:p>
            <w:pPr>
              <w:spacing w:line="400" w:lineRule="exact"/>
              <w:jc w:val="center"/>
              <w:rPr>
                <w:szCs w:val="21"/>
              </w:rPr>
            </w:pPr>
          </w:p>
        </w:tc>
        <w:tc>
          <w:tcPr>
            <w:tcW w:w="843" w:type="dxa"/>
            <w:vMerge w:val="continue"/>
            <w:vAlign w:val="center"/>
          </w:tcPr>
          <w:p>
            <w:pPr>
              <w:spacing w:line="400" w:lineRule="exact"/>
              <w:jc w:val="center"/>
              <w:rPr>
                <w:szCs w:val="21"/>
              </w:rPr>
            </w:pPr>
          </w:p>
        </w:tc>
        <w:tc>
          <w:tcPr>
            <w:tcW w:w="851" w:type="dxa"/>
            <w:vMerge w:val="continue"/>
            <w:vAlign w:val="center"/>
          </w:tcPr>
          <w:p>
            <w:pPr>
              <w:spacing w:line="400" w:lineRule="exact"/>
              <w:jc w:val="center"/>
              <w:rPr>
                <w:szCs w:val="21"/>
              </w:rPr>
            </w:pPr>
          </w:p>
        </w:tc>
        <w:tc>
          <w:tcPr>
            <w:tcW w:w="1091" w:type="dxa"/>
            <w:vAlign w:val="center"/>
          </w:tcPr>
          <w:p>
            <w:pPr>
              <w:spacing w:line="400" w:lineRule="exact"/>
              <w:jc w:val="center"/>
              <w:rPr>
                <w:szCs w:val="21"/>
              </w:rPr>
            </w:pPr>
            <w:r>
              <w:rPr>
                <w:szCs w:val="21"/>
              </w:rPr>
              <w:t>供电状况</w:t>
            </w:r>
          </w:p>
        </w:tc>
        <w:tc>
          <w:tcPr>
            <w:tcW w:w="873" w:type="dxa"/>
            <w:vAlign w:val="center"/>
          </w:tcPr>
          <w:p>
            <w:pPr>
              <w:spacing w:line="400" w:lineRule="exact"/>
              <w:jc w:val="center"/>
              <w:rPr>
                <w:szCs w:val="21"/>
              </w:rPr>
            </w:pPr>
            <w:r>
              <w:rPr>
                <w:szCs w:val="21"/>
              </w:rPr>
              <w:t>0.0839</w:t>
            </w:r>
          </w:p>
        </w:tc>
        <w:tc>
          <w:tcPr>
            <w:tcW w:w="711" w:type="dxa"/>
            <w:vAlign w:val="center"/>
          </w:tcPr>
          <w:p>
            <w:pPr>
              <w:spacing w:line="400" w:lineRule="exact"/>
              <w:jc w:val="center"/>
              <w:rPr>
                <w:szCs w:val="21"/>
              </w:rPr>
            </w:pPr>
            <w:r>
              <w:rPr>
                <w:szCs w:val="21"/>
              </w:rPr>
              <w:t xml:space="preserve">1.780 </w:t>
            </w:r>
          </w:p>
        </w:tc>
        <w:tc>
          <w:tcPr>
            <w:tcW w:w="711" w:type="dxa"/>
            <w:vAlign w:val="center"/>
          </w:tcPr>
          <w:p>
            <w:pPr>
              <w:spacing w:line="400" w:lineRule="exact"/>
              <w:jc w:val="center"/>
              <w:rPr>
                <w:szCs w:val="21"/>
              </w:rPr>
            </w:pPr>
            <w:r>
              <w:rPr>
                <w:szCs w:val="21"/>
              </w:rPr>
              <w:t xml:space="preserve">0.890 </w:t>
            </w:r>
          </w:p>
        </w:tc>
        <w:tc>
          <w:tcPr>
            <w:tcW w:w="689" w:type="dxa"/>
            <w:vAlign w:val="center"/>
          </w:tcPr>
          <w:p>
            <w:pPr>
              <w:spacing w:line="400" w:lineRule="exact"/>
              <w:jc w:val="center"/>
              <w:rPr>
                <w:szCs w:val="21"/>
              </w:rPr>
            </w:pPr>
            <w:r>
              <w:rPr>
                <w:szCs w:val="21"/>
              </w:rPr>
              <w:t xml:space="preserve">0.000 </w:t>
            </w:r>
          </w:p>
        </w:tc>
        <w:tc>
          <w:tcPr>
            <w:tcW w:w="785" w:type="dxa"/>
            <w:vAlign w:val="center"/>
          </w:tcPr>
          <w:p>
            <w:pPr>
              <w:spacing w:line="400" w:lineRule="exact"/>
              <w:jc w:val="center"/>
              <w:rPr>
                <w:szCs w:val="21"/>
              </w:rPr>
            </w:pPr>
            <w:r>
              <w:rPr>
                <w:szCs w:val="21"/>
              </w:rPr>
              <w:t xml:space="preserve">-0.859 </w:t>
            </w:r>
          </w:p>
        </w:tc>
        <w:tc>
          <w:tcPr>
            <w:tcW w:w="785" w:type="dxa"/>
            <w:vAlign w:val="center"/>
          </w:tcPr>
          <w:p>
            <w:pPr>
              <w:spacing w:line="400" w:lineRule="exact"/>
              <w:jc w:val="center"/>
              <w:rPr>
                <w:szCs w:val="21"/>
              </w:rPr>
            </w:pPr>
            <w:r>
              <w:rPr>
                <w:szCs w:val="21"/>
              </w:rPr>
              <w:t xml:space="preserve">-1.718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Merge w:val="continue"/>
            <w:vAlign w:val="center"/>
          </w:tcPr>
          <w:p>
            <w:pPr>
              <w:spacing w:line="400" w:lineRule="exact"/>
              <w:jc w:val="center"/>
              <w:rPr>
                <w:szCs w:val="21"/>
              </w:rPr>
            </w:pPr>
          </w:p>
        </w:tc>
        <w:tc>
          <w:tcPr>
            <w:tcW w:w="821" w:type="dxa"/>
            <w:vMerge w:val="continue"/>
            <w:vAlign w:val="center"/>
          </w:tcPr>
          <w:p>
            <w:pPr>
              <w:spacing w:line="400" w:lineRule="exact"/>
              <w:jc w:val="center"/>
              <w:rPr>
                <w:szCs w:val="21"/>
              </w:rPr>
            </w:pPr>
          </w:p>
        </w:tc>
        <w:tc>
          <w:tcPr>
            <w:tcW w:w="843" w:type="dxa"/>
            <w:vMerge w:val="continue"/>
            <w:vAlign w:val="center"/>
          </w:tcPr>
          <w:p>
            <w:pPr>
              <w:spacing w:line="400" w:lineRule="exact"/>
              <w:jc w:val="center"/>
              <w:rPr>
                <w:szCs w:val="21"/>
              </w:rPr>
            </w:pPr>
          </w:p>
        </w:tc>
        <w:tc>
          <w:tcPr>
            <w:tcW w:w="851" w:type="dxa"/>
            <w:vMerge w:val="continue"/>
            <w:vAlign w:val="center"/>
          </w:tcPr>
          <w:p>
            <w:pPr>
              <w:spacing w:line="400" w:lineRule="exact"/>
              <w:jc w:val="center"/>
              <w:rPr>
                <w:szCs w:val="21"/>
              </w:rPr>
            </w:pPr>
          </w:p>
        </w:tc>
        <w:tc>
          <w:tcPr>
            <w:tcW w:w="1091" w:type="dxa"/>
            <w:vAlign w:val="center"/>
          </w:tcPr>
          <w:p>
            <w:pPr>
              <w:spacing w:line="400" w:lineRule="exact"/>
              <w:jc w:val="center"/>
              <w:rPr>
                <w:szCs w:val="21"/>
              </w:rPr>
            </w:pPr>
            <w:r>
              <w:rPr>
                <w:szCs w:val="21"/>
              </w:rPr>
              <w:t>供气状况</w:t>
            </w:r>
          </w:p>
        </w:tc>
        <w:tc>
          <w:tcPr>
            <w:tcW w:w="873" w:type="dxa"/>
            <w:vAlign w:val="center"/>
          </w:tcPr>
          <w:p>
            <w:pPr>
              <w:spacing w:line="400" w:lineRule="exact"/>
              <w:jc w:val="center"/>
              <w:rPr>
                <w:szCs w:val="21"/>
              </w:rPr>
            </w:pPr>
            <w:r>
              <w:rPr>
                <w:szCs w:val="21"/>
              </w:rPr>
              <w:t>0.0839</w:t>
            </w:r>
          </w:p>
        </w:tc>
        <w:tc>
          <w:tcPr>
            <w:tcW w:w="711" w:type="dxa"/>
            <w:vAlign w:val="center"/>
          </w:tcPr>
          <w:p>
            <w:pPr>
              <w:spacing w:line="400" w:lineRule="exact"/>
              <w:jc w:val="center"/>
              <w:rPr>
                <w:szCs w:val="21"/>
              </w:rPr>
            </w:pPr>
            <w:r>
              <w:rPr>
                <w:szCs w:val="21"/>
              </w:rPr>
              <w:t xml:space="preserve">1.780 </w:t>
            </w:r>
          </w:p>
        </w:tc>
        <w:tc>
          <w:tcPr>
            <w:tcW w:w="711" w:type="dxa"/>
            <w:vAlign w:val="center"/>
          </w:tcPr>
          <w:p>
            <w:pPr>
              <w:spacing w:line="400" w:lineRule="exact"/>
              <w:jc w:val="center"/>
              <w:rPr>
                <w:szCs w:val="21"/>
              </w:rPr>
            </w:pPr>
            <w:r>
              <w:rPr>
                <w:szCs w:val="21"/>
              </w:rPr>
              <w:t xml:space="preserve">0.890 </w:t>
            </w:r>
          </w:p>
        </w:tc>
        <w:tc>
          <w:tcPr>
            <w:tcW w:w="689" w:type="dxa"/>
            <w:vAlign w:val="center"/>
          </w:tcPr>
          <w:p>
            <w:pPr>
              <w:spacing w:line="400" w:lineRule="exact"/>
              <w:jc w:val="center"/>
              <w:rPr>
                <w:szCs w:val="21"/>
              </w:rPr>
            </w:pPr>
            <w:r>
              <w:rPr>
                <w:szCs w:val="21"/>
              </w:rPr>
              <w:t xml:space="preserve">0.000 </w:t>
            </w:r>
          </w:p>
        </w:tc>
        <w:tc>
          <w:tcPr>
            <w:tcW w:w="785" w:type="dxa"/>
            <w:vAlign w:val="center"/>
          </w:tcPr>
          <w:p>
            <w:pPr>
              <w:spacing w:line="400" w:lineRule="exact"/>
              <w:jc w:val="center"/>
              <w:rPr>
                <w:szCs w:val="21"/>
              </w:rPr>
            </w:pPr>
            <w:r>
              <w:rPr>
                <w:szCs w:val="21"/>
              </w:rPr>
              <w:t xml:space="preserve">-0.859 </w:t>
            </w:r>
          </w:p>
        </w:tc>
        <w:tc>
          <w:tcPr>
            <w:tcW w:w="785" w:type="dxa"/>
            <w:vAlign w:val="center"/>
          </w:tcPr>
          <w:p>
            <w:pPr>
              <w:spacing w:line="400" w:lineRule="exact"/>
              <w:jc w:val="center"/>
              <w:rPr>
                <w:szCs w:val="21"/>
              </w:rPr>
            </w:pPr>
            <w:r>
              <w:rPr>
                <w:szCs w:val="21"/>
              </w:rPr>
              <w:t xml:space="preserve">-1.718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Merge w:val="restart"/>
            <w:vAlign w:val="center"/>
          </w:tcPr>
          <w:p>
            <w:pPr>
              <w:spacing w:line="400" w:lineRule="exact"/>
              <w:jc w:val="center"/>
              <w:rPr>
                <w:szCs w:val="21"/>
              </w:rPr>
            </w:pPr>
            <w:r>
              <w:rPr>
                <w:szCs w:val="21"/>
              </w:rPr>
              <w:t>交通条件</w:t>
            </w:r>
          </w:p>
        </w:tc>
        <w:tc>
          <w:tcPr>
            <w:tcW w:w="821" w:type="dxa"/>
            <w:vMerge w:val="restart"/>
            <w:vAlign w:val="center"/>
          </w:tcPr>
          <w:p>
            <w:pPr>
              <w:spacing w:line="400" w:lineRule="exact"/>
              <w:jc w:val="center"/>
              <w:rPr>
                <w:szCs w:val="21"/>
              </w:rPr>
            </w:pPr>
            <w:r>
              <w:rPr>
                <w:szCs w:val="21"/>
              </w:rPr>
              <w:t>0.2732</w:t>
            </w:r>
          </w:p>
        </w:tc>
        <w:tc>
          <w:tcPr>
            <w:tcW w:w="843" w:type="dxa"/>
            <w:vAlign w:val="center"/>
          </w:tcPr>
          <w:p>
            <w:pPr>
              <w:spacing w:line="400" w:lineRule="exact"/>
              <w:jc w:val="center"/>
              <w:rPr>
                <w:szCs w:val="21"/>
              </w:rPr>
            </w:pPr>
            <w:r>
              <w:rPr>
                <w:szCs w:val="21"/>
              </w:rPr>
              <w:t>道路通达度</w:t>
            </w:r>
          </w:p>
        </w:tc>
        <w:tc>
          <w:tcPr>
            <w:tcW w:w="851" w:type="dxa"/>
            <w:vAlign w:val="center"/>
          </w:tcPr>
          <w:p>
            <w:pPr>
              <w:spacing w:line="400" w:lineRule="exact"/>
              <w:jc w:val="center"/>
              <w:rPr>
                <w:szCs w:val="21"/>
              </w:rPr>
            </w:pPr>
            <w:r>
              <w:rPr>
                <w:szCs w:val="21"/>
              </w:rPr>
              <w:t>0.1366</w:t>
            </w:r>
          </w:p>
        </w:tc>
        <w:tc>
          <w:tcPr>
            <w:tcW w:w="1091" w:type="dxa"/>
            <w:vAlign w:val="center"/>
          </w:tcPr>
          <w:p>
            <w:pPr>
              <w:spacing w:line="400" w:lineRule="exact"/>
              <w:jc w:val="center"/>
              <w:rPr>
                <w:szCs w:val="21"/>
              </w:rPr>
            </w:pPr>
            <w:r>
              <w:rPr>
                <w:szCs w:val="21"/>
              </w:rPr>
              <w:t>临近道路状况</w:t>
            </w:r>
          </w:p>
        </w:tc>
        <w:tc>
          <w:tcPr>
            <w:tcW w:w="873" w:type="dxa"/>
            <w:vAlign w:val="center"/>
          </w:tcPr>
          <w:p>
            <w:pPr>
              <w:spacing w:line="400" w:lineRule="exact"/>
              <w:jc w:val="center"/>
              <w:rPr>
                <w:szCs w:val="21"/>
              </w:rPr>
            </w:pPr>
            <w:r>
              <w:rPr>
                <w:szCs w:val="21"/>
              </w:rPr>
              <w:t>0.1366</w:t>
            </w:r>
          </w:p>
        </w:tc>
        <w:tc>
          <w:tcPr>
            <w:tcW w:w="711" w:type="dxa"/>
            <w:vAlign w:val="center"/>
          </w:tcPr>
          <w:p>
            <w:pPr>
              <w:spacing w:line="400" w:lineRule="exact"/>
              <w:jc w:val="center"/>
              <w:rPr>
                <w:szCs w:val="21"/>
              </w:rPr>
            </w:pPr>
            <w:r>
              <w:rPr>
                <w:szCs w:val="21"/>
              </w:rPr>
              <w:t xml:space="preserve">2.897 </w:t>
            </w:r>
          </w:p>
        </w:tc>
        <w:tc>
          <w:tcPr>
            <w:tcW w:w="711" w:type="dxa"/>
            <w:vAlign w:val="center"/>
          </w:tcPr>
          <w:p>
            <w:pPr>
              <w:spacing w:line="400" w:lineRule="exact"/>
              <w:jc w:val="center"/>
              <w:rPr>
                <w:szCs w:val="21"/>
              </w:rPr>
            </w:pPr>
            <w:r>
              <w:rPr>
                <w:szCs w:val="21"/>
              </w:rPr>
              <w:t xml:space="preserve">1.449 </w:t>
            </w:r>
          </w:p>
        </w:tc>
        <w:tc>
          <w:tcPr>
            <w:tcW w:w="689" w:type="dxa"/>
            <w:vAlign w:val="center"/>
          </w:tcPr>
          <w:p>
            <w:pPr>
              <w:spacing w:line="400" w:lineRule="exact"/>
              <w:jc w:val="center"/>
              <w:rPr>
                <w:szCs w:val="21"/>
              </w:rPr>
            </w:pPr>
            <w:r>
              <w:rPr>
                <w:szCs w:val="21"/>
              </w:rPr>
              <w:t xml:space="preserve">0.000 </w:t>
            </w:r>
          </w:p>
        </w:tc>
        <w:tc>
          <w:tcPr>
            <w:tcW w:w="785" w:type="dxa"/>
            <w:vAlign w:val="center"/>
          </w:tcPr>
          <w:p>
            <w:pPr>
              <w:spacing w:line="400" w:lineRule="exact"/>
              <w:jc w:val="center"/>
              <w:rPr>
                <w:szCs w:val="21"/>
              </w:rPr>
            </w:pPr>
            <w:r>
              <w:rPr>
                <w:szCs w:val="21"/>
              </w:rPr>
              <w:t xml:space="preserve">-1.399 </w:t>
            </w:r>
          </w:p>
        </w:tc>
        <w:tc>
          <w:tcPr>
            <w:tcW w:w="785" w:type="dxa"/>
            <w:vAlign w:val="center"/>
          </w:tcPr>
          <w:p>
            <w:pPr>
              <w:spacing w:line="400" w:lineRule="exact"/>
              <w:jc w:val="center"/>
              <w:rPr>
                <w:szCs w:val="21"/>
              </w:rPr>
            </w:pPr>
            <w:r>
              <w:rPr>
                <w:szCs w:val="21"/>
              </w:rPr>
              <w:t xml:space="preserve">-2.798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Merge w:val="continue"/>
            <w:vAlign w:val="center"/>
          </w:tcPr>
          <w:p>
            <w:pPr>
              <w:spacing w:line="400" w:lineRule="exact"/>
              <w:jc w:val="center"/>
              <w:rPr>
                <w:szCs w:val="21"/>
              </w:rPr>
            </w:pPr>
          </w:p>
        </w:tc>
        <w:tc>
          <w:tcPr>
            <w:tcW w:w="821" w:type="dxa"/>
            <w:vMerge w:val="continue"/>
            <w:vAlign w:val="center"/>
          </w:tcPr>
          <w:p>
            <w:pPr>
              <w:spacing w:line="400" w:lineRule="exact"/>
              <w:jc w:val="center"/>
              <w:rPr>
                <w:szCs w:val="21"/>
              </w:rPr>
            </w:pPr>
          </w:p>
        </w:tc>
        <w:tc>
          <w:tcPr>
            <w:tcW w:w="843" w:type="dxa"/>
            <w:vAlign w:val="center"/>
          </w:tcPr>
          <w:p>
            <w:pPr>
              <w:spacing w:line="400" w:lineRule="exact"/>
              <w:jc w:val="center"/>
              <w:rPr>
                <w:szCs w:val="21"/>
              </w:rPr>
            </w:pPr>
            <w:r>
              <w:rPr>
                <w:szCs w:val="21"/>
              </w:rPr>
              <w:t>公交便捷度</w:t>
            </w:r>
          </w:p>
        </w:tc>
        <w:tc>
          <w:tcPr>
            <w:tcW w:w="851" w:type="dxa"/>
            <w:vAlign w:val="center"/>
          </w:tcPr>
          <w:p>
            <w:pPr>
              <w:spacing w:line="400" w:lineRule="exact"/>
              <w:jc w:val="center"/>
              <w:rPr>
                <w:szCs w:val="21"/>
              </w:rPr>
            </w:pPr>
            <w:r>
              <w:rPr>
                <w:szCs w:val="21"/>
              </w:rPr>
              <w:t>0.1366</w:t>
            </w:r>
          </w:p>
        </w:tc>
        <w:tc>
          <w:tcPr>
            <w:tcW w:w="1091" w:type="dxa"/>
            <w:vAlign w:val="center"/>
          </w:tcPr>
          <w:p>
            <w:pPr>
              <w:spacing w:line="400" w:lineRule="exact"/>
              <w:jc w:val="center"/>
              <w:rPr>
                <w:szCs w:val="21"/>
              </w:rPr>
            </w:pPr>
            <w:r>
              <w:rPr>
                <w:szCs w:val="21"/>
              </w:rPr>
              <w:t>距最近公交站点距离</w:t>
            </w:r>
          </w:p>
        </w:tc>
        <w:tc>
          <w:tcPr>
            <w:tcW w:w="873" w:type="dxa"/>
            <w:vAlign w:val="center"/>
          </w:tcPr>
          <w:p>
            <w:pPr>
              <w:spacing w:line="400" w:lineRule="exact"/>
              <w:jc w:val="center"/>
              <w:rPr>
                <w:szCs w:val="21"/>
              </w:rPr>
            </w:pPr>
            <w:r>
              <w:rPr>
                <w:szCs w:val="21"/>
              </w:rPr>
              <w:t>0.1366</w:t>
            </w:r>
          </w:p>
        </w:tc>
        <w:tc>
          <w:tcPr>
            <w:tcW w:w="711" w:type="dxa"/>
            <w:vAlign w:val="center"/>
          </w:tcPr>
          <w:p>
            <w:pPr>
              <w:spacing w:line="400" w:lineRule="exact"/>
              <w:jc w:val="center"/>
              <w:rPr>
                <w:szCs w:val="21"/>
              </w:rPr>
            </w:pPr>
            <w:r>
              <w:rPr>
                <w:szCs w:val="21"/>
              </w:rPr>
              <w:t xml:space="preserve">2.897 </w:t>
            </w:r>
          </w:p>
        </w:tc>
        <w:tc>
          <w:tcPr>
            <w:tcW w:w="711" w:type="dxa"/>
            <w:vAlign w:val="center"/>
          </w:tcPr>
          <w:p>
            <w:pPr>
              <w:spacing w:line="400" w:lineRule="exact"/>
              <w:jc w:val="center"/>
              <w:rPr>
                <w:szCs w:val="21"/>
              </w:rPr>
            </w:pPr>
            <w:r>
              <w:rPr>
                <w:szCs w:val="21"/>
              </w:rPr>
              <w:t xml:space="preserve">1.449 </w:t>
            </w:r>
          </w:p>
        </w:tc>
        <w:tc>
          <w:tcPr>
            <w:tcW w:w="689" w:type="dxa"/>
            <w:vAlign w:val="center"/>
          </w:tcPr>
          <w:p>
            <w:pPr>
              <w:spacing w:line="400" w:lineRule="exact"/>
              <w:jc w:val="center"/>
              <w:rPr>
                <w:szCs w:val="21"/>
              </w:rPr>
            </w:pPr>
            <w:r>
              <w:rPr>
                <w:szCs w:val="21"/>
              </w:rPr>
              <w:t xml:space="preserve">0.000 </w:t>
            </w:r>
          </w:p>
        </w:tc>
        <w:tc>
          <w:tcPr>
            <w:tcW w:w="785" w:type="dxa"/>
            <w:vAlign w:val="center"/>
          </w:tcPr>
          <w:p>
            <w:pPr>
              <w:spacing w:line="400" w:lineRule="exact"/>
              <w:jc w:val="center"/>
              <w:rPr>
                <w:szCs w:val="21"/>
              </w:rPr>
            </w:pPr>
            <w:r>
              <w:rPr>
                <w:szCs w:val="21"/>
              </w:rPr>
              <w:t xml:space="preserve">-1.399 </w:t>
            </w:r>
          </w:p>
        </w:tc>
        <w:tc>
          <w:tcPr>
            <w:tcW w:w="785" w:type="dxa"/>
            <w:vAlign w:val="center"/>
          </w:tcPr>
          <w:p>
            <w:pPr>
              <w:spacing w:line="400" w:lineRule="exact"/>
              <w:jc w:val="center"/>
              <w:rPr>
                <w:szCs w:val="21"/>
              </w:rPr>
            </w:pPr>
            <w:r>
              <w:rPr>
                <w:szCs w:val="21"/>
              </w:rPr>
              <w:t xml:space="preserve">-2.798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Align w:val="center"/>
          </w:tcPr>
          <w:p>
            <w:pPr>
              <w:spacing w:line="400" w:lineRule="exact"/>
              <w:jc w:val="center"/>
              <w:rPr>
                <w:szCs w:val="21"/>
              </w:rPr>
            </w:pPr>
            <w:r>
              <w:rPr>
                <w:szCs w:val="21"/>
              </w:rPr>
              <w:t>人口状况</w:t>
            </w:r>
          </w:p>
        </w:tc>
        <w:tc>
          <w:tcPr>
            <w:tcW w:w="821" w:type="dxa"/>
            <w:vAlign w:val="center"/>
          </w:tcPr>
          <w:p>
            <w:pPr>
              <w:spacing w:line="400" w:lineRule="exact"/>
              <w:jc w:val="center"/>
              <w:rPr>
                <w:szCs w:val="21"/>
              </w:rPr>
            </w:pPr>
            <w:r>
              <w:rPr>
                <w:szCs w:val="21"/>
              </w:rPr>
              <w:t>0.0886</w:t>
            </w:r>
          </w:p>
        </w:tc>
        <w:tc>
          <w:tcPr>
            <w:tcW w:w="843" w:type="dxa"/>
            <w:vAlign w:val="center"/>
          </w:tcPr>
          <w:p>
            <w:pPr>
              <w:spacing w:line="400" w:lineRule="exact"/>
              <w:jc w:val="center"/>
              <w:rPr>
                <w:szCs w:val="21"/>
              </w:rPr>
            </w:pPr>
            <w:r>
              <w:rPr>
                <w:szCs w:val="21"/>
              </w:rPr>
              <w:t>人口密度</w:t>
            </w:r>
          </w:p>
        </w:tc>
        <w:tc>
          <w:tcPr>
            <w:tcW w:w="851" w:type="dxa"/>
            <w:vAlign w:val="center"/>
          </w:tcPr>
          <w:p>
            <w:pPr>
              <w:spacing w:line="400" w:lineRule="exact"/>
              <w:jc w:val="center"/>
              <w:rPr>
                <w:szCs w:val="21"/>
              </w:rPr>
            </w:pPr>
            <w:r>
              <w:rPr>
                <w:szCs w:val="21"/>
              </w:rPr>
              <w:t>0.0886</w:t>
            </w:r>
          </w:p>
        </w:tc>
        <w:tc>
          <w:tcPr>
            <w:tcW w:w="1091" w:type="dxa"/>
            <w:vAlign w:val="center"/>
          </w:tcPr>
          <w:p>
            <w:pPr>
              <w:spacing w:line="400" w:lineRule="exact"/>
              <w:jc w:val="center"/>
              <w:rPr>
                <w:szCs w:val="21"/>
              </w:rPr>
            </w:pPr>
            <w:r>
              <w:rPr>
                <w:szCs w:val="21"/>
              </w:rPr>
              <w:t>人口密度</w:t>
            </w:r>
          </w:p>
        </w:tc>
        <w:tc>
          <w:tcPr>
            <w:tcW w:w="873" w:type="dxa"/>
            <w:vAlign w:val="center"/>
          </w:tcPr>
          <w:p>
            <w:pPr>
              <w:spacing w:line="400" w:lineRule="exact"/>
              <w:jc w:val="center"/>
              <w:rPr>
                <w:szCs w:val="21"/>
              </w:rPr>
            </w:pPr>
            <w:r>
              <w:rPr>
                <w:szCs w:val="21"/>
              </w:rPr>
              <w:t>0.0886</w:t>
            </w:r>
          </w:p>
        </w:tc>
        <w:tc>
          <w:tcPr>
            <w:tcW w:w="711" w:type="dxa"/>
            <w:vAlign w:val="center"/>
          </w:tcPr>
          <w:p>
            <w:pPr>
              <w:spacing w:line="400" w:lineRule="exact"/>
              <w:jc w:val="center"/>
              <w:rPr>
                <w:szCs w:val="21"/>
              </w:rPr>
            </w:pPr>
            <w:r>
              <w:rPr>
                <w:szCs w:val="21"/>
              </w:rPr>
              <w:t xml:space="preserve">1.879 </w:t>
            </w:r>
          </w:p>
        </w:tc>
        <w:tc>
          <w:tcPr>
            <w:tcW w:w="711" w:type="dxa"/>
            <w:vAlign w:val="center"/>
          </w:tcPr>
          <w:p>
            <w:pPr>
              <w:spacing w:line="400" w:lineRule="exact"/>
              <w:jc w:val="center"/>
              <w:rPr>
                <w:szCs w:val="21"/>
              </w:rPr>
            </w:pPr>
            <w:r>
              <w:rPr>
                <w:szCs w:val="21"/>
              </w:rPr>
              <w:t xml:space="preserve">0.940 </w:t>
            </w:r>
          </w:p>
        </w:tc>
        <w:tc>
          <w:tcPr>
            <w:tcW w:w="689" w:type="dxa"/>
            <w:vAlign w:val="center"/>
          </w:tcPr>
          <w:p>
            <w:pPr>
              <w:spacing w:line="400" w:lineRule="exact"/>
              <w:jc w:val="center"/>
              <w:rPr>
                <w:szCs w:val="21"/>
              </w:rPr>
            </w:pPr>
            <w:r>
              <w:rPr>
                <w:szCs w:val="21"/>
              </w:rPr>
              <w:t xml:space="preserve">0.000 </w:t>
            </w:r>
          </w:p>
        </w:tc>
        <w:tc>
          <w:tcPr>
            <w:tcW w:w="785" w:type="dxa"/>
            <w:vAlign w:val="center"/>
          </w:tcPr>
          <w:p>
            <w:pPr>
              <w:spacing w:line="400" w:lineRule="exact"/>
              <w:jc w:val="center"/>
              <w:rPr>
                <w:szCs w:val="21"/>
              </w:rPr>
            </w:pPr>
            <w:r>
              <w:rPr>
                <w:szCs w:val="21"/>
              </w:rPr>
              <w:t xml:space="preserve">-0.907 </w:t>
            </w:r>
          </w:p>
        </w:tc>
        <w:tc>
          <w:tcPr>
            <w:tcW w:w="785" w:type="dxa"/>
            <w:vAlign w:val="center"/>
          </w:tcPr>
          <w:p>
            <w:pPr>
              <w:spacing w:line="400" w:lineRule="exact"/>
              <w:jc w:val="center"/>
              <w:rPr>
                <w:szCs w:val="21"/>
              </w:rPr>
            </w:pPr>
            <w:r>
              <w:rPr>
                <w:szCs w:val="21"/>
              </w:rPr>
              <w:t xml:space="preserve">-1.815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Merge w:val="restart"/>
            <w:vAlign w:val="center"/>
          </w:tcPr>
          <w:p>
            <w:pPr>
              <w:spacing w:line="400" w:lineRule="exact"/>
              <w:jc w:val="center"/>
              <w:rPr>
                <w:szCs w:val="21"/>
              </w:rPr>
            </w:pPr>
            <w:r>
              <w:rPr>
                <w:szCs w:val="21"/>
              </w:rPr>
              <w:t>环境条件</w:t>
            </w:r>
          </w:p>
        </w:tc>
        <w:tc>
          <w:tcPr>
            <w:tcW w:w="821" w:type="dxa"/>
            <w:vMerge w:val="restart"/>
            <w:vAlign w:val="center"/>
          </w:tcPr>
          <w:p>
            <w:pPr>
              <w:spacing w:line="400" w:lineRule="exact"/>
              <w:jc w:val="center"/>
              <w:rPr>
                <w:szCs w:val="21"/>
              </w:rPr>
            </w:pPr>
            <w:r>
              <w:rPr>
                <w:szCs w:val="21"/>
              </w:rPr>
              <w:t>0.2014</w:t>
            </w:r>
          </w:p>
        </w:tc>
        <w:tc>
          <w:tcPr>
            <w:tcW w:w="843" w:type="dxa"/>
            <w:vMerge w:val="restart"/>
            <w:vAlign w:val="center"/>
          </w:tcPr>
          <w:p>
            <w:pPr>
              <w:spacing w:line="400" w:lineRule="exact"/>
              <w:jc w:val="center"/>
              <w:rPr>
                <w:szCs w:val="21"/>
              </w:rPr>
            </w:pPr>
            <w:r>
              <w:rPr>
                <w:szCs w:val="21"/>
              </w:rPr>
              <w:t>自然条件优劣度</w:t>
            </w:r>
          </w:p>
        </w:tc>
        <w:tc>
          <w:tcPr>
            <w:tcW w:w="851" w:type="dxa"/>
            <w:vMerge w:val="restart"/>
            <w:vAlign w:val="center"/>
          </w:tcPr>
          <w:p>
            <w:pPr>
              <w:spacing w:line="400" w:lineRule="exact"/>
              <w:jc w:val="center"/>
              <w:rPr>
                <w:szCs w:val="21"/>
              </w:rPr>
            </w:pPr>
            <w:r>
              <w:rPr>
                <w:szCs w:val="21"/>
              </w:rPr>
              <w:t>0.2014</w:t>
            </w:r>
          </w:p>
        </w:tc>
        <w:tc>
          <w:tcPr>
            <w:tcW w:w="1091" w:type="dxa"/>
            <w:vAlign w:val="center"/>
          </w:tcPr>
          <w:p>
            <w:pPr>
              <w:spacing w:line="400" w:lineRule="exact"/>
              <w:jc w:val="center"/>
              <w:rPr>
                <w:szCs w:val="21"/>
              </w:rPr>
            </w:pPr>
            <w:r>
              <w:rPr>
                <w:szCs w:val="21"/>
              </w:rPr>
              <w:t>地形状况</w:t>
            </w:r>
          </w:p>
        </w:tc>
        <w:tc>
          <w:tcPr>
            <w:tcW w:w="873" w:type="dxa"/>
            <w:vAlign w:val="center"/>
          </w:tcPr>
          <w:p>
            <w:pPr>
              <w:spacing w:line="400" w:lineRule="exact"/>
              <w:jc w:val="center"/>
              <w:rPr>
                <w:szCs w:val="21"/>
              </w:rPr>
            </w:pPr>
            <w:r>
              <w:rPr>
                <w:szCs w:val="21"/>
              </w:rPr>
              <w:t>0.1007</w:t>
            </w:r>
          </w:p>
        </w:tc>
        <w:tc>
          <w:tcPr>
            <w:tcW w:w="711" w:type="dxa"/>
            <w:vAlign w:val="center"/>
          </w:tcPr>
          <w:p>
            <w:pPr>
              <w:spacing w:line="400" w:lineRule="exact"/>
              <w:jc w:val="center"/>
              <w:rPr>
                <w:szCs w:val="21"/>
              </w:rPr>
            </w:pPr>
            <w:r>
              <w:rPr>
                <w:szCs w:val="21"/>
              </w:rPr>
              <w:t xml:space="preserve">2.136 </w:t>
            </w:r>
          </w:p>
        </w:tc>
        <w:tc>
          <w:tcPr>
            <w:tcW w:w="711" w:type="dxa"/>
            <w:vAlign w:val="center"/>
          </w:tcPr>
          <w:p>
            <w:pPr>
              <w:spacing w:line="400" w:lineRule="exact"/>
              <w:jc w:val="center"/>
              <w:rPr>
                <w:szCs w:val="21"/>
              </w:rPr>
            </w:pPr>
            <w:r>
              <w:rPr>
                <w:szCs w:val="21"/>
              </w:rPr>
              <w:t xml:space="preserve">1.068 </w:t>
            </w:r>
          </w:p>
        </w:tc>
        <w:tc>
          <w:tcPr>
            <w:tcW w:w="689" w:type="dxa"/>
            <w:vAlign w:val="center"/>
          </w:tcPr>
          <w:p>
            <w:pPr>
              <w:spacing w:line="400" w:lineRule="exact"/>
              <w:jc w:val="center"/>
              <w:rPr>
                <w:szCs w:val="21"/>
              </w:rPr>
            </w:pPr>
            <w:r>
              <w:rPr>
                <w:szCs w:val="21"/>
              </w:rPr>
              <w:t xml:space="preserve">0.000 </w:t>
            </w:r>
          </w:p>
        </w:tc>
        <w:tc>
          <w:tcPr>
            <w:tcW w:w="785" w:type="dxa"/>
            <w:vAlign w:val="center"/>
          </w:tcPr>
          <w:p>
            <w:pPr>
              <w:spacing w:line="400" w:lineRule="exact"/>
              <w:jc w:val="center"/>
              <w:rPr>
                <w:szCs w:val="21"/>
              </w:rPr>
            </w:pPr>
            <w:r>
              <w:rPr>
                <w:szCs w:val="21"/>
              </w:rPr>
              <w:t xml:space="preserve">-1.031 </w:t>
            </w:r>
          </w:p>
        </w:tc>
        <w:tc>
          <w:tcPr>
            <w:tcW w:w="785" w:type="dxa"/>
            <w:vAlign w:val="center"/>
          </w:tcPr>
          <w:p>
            <w:pPr>
              <w:spacing w:line="400" w:lineRule="exact"/>
              <w:jc w:val="center"/>
              <w:rPr>
                <w:szCs w:val="21"/>
              </w:rPr>
            </w:pPr>
            <w:r>
              <w:rPr>
                <w:szCs w:val="21"/>
              </w:rPr>
              <w:t xml:space="preserve">-2.062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Merge w:val="continue"/>
            <w:vAlign w:val="center"/>
          </w:tcPr>
          <w:p>
            <w:pPr>
              <w:spacing w:line="400" w:lineRule="exact"/>
              <w:jc w:val="center"/>
              <w:rPr>
                <w:szCs w:val="21"/>
              </w:rPr>
            </w:pPr>
          </w:p>
        </w:tc>
        <w:tc>
          <w:tcPr>
            <w:tcW w:w="821" w:type="dxa"/>
            <w:vMerge w:val="continue"/>
            <w:vAlign w:val="center"/>
          </w:tcPr>
          <w:p>
            <w:pPr>
              <w:spacing w:line="400" w:lineRule="exact"/>
              <w:jc w:val="center"/>
              <w:rPr>
                <w:szCs w:val="21"/>
              </w:rPr>
            </w:pPr>
          </w:p>
        </w:tc>
        <w:tc>
          <w:tcPr>
            <w:tcW w:w="843" w:type="dxa"/>
            <w:vMerge w:val="continue"/>
            <w:vAlign w:val="center"/>
          </w:tcPr>
          <w:p>
            <w:pPr>
              <w:spacing w:line="400" w:lineRule="exact"/>
              <w:jc w:val="center"/>
              <w:rPr>
                <w:szCs w:val="21"/>
              </w:rPr>
            </w:pPr>
          </w:p>
        </w:tc>
        <w:tc>
          <w:tcPr>
            <w:tcW w:w="851" w:type="dxa"/>
            <w:vMerge w:val="continue"/>
            <w:vAlign w:val="center"/>
          </w:tcPr>
          <w:p>
            <w:pPr>
              <w:spacing w:line="400" w:lineRule="exact"/>
              <w:jc w:val="center"/>
              <w:rPr>
                <w:szCs w:val="21"/>
              </w:rPr>
            </w:pPr>
          </w:p>
        </w:tc>
        <w:tc>
          <w:tcPr>
            <w:tcW w:w="1091" w:type="dxa"/>
            <w:vAlign w:val="center"/>
          </w:tcPr>
          <w:p>
            <w:pPr>
              <w:spacing w:line="400" w:lineRule="exact"/>
              <w:jc w:val="center"/>
              <w:rPr>
                <w:szCs w:val="21"/>
              </w:rPr>
            </w:pPr>
            <w:r>
              <w:rPr>
                <w:szCs w:val="21"/>
              </w:rPr>
              <w:t>洪水淹没状况</w:t>
            </w:r>
          </w:p>
        </w:tc>
        <w:tc>
          <w:tcPr>
            <w:tcW w:w="873" w:type="dxa"/>
            <w:vAlign w:val="center"/>
          </w:tcPr>
          <w:p>
            <w:pPr>
              <w:spacing w:line="400" w:lineRule="exact"/>
              <w:jc w:val="center"/>
              <w:rPr>
                <w:szCs w:val="21"/>
              </w:rPr>
            </w:pPr>
            <w:r>
              <w:rPr>
                <w:szCs w:val="21"/>
              </w:rPr>
              <w:t>0.1007</w:t>
            </w:r>
          </w:p>
        </w:tc>
        <w:tc>
          <w:tcPr>
            <w:tcW w:w="711" w:type="dxa"/>
            <w:vAlign w:val="center"/>
          </w:tcPr>
          <w:p>
            <w:pPr>
              <w:spacing w:line="400" w:lineRule="exact"/>
              <w:jc w:val="center"/>
              <w:rPr>
                <w:szCs w:val="21"/>
              </w:rPr>
            </w:pPr>
            <w:r>
              <w:rPr>
                <w:szCs w:val="21"/>
              </w:rPr>
              <w:t xml:space="preserve">2.136 </w:t>
            </w:r>
          </w:p>
        </w:tc>
        <w:tc>
          <w:tcPr>
            <w:tcW w:w="711" w:type="dxa"/>
            <w:vAlign w:val="center"/>
          </w:tcPr>
          <w:p>
            <w:pPr>
              <w:spacing w:line="400" w:lineRule="exact"/>
              <w:jc w:val="center"/>
              <w:rPr>
                <w:szCs w:val="21"/>
              </w:rPr>
            </w:pPr>
            <w:r>
              <w:rPr>
                <w:szCs w:val="21"/>
              </w:rPr>
              <w:t xml:space="preserve">1.068 </w:t>
            </w:r>
          </w:p>
        </w:tc>
        <w:tc>
          <w:tcPr>
            <w:tcW w:w="689" w:type="dxa"/>
            <w:vAlign w:val="center"/>
          </w:tcPr>
          <w:p>
            <w:pPr>
              <w:spacing w:line="400" w:lineRule="exact"/>
              <w:jc w:val="center"/>
              <w:rPr>
                <w:szCs w:val="21"/>
              </w:rPr>
            </w:pPr>
            <w:r>
              <w:rPr>
                <w:szCs w:val="21"/>
              </w:rPr>
              <w:t xml:space="preserve">0.000 </w:t>
            </w:r>
          </w:p>
        </w:tc>
        <w:tc>
          <w:tcPr>
            <w:tcW w:w="785" w:type="dxa"/>
            <w:vAlign w:val="center"/>
          </w:tcPr>
          <w:p>
            <w:pPr>
              <w:spacing w:line="400" w:lineRule="exact"/>
              <w:jc w:val="center"/>
              <w:rPr>
                <w:szCs w:val="21"/>
              </w:rPr>
            </w:pPr>
            <w:r>
              <w:rPr>
                <w:szCs w:val="21"/>
              </w:rPr>
              <w:t xml:space="preserve">-1.031 </w:t>
            </w:r>
          </w:p>
        </w:tc>
        <w:tc>
          <w:tcPr>
            <w:tcW w:w="785" w:type="dxa"/>
            <w:vAlign w:val="center"/>
          </w:tcPr>
          <w:p>
            <w:pPr>
              <w:spacing w:line="400" w:lineRule="exact"/>
              <w:jc w:val="center"/>
              <w:rPr>
                <w:szCs w:val="21"/>
              </w:rPr>
            </w:pPr>
            <w:r>
              <w:rPr>
                <w:szCs w:val="21"/>
              </w:rPr>
              <w:t xml:space="preserve">-2.062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Align w:val="center"/>
          </w:tcPr>
          <w:p>
            <w:pPr>
              <w:spacing w:line="400" w:lineRule="exact"/>
              <w:jc w:val="center"/>
              <w:rPr>
                <w:szCs w:val="21"/>
              </w:rPr>
            </w:pPr>
            <w:r>
              <w:rPr>
                <w:szCs w:val="21"/>
              </w:rPr>
              <w:t>城市规划</w:t>
            </w:r>
          </w:p>
        </w:tc>
        <w:tc>
          <w:tcPr>
            <w:tcW w:w="821" w:type="dxa"/>
            <w:vAlign w:val="center"/>
          </w:tcPr>
          <w:p>
            <w:pPr>
              <w:spacing w:line="400" w:lineRule="exact"/>
              <w:jc w:val="center"/>
              <w:rPr>
                <w:szCs w:val="21"/>
              </w:rPr>
            </w:pPr>
            <w:r>
              <w:rPr>
                <w:szCs w:val="21"/>
              </w:rPr>
              <w:t>0.1014</w:t>
            </w:r>
          </w:p>
        </w:tc>
        <w:tc>
          <w:tcPr>
            <w:tcW w:w="843" w:type="dxa"/>
            <w:vAlign w:val="center"/>
          </w:tcPr>
          <w:p>
            <w:pPr>
              <w:spacing w:line="400" w:lineRule="exact"/>
              <w:jc w:val="center"/>
              <w:rPr>
                <w:szCs w:val="21"/>
              </w:rPr>
            </w:pPr>
            <w:r>
              <w:rPr>
                <w:szCs w:val="21"/>
              </w:rPr>
              <w:t>城市规划</w:t>
            </w:r>
          </w:p>
        </w:tc>
        <w:tc>
          <w:tcPr>
            <w:tcW w:w="851" w:type="dxa"/>
            <w:vAlign w:val="center"/>
          </w:tcPr>
          <w:p>
            <w:pPr>
              <w:spacing w:line="400" w:lineRule="exact"/>
              <w:jc w:val="center"/>
              <w:rPr>
                <w:szCs w:val="21"/>
              </w:rPr>
            </w:pPr>
            <w:r>
              <w:rPr>
                <w:szCs w:val="21"/>
              </w:rPr>
              <w:t>0.1014</w:t>
            </w:r>
          </w:p>
        </w:tc>
        <w:tc>
          <w:tcPr>
            <w:tcW w:w="1091" w:type="dxa"/>
            <w:vAlign w:val="center"/>
          </w:tcPr>
          <w:p>
            <w:pPr>
              <w:spacing w:line="400" w:lineRule="exact"/>
              <w:jc w:val="center"/>
              <w:rPr>
                <w:szCs w:val="21"/>
              </w:rPr>
            </w:pPr>
            <w:r>
              <w:rPr>
                <w:szCs w:val="21"/>
              </w:rPr>
              <w:t>道路规划</w:t>
            </w:r>
          </w:p>
        </w:tc>
        <w:tc>
          <w:tcPr>
            <w:tcW w:w="873" w:type="dxa"/>
            <w:vAlign w:val="center"/>
          </w:tcPr>
          <w:p>
            <w:pPr>
              <w:spacing w:line="400" w:lineRule="exact"/>
              <w:jc w:val="center"/>
              <w:rPr>
                <w:szCs w:val="21"/>
              </w:rPr>
            </w:pPr>
            <w:r>
              <w:rPr>
                <w:szCs w:val="21"/>
              </w:rPr>
              <w:t>0.1014</w:t>
            </w:r>
          </w:p>
        </w:tc>
        <w:tc>
          <w:tcPr>
            <w:tcW w:w="711" w:type="dxa"/>
            <w:vAlign w:val="center"/>
          </w:tcPr>
          <w:p>
            <w:pPr>
              <w:spacing w:line="400" w:lineRule="exact"/>
              <w:jc w:val="center"/>
              <w:rPr>
                <w:szCs w:val="21"/>
              </w:rPr>
            </w:pPr>
            <w:r>
              <w:rPr>
                <w:szCs w:val="21"/>
              </w:rPr>
              <w:t xml:space="preserve">2.151 </w:t>
            </w:r>
          </w:p>
        </w:tc>
        <w:tc>
          <w:tcPr>
            <w:tcW w:w="711" w:type="dxa"/>
            <w:vAlign w:val="center"/>
          </w:tcPr>
          <w:p>
            <w:pPr>
              <w:spacing w:line="400" w:lineRule="exact"/>
              <w:jc w:val="center"/>
              <w:rPr>
                <w:szCs w:val="21"/>
              </w:rPr>
            </w:pPr>
            <w:r>
              <w:rPr>
                <w:szCs w:val="21"/>
              </w:rPr>
              <w:t xml:space="preserve">1.075 </w:t>
            </w:r>
          </w:p>
        </w:tc>
        <w:tc>
          <w:tcPr>
            <w:tcW w:w="689" w:type="dxa"/>
            <w:vAlign w:val="center"/>
          </w:tcPr>
          <w:p>
            <w:pPr>
              <w:spacing w:line="400" w:lineRule="exact"/>
              <w:jc w:val="center"/>
              <w:rPr>
                <w:szCs w:val="21"/>
              </w:rPr>
            </w:pPr>
            <w:r>
              <w:rPr>
                <w:szCs w:val="21"/>
              </w:rPr>
              <w:t xml:space="preserve">0.000 </w:t>
            </w:r>
          </w:p>
        </w:tc>
        <w:tc>
          <w:tcPr>
            <w:tcW w:w="785" w:type="dxa"/>
            <w:vAlign w:val="center"/>
          </w:tcPr>
          <w:p>
            <w:pPr>
              <w:spacing w:line="400" w:lineRule="exact"/>
              <w:jc w:val="center"/>
              <w:rPr>
                <w:szCs w:val="21"/>
              </w:rPr>
            </w:pPr>
            <w:r>
              <w:rPr>
                <w:szCs w:val="21"/>
              </w:rPr>
              <w:t xml:space="preserve">-1.038 </w:t>
            </w:r>
          </w:p>
        </w:tc>
        <w:tc>
          <w:tcPr>
            <w:tcW w:w="785" w:type="dxa"/>
            <w:vAlign w:val="center"/>
          </w:tcPr>
          <w:p>
            <w:pPr>
              <w:spacing w:line="400" w:lineRule="exact"/>
              <w:jc w:val="center"/>
              <w:rPr>
                <w:szCs w:val="21"/>
              </w:rPr>
            </w:pPr>
            <w:r>
              <w:rPr>
                <w:szCs w:val="21"/>
              </w:rPr>
              <w:t xml:space="preserve">-2.077 </w:t>
            </w:r>
          </w:p>
        </w:tc>
      </w:tr>
    </w:tbl>
    <w:p>
      <w:pPr>
        <w:pStyle w:val="131"/>
        <w:spacing w:beforeLines="50" w:afterLines="50"/>
        <w:ind w:firstLine="0" w:firstLineChars="0"/>
        <w:rPr>
          <w:rFonts w:ascii="Times New Roman" w:hAnsi="Times New Roman"/>
          <w:sz w:val="24"/>
        </w:rPr>
      </w:pPr>
      <w:r>
        <w:rPr>
          <w:rFonts w:ascii="Times New Roman" w:hAnsi="Times New Roman"/>
          <w:sz w:val="24"/>
        </w:rPr>
        <w:br w:type="page"/>
      </w:r>
    </w:p>
    <w:p>
      <w:pPr>
        <w:pStyle w:val="131"/>
        <w:spacing w:beforeLines="50" w:afterLines="50"/>
        <w:ind w:firstLine="0" w:firstLineChars="0"/>
        <w:rPr>
          <w:rFonts w:ascii="Times New Roman" w:hAnsi="Times New Roman"/>
          <w:sz w:val="24"/>
        </w:rPr>
      </w:pPr>
      <w:r>
        <w:rPr>
          <w:rFonts w:ascii="Times New Roman" w:hAnsi="Times New Roman"/>
          <w:sz w:val="24"/>
        </w:rPr>
        <w:t>表4-6-1</w:t>
      </w:r>
      <w:r>
        <w:rPr>
          <w:rFonts w:hint="eastAsia" w:ascii="Times New Roman" w:hAnsi="Times New Roman"/>
          <w:sz w:val="24"/>
        </w:rPr>
        <w:t>4</w:t>
      </w:r>
      <w:r>
        <w:rPr>
          <w:rFonts w:ascii="Times New Roman" w:hAnsi="Times New Roman"/>
          <w:sz w:val="24"/>
        </w:rPr>
        <w:t xml:space="preserve">  Ⅲ级公共管理与公共服务二类用地宗地地价区域因素修正系数指标说明表</w:t>
      </w:r>
    </w:p>
    <w:tbl>
      <w:tblPr>
        <w:tblW w:w="9078" w:type="dxa"/>
        <w:jc w:val="center"/>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070"/>
        <w:gridCol w:w="1070"/>
        <w:gridCol w:w="1111"/>
        <w:gridCol w:w="1293"/>
        <w:gridCol w:w="1183"/>
        <w:gridCol w:w="1183"/>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1070" w:type="dxa"/>
            <w:vAlign w:val="center"/>
          </w:tcPr>
          <w:p>
            <w:pPr>
              <w:spacing w:line="400" w:lineRule="exact"/>
              <w:jc w:val="center"/>
              <w:rPr>
                <w:b/>
                <w:bCs/>
                <w:szCs w:val="21"/>
              </w:rPr>
            </w:pPr>
            <w:r>
              <w:rPr>
                <w:b/>
                <w:bCs/>
                <w:szCs w:val="21"/>
              </w:rPr>
              <w:t>因素层</w:t>
            </w:r>
          </w:p>
        </w:tc>
        <w:tc>
          <w:tcPr>
            <w:tcW w:w="1070" w:type="dxa"/>
            <w:vAlign w:val="center"/>
          </w:tcPr>
          <w:p>
            <w:pPr>
              <w:spacing w:line="400" w:lineRule="exact"/>
              <w:jc w:val="center"/>
              <w:rPr>
                <w:b/>
                <w:bCs/>
                <w:szCs w:val="21"/>
              </w:rPr>
            </w:pPr>
            <w:r>
              <w:rPr>
                <w:b/>
                <w:bCs/>
                <w:szCs w:val="21"/>
              </w:rPr>
              <w:t>因子层</w:t>
            </w:r>
          </w:p>
        </w:tc>
        <w:tc>
          <w:tcPr>
            <w:tcW w:w="1070" w:type="dxa"/>
            <w:vAlign w:val="center"/>
          </w:tcPr>
          <w:p>
            <w:pPr>
              <w:spacing w:line="400" w:lineRule="exact"/>
              <w:jc w:val="center"/>
              <w:rPr>
                <w:b/>
                <w:bCs/>
                <w:szCs w:val="21"/>
              </w:rPr>
            </w:pPr>
            <w:r>
              <w:rPr>
                <w:b/>
                <w:bCs/>
                <w:szCs w:val="21"/>
              </w:rPr>
              <w:t>指标层</w:t>
            </w:r>
          </w:p>
        </w:tc>
        <w:tc>
          <w:tcPr>
            <w:tcW w:w="1111" w:type="dxa"/>
            <w:vAlign w:val="center"/>
          </w:tcPr>
          <w:p>
            <w:pPr>
              <w:spacing w:line="400" w:lineRule="exact"/>
              <w:jc w:val="center"/>
              <w:rPr>
                <w:b/>
                <w:bCs/>
                <w:szCs w:val="21"/>
              </w:rPr>
            </w:pPr>
            <w:r>
              <w:rPr>
                <w:b/>
                <w:bCs/>
                <w:szCs w:val="21"/>
              </w:rPr>
              <w:t>优</w:t>
            </w:r>
          </w:p>
        </w:tc>
        <w:tc>
          <w:tcPr>
            <w:tcW w:w="1293" w:type="dxa"/>
            <w:vAlign w:val="center"/>
          </w:tcPr>
          <w:p>
            <w:pPr>
              <w:spacing w:line="400" w:lineRule="exact"/>
              <w:jc w:val="center"/>
              <w:rPr>
                <w:b/>
                <w:bCs/>
                <w:szCs w:val="21"/>
              </w:rPr>
            </w:pPr>
            <w:r>
              <w:rPr>
                <w:b/>
                <w:bCs/>
                <w:szCs w:val="21"/>
              </w:rPr>
              <w:t>较优</w:t>
            </w:r>
          </w:p>
        </w:tc>
        <w:tc>
          <w:tcPr>
            <w:tcW w:w="1183" w:type="dxa"/>
            <w:vAlign w:val="center"/>
          </w:tcPr>
          <w:p>
            <w:pPr>
              <w:spacing w:line="400" w:lineRule="exact"/>
              <w:jc w:val="center"/>
              <w:rPr>
                <w:b/>
                <w:bCs/>
                <w:szCs w:val="21"/>
              </w:rPr>
            </w:pPr>
            <w:r>
              <w:rPr>
                <w:b/>
                <w:bCs/>
                <w:szCs w:val="21"/>
              </w:rPr>
              <w:t>一般</w:t>
            </w:r>
          </w:p>
        </w:tc>
        <w:tc>
          <w:tcPr>
            <w:tcW w:w="1183" w:type="dxa"/>
            <w:vAlign w:val="center"/>
          </w:tcPr>
          <w:p>
            <w:pPr>
              <w:spacing w:line="400" w:lineRule="exact"/>
              <w:jc w:val="center"/>
              <w:rPr>
                <w:b/>
                <w:bCs/>
                <w:szCs w:val="21"/>
              </w:rPr>
            </w:pPr>
            <w:r>
              <w:rPr>
                <w:b/>
                <w:bCs/>
                <w:szCs w:val="21"/>
              </w:rPr>
              <w:t>较劣</w:t>
            </w:r>
          </w:p>
        </w:tc>
        <w:tc>
          <w:tcPr>
            <w:tcW w:w="1098"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1070" w:type="dxa"/>
            <w:vMerge w:val="restart"/>
            <w:vAlign w:val="center"/>
          </w:tcPr>
          <w:p>
            <w:pPr>
              <w:spacing w:line="400" w:lineRule="exact"/>
              <w:jc w:val="center"/>
              <w:rPr>
                <w:szCs w:val="21"/>
              </w:rPr>
            </w:pPr>
            <w:r>
              <w:rPr>
                <w:szCs w:val="21"/>
              </w:rPr>
              <w:t>基本设施状况</w:t>
            </w:r>
          </w:p>
        </w:tc>
        <w:tc>
          <w:tcPr>
            <w:tcW w:w="1070" w:type="dxa"/>
            <w:vMerge w:val="restart"/>
            <w:vAlign w:val="center"/>
          </w:tcPr>
          <w:p>
            <w:pPr>
              <w:spacing w:line="400" w:lineRule="exact"/>
              <w:jc w:val="center"/>
              <w:rPr>
                <w:szCs w:val="21"/>
              </w:rPr>
            </w:pPr>
            <w:r>
              <w:rPr>
                <w:szCs w:val="21"/>
              </w:rPr>
              <w:t>基础设施完善度</w:t>
            </w:r>
          </w:p>
        </w:tc>
        <w:tc>
          <w:tcPr>
            <w:tcW w:w="1070" w:type="dxa"/>
            <w:vAlign w:val="center"/>
          </w:tcPr>
          <w:p>
            <w:pPr>
              <w:spacing w:line="400" w:lineRule="exact"/>
              <w:jc w:val="center"/>
              <w:rPr>
                <w:szCs w:val="21"/>
              </w:rPr>
            </w:pPr>
            <w:r>
              <w:rPr>
                <w:szCs w:val="21"/>
              </w:rPr>
              <w:t>排水状况</w:t>
            </w:r>
          </w:p>
        </w:tc>
        <w:tc>
          <w:tcPr>
            <w:tcW w:w="1111" w:type="dxa"/>
            <w:vAlign w:val="center"/>
          </w:tcPr>
          <w:p>
            <w:pPr>
              <w:spacing w:line="400" w:lineRule="exact"/>
              <w:jc w:val="center"/>
              <w:rPr>
                <w:szCs w:val="21"/>
              </w:rPr>
            </w:pPr>
            <w:r>
              <w:rPr>
                <w:szCs w:val="21"/>
              </w:rPr>
              <w:t>好</w:t>
            </w:r>
          </w:p>
        </w:tc>
        <w:tc>
          <w:tcPr>
            <w:tcW w:w="1293" w:type="dxa"/>
            <w:vAlign w:val="center"/>
          </w:tcPr>
          <w:p>
            <w:pPr>
              <w:spacing w:line="400" w:lineRule="exact"/>
              <w:jc w:val="center"/>
              <w:rPr>
                <w:szCs w:val="21"/>
              </w:rPr>
            </w:pPr>
            <w:r>
              <w:rPr>
                <w:szCs w:val="21"/>
              </w:rPr>
              <w:t>较好</w:t>
            </w:r>
          </w:p>
        </w:tc>
        <w:tc>
          <w:tcPr>
            <w:tcW w:w="1183" w:type="dxa"/>
            <w:vAlign w:val="center"/>
          </w:tcPr>
          <w:p>
            <w:pPr>
              <w:spacing w:line="400" w:lineRule="exact"/>
              <w:jc w:val="center"/>
              <w:rPr>
                <w:szCs w:val="21"/>
              </w:rPr>
            </w:pPr>
            <w:r>
              <w:rPr>
                <w:szCs w:val="21"/>
              </w:rPr>
              <w:t>一般</w:t>
            </w:r>
          </w:p>
        </w:tc>
        <w:tc>
          <w:tcPr>
            <w:tcW w:w="1183" w:type="dxa"/>
            <w:vAlign w:val="center"/>
          </w:tcPr>
          <w:p>
            <w:pPr>
              <w:spacing w:line="400" w:lineRule="exact"/>
              <w:jc w:val="center"/>
              <w:rPr>
                <w:szCs w:val="21"/>
              </w:rPr>
            </w:pPr>
            <w:r>
              <w:rPr>
                <w:szCs w:val="21"/>
              </w:rPr>
              <w:t>较差</w:t>
            </w:r>
          </w:p>
        </w:tc>
        <w:tc>
          <w:tcPr>
            <w:tcW w:w="1098" w:type="dxa"/>
            <w:vAlign w:val="center"/>
          </w:tcPr>
          <w:p>
            <w:pPr>
              <w:spacing w:line="400" w:lineRule="exact"/>
              <w:jc w:val="center"/>
              <w:rPr>
                <w:szCs w:val="21"/>
              </w:rPr>
            </w:pPr>
            <w:r>
              <w:rPr>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Merge w:val="continue"/>
            <w:vAlign w:val="center"/>
          </w:tcPr>
          <w:p>
            <w:pPr>
              <w:spacing w:line="400" w:lineRule="exact"/>
              <w:jc w:val="center"/>
              <w:rPr>
                <w:szCs w:val="21"/>
              </w:rPr>
            </w:pPr>
          </w:p>
        </w:tc>
        <w:tc>
          <w:tcPr>
            <w:tcW w:w="1070" w:type="dxa"/>
            <w:vMerge w:val="continue"/>
            <w:vAlign w:val="center"/>
          </w:tcPr>
          <w:p>
            <w:pPr>
              <w:spacing w:line="400" w:lineRule="exact"/>
              <w:jc w:val="center"/>
              <w:rPr>
                <w:szCs w:val="21"/>
              </w:rPr>
            </w:pPr>
          </w:p>
        </w:tc>
        <w:tc>
          <w:tcPr>
            <w:tcW w:w="1070" w:type="dxa"/>
            <w:vAlign w:val="center"/>
          </w:tcPr>
          <w:p>
            <w:pPr>
              <w:spacing w:line="400" w:lineRule="exact"/>
              <w:jc w:val="center"/>
              <w:rPr>
                <w:szCs w:val="21"/>
              </w:rPr>
            </w:pPr>
            <w:r>
              <w:rPr>
                <w:szCs w:val="21"/>
              </w:rPr>
              <w:t>供水状况</w:t>
            </w:r>
          </w:p>
        </w:tc>
        <w:tc>
          <w:tcPr>
            <w:tcW w:w="1111" w:type="dxa"/>
            <w:vAlign w:val="center"/>
          </w:tcPr>
          <w:p>
            <w:pPr>
              <w:spacing w:line="400" w:lineRule="exact"/>
              <w:jc w:val="center"/>
              <w:rPr>
                <w:szCs w:val="21"/>
              </w:rPr>
            </w:pPr>
            <w:r>
              <w:rPr>
                <w:szCs w:val="21"/>
              </w:rPr>
              <w:t>100%</w:t>
            </w:r>
          </w:p>
        </w:tc>
        <w:tc>
          <w:tcPr>
            <w:tcW w:w="1293" w:type="dxa"/>
            <w:vAlign w:val="center"/>
          </w:tcPr>
          <w:p>
            <w:pPr>
              <w:spacing w:line="400" w:lineRule="exact"/>
              <w:jc w:val="center"/>
              <w:rPr>
                <w:szCs w:val="21"/>
              </w:rPr>
            </w:pPr>
            <w:r>
              <w:rPr>
                <w:szCs w:val="21"/>
              </w:rPr>
              <w:t>90-99%</w:t>
            </w:r>
          </w:p>
        </w:tc>
        <w:tc>
          <w:tcPr>
            <w:tcW w:w="1183" w:type="dxa"/>
            <w:vAlign w:val="center"/>
          </w:tcPr>
          <w:p>
            <w:pPr>
              <w:spacing w:line="400" w:lineRule="exact"/>
              <w:jc w:val="center"/>
              <w:rPr>
                <w:szCs w:val="21"/>
              </w:rPr>
            </w:pPr>
            <w:r>
              <w:rPr>
                <w:szCs w:val="21"/>
              </w:rPr>
              <w:t>75-89%</w:t>
            </w:r>
          </w:p>
        </w:tc>
        <w:tc>
          <w:tcPr>
            <w:tcW w:w="1183" w:type="dxa"/>
            <w:vAlign w:val="center"/>
          </w:tcPr>
          <w:p>
            <w:pPr>
              <w:spacing w:line="400" w:lineRule="exact"/>
              <w:jc w:val="center"/>
              <w:rPr>
                <w:szCs w:val="21"/>
              </w:rPr>
            </w:pPr>
            <w:r>
              <w:rPr>
                <w:szCs w:val="21"/>
              </w:rPr>
              <w:t>60-74%</w:t>
            </w:r>
          </w:p>
        </w:tc>
        <w:tc>
          <w:tcPr>
            <w:tcW w:w="1098" w:type="dxa"/>
            <w:vAlign w:val="center"/>
          </w:tcPr>
          <w:p>
            <w:pPr>
              <w:spacing w:line="400" w:lineRule="exact"/>
              <w:jc w:val="center"/>
              <w:rPr>
                <w:szCs w:val="21"/>
              </w:rPr>
            </w:pPr>
            <w:r>
              <w:rPr>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1070" w:type="dxa"/>
            <w:vMerge w:val="continue"/>
            <w:vAlign w:val="center"/>
          </w:tcPr>
          <w:p>
            <w:pPr>
              <w:spacing w:line="400" w:lineRule="exact"/>
              <w:jc w:val="center"/>
              <w:rPr>
                <w:szCs w:val="21"/>
              </w:rPr>
            </w:pPr>
          </w:p>
        </w:tc>
        <w:tc>
          <w:tcPr>
            <w:tcW w:w="1070" w:type="dxa"/>
            <w:vMerge w:val="continue"/>
            <w:vAlign w:val="center"/>
          </w:tcPr>
          <w:p>
            <w:pPr>
              <w:spacing w:line="400" w:lineRule="exact"/>
              <w:jc w:val="center"/>
              <w:rPr>
                <w:szCs w:val="21"/>
              </w:rPr>
            </w:pPr>
          </w:p>
        </w:tc>
        <w:tc>
          <w:tcPr>
            <w:tcW w:w="1070" w:type="dxa"/>
            <w:vAlign w:val="center"/>
          </w:tcPr>
          <w:p>
            <w:pPr>
              <w:spacing w:line="400" w:lineRule="exact"/>
              <w:jc w:val="center"/>
              <w:rPr>
                <w:szCs w:val="21"/>
              </w:rPr>
            </w:pPr>
            <w:r>
              <w:rPr>
                <w:szCs w:val="21"/>
              </w:rPr>
              <w:t>供电状况</w:t>
            </w:r>
          </w:p>
        </w:tc>
        <w:tc>
          <w:tcPr>
            <w:tcW w:w="1111" w:type="dxa"/>
            <w:vAlign w:val="center"/>
          </w:tcPr>
          <w:p>
            <w:pPr>
              <w:spacing w:line="400" w:lineRule="exact"/>
              <w:jc w:val="center"/>
              <w:rPr>
                <w:szCs w:val="21"/>
              </w:rPr>
            </w:pPr>
            <w:r>
              <w:rPr>
                <w:szCs w:val="21"/>
              </w:rPr>
              <w:t>好</w:t>
            </w:r>
          </w:p>
        </w:tc>
        <w:tc>
          <w:tcPr>
            <w:tcW w:w="1293" w:type="dxa"/>
            <w:vAlign w:val="center"/>
          </w:tcPr>
          <w:p>
            <w:pPr>
              <w:spacing w:line="400" w:lineRule="exact"/>
              <w:jc w:val="center"/>
              <w:rPr>
                <w:szCs w:val="21"/>
              </w:rPr>
            </w:pPr>
            <w:r>
              <w:rPr>
                <w:szCs w:val="21"/>
              </w:rPr>
              <w:t>较好</w:t>
            </w:r>
          </w:p>
        </w:tc>
        <w:tc>
          <w:tcPr>
            <w:tcW w:w="1183" w:type="dxa"/>
            <w:vAlign w:val="center"/>
          </w:tcPr>
          <w:p>
            <w:pPr>
              <w:spacing w:line="400" w:lineRule="exact"/>
              <w:jc w:val="center"/>
              <w:rPr>
                <w:szCs w:val="21"/>
              </w:rPr>
            </w:pPr>
            <w:r>
              <w:rPr>
                <w:szCs w:val="21"/>
              </w:rPr>
              <w:t>一般</w:t>
            </w:r>
          </w:p>
        </w:tc>
        <w:tc>
          <w:tcPr>
            <w:tcW w:w="1183" w:type="dxa"/>
            <w:vAlign w:val="center"/>
          </w:tcPr>
          <w:p>
            <w:pPr>
              <w:spacing w:line="400" w:lineRule="exact"/>
              <w:jc w:val="center"/>
              <w:rPr>
                <w:szCs w:val="21"/>
              </w:rPr>
            </w:pPr>
            <w:r>
              <w:rPr>
                <w:szCs w:val="21"/>
              </w:rPr>
              <w:t>较差</w:t>
            </w:r>
          </w:p>
        </w:tc>
        <w:tc>
          <w:tcPr>
            <w:tcW w:w="1098" w:type="dxa"/>
            <w:vAlign w:val="center"/>
          </w:tcPr>
          <w:p>
            <w:pPr>
              <w:spacing w:line="400" w:lineRule="exact"/>
              <w:jc w:val="center"/>
              <w:rPr>
                <w:szCs w:val="21"/>
              </w:rPr>
            </w:pPr>
            <w:r>
              <w:rPr>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1070" w:type="dxa"/>
            <w:vMerge w:val="continue"/>
            <w:vAlign w:val="center"/>
          </w:tcPr>
          <w:p>
            <w:pPr>
              <w:spacing w:line="400" w:lineRule="exact"/>
              <w:jc w:val="center"/>
              <w:rPr>
                <w:szCs w:val="21"/>
              </w:rPr>
            </w:pPr>
          </w:p>
        </w:tc>
        <w:tc>
          <w:tcPr>
            <w:tcW w:w="1070" w:type="dxa"/>
            <w:vMerge w:val="continue"/>
            <w:vAlign w:val="center"/>
          </w:tcPr>
          <w:p>
            <w:pPr>
              <w:spacing w:line="400" w:lineRule="exact"/>
              <w:jc w:val="center"/>
              <w:rPr>
                <w:szCs w:val="21"/>
              </w:rPr>
            </w:pPr>
          </w:p>
        </w:tc>
        <w:tc>
          <w:tcPr>
            <w:tcW w:w="1070" w:type="dxa"/>
            <w:vAlign w:val="center"/>
          </w:tcPr>
          <w:p>
            <w:pPr>
              <w:spacing w:line="400" w:lineRule="exact"/>
              <w:jc w:val="center"/>
              <w:rPr>
                <w:szCs w:val="21"/>
              </w:rPr>
            </w:pPr>
            <w:r>
              <w:rPr>
                <w:szCs w:val="21"/>
              </w:rPr>
              <w:t>供气状况</w:t>
            </w:r>
          </w:p>
        </w:tc>
        <w:tc>
          <w:tcPr>
            <w:tcW w:w="1111" w:type="dxa"/>
            <w:vAlign w:val="center"/>
          </w:tcPr>
          <w:p>
            <w:pPr>
              <w:spacing w:line="400" w:lineRule="exact"/>
              <w:jc w:val="center"/>
              <w:rPr>
                <w:szCs w:val="21"/>
              </w:rPr>
            </w:pPr>
            <w:r>
              <w:rPr>
                <w:szCs w:val="21"/>
              </w:rPr>
              <w:t>好</w:t>
            </w:r>
          </w:p>
        </w:tc>
        <w:tc>
          <w:tcPr>
            <w:tcW w:w="1293" w:type="dxa"/>
            <w:vAlign w:val="center"/>
          </w:tcPr>
          <w:p>
            <w:pPr>
              <w:spacing w:line="400" w:lineRule="exact"/>
              <w:jc w:val="center"/>
              <w:rPr>
                <w:szCs w:val="21"/>
              </w:rPr>
            </w:pPr>
            <w:r>
              <w:rPr>
                <w:szCs w:val="21"/>
              </w:rPr>
              <w:t>较好</w:t>
            </w:r>
          </w:p>
        </w:tc>
        <w:tc>
          <w:tcPr>
            <w:tcW w:w="1183" w:type="dxa"/>
            <w:vAlign w:val="center"/>
          </w:tcPr>
          <w:p>
            <w:pPr>
              <w:spacing w:line="400" w:lineRule="exact"/>
              <w:jc w:val="center"/>
              <w:rPr>
                <w:szCs w:val="21"/>
              </w:rPr>
            </w:pPr>
            <w:r>
              <w:rPr>
                <w:szCs w:val="21"/>
              </w:rPr>
              <w:t>一般</w:t>
            </w:r>
          </w:p>
        </w:tc>
        <w:tc>
          <w:tcPr>
            <w:tcW w:w="1183" w:type="dxa"/>
            <w:vAlign w:val="center"/>
          </w:tcPr>
          <w:p>
            <w:pPr>
              <w:spacing w:line="400" w:lineRule="exact"/>
              <w:jc w:val="center"/>
              <w:rPr>
                <w:szCs w:val="21"/>
              </w:rPr>
            </w:pPr>
            <w:r>
              <w:rPr>
                <w:szCs w:val="21"/>
              </w:rPr>
              <w:t>较差</w:t>
            </w:r>
          </w:p>
        </w:tc>
        <w:tc>
          <w:tcPr>
            <w:tcW w:w="1098" w:type="dxa"/>
            <w:vAlign w:val="center"/>
          </w:tcPr>
          <w:p>
            <w:pPr>
              <w:spacing w:line="400" w:lineRule="exact"/>
              <w:jc w:val="center"/>
              <w:rPr>
                <w:szCs w:val="21"/>
              </w:rPr>
            </w:pPr>
            <w:r>
              <w:rPr>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Merge w:val="restart"/>
            <w:vAlign w:val="center"/>
          </w:tcPr>
          <w:p>
            <w:pPr>
              <w:spacing w:line="400" w:lineRule="exact"/>
              <w:jc w:val="center"/>
              <w:rPr>
                <w:szCs w:val="21"/>
              </w:rPr>
            </w:pPr>
            <w:r>
              <w:rPr>
                <w:szCs w:val="21"/>
              </w:rPr>
              <w:t>交通条件</w:t>
            </w:r>
          </w:p>
        </w:tc>
        <w:tc>
          <w:tcPr>
            <w:tcW w:w="1070" w:type="dxa"/>
            <w:vAlign w:val="center"/>
          </w:tcPr>
          <w:p>
            <w:pPr>
              <w:spacing w:line="400" w:lineRule="exact"/>
              <w:jc w:val="center"/>
              <w:rPr>
                <w:szCs w:val="21"/>
              </w:rPr>
            </w:pPr>
            <w:r>
              <w:rPr>
                <w:szCs w:val="21"/>
              </w:rPr>
              <w:t>道路通达度</w:t>
            </w:r>
          </w:p>
        </w:tc>
        <w:tc>
          <w:tcPr>
            <w:tcW w:w="1070" w:type="dxa"/>
            <w:vAlign w:val="center"/>
          </w:tcPr>
          <w:p>
            <w:pPr>
              <w:spacing w:line="400" w:lineRule="exact"/>
              <w:jc w:val="center"/>
              <w:rPr>
                <w:szCs w:val="21"/>
              </w:rPr>
            </w:pPr>
            <w:r>
              <w:rPr>
                <w:szCs w:val="21"/>
              </w:rPr>
              <w:t>临近道路状况</w:t>
            </w:r>
          </w:p>
        </w:tc>
        <w:tc>
          <w:tcPr>
            <w:tcW w:w="1111" w:type="dxa"/>
            <w:vAlign w:val="center"/>
          </w:tcPr>
          <w:p>
            <w:pPr>
              <w:spacing w:line="400" w:lineRule="exact"/>
              <w:jc w:val="center"/>
              <w:rPr>
                <w:szCs w:val="21"/>
              </w:rPr>
            </w:pPr>
            <w:r>
              <w:rPr>
                <w:szCs w:val="21"/>
              </w:rPr>
              <w:t>交通型主干道</w:t>
            </w:r>
          </w:p>
        </w:tc>
        <w:tc>
          <w:tcPr>
            <w:tcW w:w="1293" w:type="dxa"/>
            <w:vAlign w:val="center"/>
          </w:tcPr>
          <w:p>
            <w:pPr>
              <w:spacing w:line="400" w:lineRule="exact"/>
              <w:jc w:val="center"/>
              <w:rPr>
                <w:szCs w:val="21"/>
              </w:rPr>
            </w:pPr>
            <w:r>
              <w:rPr>
                <w:szCs w:val="21"/>
              </w:rPr>
              <w:t>混合型主干道</w:t>
            </w:r>
          </w:p>
        </w:tc>
        <w:tc>
          <w:tcPr>
            <w:tcW w:w="1183" w:type="dxa"/>
            <w:vAlign w:val="center"/>
          </w:tcPr>
          <w:p>
            <w:pPr>
              <w:spacing w:line="400" w:lineRule="exact"/>
              <w:jc w:val="center"/>
              <w:rPr>
                <w:szCs w:val="21"/>
              </w:rPr>
            </w:pPr>
            <w:r>
              <w:rPr>
                <w:szCs w:val="21"/>
              </w:rPr>
              <w:t>交通型次干道</w:t>
            </w:r>
          </w:p>
        </w:tc>
        <w:tc>
          <w:tcPr>
            <w:tcW w:w="1183" w:type="dxa"/>
            <w:vAlign w:val="center"/>
          </w:tcPr>
          <w:p>
            <w:pPr>
              <w:spacing w:line="400" w:lineRule="exact"/>
              <w:jc w:val="center"/>
              <w:rPr>
                <w:szCs w:val="21"/>
              </w:rPr>
            </w:pPr>
            <w:r>
              <w:rPr>
                <w:szCs w:val="21"/>
              </w:rPr>
              <w:t>生活型次干道</w:t>
            </w:r>
          </w:p>
        </w:tc>
        <w:tc>
          <w:tcPr>
            <w:tcW w:w="1098" w:type="dxa"/>
            <w:vAlign w:val="center"/>
          </w:tcPr>
          <w:p>
            <w:pPr>
              <w:spacing w:line="400" w:lineRule="exact"/>
              <w:jc w:val="center"/>
              <w:rPr>
                <w:szCs w:val="21"/>
              </w:rPr>
            </w:pPr>
            <w:r>
              <w:rPr>
                <w:szCs w:val="21"/>
              </w:rPr>
              <w:t>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1070" w:type="dxa"/>
            <w:vMerge w:val="continue"/>
            <w:vAlign w:val="center"/>
          </w:tcPr>
          <w:p>
            <w:pPr>
              <w:spacing w:line="400" w:lineRule="exact"/>
              <w:jc w:val="center"/>
              <w:rPr>
                <w:szCs w:val="21"/>
              </w:rPr>
            </w:pPr>
          </w:p>
        </w:tc>
        <w:tc>
          <w:tcPr>
            <w:tcW w:w="1070" w:type="dxa"/>
            <w:vAlign w:val="center"/>
          </w:tcPr>
          <w:p>
            <w:pPr>
              <w:spacing w:line="400" w:lineRule="exact"/>
              <w:jc w:val="center"/>
              <w:rPr>
                <w:szCs w:val="21"/>
              </w:rPr>
            </w:pPr>
            <w:r>
              <w:rPr>
                <w:szCs w:val="21"/>
              </w:rPr>
              <w:t>公交便捷度</w:t>
            </w:r>
          </w:p>
        </w:tc>
        <w:tc>
          <w:tcPr>
            <w:tcW w:w="1070" w:type="dxa"/>
            <w:vAlign w:val="center"/>
          </w:tcPr>
          <w:p>
            <w:pPr>
              <w:spacing w:line="400" w:lineRule="exact"/>
              <w:jc w:val="center"/>
              <w:rPr>
                <w:szCs w:val="21"/>
              </w:rPr>
            </w:pPr>
            <w:r>
              <w:rPr>
                <w:szCs w:val="21"/>
              </w:rPr>
              <w:t>距最近公交站点距离</w:t>
            </w:r>
          </w:p>
        </w:tc>
        <w:tc>
          <w:tcPr>
            <w:tcW w:w="1111" w:type="dxa"/>
            <w:vAlign w:val="center"/>
          </w:tcPr>
          <w:p>
            <w:pPr>
              <w:spacing w:line="400" w:lineRule="exact"/>
              <w:jc w:val="center"/>
              <w:rPr>
                <w:szCs w:val="21"/>
              </w:rPr>
            </w:pPr>
            <w:r>
              <w:rPr>
                <w:szCs w:val="21"/>
              </w:rPr>
              <w:t>&lt;1300</w:t>
            </w:r>
          </w:p>
        </w:tc>
        <w:tc>
          <w:tcPr>
            <w:tcW w:w="1293" w:type="dxa"/>
            <w:vAlign w:val="center"/>
          </w:tcPr>
          <w:p>
            <w:pPr>
              <w:spacing w:line="400" w:lineRule="exact"/>
              <w:jc w:val="center"/>
              <w:rPr>
                <w:szCs w:val="21"/>
              </w:rPr>
            </w:pPr>
            <w:r>
              <w:rPr>
                <w:szCs w:val="21"/>
              </w:rPr>
              <w:t>1300-1600</w:t>
            </w:r>
          </w:p>
        </w:tc>
        <w:tc>
          <w:tcPr>
            <w:tcW w:w="1183" w:type="dxa"/>
            <w:vAlign w:val="center"/>
          </w:tcPr>
          <w:p>
            <w:pPr>
              <w:spacing w:line="400" w:lineRule="exact"/>
              <w:jc w:val="center"/>
              <w:rPr>
                <w:szCs w:val="21"/>
              </w:rPr>
            </w:pPr>
            <w:r>
              <w:rPr>
                <w:szCs w:val="21"/>
              </w:rPr>
              <w:t>1600-1900</w:t>
            </w:r>
          </w:p>
        </w:tc>
        <w:tc>
          <w:tcPr>
            <w:tcW w:w="1183" w:type="dxa"/>
            <w:vAlign w:val="center"/>
          </w:tcPr>
          <w:p>
            <w:pPr>
              <w:spacing w:line="400" w:lineRule="exact"/>
              <w:jc w:val="center"/>
              <w:rPr>
                <w:szCs w:val="21"/>
              </w:rPr>
            </w:pPr>
            <w:r>
              <w:rPr>
                <w:szCs w:val="21"/>
              </w:rPr>
              <w:t>1900-2200</w:t>
            </w:r>
          </w:p>
        </w:tc>
        <w:tc>
          <w:tcPr>
            <w:tcW w:w="1098" w:type="dxa"/>
            <w:vAlign w:val="center"/>
          </w:tcPr>
          <w:p>
            <w:pPr>
              <w:spacing w:line="400" w:lineRule="exact"/>
              <w:jc w:val="center"/>
              <w:rPr>
                <w:szCs w:val="21"/>
              </w:rPr>
            </w:pPr>
            <w:r>
              <w:rPr>
                <w:szCs w:val="21"/>
              </w:rPr>
              <w:t>&gt;2200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Align w:val="center"/>
          </w:tcPr>
          <w:p>
            <w:pPr>
              <w:spacing w:line="400" w:lineRule="exact"/>
              <w:jc w:val="center"/>
              <w:rPr>
                <w:szCs w:val="21"/>
              </w:rPr>
            </w:pPr>
            <w:r>
              <w:rPr>
                <w:szCs w:val="21"/>
              </w:rPr>
              <w:t>人口状况</w:t>
            </w:r>
          </w:p>
        </w:tc>
        <w:tc>
          <w:tcPr>
            <w:tcW w:w="1070" w:type="dxa"/>
            <w:vAlign w:val="center"/>
          </w:tcPr>
          <w:p>
            <w:pPr>
              <w:spacing w:line="400" w:lineRule="exact"/>
              <w:jc w:val="center"/>
              <w:rPr>
                <w:szCs w:val="21"/>
              </w:rPr>
            </w:pPr>
            <w:r>
              <w:rPr>
                <w:szCs w:val="21"/>
              </w:rPr>
              <w:t>人口密度</w:t>
            </w:r>
          </w:p>
        </w:tc>
        <w:tc>
          <w:tcPr>
            <w:tcW w:w="1070" w:type="dxa"/>
            <w:vAlign w:val="center"/>
          </w:tcPr>
          <w:p>
            <w:pPr>
              <w:spacing w:line="400" w:lineRule="exact"/>
              <w:jc w:val="center"/>
              <w:rPr>
                <w:szCs w:val="21"/>
              </w:rPr>
            </w:pPr>
            <w:r>
              <w:rPr>
                <w:szCs w:val="21"/>
              </w:rPr>
              <w:t>人口密度</w:t>
            </w:r>
          </w:p>
        </w:tc>
        <w:tc>
          <w:tcPr>
            <w:tcW w:w="1111" w:type="dxa"/>
            <w:vAlign w:val="center"/>
          </w:tcPr>
          <w:p>
            <w:pPr>
              <w:spacing w:line="400" w:lineRule="exact"/>
              <w:jc w:val="center"/>
              <w:rPr>
                <w:szCs w:val="21"/>
              </w:rPr>
            </w:pPr>
            <w:r>
              <w:rPr>
                <w:szCs w:val="21"/>
              </w:rPr>
              <w:t>≥10000</w:t>
            </w:r>
          </w:p>
        </w:tc>
        <w:tc>
          <w:tcPr>
            <w:tcW w:w="1293" w:type="dxa"/>
            <w:vAlign w:val="center"/>
          </w:tcPr>
          <w:p>
            <w:pPr>
              <w:spacing w:line="400" w:lineRule="exact"/>
              <w:jc w:val="center"/>
              <w:rPr>
                <w:szCs w:val="21"/>
              </w:rPr>
            </w:pPr>
            <w:r>
              <w:rPr>
                <w:szCs w:val="21"/>
              </w:rPr>
              <w:t>10000-5000</w:t>
            </w:r>
          </w:p>
        </w:tc>
        <w:tc>
          <w:tcPr>
            <w:tcW w:w="1183" w:type="dxa"/>
            <w:vAlign w:val="center"/>
          </w:tcPr>
          <w:p>
            <w:pPr>
              <w:spacing w:line="400" w:lineRule="exact"/>
              <w:jc w:val="center"/>
              <w:rPr>
                <w:szCs w:val="21"/>
              </w:rPr>
            </w:pPr>
            <w:r>
              <w:rPr>
                <w:szCs w:val="21"/>
              </w:rPr>
              <w:t>5000-2000</w:t>
            </w:r>
          </w:p>
        </w:tc>
        <w:tc>
          <w:tcPr>
            <w:tcW w:w="1183" w:type="dxa"/>
            <w:vAlign w:val="center"/>
          </w:tcPr>
          <w:p>
            <w:pPr>
              <w:spacing w:line="400" w:lineRule="exact"/>
              <w:jc w:val="center"/>
              <w:rPr>
                <w:szCs w:val="21"/>
              </w:rPr>
            </w:pPr>
            <w:r>
              <w:rPr>
                <w:szCs w:val="21"/>
              </w:rPr>
              <w:t>2000-1000</w:t>
            </w:r>
          </w:p>
        </w:tc>
        <w:tc>
          <w:tcPr>
            <w:tcW w:w="1098" w:type="dxa"/>
            <w:vAlign w:val="center"/>
          </w:tcPr>
          <w:p>
            <w:pPr>
              <w:spacing w:line="400" w:lineRule="exact"/>
              <w:jc w:val="center"/>
              <w:rPr>
                <w:szCs w:val="21"/>
              </w:rPr>
            </w:pPr>
            <w:r>
              <w:rPr>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1070" w:type="dxa"/>
            <w:vMerge w:val="restart"/>
            <w:vAlign w:val="center"/>
          </w:tcPr>
          <w:p>
            <w:pPr>
              <w:spacing w:line="400" w:lineRule="exact"/>
              <w:jc w:val="center"/>
              <w:rPr>
                <w:szCs w:val="21"/>
              </w:rPr>
            </w:pPr>
            <w:r>
              <w:rPr>
                <w:szCs w:val="21"/>
              </w:rPr>
              <w:t>环境条件</w:t>
            </w:r>
          </w:p>
        </w:tc>
        <w:tc>
          <w:tcPr>
            <w:tcW w:w="1070" w:type="dxa"/>
            <w:vMerge w:val="restart"/>
            <w:vAlign w:val="center"/>
          </w:tcPr>
          <w:p>
            <w:pPr>
              <w:spacing w:line="400" w:lineRule="exact"/>
              <w:jc w:val="center"/>
              <w:rPr>
                <w:szCs w:val="21"/>
              </w:rPr>
            </w:pPr>
            <w:r>
              <w:rPr>
                <w:szCs w:val="21"/>
              </w:rPr>
              <w:t>自然条件优劣度</w:t>
            </w:r>
          </w:p>
        </w:tc>
        <w:tc>
          <w:tcPr>
            <w:tcW w:w="1070" w:type="dxa"/>
            <w:vAlign w:val="center"/>
          </w:tcPr>
          <w:p>
            <w:pPr>
              <w:spacing w:line="400" w:lineRule="exact"/>
              <w:jc w:val="center"/>
              <w:rPr>
                <w:szCs w:val="21"/>
              </w:rPr>
            </w:pPr>
            <w:r>
              <w:rPr>
                <w:szCs w:val="21"/>
              </w:rPr>
              <w:t>地形状况</w:t>
            </w:r>
          </w:p>
        </w:tc>
        <w:tc>
          <w:tcPr>
            <w:tcW w:w="1111" w:type="dxa"/>
            <w:vAlign w:val="center"/>
          </w:tcPr>
          <w:p>
            <w:pPr>
              <w:spacing w:line="400" w:lineRule="exact"/>
              <w:jc w:val="center"/>
              <w:rPr>
                <w:szCs w:val="21"/>
              </w:rPr>
            </w:pPr>
            <w:r>
              <w:rPr>
                <w:szCs w:val="21"/>
              </w:rPr>
              <w:t>地势平坦</w:t>
            </w:r>
          </w:p>
        </w:tc>
        <w:tc>
          <w:tcPr>
            <w:tcW w:w="1293" w:type="dxa"/>
            <w:vAlign w:val="center"/>
          </w:tcPr>
          <w:p>
            <w:pPr>
              <w:spacing w:line="400" w:lineRule="exact"/>
              <w:jc w:val="center"/>
              <w:rPr>
                <w:szCs w:val="21"/>
              </w:rPr>
            </w:pPr>
            <w:r>
              <w:rPr>
                <w:szCs w:val="21"/>
              </w:rPr>
              <w:t>较平坦，对建筑物无影响</w:t>
            </w:r>
          </w:p>
        </w:tc>
        <w:tc>
          <w:tcPr>
            <w:tcW w:w="1183" w:type="dxa"/>
            <w:vAlign w:val="center"/>
          </w:tcPr>
          <w:p>
            <w:pPr>
              <w:spacing w:line="400" w:lineRule="exact"/>
              <w:jc w:val="center"/>
              <w:rPr>
                <w:szCs w:val="21"/>
              </w:rPr>
            </w:pPr>
            <w:r>
              <w:rPr>
                <w:szCs w:val="21"/>
              </w:rPr>
              <w:t>较平坦，对建筑物影响较小</w:t>
            </w:r>
          </w:p>
        </w:tc>
        <w:tc>
          <w:tcPr>
            <w:tcW w:w="1183" w:type="dxa"/>
            <w:vAlign w:val="center"/>
          </w:tcPr>
          <w:p>
            <w:pPr>
              <w:spacing w:line="400" w:lineRule="exact"/>
              <w:jc w:val="center"/>
              <w:rPr>
                <w:szCs w:val="21"/>
              </w:rPr>
            </w:pPr>
            <w:r>
              <w:rPr>
                <w:szCs w:val="21"/>
              </w:rPr>
              <w:t>不平坦，需考虑坡度影响</w:t>
            </w:r>
          </w:p>
        </w:tc>
        <w:tc>
          <w:tcPr>
            <w:tcW w:w="1098" w:type="dxa"/>
            <w:vAlign w:val="center"/>
          </w:tcPr>
          <w:p>
            <w:pPr>
              <w:spacing w:line="400" w:lineRule="exact"/>
              <w:jc w:val="center"/>
              <w:rPr>
                <w:szCs w:val="21"/>
              </w:rPr>
            </w:pPr>
            <w:r>
              <w:rPr>
                <w:szCs w:val="21"/>
              </w:rPr>
              <w:t>不平坦，需经平整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1070" w:type="dxa"/>
            <w:vMerge w:val="continue"/>
            <w:vAlign w:val="center"/>
          </w:tcPr>
          <w:p>
            <w:pPr>
              <w:spacing w:line="400" w:lineRule="exact"/>
              <w:jc w:val="center"/>
              <w:rPr>
                <w:szCs w:val="21"/>
              </w:rPr>
            </w:pPr>
          </w:p>
        </w:tc>
        <w:tc>
          <w:tcPr>
            <w:tcW w:w="1070" w:type="dxa"/>
            <w:vMerge w:val="continue"/>
            <w:vAlign w:val="center"/>
          </w:tcPr>
          <w:p>
            <w:pPr>
              <w:spacing w:line="400" w:lineRule="exact"/>
              <w:jc w:val="center"/>
              <w:rPr>
                <w:szCs w:val="21"/>
              </w:rPr>
            </w:pPr>
          </w:p>
        </w:tc>
        <w:tc>
          <w:tcPr>
            <w:tcW w:w="1070" w:type="dxa"/>
            <w:vAlign w:val="center"/>
          </w:tcPr>
          <w:p>
            <w:pPr>
              <w:spacing w:line="400" w:lineRule="exact"/>
              <w:jc w:val="center"/>
              <w:rPr>
                <w:szCs w:val="21"/>
              </w:rPr>
            </w:pPr>
            <w:r>
              <w:rPr>
                <w:szCs w:val="21"/>
              </w:rPr>
              <w:t>洪水淹没状况</w:t>
            </w:r>
          </w:p>
        </w:tc>
        <w:tc>
          <w:tcPr>
            <w:tcW w:w="1111" w:type="dxa"/>
            <w:vAlign w:val="center"/>
          </w:tcPr>
          <w:p>
            <w:pPr>
              <w:spacing w:line="400" w:lineRule="exact"/>
              <w:jc w:val="center"/>
              <w:rPr>
                <w:szCs w:val="21"/>
              </w:rPr>
            </w:pPr>
            <w:r>
              <w:rPr>
                <w:szCs w:val="21"/>
              </w:rPr>
              <w:t>&gt;100年一遇</w:t>
            </w:r>
          </w:p>
        </w:tc>
        <w:tc>
          <w:tcPr>
            <w:tcW w:w="1293" w:type="dxa"/>
            <w:vAlign w:val="center"/>
          </w:tcPr>
          <w:p>
            <w:pPr>
              <w:spacing w:line="400" w:lineRule="exact"/>
              <w:jc w:val="center"/>
              <w:rPr>
                <w:szCs w:val="21"/>
              </w:rPr>
            </w:pPr>
            <w:r>
              <w:rPr>
                <w:szCs w:val="21"/>
              </w:rPr>
              <w:t>50-100年一遇</w:t>
            </w:r>
          </w:p>
        </w:tc>
        <w:tc>
          <w:tcPr>
            <w:tcW w:w="1183" w:type="dxa"/>
            <w:vAlign w:val="center"/>
          </w:tcPr>
          <w:p>
            <w:pPr>
              <w:spacing w:line="400" w:lineRule="exact"/>
              <w:jc w:val="center"/>
              <w:rPr>
                <w:szCs w:val="21"/>
              </w:rPr>
            </w:pPr>
            <w:r>
              <w:rPr>
                <w:szCs w:val="21"/>
              </w:rPr>
              <w:t>20—50年一遇</w:t>
            </w:r>
          </w:p>
        </w:tc>
        <w:tc>
          <w:tcPr>
            <w:tcW w:w="1183" w:type="dxa"/>
            <w:vAlign w:val="center"/>
          </w:tcPr>
          <w:p>
            <w:pPr>
              <w:spacing w:line="400" w:lineRule="exact"/>
              <w:jc w:val="center"/>
              <w:rPr>
                <w:szCs w:val="21"/>
              </w:rPr>
            </w:pPr>
            <w:r>
              <w:rPr>
                <w:szCs w:val="21"/>
              </w:rPr>
              <w:t>10-20年一遇</w:t>
            </w:r>
          </w:p>
        </w:tc>
        <w:tc>
          <w:tcPr>
            <w:tcW w:w="1098" w:type="dxa"/>
            <w:vAlign w:val="center"/>
          </w:tcPr>
          <w:p>
            <w:pPr>
              <w:spacing w:line="400" w:lineRule="exact"/>
              <w:jc w:val="center"/>
              <w:rPr>
                <w:szCs w:val="21"/>
              </w:rPr>
            </w:pPr>
            <w:r>
              <w:rPr>
                <w:szCs w:val="21"/>
              </w:rPr>
              <w:t>&lt;10年一遇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Align w:val="center"/>
          </w:tcPr>
          <w:p>
            <w:pPr>
              <w:spacing w:line="400" w:lineRule="exact"/>
              <w:jc w:val="center"/>
              <w:rPr>
                <w:szCs w:val="21"/>
              </w:rPr>
            </w:pPr>
            <w:r>
              <w:rPr>
                <w:szCs w:val="21"/>
              </w:rPr>
              <w:t>城市规划</w:t>
            </w:r>
          </w:p>
        </w:tc>
        <w:tc>
          <w:tcPr>
            <w:tcW w:w="1070" w:type="dxa"/>
            <w:vAlign w:val="center"/>
          </w:tcPr>
          <w:p>
            <w:pPr>
              <w:spacing w:line="400" w:lineRule="exact"/>
              <w:jc w:val="center"/>
              <w:rPr>
                <w:szCs w:val="21"/>
              </w:rPr>
            </w:pPr>
            <w:r>
              <w:rPr>
                <w:szCs w:val="21"/>
              </w:rPr>
              <w:t>城市规划</w:t>
            </w:r>
          </w:p>
        </w:tc>
        <w:tc>
          <w:tcPr>
            <w:tcW w:w="1070" w:type="dxa"/>
            <w:vAlign w:val="center"/>
          </w:tcPr>
          <w:p>
            <w:pPr>
              <w:spacing w:line="400" w:lineRule="exact"/>
              <w:jc w:val="center"/>
              <w:rPr>
                <w:szCs w:val="21"/>
              </w:rPr>
            </w:pPr>
            <w:r>
              <w:rPr>
                <w:szCs w:val="21"/>
              </w:rPr>
              <w:t>道路规划</w:t>
            </w:r>
          </w:p>
        </w:tc>
        <w:tc>
          <w:tcPr>
            <w:tcW w:w="1111" w:type="dxa"/>
            <w:vAlign w:val="center"/>
          </w:tcPr>
          <w:p>
            <w:pPr>
              <w:spacing w:line="400" w:lineRule="exact"/>
              <w:jc w:val="center"/>
              <w:rPr>
                <w:szCs w:val="21"/>
              </w:rPr>
            </w:pPr>
            <w:r>
              <w:rPr>
                <w:szCs w:val="21"/>
              </w:rPr>
              <w:t>交通型主干道</w:t>
            </w:r>
          </w:p>
        </w:tc>
        <w:tc>
          <w:tcPr>
            <w:tcW w:w="1293" w:type="dxa"/>
            <w:vAlign w:val="center"/>
          </w:tcPr>
          <w:p>
            <w:pPr>
              <w:spacing w:line="400" w:lineRule="exact"/>
              <w:jc w:val="center"/>
              <w:rPr>
                <w:szCs w:val="21"/>
              </w:rPr>
            </w:pPr>
            <w:r>
              <w:rPr>
                <w:szCs w:val="21"/>
              </w:rPr>
              <w:t>混合型主干道</w:t>
            </w:r>
          </w:p>
        </w:tc>
        <w:tc>
          <w:tcPr>
            <w:tcW w:w="1183" w:type="dxa"/>
            <w:vAlign w:val="center"/>
          </w:tcPr>
          <w:p>
            <w:pPr>
              <w:spacing w:line="400" w:lineRule="exact"/>
              <w:jc w:val="center"/>
              <w:rPr>
                <w:szCs w:val="21"/>
              </w:rPr>
            </w:pPr>
            <w:r>
              <w:rPr>
                <w:szCs w:val="21"/>
              </w:rPr>
              <w:t>交通型次干道，生活型主干道</w:t>
            </w:r>
          </w:p>
        </w:tc>
        <w:tc>
          <w:tcPr>
            <w:tcW w:w="1183" w:type="dxa"/>
            <w:vAlign w:val="center"/>
          </w:tcPr>
          <w:p>
            <w:pPr>
              <w:spacing w:line="400" w:lineRule="exact"/>
              <w:jc w:val="center"/>
              <w:rPr>
                <w:szCs w:val="21"/>
              </w:rPr>
            </w:pPr>
            <w:r>
              <w:rPr>
                <w:szCs w:val="21"/>
              </w:rPr>
              <w:t>生活型次干道</w:t>
            </w:r>
          </w:p>
        </w:tc>
        <w:tc>
          <w:tcPr>
            <w:tcW w:w="1098" w:type="dxa"/>
            <w:vAlign w:val="center"/>
          </w:tcPr>
          <w:p>
            <w:pPr>
              <w:spacing w:line="400" w:lineRule="exact"/>
              <w:jc w:val="center"/>
              <w:rPr>
                <w:szCs w:val="21"/>
              </w:rPr>
            </w:pPr>
            <w:r>
              <w:rPr>
                <w:szCs w:val="21"/>
              </w:rPr>
              <w:t>支路</w:t>
            </w:r>
          </w:p>
        </w:tc>
      </w:tr>
    </w:tbl>
    <w:p>
      <w:pPr>
        <w:pStyle w:val="131"/>
        <w:spacing w:beforeLines="50" w:afterLines="50"/>
        <w:ind w:firstLine="0" w:firstLineChars="0"/>
        <w:rPr>
          <w:rFonts w:ascii="Times New Roman" w:hAnsi="Times New Roman"/>
          <w:sz w:val="24"/>
        </w:rPr>
      </w:pPr>
      <w:bookmarkStart w:id="860" w:name="_Toc525807064"/>
      <w:bookmarkStart w:id="861" w:name="_Toc495648927"/>
      <w:r>
        <w:rPr>
          <w:rFonts w:ascii="Times New Roman" w:hAnsi="Times New Roman"/>
          <w:sz w:val="24"/>
        </w:rPr>
        <w:t>表4-6-1</w:t>
      </w:r>
      <w:r>
        <w:rPr>
          <w:rFonts w:hint="eastAsia" w:ascii="Times New Roman" w:hAnsi="Times New Roman"/>
          <w:sz w:val="24"/>
        </w:rPr>
        <w:t>5</w:t>
      </w:r>
      <w:r>
        <w:rPr>
          <w:rFonts w:ascii="Times New Roman" w:hAnsi="Times New Roman"/>
          <w:sz w:val="24"/>
        </w:rPr>
        <w:t xml:space="preserve">  Ⅳ级公共管理与公共服务二类用地宗地地价区域因素修正系数表</w:t>
      </w:r>
    </w:p>
    <w:tbl>
      <w:tblPr>
        <w:tblW w:w="9042" w:type="dxa"/>
        <w:jc w:val="center"/>
        <w:tblInd w:w="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821"/>
        <w:gridCol w:w="843"/>
        <w:gridCol w:w="851"/>
        <w:gridCol w:w="1091"/>
        <w:gridCol w:w="873"/>
        <w:gridCol w:w="711"/>
        <w:gridCol w:w="711"/>
        <w:gridCol w:w="689"/>
        <w:gridCol w:w="785"/>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882" w:type="dxa"/>
            <w:vAlign w:val="center"/>
          </w:tcPr>
          <w:p>
            <w:pPr>
              <w:spacing w:line="400" w:lineRule="exact"/>
              <w:jc w:val="center"/>
              <w:rPr>
                <w:b/>
                <w:bCs/>
                <w:szCs w:val="21"/>
              </w:rPr>
            </w:pPr>
            <w:r>
              <w:rPr>
                <w:b/>
                <w:bCs/>
                <w:szCs w:val="21"/>
              </w:rPr>
              <w:t>因素层</w:t>
            </w:r>
          </w:p>
        </w:tc>
        <w:tc>
          <w:tcPr>
            <w:tcW w:w="821" w:type="dxa"/>
            <w:vAlign w:val="center"/>
          </w:tcPr>
          <w:p>
            <w:pPr>
              <w:spacing w:line="400" w:lineRule="exact"/>
              <w:jc w:val="center"/>
              <w:rPr>
                <w:b/>
                <w:bCs/>
                <w:szCs w:val="21"/>
              </w:rPr>
            </w:pPr>
            <w:r>
              <w:rPr>
                <w:b/>
                <w:bCs/>
                <w:szCs w:val="21"/>
              </w:rPr>
              <w:t>权重</w:t>
            </w:r>
          </w:p>
        </w:tc>
        <w:tc>
          <w:tcPr>
            <w:tcW w:w="843" w:type="dxa"/>
            <w:vAlign w:val="center"/>
          </w:tcPr>
          <w:p>
            <w:pPr>
              <w:spacing w:line="400" w:lineRule="exact"/>
              <w:jc w:val="center"/>
              <w:rPr>
                <w:b/>
                <w:bCs/>
                <w:szCs w:val="21"/>
              </w:rPr>
            </w:pPr>
            <w:r>
              <w:rPr>
                <w:b/>
                <w:bCs/>
                <w:szCs w:val="21"/>
              </w:rPr>
              <w:t>因子层</w:t>
            </w:r>
          </w:p>
        </w:tc>
        <w:tc>
          <w:tcPr>
            <w:tcW w:w="851" w:type="dxa"/>
            <w:vAlign w:val="center"/>
          </w:tcPr>
          <w:p>
            <w:pPr>
              <w:spacing w:line="400" w:lineRule="exact"/>
              <w:jc w:val="center"/>
              <w:rPr>
                <w:b/>
                <w:bCs/>
                <w:szCs w:val="21"/>
              </w:rPr>
            </w:pPr>
            <w:r>
              <w:rPr>
                <w:b/>
                <w:bCs/>
                <w:szCs w:val="21"/>
              </w:rPr>
              <w:t>权重</w:t>
            </w:r>
          </w:p>
        </w:tc>
        <w:tc>
          <w:tcPr>
            <w:tcW w:w="1091" w:type="dxa"/>
            <w:vAlign w:val="center"/>
          </w:tcPr>
          <w:p>
            <w:pPr>
              <w:spacing w:line="400" w:lineRule="exact"/>
              <w:jc w:val="center"/>
              <w:rPr>
                <w:b/>
                <w:bCs/>
                <w:szCs w:val="21"/>
              </w:rPr>
            </w:pPr>
            <w:r>
              <w:rPr>
                <w:b/>
                <w:bCs/>
                <w:szCs w:val="21"/>
              </w:rPr>
              <w:t>指标层</w:t>
            </w:r>
          </w:p>
        </w:tc>
        <w:tc>
          <w:tcPr>
            <w:tcW w:w="873" w:type="dxa"/>
            <w:vAlign w:val="center"/>
          </w:tcPr>
          <w:p>
            <w:pPr>
              <w:spacing w:line="400" w:lineRule="exact"/>
              <w:jc w:val="center"/>
              <w:rPr>
                <w:b/>
                <w:bCs/>
                <w:szCs w:val="21"/>
              </w:rPr>
            </w:pPr>
            <w:r>
              <w:rPr>
                <w:b/>
                <w:bCs/>
                <w:szCs w:val="21"/>
              </w:rPr>
              <w:t>权重</w:t>
            </w:r>
          </w:p>
        </w:tc>
        <w:tc>
          <w:tcPr>
            <w:tcW w:w="711" w:type="dxa"/>
            <w:vAlign w:val="center"/>
          </w:tcPr>
          <w:p>
            <w:pPr>
              <w:spacing w:line="400" w:lineRule="exact"/>
              <w:jc w:val="center"/>
              <w:rPr>
                <w:b/>
                <w:bCs/>
                <w:szCs w:val="21"/>
              </w:rPr>
            </w:pPr>
            <w:r>
              <w:rPr>
                <w:b/>
                <w:bCs/>
                <w:szCs w:val="21"/>
              </w:rPr>
              <w:t>优</w:t>
            </w:r>
          </w:p>
        </w:tc>
        <w:tc>
          <w:tcPr>
            <w:tcW w:w="711" w:type="dxa"/>
            <w:vAlign w:val="center"/>
          </w:tcPr>
          <w:p>
            <w:pPr>
              <w:spacing w:line="400" w:lineRule="exact"/>
              <w:jc w:val="center"/>
              <w:rPr>
                <w:b/>
                <w:bCs/>
                <w:szCs w:val="21"/>
              </w:rPr>
            </w:pPr>
            <w:r>
              <w:rPr>
                <w:b/>
                <w:bCs/>
                <w:szCs w:val="21"/>
              </w:rPr>
              <w:t>较优</w:t>
            </w:r>
          </w:p>
        </w:tc>
        <w:tc>
          <w:tcPr>
            <w:tcW w:w="689" w:type="dxa"/>
            <w:vAlign w:val="center"/>
          </w:tcPr>
          <w:p>
            <w:pPr>
              <w:spacing w:line="400" w:lineRule="exact"/>
              <w:jc w:val="center"/>
              <w:rPr>
                <w:b/>
                <w:bCs/>
                <w:szCs w:val="21"/>
              </w:rPr>
            </w:pPr>
            <w:r>
              <w:rPr>
                <w:b/>
                <w:bCs/>
                <w:szCs w:val="21"/>
              </w:rPr>
              <w:t>一般</w:t>
            </w:r>
          </w:p>
        </w:tc>
        <w:tc>
          <w:tcPr>
            <w:tcW w:w="785" w:type="dxa"/>
            <w:vAlign w:val="center"/>
          </w:tcPr>
          <w:p>
            <w:pPr>
              <w:spacing w:line="400" w:lineRule="exact"/>
              <w:jc w:val="center"/>
              <w:rPr>
                <w:b/>
                <w:bCs/>
                <w:szCs w:val="21"/>
              </w:rPr>
            </w:pPr>
            <w:r>
              <w:rPr>
                <w:b/>
                <w:bCs/>
                <w:szCs w:val="21"/>
              </w:rPr>
              <w:t>较劣</w:t>
            </w:r>
          </w:p>
        </w:tc>
        <w:tc>
          <w:tcPr>
            <w:tcW w:w="785"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Merge w:val="restart"/>
            <w:vAlign w:val="center"/>
          </w:tcPr>
          <w:p>
            <w:pPr>
              <w:spacing w:line="400" w:lineRule="exact"/>
              <w:jc w:val="center"/>
              <w:rPr>
                <w:szCs w:val="21"/>
              </w:rPr>
            </w:pPr>
            <w:r>
              <w:rPr>
                <w:szCs w:val="21"/>
              </w:rPr>
              <w:t>基本设施状况</w:t>
            </w:r>
          </w:p>
        </w:tc>
        <w:tc>
          <w:tcPr>
            <w:tcW w:w="821" w:type="dxa"/>
            <w:vMerge w:val="restart"/>
            <w:vAlign w:val="center"/>
          </w:tcPr>
          <w:p>
            <w:pPr>
              <w:spacing w:line="400" w:lineRule="exact"/>
              <w:jc w:val="center"/>
              <w:rPr>
                <w:szCs w:val="21"/>
              </w:rPr>
            </w:pPr>
            <w:r>
              <w:rPr>
                <w:szCs w:val="21"/>
              </w:rPr>
              <w:t>0.3354</w:t>
            </w:r>
          </w:p>
        </w:tc>
        <w:tc>
          <w:tcPr>
            <w:tcW w:w="843" w:type="dxa"/>
            <w:vMerge w:val="restart"/>
            <w:vAlign w:val="center"/>
          </w:tcPr>
          <w:p>
            <w:pPr>
              <w:spacing w:line="400" w:lineRule="exact"/>
              <w:jc w:val="center"/>
              <w:rPr>
                <w:szCs w:val="21"/>
              </w:rPr>
            </w:pPr>
            <w:r>
              <w:rPr>
                <w:szCs w:val="21"/>
              </w:rPr>
              <w:t>基础设施完善度</w:t>
            </w:r>
          </w:p>
        </w:tc>
        <w:tc>
          <w:tcPr>
            <w:tcW w:w="851" w:type="dxa"/>
            <w:vMerge w:val="restart"/>
            <w:vAlign w:val="center"/>
          </w:tcPr>
          <w:p>
            <w:pPr>
              <w:spacing w:line="400" w:lineRule="exact"/>
              <w:jc w:val="center"/>
              <w:rPr>
                <w:szCs w:val="21"/>
              </w:rPr>
            </w:pPr>
            <w:r>
              <w:rPr>
                <w:szCs w:val="21"/>
              </w:rPr>
              <w:t>0.3354</w:t>
            </w:r>
          </w:p>
        </w:tc>
        <w:tc>
          <w:tcPr>
            <w:tcW w:w="1091" w:type="dxa"/>
            <w:vAlign w:val="center"/>
          </w:tcPr>
          <w:p>
            <w:pPr>
              <w:spacing w:line="400" w:lineRule="exact"/>
              <w:jc w:val="center"/>
              <w:rPr>
                <w:szCs w:val="21"/>
              </w:rPr>
            </w:pPr>
            <w:r>
              <w:rPr>
                <w:szCs w:val="21"/>
              </w:rPr>
              <w:t>排水状况</w:t>
            </w:r>
          </w:p>
        </w:tc>
        <w:tc>
          <w:tcPr>
            <w:tcW w:w="873" w:type="dxa"/>
            <w:vAlign w:val="center"/>
          </w:tcPr>
          <w:p>
            <w:pPr>
              <w:spacing w:line="400" w:lineRule="exact"/>
              <w:jc w:val="center"/>
              <w:rPr>
                <w:szCs w:val="21"/>
              </w:rPr>
            </w:pPr>
            <w:r>
              <w:rPr>
                <w:szCs w:val="21"/>
              </w:rPr>
              <w:t>0.0838</w:t>
            </w:r>
          </w:p>
        </w:tc>
        <w:tc>
          <w:tcPr>
            <w:tcW w:w="711" w:type="dxa"/>
            <w:vAlign w:val="center"/>
          </w:tcPr>
          <w:p>
            <w:pPr>
              <w:spacing w:line="400" w:lineRule="exact"/>
              <w:jc w:val="center"/>
              <w:rPr>
                <w:szCs w:val="21"/>
              </w:rPr>
            </w:pPr>
            <w:r>
              <w:rPr>
                <w:szCs w:val="21"/>
              </w:rPr>
              <w:t>1.526</w:t>
            </w:r>
          </w:p>
        </w:tc>
        <w:tc>
          <w:tcPr>
            <w:tcW w:w="711" w:type="dxa"/>
            <w:vAlign w:val="center"/>
          </w:tcPr>
          <w:p>
            <w:pPr>
              <w:spacing w:line="400" w:lineRule="exact"/>
              <w:jc w:val="center"/>
              <w:rPr>
                <w:szCs w:val="21"/>
              </w:rPr>
            </w:pPr>
            <w:r>
              <w:rPr>
                <w:szCs w:val="21"/>
              </w:rPr>
              <w:t>0.763</w:t>
            </w:r>
          </w:p>
        </w:tc>
        <w:tc>
          <w:tcPr>
            <w:tcW w:w="689" w:type="dxa"/>
            <w:vAlign w:val="center"/>
          </w:tcPr>
          <w:p>
            <w:pPr>
              <w:spacing w:line="400" w:lineRule="exact"/>
              <w:jc w:val="center"/>
              <w:rPr>
                <w:szCs w:val="21"/>
              </w:rPr>
            </w:pPr>
            <w:r>
              <w:rPr>
                <w:szCs w:val="21"/>
              </w:rPr>
              <w:t>0</w:t>
            </w:r>
          </w:p>
        </w:tc>
        <w:tc>
          <w:tcPr>
            <w:tcW w:w="785" w:type="dxa"/>
            <w:vAlign w:val="center"/>
          </w:tcPr>
          <w:p>
            <w:pPr>
              <w:spacing w:line="400" w:lineRule="exact"/>
              <w:jc w:val="center"/>
              <w:rPr>
                <w:szCs w:val="21"/>
              </w:rPr>
            </w:pPr>
            <w:r>
              <w:rPr>
                <w:szCs w:val="21"/>
              </w:rPr>
              <w:t>-0.659</w:t>
            </w:r>
          </w:p>
        </w:tc>
        <w:tc>
          <w:tcPr>
            <w:tcW w:w="785" w:type="dxa"/>
            <w:vAlign w:val="center"/>
          </w:tcPr>
          <w:p>
            <w:pPr>
              <w:spacing w:line="400" w:lineRule="exact"/>
              <w:jc w:val="center"/>
              <w:rPr>
                <w:szCs w:val="21"/>
              </w:rPr>
            </w:pPr>
            <w:r>
              <w:rPr>
                <w:szCs w:val="21"/>
              </w:rPr>
              <w:t>-1.318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Merge w:val="continue"/>
            <w:vAlign w:val="center"/>
          </w:tcPr>
          <w:p>
            <w:pPr>
              <w:spacing w:line="400" w:lineRule="exact"/>
              <w:jc w:val="center"/>
              <w:rPr>
                <w:szCs w:val="21"/>
              </w:rPr>
            </w:pPr>
          </w:p>
        </w:tc>
        <w:tc>
          <w:tcPr>
            <w:tcW w:w="821" w:type="dxa"/>
            <w:vMerge w:val="continue"/>
            <w:vAlign w:val="center"/>
          </w:tcPr>
          <w:p>
            <w:pPr>
              <w:spacing w:line="400" w:lineRule="exact"/>
              <w:jc w:val="center"/>
              <w:rPr>
                <w:szCs w:val="21"/>
              </w:rPr>
            </w:pPr>
          </w:p>
        </w:tc>
        <w:tc>
          <w:tcPr>
            <w:tcW w:w="843" w:type="dxa"/>
            <w:vMerge w:val="continue"/>
            <w:vAlign w:val="center"/>
          </w:tcPr>
          <w:p>
            <w:pPr>
              <w:spacing w:line="400" w:lineRule="exact"/>
              <w:jc w:val="center"/>
              <w:rPr>
                <w:szCs w:val="21"/>
              </w:rPr>
            </w:pPr>
          </w:p>
        </w:tc>
        <w:tc>
          <w:tcPr>
            <w:tcW w:w="851" w:type="dxa"/>
            <w:vMerge w:val="continue"/>
            <w:vAlign w:val="center"/>
          </w:tcPr>
          <w:p>
            <w:pPr>
              <w:spacing w:line="400" w:lineRule="exact"/>
              <w:jc w:val="center"/>
              <w:rPr>
                <w:szCs w:val="21"/>
              </w:rPr>
            </w:pPr>
          </w:p>
        </w:tc>
        <w:tc>
          <w:tcPr>
            <w:tcW w:w="1091" w:type="dxa"/>
            <w:vAlign w:val="center"/>
          </w:tcPr>
          <w:p>
            <w:pPr>
              <w:spacing w:line="400" w:lineRule="exact"/>
              <w:jc w:val="center"/>
              <w:rPr>
                <w:szCs w:val="21"/>
              </w:rPr>
            </w:pPr>
            <w:r>
              <w:rPr>
                <w:szCs w:val="21"/>
              </w:rPr>
              <w:t>供水状况</w:t>
            </w:r>
          </w:p>
        </w:tc>
        <w:tc>
          <w:tcPr>
            <w:tcW w:w="873" w:type="dxa"/>
            <w:vAlign w:val="center"/>
          </w:tcPr>
          <w:p>
            <w:pPr>
              <w:spacing w:line="400" w:lineRule="exact"/>
              <w:jc w:val="center"/>
              <w:rPr>
                <w:szCs w:val="21"/>
              </w:rPr>
            </w:pPr>
            <w:r>
              <w:rPr>
                <w:szCs w:val="21"/>
              </w:rPr>
              <w:t>0.0838</w:t>
            </w:r>
          </w:p>
        </w:tc>
        <w:tc>
          <w:tcPr>
            <w:tcW w:w="711" w:type="dxa"/>
            <w:vAlign w:val="center"/>
          </w:tcPr>
          <w:p>
            <w:pPr>
              <w:spacing w:line="400" w:lineRule="exact"/>
              <w:jc w:val="center"/>
              <w:rPr>
                <w:szCs w:val="21"/>
              </w:rPr>
            </w:pPr>
            <w:r>
              <w:rPr>
                <w:szCs w:val="21"/>
              </w:rPr>
              <w:t>1.526</w:t>
            </w:r>
          </w:p>
        </w:tc>
        <w:tc>
          <w:tcPr>
            <w:tcW w:w="711" w:type="dxa"/>
            <w:vAlign w:val="center"/>
          </w:tcPr>
          <w:p>
            <w:pPr>
              <w:spacing w:line="400" w:lineRule="exact"/>
              <w:jc w:val="center"/>
              <w:rPr>
                <w:szCs w:val="21"/>
              </w:rPr>
            </w:pPr>
            <w:r>
              <w:rPr>
                <w:szCs w:val="21"/>
              </w:rPr>
              <w:t>0.763</w:t>
            </w:r>
          </w:p>
        </w:tc>
        <w:tc>
          <w:tcPr>
            <w:tcW w:w="689" w:type="dxa"/>
            <w:vAlign w:val="center"/>
          </w:tcPr>
          <w:p>
            <w:pPr>
              <w:spacing w:line="400" w:lineRule="exact"/>
              <w:jc w:val="center"/>
              <w:rPr>
                <w:szCs w:val="21"/>
              </w:rPr>
            </w:pPr>
            <w:r>
              <w:rPr>
                <w:szCs w:val="21"/>
              </w:rPr>
              <w:t>0</w:t>
            </w:r>
          </w:p>
        </w:tc>
        <w:tc>
          <w:tcPr>
            <w:tcW w:w="785" w:type="dxa"/>
            <w:vAlign w:val="center"/>
          </w:tcPr>
          <w:p>
            <w:pPr>
              <w:spacing w:line="400" w:lineRule="exact"/>
              <w:jc w:val="center"/>
              <w:rPr>
                <w:szCs w:val="21"/>
              </w:rPr>
            </w:pPr>
            <w:r>
              <w:rPr>
                <w:szCs w:val="21"/>
              </w:rPr>
              <w:t>-0.659</w:t>
            </w:r>
          </w:p>
        </w:tc>
        <w:tc>
          <w:tcPr>
            <w:tcW w:w="785" w:type="dxa"/>
            <w:vAlign w:val="center"/>
          </w:tcPr>
          <w:p>
            <w:pPr>
              <w:spacing w:line="400" w:lineRule="exact"/>
              <w:jc w:val="center"/>
              <w:rPr>
                <w:szCs w:val="21"/>
              </w:rPr>
            </w:pPr>
            <w:r>
              <w:rPr>
                <w:szCs w:val="21"/>
              </w:rPr>
              <w:t>-1.318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Merge w:val="continue"/>
            <w:vAlign w:val="center"/>
          </w:tcPr>
          <w:p>
            <w:pPr>
              <w:spacing w:line="400" w:lineRule="exact"/>
              <w:jc w:val="center"/>
              <w:rPr>
                <w:szCs w:val="21"/>
              </w:rPr>
            </w:pPr>
          </w:p>
        </w:tc>
        <w:tc>
          <w:tcPr>
            <w:tcW w:w="821" w:type="dxa"/>
            <w:vMerge w:val="continue"/>
            <w:vAlign w:val="center"/>
          </w:tcPr>
          <w:p>
            <w:pPr>
              <w:spacing w:line="400" w:lineRule="exact"/>
              <w:jc w:val="center"/>
              <w:rPr>
                <w:szCs w:val="21"/>
              </w:rPr>
            </w:pPr>
          </w:p>
        </w:tc>
        <w:tc>
          <w:tcPr>
            <w:tcW w:w="843" w:type="dxa"/>
            <w:vMerge w:val="continue"/>
            <w:vAlign w:val="center"/>
          </w:tcPr>
          <w:p>
            <w:pPr>
              <w:spacing w:line="400" w:lineRule="exact"/>
              <w:jc w:val="center"/>
              <w:rPr>
                <w:szCs w:val="21"/>
              </w:rPr>
            </w:pPr>
          </w:p>
        </w:tc>
        <w:tc>
          <w:tcPr>
            <w:tcW w:w="851" w:type="dxa"/>
            <w:vMerge w:val="continue"/>
            <w:vAlign w:val="center"/>
          </w:tcPr>
          <w:p>
            <w:pPr>
              <w:spacing w:line="400" w:lineRule="exact"/>
              <w:jc w:val="center"/>
              <w:rPr>
                <w:szCs w:val="21"/>
              </w:rPr>
            </w:pPr>
          </w:p>
        </w:tc>
        <w:tc>
          <w:tcPr>
            <w:tcW w:w="1091" w:type="dxa"/>
            <w:vAlign w:val="center"/>
          </w:tcPr>
          <w:p>
            <w:pPr>
              <w:spacing w:line="400" w:lineRule="exact"/>
              <w:jc w:val="center"/>
              <w:rPr>
                <w:szCs w:val="21"/>
              </w:rPr>
            </w:pPr>
            <w:r>
              <w:rPr>
                <w:szCs w:val="21"/>
              </w:rPr>
              <w:t>供电状况</w:t>
            </w:r>
          </w:p>
        </w:tc>
        <w:tc>
          <w:tcPr>
            <w:tcW w:w="873" w:type="dxa"/>
            <w:vAlign w:val="center"/>
          </w:tcPr>
          <w:p>
            <w:pPr>
              <w:spacing w:line="400" w:lineRule="exact"/>
              <w:jc w:val="center"/>
              <w:rPr>
                <w:szCs w:val="21"/>
              </w:rPr>
            </w:pPr>
            <w:r>
              <w:rPr>
                <w:szCs w:val="21"/>
              </w:rPr>
              <w:t>0.0839</w:t>
            </w:r>
          </w:p>
        </w:tc>
        <w:tc>
          <w:tcPr>
            <w:tcW w:w="711" w:type="dxa"/>
            <w:vAlign w:val="center"/>
          </w:tcPr>
          <w:p>
            <w:pPr>
              <w:spacing w:line="400" w:lineRule="exact"/>
              <w:jc w:val="center"/>
              <w:rPr>
                <w:szCs w:val="21"/>
              </w:rPr>
            </w:pPr>
            <w:r>
              <w:rPr>
                <w:szCs w:val="21"/>
              </w:rPr>
              <w:t>1.528</w:t>
            </w:r>
          </w:p>
        </w:tc>
        <w:tc>
          <w:tcPr>
            <w:tcW w:w="711" w:type="dxa"/>
            <w:vAlign w:val="center"/>
          </w:tcPr>
          <w:p>
            <w:pPr>
              <w:spacing w:line="400" w:lineRule="exact"/>
              <w:jc w:val="center"/>
              <w:rPr>
                <w:szCs w:val="21"/>
              </w:rPr>
            </w:pPr>
            <w:r>
              <w:rPr>
                <w:szCs w:val="21"/>
              </w:rPr>
              <w:t>0.764</w:t>
            </w:r>
          </w:p>
        </w:tc>
        <w:tc>
          <w:tcPr>
            <w:tcW w:w="689" w:type="dxa"/>
            <w:vAlign w:val="center"/>
          </w:tcPr>
          <w:p>
            <w:pPr>
              <w:spacing w:line="400" w:lineRule="exact"/>
              <w:jc w:val="center"/>
              <w:rPr>
                <w:szCs w:val="21"/>
              </w:rPr>
            </w:pPr>
            <w:r>
              <w:rPr>
                <w:szCs w:val="21"/>
              </w:rPr>
              <w:t>0</w:t>
            </w:r>
          </w:p>
        </w:tc>
        <w:tc>
          <w:tcPr>
            <w:tcW w:w="785" w:type="dxa"/>
            <w:vAlign w:val="center"/>
          </w:tcPr>
          <w:p>
            <w:pPr>
              <w:spacing w:line="400" w:lineRule="exact"/>
              <w:jc w:val="center"/>
              <w:rPr>
                <w:szCs w:val="21"/>
              </w:rPr>
            </w:pPr>
            <w:r>
              <w:rPr>
                <w:szCs w:val="21"/>
              </w:rPr>
              <w:t>-0.660</w:t>
            </w:r>
          </w:p>
        </w:tc>
        <w:tc>
          <w:tcPr>
            <w:tcW w:w="785" w:type="dxa"/>
            <w:vAlign w:val="center"/>
          </w:tcPr>
          <w:p>
            <w:pPr>
              <w:spacing w:line="400" w:lineRule="exact"/>
              <w:jc w:val="center"/>
              <w:rPr>
                <w:szCs w:val="21"/>
              </w:rPr>
            </w:pPr>
            <w:r>
              <w:rPr>
                <w:szCs w:val="21"/>
              </w:rPr>
              <w:t>-1.320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Merge w:val="continue"/>
            <w:vAlign w:val="center"/>
          </w:tcPr>
          <w:p>
            <w:pPr>
              <w:spacing w:line="400" w:lineRule="exact"/>
              <w:jc w:val="center"/>
              <w:rPr>
                <w:szCs w:val="21"/>
              </w:rPr>
            </w:pPr>
          </w:p>
        </w:tc>
        <w:tc>
          <w:tcPr>
            <w:tcW w:w="821" w:type="dxa"/>
            <w:vMerge w:val="continue"/>
            <w:vAlign w:val="center"/>
          </w:tcPr>
          <w:p>
            <w:pPr>
              <w:spacing w:line="400" w:lineRule="exact"/>
              <w:jc w:val="center"/>
              <w:rPr>
                <w:szCs w:val="21"/>
              </w:rPr>
            </w:pPr>
          </w:p>
        </w:tc>
        <w:tc>
          <w:tcPr>
            <w:tcW w:w="843" w:type="dxa"/>
            <w:vMerge w:val="continue"/>
            <w:vAlign w:val="center"/>
          </w:tcPr>
          <w:p>
            <w:pPr>
              <w:spacing w:line="400" w:lineRule="exact"/>
              <w:jc w:val="center"/>
              <w:rPr>
                <w:szCs w:val="21"/>
              </w:rPr>
            </w:pPr>
          </w:p>
        </w:tc>
        <w:tc>
          <w:tcPr>
            <w:tcW w:w="851" w:type="dxa"/>
            <w:vMerge w:val="continue"/>
            <w:vAlign w:val="center"/>
          </w:tcPr>
          <w:p>
            <w:pPr>
              <w:spacing w:line="400" w:lineRule="exact"/>
              <w:jc w:val="center"/>
              <w:rPr>
                <w:szCs w:val="21"/>
              </w:rPr>
            </w:pPr>
          </w:p>
        </w:tc>
        <w:tc>
          <w:tcPr>
            <w:tcW w:w="1091" w:type="dxa"/>
            <w:vAlign w:val="center"/>
          </w:tcPr>
          <w:p>
            <w:pPr>
              <w:spacing w:line="400" w:lineRule="exact"/>
              <w:jc w:val="center"/>
              <w:rPr>
                <w:szCs w:val="21"/>
              </w:rPr>
            </w:pPr>
            <w:r>
              <w:rPr>
                <w:szCs w:val="21"/>
              </w:rPr>
              <w:t>供气状况</w:t>
            </w:r>
          </w:p>
        </w:tc>
        <w:tc>
          <w:tcPr>
            <w:tcW w:w="873" w:type="dxa"/>
            <w:vAlign w:val="center"/>
          </w:tcPr>
          <w:p>
            <w:pPr>
              <w:spacing w:line="400" w:lineRule="exact"/>
              <w:jc w:val="center"/>
              <w:rPr>
                <w:szCs w:val="21"/>
              </w:rPr>
            </w:pPr>
            <w:r>
              <w:rPr>
                <w:szCs w:val="21"/>
              </w:rPr>
              <w:t>0.0839</w:t>
            </w:r>
          </w:p>
        </w:tc>
        <w:tc>
          <w:tcPr>
            <w:tcW w:w="711" w:type="dxa"/>
            <w:vAlign w:val="center"/>
          </w:tcPr>
          <w:p>
            <w:pPr>
              <w:spacing w:line="400" w:lineRule="exact"/>
              <w:jc w:val="center"/>
              <w:rPr>
                <w:szCs w:val="21"/>
              </w:rPr>
            </w:pPr>
            <w:r>
              <w:rPr>
                <w:szCs w:val="21"/>
              </w:rPr>
              <w:t>1.528</w:t>
            </w:r>
          </w:p>
        </w:tc>
        <w:tc>
          <w:tcPr>
            <w:tcW w:w="711" w:type="dxa"/>
            <w:vAlign w:val="center"/>
          </w:tcPr>
          <w:p>
            <w:pPr>
              <w:spacing w:line="400" w:lineRule="exact"/>
              <w:jc w:val="center"/>
              <w:rPr>
                <w:szCs w:val="21"/>
              </w:rPr>
            </w:pPr>
            <w:r>
              <w:rPr>
                <w:szCs w:val="21"/>
              </w:rPr>
              <w:t>0.764</w:t>
            </w:r>
          </w:p>
        </w:tc>
        <w:tc>
          <w:tcPr>
            <w:tcW w:w="689" w:type="dxa"/>
            <w:vAlign w:val="center"/>
          </w:tcPr>
          <w:p>
            <w:pPr>
              <w:spacing w:line="400" w:lineRule="exact"/>
              <w:jc w:val="center"/>
              <w:rPr>
                <w:szCs w:val="21"/>
              </w:rPr>
            </w:pPr>
            <w:r>
              <w:rPr>
                <w:szCs w:val="21"/>
              </w:rPr>
              <w:t>0</w:t>
            </w:r>
          </w:p>
        </w:tc>
        <w:tc>
          <w:tcPr>
            <w:tcW w:w="785" w:type="dxa"/>
            <w:vAlign w:val="center"/>
          </w:tcPr>
          <w:p>
            <w:pPr>
              <w:spacing w:line="400" w:lineRule="exact"/>
              <w:jc w:val="center"/>
              <w:rPr>
                <w:szCs w:val="21"/>
              </w:rPr>
            </w:pPr>
            <w:r>
              <w:rPr>
                <w:szCs w:val="21"/>
              </w:rPr>
              <w:t>-0.660</w:t>
            </w:r>
          </w:p>
        </w:tc>
        <w:tc>
          <w:tcPr>
            <w:tcW w:w="785" w:type="dxa"/>
            <w:vAlign w:val="center"/>
          </w:tcPr>
          <w:p>
            <w:pPr>
              <w:spacing w:line="400" w:lineRule="exact"/>
              <w:jc w:val="center"/>
              <w:rPr>
                <w:szCs w:val="21"/>
              </w:rPr>
            </w:pPr>
            <w:r>
              <w:rPr>
                <w:szCs w:val="21"/>
              </w:rPr>
              <w:t>-1.320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Merge w:val="restart"/>
            <w:vAlign w:val="center"/>
          </w:tcPr>
          <w:p>
            <w:pPr>
              <w:spacing w:line="400" w:lineRule="exact"/>
              <w:jc w:val="center"/>
              <w:rPr>
                <w:szCs w:val="21"/>
              </w:rPr>
            </w:pPr>
            <w:r>
              <w:rPr>
                <w:szCs w:val="21"/>
              </w:rPr>
              <w:t>交通条件</w:t>
            </w:r>
          </w:p>
        </w:tc>
        <w:tc>
          <w:tcPr>
            <w:tcW w:w="821" w:type="dxa"/>
            <w:vMerge w:val="restart"/>
            <w:vAlign w:val="center"/>
          </w:tcPr>
          <w:p>
            <w:pPr>
              <w:spacing w:line="400" w:lineRule="exact"/>
              <w:jc w:val="center"/>
              <w:rPr>
                <w:szCs w:val="21"/>
              </w:rPr>
            </w:pPr>
            <w:r>
              <w:rPr>
                <w:szCs w:val="21"/>
              </w:rPr>
              <w:t>0.2732</w:t>
            </w:r>
          </w:p>
        </w:tc>
        <w:tc>
          <w:tcPr>
            <w:tcW w:w="843" w:type="dxa"/>
            <w:vAlign w:val="center"/>
          </w:tcPr>
          <w:p>
            <w:pPr>
              <w:spacing w:line="400" w:lineRule="exact"/>
              <w:jc w:val="center"/>
              <w:rPr>
                <w:szCs w:val="21"/>
              </w:rPr>
            </w:pPr>
            <w:r>
              <w:rPr>
                <w:szCs w:val="21"/>
              </w:rPr>
              <w:t>道路通达度</w:t>
            </w:r>
          </w:p>
        </w:tc>
        <w:tc>
          <w:tcPr>
            <w:tcW w:w="851" w:type="dxa"/>
            <w:vAlign w:val="center"/>
          </w:tcPr>
          <w:p>
            <w:pPr>
              <w:spacing w:line="400" w:lineRule="exact"/>
              <w:jc w:val="center"/>
              <w:rPr>
                <w:szCs w:val="21"/>
              </w:rPr>
            </w:pPr>
            <w:r>
              <w:rPr>
                <w:szCs w:val="21"/>
              </w:rPr>
              <w:t>0.1366</w:t>
            </w:r>
          </w:p>
        </w:tc>
        <w:tc>
          <w:tcPr>
            <w:tcW w:w="1091" w:type="dxa"/>
            <w:vAlign w:val="center"/>
          </w:tcPr>
          <w:p>
            <w:pPr>
              <w:spacing w:line="400" w:lineRule="exact"/>
              <w:jc w:val="center"/>
              <w:rPr>
                <w:szCs w:val="21"/>
              </w:rPr>
            </w:pPr>
            <w:r>
              <w:rPr>
                <w:szCs w:val="21"/>
              </w:rPr>
              <w:t>临近道路状况</w:t>
            </w:r>
          </w:p>
        </w:tc>
        <w:tc>
          <w:tcPr>
            <w:tcW w:w="873" w:type="dxa"/>
            <w:vAlign w:val="center"/>
          </w:tcPr>
          <w:p>
            <w:pPr>
              <w:spacing w:line="400" w:lineRule="exact"/>
              <w:jc w:val="center"/>
              <w:rPr>
                <w:szCs w:val="21"/>
              </w:rPr>
            </w:pPr>
            <w:r>
              <w:rPr>
                <w:szCs w:val="21"/>
              </w:rPr>
              <w:t>0.1366</w:t>
            </w:r>
          </w:p>
        </w:tc>
        <w:tc>
          <w:tcPr>
            <w:tcW w:w="711" w:type="dxa"/>
            <w:vAlign w:val="center"/>
          </w:tcPr>
          <w:p>
            <w:pPr>
              <w:spacing w:line="400" w:lineRule="exact"/>
              <w:jc w:val="center"/>
              <w:rPr>
                <w:szCs w:val="21"/>
              </w:rPr>
            </w:pPr>
            <w:r>
              <w:rPr>
                <w:szCs w:val="21"/>
              </w:rPr>
              <w:t>2.487</w:t>
            </w:r>
          </w:p>
        </w:tc>
        <w:tc>
          <w:tcPr>
            <w:tcW w:w="711" w:type="dxa"/>
            <w:vAlign w:val="center"/>
          </w:tcPr>
          <w:p>
            <w:pPr>
              <w:spacing w:line="400" w:lineRule="exact"/>
              <w:jc w:val="center"/>
              <w:rPr>
                <w:szCs w:val="21"/>
              </w:rPr>
            </w:pPr>
            <w:r>
              <w:rPr>
                <w:szCs w:val="21"/>
              </w:rPr>
              <w:t>1.244</w:t>
            </w:r>
          </w:p>
        </w:tc>
        <w:tc>
          <w:tcPr>
            <w:tcW w:w="689" w:type="dxa"/>
            <w:vAlign w:val="center"/>
          </w:tcPr>
          <w:p>
            <w:pPr>
              <w:spacing w:line="400" w:lineRule="exact"/>
              <w:jc w:val="center"/>
              <w:rPr>
                <w:szCs w:val="21"/>
              </w:rPr>
            </w:pPr>
            <w:r>
              <w:rPr>
                <w:szCs w:val="21"/>
              </w:rPr>
              <w:t>0</w:t>
            </w:r>
          </w:p>
        </w:tc>
        <w:tc>
          <w:tcPr>
            <w:tcW w:w="785" w:type="dxa"/>
            <w:vAlign w:val="center"/>
          </w:tcPr>
          <w:p>
            <w:pPr>
              <w:spacing w:line="400" w:lineRule="exact"/>
              <w:jc w:val="center"/>
              <w:rPr>
                <w:szCs w:val="21"/>
              </w:rPr>
            </w:pPr>
            <w:r>
              <w:rPr>
                <w:szCs w:val="21"/>
              </w:rPr>
              <w:t>-1.074</w:t>
            </w:r>
          </w:p>
        </w:tc>
        <w:tc>
          <w:tcPr>
            <w:tcW w:w="785" w:type="dxa"/>
            <w:vAlign w:val="center"/>
          </w:tcPr>
          <w:p>
            <w:pPr>
              <w:spacing w:line="400" w:lineRule="exact"/>
              <w:jc w:val="center"/>
              <w:rPr>
                <w:szCs w:val="21"/>
              </w:rPr>
            </w:pPr>
            <w:r>
              <w:rPr>
                <w:szCs w:val="21"/>
              </w:rPr>
              <w:t>-2.149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Merge w:val="continue"/>
            <w:vAlign w:val="center"/>
          </w:tcPr>
          <w:p>
            <w:pPr>
              <w:spacing w:line="400" w:lineRule="exact"/>
              <w:jc w:val="center"/>
              <w:rPr>
                <w:szCs w:val="21"/>
              </w:rPr>
            </w:pPr>
          </w:p>
        </w:tc>
        <w:tc>
          <w:tcPr>
            <w:tcW w:w="821" w:type="dxa"/>
            <w:vMerge w:val="continue"/>
            <w:vAlign w:val="center"/>
          </w:tcPr>
          <w:p>
            <w:pPr>
              <w:spacing w:line="400" w:lineRule="exact"/>
              <w:jc w:val="center"/>
              <w:rPr>
                <w:szCs w:val="21"/>
              </w:rPr>
            </w:pPr>
          </w:p>
        </w:tc>
        <w:tc>
          <w:tcPr>
            <w:tcW w:w="843" w:type="dxa"/>
            <w:vAlign w:val="center"/>
          </w:tcPr>
          <w:p>
            <w:pPr>
              <w:spacing w:line="400" w:lineRule="exact"/>
              <w:jc w:val="center"/>
              <w:rPr>
                <w:szCs w:val="21"/>
              </w:rPr>
            </w:pPr>
            <w:r>
              <w:rPr>
                <w:szCs w:val="21"/>
              </w:rPr>
              <w:t>公交便捷度</w:t>
            </w:r>
          </w:p>
        </w:tc>
        <w:tc>
          <w:tcPr>
            <w:tcW w:w="851" w:type="dxa"/>
            <w:vAlign w:val="center"/>
          </w:tcPr>
          <w:p>
            <w:pPr>
              <w:spacing w:line="400" w:lineRule="exact"/>
              <w:jc w:val="center"/>
              <w:rPr>
                <w:szCs w:val="21"/>
              </w:rPr>
            </w:pPr>
            <w:r>
              <w:rPr>
                <w:szCs w:val="21"/>
              </w:rPr>
              <w:t>0.1366</w:t>
            </w:r>
          </w:p>
        </w:tc>
        <w:tc>
          <w:tcPr>
            <w:tcW w:w="1091" w:type="dxa"/>
            <w:vAlign w:val="center"/>
          </w:tcPr>
          <w:p>
            <w:pPr>
              <w:spacing w:line="400" w:lineRule="exact"/>
              <w:jc w:val="center"/>
              <w:rPr>
                <w:szCs w:val="21"/>
              </w:rPr>
            </w:pPr>
            <w:r>
              <w:rPr>
                <w:szCs w:val="21"/>
              </w:rPr>
              <w:t>距最近公交站点距离</w:t>
            </w:r>
          </w:p>
        </w:tc>
        <w:tc>
          <w:tcPr>
            <w:tcW w:w="873" w:type="dxa"/>
            <w:vAlign w:val="center"/>
          </w:tcPr>
          <w:p>
            <w:pPr>
              <w:spacing w:line="400" w:lineRule="exact"/>
              <w:jc w:val="center"/>
              <w:rPr>
                <w:szCs w:val="21"/>
              </w:rPr>
            </w:pPr>
            <w:r>
              <w:rPr>
                <w:szCs w:val="21"/>
              </w:rPr>
              <w:t>0.1366</w:t>
            </w:r>
          </w:p>
        </w:tc>
        <w:tc>
          <w:tcPr>
            <w:tcW w:w="711" w:type="dxa"/>
            <w:vAlign w:val="center"/>
          </w:tcPr>
          <w:p>
            <w:pPr>
              <w:spacing w:line="400" w:lineRule="exact"/>
              <w:jc w:val="center"/>
              <w:rPr>
                <w:szCs w:val="21"/>
              </w:rPr>
            </w:pPr>
            <w:r>
              <w:rPr>
                <w:szCs w:val="21"/>
              </w:rPr>
              <w:t>2.487</w:t>
            </w:r>
          </w:p>
        </w:tc>
        <w:tc>
          <w:tcPr>
            <w:tcW w:w="711" w:type="dxa"/>
            <w:vAlign w:val="center"/>
          </w:tcPr>
          <w:p>
            <w:pPr>
              <w:spacing w:line="400" w:lineRule="exact"/>
              <w:jc w:val="center"/>
              <w:rPr>
                <w:szCs w:val="21"/>
              </w:rPr>
            </w:pPr>
            <w:r>
              <w:rPr>
                <w:szCs w:val="21"/>
              </w:rPr>
              <w:t>1.244</w:t>
            </w:r>
          </w:p>
        </w:tc>
        <w:tc>
          <w:tcPr>
            <w:tcW w:w="689" w:type="dxa"/>
            <w:vAlign w:val="center"/>
          </w:tcPr>
          <w:p>
            <w:pPr>
              <w:spacing w:line="400" w:lineRule="exact"/>
              <w:jc w:val="center"/>
              <w:rPr>
                <w:szCs w:val="21"/>
              </w:rPr>
            </w:pPr>
            <w:r>
              <w:rPr>
                <w:szCs w:val="21"/>
              </w:rPr>
              <w:t>0</w:t>
            </w:r>
          </w:p>
        </w:tc>
        <w:tc>
          <w:tcPr>
            <w:tcW w:w="785" w:type="dxa"/>
            <w:vAlign w:val="center"/>
          </w:tcPr>
          <w:p>
            <w:pPr>
              <w:spacing w:line="400" w:lineRule="exact"/>
              <w:jc w:val="center"/>
              <w:rPr>
                <w:szCs w:val="21"/>
              </w:rPr>
            </w:pPr>
            <w:r>
              <w:rPr>
                <w:szCs w:val="21"/>
              </w:rPr>
              <w:t>-1.074</w:t>
            </w:r>
          </w:p>
        </w:tc>
        <w:tc>
          <w:tcPr>
            <w:tcW w:w="785" w:type="dxa"/>
            <w:vAlign w:val="center"/>
          </w:tcPr>
          <w:p>
            <w:pPr>
              <w:spacing w:line="400" w:lineRule="exact"/>
              <w:jc w:val="center"/>
              <w:rPr>
                <w:szCs w:val="21"/>
              </w:rPr>
            </w:pPr>
            <w:r>
              <w:rPr>
                <w:szCs w:val="21"/>
              </w:rPr>
              <w:t>-2.149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Align w:val="center"/>
          </w:tcPr>
          <w:p>
            <w:pPr>
              <w:spacing w:line="400" w:lineRule="exact"/>
              <w:jc w:val="center"/>
              <w:rPr>
                <w:szCs w:val="21"/>
              </w:rPr>
            </w:pPr>
            <w:r>
              <w:rPr>
                <w:szCs w:val="21"/>
              </w:rPr>
              <w:t>人口状况</w:t>
            </w:r>
          </w:p>
        </w:tc>
        <w:tc>
          <w:tcPr>
            <w:tcW w:w="821" w:type="dxa"/>
            <w:vAlign w:val="center"/>
          </w:tcPr>
          <w:p>
            <w:pPr>
              <w:spacing w:line="400" w:lineRule="exact"/>
              <w:jc w:val="center"/>
              <w:rPr>
                <w:szCs w:val="21"/>
              </w:rPr>
            </w:pPr>
            <w:r>
              <w:rPr>
                <w:szCs w:val="21"/>
              </w:rPr>
              <w:t>0.0886</w:t>
            </w:r>
          </w:p>
        </w:tc>
        <w:tc>
          <w:tcPr>
            <w:tcW w:w="843" w:type="dxa"/>
            <w:vAlign w:val="center"/>
          </w:tcPr>
          <w:p>
            <w:pPr>
              <w:spacing w:line="400" w:lineRule="exact"/>
              <w:jc w:val="center"/>
              <w:rPr>
                <w:szCs w:val="21"/>
              </w:rPr>
            </w:pPr>
            <w:r>
              <w:rPr>
                <w:szCs w:val="21"/>
              </w:rPr>
              <w:t>人口密度</w:t>
            </w:r>
          </w:p>
        </w:tc>
        <w:tc>
          <w:tcPr>
            <w:tcW w:w="851" w:type="dxa"/>
            <w:vAlign w:val="center"/>
          </w:tcPr>
          <w:p>
            <w:pPr>
              <w:spacing w:line="400" w:lineRule="exact"/>
              <w:jc w:val="center"/>
              <w:rPr>
                <w:szCs w:val="21"/>
              </w:rPr>
            </w:pPr>
            <w:r>
              <w:rPr>
                <w:szCs w:val="21"/>
              </w:rPr>
              <w:t>0.0886</w:t>
            </w:r>
          </w:p>
        </w:tc>
        <w:tc>
          <w:tcPr>
            <w:tcW w:w="1091" w:type="dxa"/>
            <w:vAlign w:val="center"/>
          </w:tcPr>
          <w:p>
            <w:pPr>
              <w:spacing w:line="400" w:lineRule="exact"/>
              <w:jc w:val="center"/>
              <w:rPr>
                <w:szCs w:val="21"/>
              </w:rPr>
            </w:pPr>
            <w:r>
              <w:rPr>
                <w:szCs w:val="21"/>
              </w:rPr>
              <w:t>人口密度</w:t>
            </w:r>
          </w:p>
        </w:tc>
        <w:tc>
          <w:tcPr>
            <w:tcW w:w="873" w:type="dxa"/>
            <w:vAlign w:val="center"/>
          </w:tcPr>
          <w:p>
            <w:pPr>
              <w:spacing w:line="400" w:lineRule="exact"/>
              <w:jc w:val="center"/>
              <w:rPr>
                <w:szCs w:val="21"/>
              </w:rPr>
            </w:pPr>
            <w:r>
              <w:rPr>
                <w:szCs w:val="21"/>
              </w:rPr>
              <w:t>0.0886</w:t>
            </w:r>
          </w:p>
        </w:tc>
        <w:tc>
          <w:tcPr>
            <w:tcW w:w="711" w:type="dxa"/>
            <w:vAlign w:val="center"/>
          </w:tcPr>
          <w:p>
            <w:pPr>
              <w:spacing w:line="400" w:lineRule="exact"/>
              <w:jc w:val="center"/>
              <w:rPr>
                <w:szCs w:val="21"/>
              </w:rPr>
            </w:pPr>
            <w:r>
              <w:rPr>
                <w:szCs w:val="21"/>
              </w:rPr>
              <w:t>1.613</w:t>
            </w:r>
          </w:p>
        </w:tc>
        <w:tc>
          <w:tcPr>
            <w:tcW w:w="711" w:type="dxa"/>
            <w:vAlign w:val="center"/>
          </w:tcPr>
          <w:p>
            <w:pPr>
              <w:spacing w:line="400" w:lineRule="exact"/>
              <w:jc w:val="center"/>
              <w:rPr>
                <w:szCs w:val="21"/>
              </w:rPr>
            </w:pPr>
            <w:r>
              <w:rPr>
                <w:szCs w:val="21"/>
              </w:rPr>
              <w:t>0.807</w:t>
            </w:r>
          </w:p>
        </w:tc>
        <w:tc>
          <w:tcPr>
            <w:tcW w:w="689" w:type="dxa"/>
            <w:vAlign w:val="center"/>
          </w:tcPr>
          <w:p>
            <w:pPr>
              <w:spacing w:line="400" w:lineRule="exact"/>
              <w:jc w:val="center"/>
              <w:rPr>
                <w:szCs w:val="21"/>
              </w:rPr>
            </w:pPr>
            <w:r>
              <w:rPr>
                <w:szCs w:val="21"/>
              </w:rPr>
              <w:t>0</w:t>
            </w:r>
          </w:p>
        </w:tc>
        <w:tc>
          <w:tcPr>
            <w:tcW w:w="785" w:type="dxa"/>
            <w:vAlign w:val="center"/>
          </w:tcPr>
          <w:p>
            <w:pPr>
              <w:spacing w:line="400" w:lineRule="exact"/>
              <w:jc w:val="center"/>
              <w:rPr>
                <w:szCs w:val="21"/>
              </w:rPr>
            </w:pPr>
            <w:r>
              <w:rPr>
                <w:szCs w:val="21"/>
              </w:rPr>
              <w:t>-0.697</w:t>
            </w:r>
          </w:p>
        </w:tc>
        <w:tc>
          <w:tcPr>
            <w:tcW w:w="785" w:type="dxa"/>
            <w:vAlign w:val="center"/>
          </w:tcPr>
          <w:p>
            <w:pPr>
              <w:spacing w:line="400" w:lineRule="exact"/>
              <w:jc w:val="center"/>
              <w:rPr>
                <w:szCs w:val="21"/>
              </w:rPr>
            </w:pPr>
            <w:r>
              <w:rPr>
                <w:szCs w:val="21"/>
              </w:rPr>
              <w:t>-1.394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Merge w:val="restart"/>
            <w:vAlign w:val="center"/>
          </w:tcPr>
          <w:p>
            <w:pPr>
              <w:spacing w:line="400" w:lineRule="exact"/>
              <w:jc w:val="center"/>
              <w:rPr>
                <w:szCs w:val="21"/>
              </w:rPr>
            </w:pPr>
            <w:r>
              <w:rPr>
                <w:szCs w:val="21"/>
              </w:rPr>
              <w:t>环境条件</w:t>
            </w:r>
          </w:p>
        </w:tc>
        <w:tc>
          <w:tcPr>
            <w:tcW w:w="821" w:type="dxa"/>
            <w:vMerge w:val="restart"/>
            <w:vAlign w:val="center"/>
          </w:tcPr>
          <w:p>
            <w:pPr>
              <w:spacing w:line="400" w:lineRule="exact"/>
              <w:jc w:val="center"/>
              <w:rPr>
                <w:szCs w:val="21"/>
              </w:rPr>
            </w:pPr>
            <w:r>
              <w:rPr>
                <w:szCs w:val="21"/>
              </w:rPr>
              <w:t>0.2014</w:t>
            </w:r>
          </w:p>
        </w:tc>
        <w:tc>
          <w:tcPr>
            <w:tcW w:w="843" w:type="dxa"/>
            <w:vMerge w:val="restart"/>
            <w:vAlign w:val="center"/>
          </w:tcPr>
          <w:p>
            <w:pPr>
              <w:spacing w:line="400" w:lineRule="exact"/>
              <w:jc w:val="center"/>
              <w:rPr>
                <w:szCs w:val="21"/>
              </w:rPr>
            </w:pPr>
            <w:r>
              <w:rPr>
                <w:szCs w:val="21"/>
              </w:rPr>
              <w:t>自然条件优劣度</w:t>
            </w:r>
          </w:p>
        </w:tc>
        <w:tc>
          <w:tcPr>
            <w:tcW w:w="851" w:type="dxa"/>
            <w:vMerge w:val="restart"/>
            <w:vAlign w:val="center"/>
          </w:tcPr>
          <w:p>
            <w:pPr>
              <w:spacing w:line="400" w:lineRule="exact"/>
              <w:jc w:val="center"/>
              <w:rPr>
                <w:szCs w:val="21"/>
              </w:rPr>
            </w:pPr>
            <w:r>
              <w:rPr>
                <w:szCs w:val="21"/>
              </w:rPr>
              <w:t>0.2014</w:t>
            </w:r>
          </w:p>
        </w:tc>
        <w:tc>
          <w:tcPr>
            <w:tcW w:w="1091" w:type="dxa"/>
            <w:vAlign w:val="center"/>
          </w:tcPr>
          <w:p>
            <w:pPr>
              <w:spacing w:line="400" w:lineRule="exact"/>
              <w:jc w:val="center"/>
              <w:rPr>
                <w:szCs w:val="21"/>
              </w:rPr>
            </w:pPr>
            <w:r>
              <w:rPr>
                <w:szCs w:val="21"/>
              </w:rPr>
              <w:t>地形状况</w:t>
            </w:r>
          </w:p>
        </w:tc>
        <w:tc>
          <w:tcPr>
            <w:tcW w:w="873" w:type="dxa"/>
            <w:vAlign w:val="center"/>
          </w:tcPr>
          <w:p>
            <w:pPr>
              <w:spacing w:line="400" w:lineRule="exact"/>
              <w:jc w:val="center"/>
              <w:rPr>
                <w:szCs w:val="21"/>
              </w:rPr>
            </w:pPr>
            <w:r>
              <w:rPr>
                <w:szCs w:val="21"/>
              </w:rPr>
              <w:t>0.1007</w:t>
            </w:r>
          </w:p>
        </w:tc>
        <w:tc>
          <w:tcPr>
            <w:tcW w:w="711" w:type="dxa"/>
            <w:vAlign w:val="center"/>
          </w:tcPr>
          <w:p>
            <w:pPr>
              <w:spacing w:line="400" w:lineRule="exact"/>
              <w:jc w:val="center"/>
              <w:rPr>
                <w:szCs w:val="21"/>
              </w:rPr>
            </w:pPr>
            <w:r>
              <w:rPr>
                <w:szCs w:val="21"/>
              </w:rPr>
              <w:t>1.834</w:t>
            </w:r>
          </w:p>
        </w:tc>
        <w:tc>
          <w:tcPr>
            <w:tcW w:w="711" w:type="dxa"/>
            <w:vAlign w:val="center"/>
          </w:tcPr>
          <w:p>
            <w:pPr>
              <w:spacing w:line="400" w:lineRule="exact"/>
              <w:jc w:val="center"/>
              <w:rPr>
                <w:szCs w:val="21"/>
              </w:rPr>
            </w:pPr>
            <w:r>
              <w:rPr>
                <w:szCs w:val="21"/>
              </w:rPr>
              <w:t>0.917</w:t>
            </w:r>
          </w:p>
        </w:tc>
        <w:tc>
          <w:tcPr>
            <w:tcW w:w="689" w:type="dxa"/>
            <w:vAlign w:val="center"/>
          </w:tcPr>
          <w:p>
            <w:pPr>
              <w:spacing w:line="400" w:lineRule="exact"/>
              <w:jc w:val="center"/>
              <w:rPr>
                <w:szCs w:val="21"/>
              </w:rPr>
            </w:pPr>
            <w:r>
              <w:rPr>
                <w:szCs w:val="21"/>
              </w:rPr>
              <w:t>0</w:t>
            </w:r>
          </w:p>
        </w:tc>
        <w:tc>
          <w:tcPr>
            <w:tcW w:w="785" w:type="dxa"/>
            <w:vAlign w:val="center"/>
          </w:tcPr>
          <w:p>
            <w:pPr>
              <w:spacing w:line="400" w:lineRule="exact"/>
              <w:jc w:val="center"/>
              <w:rPr>
                <w:szCs w:val="21"/>
              </w:rPr>
            </w:pPr>
            <w:r>
              <w:rPr>
                <w:szCs w:val="21"/>
              </w:rPr>
              <w:t>-0.792</w:t>
            </w:r>
          </w:p>
        </w:tc>
        <w:tc>
          <w:tcPr>
            <w:tcW w:w="785" w:type="dxa"/>
            <w:vAlign w:val="center"/>
          </w:tcPr>
          <w:p>
            <w:pPr>
              <w:spacing w:line="400" w:lineRule="exact"/>
              <w:jc w:val="center"/>
              <w:rPr>
                <w:szCs w:val="21"/>
              </w:rPr>
            </w:pPr>
            <w:r>
              <w:rPr>
                <w:szCs w:val="21"/>
              </w:rPr>
              <w:t>-1.584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Merge w:val="continue"/>
            <w:vAlign w:val="center"/>
          </w:tcPr>
          <w:p>
            <w:pPr>
              <w:spacing w:line="400" w:lineRule="exact"/>
              <w:jc w:val="center"/>
              <w:rPr>
                <w:szCs w:val="21"/>
              </w:rPr>
            </w:pPr>
          </w:p>
        </w:tc>
        <w:tc>
          <w:tcPr>
            <w:tcW w:w="821" w:type="dxa"/>
            <w:vMerge w:val="continue"/>
            <w:vAlign w:val="center"/>
          </w:tcPr>
          <w:p>
            <w:pPr>
              <w:spacing w:line="400" w:lineRule="exact"/>
              <w:jc w:val="center"/>
              <w:rPr>
                <w:szCs w:val="21"/>
              </w:rPr>
            </w:pPr>
          </w:p>
        </w:tc>
        <w:tc>
          <w:tcPr>
            <w:tcW w:w="843" w:type="dxa"/>
            <w:vMerge w:val="continue"/>
            <w:vAlign w:val="center"/>
          </w:tcPr>
          <w:p>
            <w:pPr>
              <w:spacing w:line="400" w:lineRule="exact"/>
              <w:jc w:val="center"/>
              <w:rPr>
                <w:szCs w:val="21"/>
              </w:rPr>
            </w:pPr>
          </w:p>
        </w:tc>
        <w:tc>
          <w:tcPr>
            <w:tcW w:w="851" w:type="dxa"/>
            <w:vMerge w:val="continue"/>
            <w:vAlign w:val="center"/>
          </w:tcPr>
          <w:p>
            <w:pPr>
              <w:spacing w:line="400" w:lineRule="exact"/>
              <w:jc w:val="center"/>
              <w:rPr>
                <w:szCs w:val="21"/>
              </w:rPr>
            </w:pPr>
          </w:p>
        </w:tc>
        <w:tc>
          <w:tcPr>
            <w:tcW w:w="1091" w:type="dxa"/>
            <w:vAlign w:val="center"/>
          </w:tcPr>
          <w:p>
            <w:pPr>
              <w:spacing w:line="400" w:lineRule="exact"/>
              <w:jc w:val="center"/>
              <w:rPr>
                <w:szCs w:val="21"/>
              </w:rPr>
            </w:pPr>
            <w:r>
              <w:rPr>
                <w:szCs w:val="21"/>
              </w:rPr>
              <w:t>洪水淹没状况</w:t>
            </w:r>
          </w:p>
        </w:tc>
        <w:tc>
          <w:tcPr>
            <w:tcW w:w="873" w:type="dxa"/>
            <w:vAlign w:val="center"/>
          </w:tcPr>
          <w:p>
            <w:pPr>
              <w:spacing w:line="400" w:lineRule="exact"/>
              <w:jc w:val="center"/>
              <w:rPr>
                <w:szCs w:val="21"/>
              </w:rPr>
            </w:pPr>
            <w:r>
              <w:rPr>
                <w:szCs w:val="21"/>
              </w:rPr>
              <w:t>0.1007</w:t>
            </w:r>
          </w:p>
        </w:tc>
        <w:tc>
          <w:tcPr>
            <w:tcW w:w="711" w:type="dxa"/>
            <w:vAlign w:val="center"/>
          </w:tcPr>
          <w:p>
            <w:pPr>
              <w:spacing w:line="400" w:lineRule="exact"/>
              <w:jc w:val="center"/>
              <w:rPr>
                <w:szCs w:val="21"/>
              </w:rPr>
            </w:pPr>
            <w:r>
              <w:rPr>
                <w:szCs w:val="21"/>
              </w:rPr>
              <w:t>1.834</w:t>
            </w:r>
          </w:p>
        </w:tc>
        <w:tc>
          <w:tcPr>
            <w:tcW w:w="711" w:type="dxa"/>
            <w:vAlign w:val="center"/>
          </w:tcPr>
          <w:p>
            <w:pPr>
              <w:spacing w:line="400" w:lineRule="exact"/>
              <w:jc w:val="center"/>
              <w:rPr>
                <w:szCs w:val="21"/>
              </w:rPr>
            </w:pPr>
            <w:r>
              <w:rPr>
                <w:szCs w:val="21"/>
              </w:rPr>
              <w:t>0.917</w:t>
            </w:r>
          </w:p>
        </w:tc>
        <w:tc>
          <w:tcPr>
            <w:tcW w:w="689" w:type="dxa"/>
            <w:vAlign w:val="center"/>
          </w:tcPr>
          <w:p>
            <w:pPr>
              <w:spacing w:line="400" w:lineRule="exact"/>
              <w:jc w:val="center"/>
              <w:rPr>
                <w:szCs w:val="21"/>
              </w:rPr>
            </w:pPr>
            <w:r>
              <w:rPr>
                <w:szCs w:val="21"/>
              </w:rPr>
              <w:t>0</w:t>
            </w:r>
          </w:p>
        </w:tc>
        <w:tc>
          <w:tcPr>
            <w:tcW w:w="785" w:type="dxa"/>
            <w:vAlign w:val="center"/>
          </w:tcPr>
          <w:p>
            <w:pPr>
              <w:spacing w:line="400" w:lineRule="exact"/>
              <w:jc w:val="center"/>
              <w:rPr>
                <w:szCs w:val="21"/>
              </w:rPr>
            </w:pPr>
            <w:r>
              <w:rPr>
                <w:szCs w:val="21"/>
              </w:rPr>
              <w:t>-0.792</w:t>
            </w:r>
          </w:p>
        </w:tc>
        <w:tc>
          <w:tcPr>
            <w:tcW w:w="785" w:type="dxa"/>
            <w:vAlign w:val="center"/>
          </w:tcPr>
          <w:p>
            <w:pPr>
              <w:spacing w:line="400" w:lineRule="exact"/>
              <w:jc w:val="center"/>
              <w:rPr>
                <w:szCs w:val="21"/>
              </w:rPr>
            </w:pPr>
            <w:r>
              <w:rPr>
                <w:szCs w:val="21"/>
              </w:rPr>
              <w:t>-1.584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82" w:type="dxa"/>
            <w:vAlign w:val="center"/>
          </w:tcPr>
          <w:p>
            <w:pPr>
              <w:spacing w:line="400" w:lineRule="exact"/>
              <w:jc w:val="center"/>
              <w:rPr>
                <w:szCs w:val="21"/>
              </w:rPr>
            </w:pPr>
            <w:r>
              <w:rPr>
                <w:szCs w:val="21"/>
              </w:rPr>
              <w:t>城市规划</w:t>
            </w:r>
          </w:p>
        </w:tc>
        <w:tc>
          <w:tcPr>
            <w:tcW w:w="821" w:type="dxa"/>
            <w:vAlign w:val="center"/>
          </w:tcPr>
          <w:p>
            <w:pPr>
              <w:spacing w:line="400" w:lineRule="exact"/>
              <w:jc w:val="center"/>
              <w:rPr>
                <w:szCs w:val="21"/>
              </w:rPr>
            </w:pPr>
            <w:r>
              <w:rPr>
                <w:szCs w:val="21"/>
              </w:rPr>
              <w:t>0.1014</w:t>
            </w:r>
          </w:p>
        </w:tc>
        <w:tc>
          <w:tcPr>
            <w:tcW w:w="843" w:type="dxa"/>
            <w:vAlign w:val="center"/>
          </w:tcPr>
          <w:p>
            <w:pPr>
              <w:spacing w:line="400" w:lineRule="exact"/>
              <w:jc w:val="center"/>
              <w:rPr>
                <w:szCs w:val="21"/>
              </w:rPr>
            </w:pPr>
            <w:r>
              <w:rPr>
                <w:szCs w:val="21"/>
              </w:rPr>
              <w:t>城市规划</w:t>
            </w:r>
          </w:p>
        </w:tc>
        <w:tc>
          <w:tcPr>
            <w:tcW w:w="851" w:type="dxa"/>
            <w:vAlign w:val="center"/>
          </w:tcPr>
          <w:p>
            <w:pPr>
              <w:spacing w:line="400" w:lineRule="exact"/>
              <w:jc w:val="center"/>
              <w:rPr>
                <w:szCs w:val="21"/>
              </w:rPr>
            </w:pPr>
            <w:r>
              <w:rPr>
                <w:szCs w:val="21"/>
              </w:rPr>
              <w:t>0.1014</w:t>
            </w:r>
          </w:p>
        </w:tc>
        <w:tc>
          <w:tcPr>
            <w:tcW w:w="1091" w:type="dxa"/>
            <w:vAlign w:val="center"/>
          </w:tcPr>
          <w:p>
            <w:pPr>
              <w:spacing w:line="400" w:lineRule="exact"/>
              <w:jc w:val="center"/>
              <w:rPr>
                <w:szCs w:val="21"/>
              </w:rPr>
            </w:pPr>
            <w:r>
              <w:rPr>
                <w:szCs w:val="21"/>
              </w:rPr>
              <w:t>道路规划</w:t>
            </w:r>
          </w:p>
        </w:tc>
        <w:tc>
          <w:tcPr>
            <w:tcW w:w="873" w:type="dxa"/>
            <w:vAlign w:val="center"/>
          </w:tcPr>
          <w:p>
            <w:pPr>
              <w:spacing w:line="400" w:lineRule="exact"/>
              <w:jc w:val="center"/>
              <w:rPr>
                <w:szCs w:val="21"/>
              </w:rPr>
            </w:pPr>
            <w:r>
              <w:rPr>
                <w:szCs w:val="21"/>
              </w:rPr>
              <w:t>0.1014</w:t>
            </w:r>
          </w:p>
        </w:tc>
        <w:tc>
          <w:tcPr>
            <w:tcW w:w="711" w:type="dxa"/>
            <w:vAlign w:val="center"/>
          </w:tcPr>
          <w:p>
            <w:pPr>
              <w:spacing w:line="400" w:lineRule="exact"/>
              <w:jc w:val="center"/>
              <w:rPr>
                <w:szCs w:val="21"/>
              </w:rPr>
            </w:pPr>
            <w:r>
              <w:rPr>
                <w:szCs w:val="21"/>
              </w:rPr>
              <w:t>1.846</w:t>
            </w:r>
          </w:p>
        </w:tc>
        <w:tc>
          <w:tcPr>
            <w:tcW w:w="711" w:type="dxa"/>
            <w:vAlign w:val="center"/>
          </w:tcPr>
          <w:p>
            <w:pPr>
              <w:spacing w:line="400" w:lineRule="exact"/>
              <w:jc w:val="center"/>
              <w:rPr>
                <w:szCs w:val="21"/>
              </w:rPr>
            </w:pPr>
            <w:r>
              <w:rPr>
                <w:szCs w:val="21"/>
              </w:rPr>
              <w:t>0.923</w:t>
            </w:r>
          </w:p>
        </w:tc>
        <w:tc>
          <w:tcPr>
            <w:tcW w:w="689" w:type="dxa"/>
            <w:vAlign w:val="center"/>
          </w:tcPr>
          <w:p>
            <w:pPr>
              <w:spacing w:line="400" w:lineRule="exact"/>
              <w:jc w:val="center"/>
              <w:rPr>
                <w:szCs w:val="21"/>
              </w:rPr>
            </w:pPr>
            <w:r>
              <w:rPr>
                <w:szCs w:val="21"/>
              </w:rPr>
              <w:t>0</w:t>
            </w:r>
          </w:p>
        </w:tc>
        <w:tc>
          <w:tcPr>
            <w:tcW w:w="785" w:type="dxa"/>
            <w:vAlign w:val="center"/>
          </w:tcPr>
          <w:p>
            <w:pPr>
              <w:spacing w:line="400" w:lineRule="exact"/>
              <w:jc w:val="center"/>
              <w:rPr>
                <w:szCs w:val="21"/>
              </w:rPr>
            </w:pPr>
            <w:r>
              <w:rPr>
                <w:szCs w:val="21"/>
              </w:rPr>
              <w:t>-0.798</w:t>
            </w:r>
          </w:p>
        </w:tc>
        <w:tc>
          <w:tcPr>
            <w:tcW w:w="785" w:type="dxa"/>
            <w:vAlign w:val="center"/>
          </w:tcPr>
          <w:p>
            <w:pPr>
              <w:spacing w:line="400" w:lineRule="exact"/>
              <w:jc w:val="center"/>
              <w:rPr>
                <w:szCs w:val="21"/>
              </w:rPr>
            </w:pPr>
            <w:r>
              <w:rPr>
                <w:szCs w:val="21"/>
              </w:rPr>
              <w:t>-1.595</w:t>
            </w:r>
          </w:p>
        </w:tc>
      </w:tr>
    </w:tbl>
    <w:p>
      <w:pPr>
        <w:pStyle w:val="131"/>
        <w:spacing w:beforeLines="50" w:afterLines="50"/>
        <w:ind w:firstLine="0" w:firstLineChars="0"/>
        <w:rPr>
          <w:rFonts w:ascii="Times New Roman" w:hAnsi="Times New Roman"/>
          <w:sz w:val="24"/>
        </w:rPr>
      </w:pPr>
      <w:r>
        <w:rPr>
          <w:rFonts w:ascii="Times New Roman" w:hAnsi="Times New Roman"/>
          <w:sz w:val="24"/>
        </w:rPr>
        <w:t>表4-6-1</w:t>
      </w:r>
      <w:r>
        <w:rPr>
          <w:rFonts w:hint="eastAsia" w:ascii="Times New Roman" w:hAnsi="Times New Roman"/>
          <w:sz w:val="24"/>
        </w:rPr>
        <w:t>6</w:t>
      </w:r>
      <w:r>
        <w:rPr>
          <w:rFonts w:ascii="Times New Roman" w:hAnsi="Times New Roman"/>
          <w:sz w:val="24"/>
        </w:rPr>
        <w:t xml:space="preserve">  Ⅳ级公共管理与公共服务二类用地宗地地价区域因素修正系数指标说明表</w:t>
      </w:r>
    </w:p>
    <w:tbl>
      <w:tblPr>
        <w:tblW w:w="9078" w:type="dxa"/>
        <w:jc w:val="center"/>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070"/>
        <w:gridCol w:w="1070"/>
        <w:gridCol w:w="1111"/>
        <w:gridCol w:w="1293"/>
        <w:gridCol w:w="1183"/>
        <w:gridCol w:w="1183"/>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1070" w:type="dxa"/>
            <w:vAlign w:val="center"/>
          </w:tcPr>
          <w:p>
            <w:pPr>
              <w:spacing w:line="400" w:lineRule="exact"/>
              <w:jc w:val="center"/>
              <w:rPr>
                <w:b/>
                <w:bCs/>
                <w:szCs w:val="21"/>
              </w:rPr>
            </w:pPr>
            <w:r>
              <w:rPr>
                <w:b/>
                <w:bCs/>
                <w:szCs w:val="21"/>
              </w:rPr>
              <w:t>因素层</w:t>
            </w:r>
          </w:p>
        </w:tc>
        <w:tc>
          <w:tcPr>
            <w:tcW w:w="1070" w:type="dxa"/>
            <w:vAlign w:val="center"/>
          </w:tcPr>
          <w:p>
            <w:pPr>
              <w:spacing w:line="400" w:lineRule="exact"/>
              <w:jc w:val="center"/>
              <w:rPr>
                <w:b/>
                <w:bCs/>
                <w:szCs w:val="21"/>
              </w:rPr>
            </w:pPr>
            <w:r>
              <w:rPr>
                <w:b/>
                <w:bCs/>
                <w:szCs w:val="21"/>
              </w:rPr>
              <w:t>因子层</w:t>
            </w:r>
          </w:p>
        </w:tc>
        <w:tc>
          <w:tcPr>
            <w:tcW w:w="1070" w:type="dxa"/>
            <w:vAlign w:val="center"/>
          </w:tcPr>
          <w:p>
            <w:pPr>
              <w:spacing w:line="400" w:lineRule="exact"/>
              <w:jc w:val="center"/>
              <w:rPr>
                <w:b/>
                <w:bCs/>
                <w:szCs w:val="21"/>
              </w:rPr>
            </w:pPr>
            <w:r>
              <w:rPr>
                <w:b/>
                <w:bCs/>
                <w:szCs w:val="21"/>
              </w:rPr>
              <w:t>指标层</w:t>
            </w:r>
          </w:p>
        </w:tc>
        <w:tc>
          <w:tcPr>
            <w:tcW w:w="1111" w:type="dxa"/>
            <w:vAlign w:val="center"/>
          </w:tcPr>
          <w:p>
            <w:pPr>
              <w:spacing w:line="400" w:lineRule="exact"/>
              <w:jc w:val="center"/>
              <w:rPr>
                <w:b/>
                <w:bCs/>
                <w:szCs w:val="21"/>
              </w:rPr>
            </w:pPr>
            <w:r>
              <w:rPr>
                <w:b/>
                <w:bCs/>
                <w:szCs w:val="21"/>
              </w:rPr>
              <w:t>优</w:t>
            </w:r>
          </w:p>
        </w:tc>
        <w:tc>
          <w:tcPr>
            <w:tcW w:w="1293" w:type="dxa"/>
            <w:vAlign w:val="center"/>
          </w:tcPr>
          <w:p>
            <w:pPr>
              <w:spacing w:line="400" w:lineRule="exact"/>
              <w:jc w:val="center"/>
              <w:rPr>
                <w:b/>
                <w:bCs/>
                <w:szCs w:val="21"/>
              </w:rPr>
            </w:pPr>
            <w:r>
              <w:rPr>
                <w:b/>
                <w:bCs/>
                <w:szCs w:val="21"/>
              </w:rPr>
              <w:t>较优</w:t>
            </w:r>
          </w:p>
        </w:tc>
        <w:tc>
          <w:tcPr>
            <w:tcW w:w="1183" w:type="dxa"/>
            <w:vAlign w:val="center"/>
          </w:tcPr>
          <w:p>
            <w:pPr>
              <w:spacing w:line="400" w:lineRule="exact"/>
              <w:jc w:val="center"/>
              <w:rPr>
                <w:b/>
                <w:bCs/>
                <w:szCs w:val="21"/>
              </w:rPr>
            </w:pPr>
            <w:r>
              <w:rPr>
                <w:b/>
                <w:bCs/>
                <w:szCs w:val="21"/>
              </w:rPr>
              <w:t>一般</w:t>
            </w:r>
          </w:p>
        </w:tc>
        <w:tc>
          <w:tcPr>
            <w:tcW w:w="1183" w:type="dxa"/>
            <w:vAlign w:val="center"/>
          </w:tcPr>
          <w:p>
            <w:pPr>
              <w:spacing w:line="400" w:lineRule="exact"/>
              <w:jc w:val="center"/>
              <w:rPr>
                <w:b/>
                <w:bCs/>
                <w:szCs w:val="21"/>
              </w:rPr>
            </w:pPr>
            <w:r>
              <w:rPr>
                <w:b/>
                <w:bCs/>
                <w:szCs w:val="21"/>
              </w:rPr>
              <w:t>较劣</w:t>
            </w:r>
          </w:p>
        </w:tc>
        <w:tc>
          <w:tcPr>
            <w:tcW w:w="1098"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Merge w:val="restart"/>
            <w:vAlign w:val="center"/>
          </w:tcPr>
          <w:p>
            <w:pPr>
              <w:spacing w:line="400" w:lineRule="exact"/>
              <w:jc w:val="center"/>
              <w:rPr>
                <w:szCs w:val="21"/>
              </w:rPr>
            </w:pPr>
            <w:r>
              <w:rPr>
                <w:szCs w:val="21"/>
              </w:rPr>
              <w:t>基本设施状况</w:t>
            </w:r>
          </w:p>
        </w:tc>
        <w:tc>
          <w:tcPr>
            <w:tcW w:w="1070" w:type="dxa"/>
            <w:vMerge w:val="restart"/>
            <w:vAlign w:val="center"/>
          </w:tcPr>
          <w:p>
            <w:pPr>
              <w:spacing w:line="400" w:lineRule="exact"/>
              <w:jc w:val="center"/>
              <w:rPr>
                <w:szCs w:val="21"/>
              </w:rPr>
            </w:pPr>
            <w:r>
              <w:rPr>
                <w:szCs w:val="21"/>
              </w:rPr>
              <w:t>基础设施完善度</w:t>
            </w:r>
          </w:p>
        </w:tc>
        <w:tc>
          <w:tcPr>
            <w:tcW w:w="1070" w:type="dxa"/>
            <w:vAlign w:val="center"/>
          </w:tcPr>
          <w:p>
            <w:pPr>
              <w:spacing w:line="400" w:lineRule="exact"/>
              <w:jc w:val="center"/>
              <w:rPr>
                <w:szCs w:val="21"/>
              </w:rPr>
            </w:pPr>
            <w:r>
              <w:rPr>
                <w:szCs w:val="21"/>
              </w:rPr>
              <w:t>排水状况</w:t>
            </w:r>
          </w:p>
        </w:tc>
        <w:tc>
          <w:tcPr>
            <w:tcW w:w="1111" w:type="dxa"/>
            <w:vAlign w:val="center"/>
          </w:tcPr>
          <w:p>
            <w:pPr>
              <w:spacing w:line="400" w:lineRule="exact"/>
              <w:jc w:val="center"/>
              <w:rPr>
                <w:szCs w:val="21"/>
              </w:rPr>
            </w:pPr>
            <w:r>
              <w:rPr>
                <w:szCs w:val="21"/>
              </w:rPr>
              <w:t>好</w:t>
            </w:r>
          </w:p>
        </w:tc>
        <w:tc>
          <w:tcPr>
            <w:tcW w:w="1293" w:type="dxa"/>
            <w:vAlign w:val="center"/>
          </w:tcPr>
          <w:p>
            <w:pPr>
              <w:spacing w:line="400" w:lineRule="exact"/>
              <w:jc w:val="center"/>
              <w:rPr>
                <w:szCs w:val="21"/>
              </w:rPr>
            </w:pPr>
            <w:r>
              <w:rPr>
                <w:szCs w:val="21"/>
              </w:rPr>
              <w:t>较好</w:t>
            </w:r>
          </w:p>
        </w:tc>
        <w:tc>
          <w:tcPr>
            <w:tcW w:w="1183" w:type="dxa"/>
            <w:vAlign w:val="center"/>
          </w:tcPr>
          <w:p>
            <w:pPr>
              <w:spacing w:line="400" w:lineRule="exact"/>
              <w:jc w:val="center"/>
              <w:rPr>
                <w:szCs w:val="21"/>
              </w:rPr>
            </w:pPr>
            <w:r>
              <w:rPr>
                <w:szCs w:val="21"/>
              </w:rPr>
              <w:t>一般</w:t>
            </w:r>
          </w:p>
        </w:tc>
        <w:tc>
          <w:tcPr>
            <w:tcW w:w="1183" w:type="dxa"/>
            <w:vAlign w:val="center"/>
          </w:tcPr>
          <w:p>
            <w:pPr>
              <w:spacing w:line="400" w:lineRule="exact"/>
              <w:jc w:val="center"/>
              <w:rPr>
                <w:szCs w:val="21"/>
              </w:rPr>
            </w:pPr>
            <w:r>
              <w:rPr>
                <w:szCs w:val="21"/>
              </w:rPr>
              <w:t>较差</w:t>
            </w:r>
          </w:p>
        </w:tc>
        <w:tc>
          <w:tcPr>
            <w:tcW w:w="1098" w:type="dxa"/>
            <w:vAlign w:val="center"/>
          </w:tcPr>
          <w:p>
            <w:pPr>
              <w:spacing w:line="400" w:lineRule="exact"/>
              <w:jc w:val="center"/>
              <w:rPr>
                <w:szCs w:val="21"/>
              </w:rPr>
            </w:pPr>
            <w:r>
              <w:rPr>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Merge w:val="continue"/>
            <w:vAlign w:val="center"/>
          </w:tcPr>
          <w:p>
            <w:pPr>
              <w:spacing w:line="400" w:lineRule="exact"/>
              <w:jc w:val="center"/>
              <w:rPr>
                <w:szCs w:val="21"/>
              </w:rPr>
            </w:pPr>
          </w:p>
        </w:tc>
        <w:tc>
          <w:tcPr>
            <w:tcW w:w="1070" w:type="dxa"/>
            <w:vMerge w:val="continue"/>
            <w:vAlign w:val="center"/>
          </w:tcPr>
          <w:p>
            <w:pPr>
              <w:spacing w:line="400" w:lineRule="exact"/>
              <w:jc w:val="center"/>
              <w:rPr>
                <w:szCs w:val="21"/>
              </w:rPr>
            </w:pPr>
          </w:p>
        </w:tc>
        <w:tc>
          <w:tcPr>
            <w:tcW w:w="1070" w:type="dxa"/>
            <w:vAlign w:val="center"/>
          </w:tcPr>
          <w:p>
            <w:pPr>
              <w:spacing w:line="400" w:lineRule="exact"/>
              <w:jc w:val="center"/>
              <w:rPr>
                <w:szCs w:val="21"/>
              </w:rPr>
            </w:pPr>
            <w:r>
              <w:rPr>
                <w:szCs w:val="21"/>
              </w:rPr>
              <w:t>供水状况</w:t>
            </w:r>
          </w:p>
        </w:tc>
        <w:tc>
          <w:tcPr>
            <w:tcW w:w="1111" w:type="dxa"/>
            <w:vAlign w:val="center"/>
          </w:tcPr>
          <w:p>
            <w:pPr>
              <w:spacing w:line="400" w:lineRule="exact"/>
              <w:jc w:val="center"/>
              <w:rPr>
                <w:szCs w:val="21"/>
              </w:rPr>
            </w:pPr>
            <w:r>
              <w:rPr>
                <w:szCs w:val="21"/>
              </w:rPr>
              <w:t>100%</w:t>
            </w:r>
          </w:p>
        </w:tc>
        <w:tc>
          <w:tcPr>
            <w:tcW w:w="1293" w:type="dxa"/>
            <w:vAlign w:val="center"/>
          </w:tcPr>
          <w:p>
            <w:pPr>
              <w:spacing w:line="400" w:lineRule="exact"/>
              <w:jc w:val="center"/>
              <w:rPr>
                <w:szCs w:val="21"/>
              </w:rPr>
            </w:pPr>
            <w:r>
              <w:rPr>
                <w:szCs w:val="21"/>
              </w:rPr>
              <w:t>90-99%</w:t>
            </w:r>
          </w:p>
        </w:tc>
        <w:tc>
          <w:tcPr>
            <w:tcW w:w="1183" w:type="dxa"/>
            <w:vAlign w:val="center"/>
          </w:tcPr>
          <w:p>
            <w:pPr>
              <w:spacing w:line="400" w:lineRule="exact"/>
              <w:jc w:val="center"/>
              <w:rPr>
                <w:szCs w:val="21"/>
              </w:rPr>
            </w:pPr>
            <w:r>
              <w:rPr>
                <w:szCs w:val="21"/>
              </w:rPr>
              <w:t>75-89%</w:t>
            </w:r>
          </w:p>
        </w:tc>
        <w:tc>
          <w:tcPr>
            <w:tcW w:w="1183" w:type="dxa"/>
            <w:vAlign w:val="center"/>
          </w:tcPr>
          <w:p>
            <w:pPr>
              <w:spacing w:line="400" w:lineRule="exact"/>
              <w:jc w:val="center"/>
              <w:rPr>
                <w:szCs w:val="21"/>
              </w:rPr>
            </w:pPr>
            <w:r>
              <w:rPr>
                <w:szCs w:val="21"/>
              </w:rPr>
              <w:t>60-74%</w:t>
            </w:r>
          </w:p>
        </w:tc>
        <w:tc>
          <w:tcPr>
            <w:tcW w:w="1098" w:type="dxa"/>
            <w:vAlign w:val="center"/>
          </w:tcPr>
          <w:p>
            <w:pPr>
              <w:spacing w:line="400" w:lineRule="exact"/>
              <w:jc w:val="center"/>
              <w:rPr>
                <w:szCs w:val="21"/>
              </w:rPr>
            </w:pPr>
            <w:r>
              <w:rPr>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Merge w:val="continue"/>
            <w:vAlign w:val="center"/>
          </w:tcPr>
          <w:p>
            <w:pPr>
              <w:spacing w:line="400" w:lineRule="exact"/>
              <w:jc w:val="center"/>
              <w:rPr>
                <w:szCs w:val="21"/>
              </w:rPr>
            </w:pPr>
          </w:p>
        </w:tc>
        <w:tc>
          <w:tcPr>
            <w:tcW w:w="1070" w:type="dxa"/>
            <w:vMerge w:val="continue"/>
            <w:vAlign w:val="center"/>
          </w:tcPr>
          <w:p>
            <w:pPr>
              <w:spacing w:line="400" w:lineRule="exact"/>
              <w:jc w:val="center"/>
              <w:rPr>
                <w:szCs w:val="21"/>
              </w:rPr>
            </w:pPr>
          </w:p>
        </w:tc>
        <w:tc>
          <w:tcPr>
            <w:tcW w:w="1070" w:type="dxa"/>
            <w:vAlign w:val="center"/>
          </w:tcPr>
          <w:p>
            <w:pPr>
              <w:spacing w:line="400" w:lineRule="exact"/>
              <w:jc w:val="center"/>
              <w:rPr>
                <w:szCs w:val="21"/>
              </w:rPr>
            </w:pPr>
            <w:r>
              <w:rPr>
                <w:szCs w:val="21"/>
              </w:rPr>
              <w:t>供电状况</w:t>
            </w:r>
          </w:p>
        </w:tc>
        <w:tc>
          <w:tcPr>
            <w:tcW w:w="1111" w:type="dxa"/>
            <w:vAlign w:val="center"/>
          </w:tcPr>
          <w:p>
            <w:pPr>
              <w:spacing w:line="400" w:lineRule="exact"/>
              <w:jc w:val="center"/>
              <w:rPr>
                <w:szCs w:val="21"/>
              </w:rPr>
            </w:pPr>
            <w:r>
              <w:rPr>
                <w:szCs w:val="21"/>
              </w:rPr>
              <w:t>好</w:t>
            </w:r>
          </w:p>
        </w:tc>
        <w:tc>
          <w:tcPr>
            <w:tcW w:w="1293" w:type="dxa"/>
            <w:vAlign w:val="center"/>
          </w:tcPr>
          <w:p>
            <w:pPr>
              <w:spacing w:line="400" w:lineRule="exact"/>
              <w:jc w:val="center"/>
              <w:rPr>
                <w:szCs w:val="21"/>
              </w:rPr>
            </w:pPr>
            <w:r>
              <w:rPr>
                <w:szCs w:val="21"/>
              </w:rPr>
              <w:t>较好</w:t>
            </w:r>
          </w:p>
        </w:tc>
        <w:tc>
          <w:tcPr>
            <w:tcW w:w="1183" w:type="dxa"/>
            <w:vAlign w:val="center"/>
          </w:tcPr>
          <w:p>
            <w:pPr>
              <w:spacing w:line="400" w:lineRule="exact"/>
              <w:jc w:val="center"/>
              <w:rPr>
                <w:szCs w:val="21"/>
              </w:rPr>
            </w:pPr>
            <w:r>
              <w:rPr>
                <w:szCs w:val="21"/>
              </w:rPr>
              <w:t>一般</w:t>
            </w:r>
          </w:p>
        </w:tc>
        <w:tc>
          <w:tcPr>
            <w:tcW w:w="1183" w:type="dxa"/>
            <w:vAlign w:val="center"/>
          </w:tcPr>
          <w:p>
            <w:pPr>
              <w:spacing w:line="400" w:lineRule="exact"/>
              <w:jc w:val="center"/>
              <w:rPr>
                <w:szCs w:val="21"/>
              </w:rPr>
            </w:pPr>
            <w:r>
              <w:rPr>
                <w:szCs w:val="21"/>
              </w:rPr>
              <w:t>较差</w:t>
            </w:r>
          </w:p>
        </w:tc>
        <w:tc>
          <w:tcPr>
            <w:tcW w:w="1098" w:type="dxa"/>
            <w:vAlign w:val="center"/>
          </w:tcPr>
          <w:p>
            <w:pPr>
              <w:spacing w:line="400" w:lineRule="exact"/>
              <w:jc w:val="center"/>
              <w:rPr>
                <w:szCs w:val="21"/>
              </w:rPr>
            </w:pPr>
            <w:r>
              <w:rPr>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Merge w:val="continue"/>
            <w:vAlign w:val="center"/>
          </w:tcPr>
          <w:p>
            <w:pPr>
              <w:spacing w:line="400" w:lineRule="exact"/>
              <w:jc w:val="center"/>
              <w:rPr>
                <w:szCs w:val="21"/>
              </w:rPr>
            </w:pPr>
          </w:p>
        </w:tc>
        <w:tc>
          <w:tcPr>
            <w:tcW w:w="1070" w:type="dxa"/>
            <w:vMerge w:val="continue"/>
            <w:vAlign w:val="center"/>
          </w:tcPr>
          <w:p>
            <w:pPr>
              <w:spacing w:line="400" w:lineRule="exact"/>
              <w:jc w:val="center"/>
              <w:rPr>
                <w:szCs w:val="21"/>
              </w:rPr>
            </w:pPr>
          </w:p>
        </w:tc>
        <w:tc>
          <w:tcPr>
            <w:tcW w:w="1070" w:type="dxa"/>
            <w:vAlign w:val="center"/>
          </w:tcPr>
          <w:p>
            <w:pPr>
              <w:spacing w:line="400" w:lineRule="exact"/>
              <w:jc w:val="center"/>
              <w:rPr>
                <w:szCs w:val="21"/>
              </w:rPr>
            </w:pPr>
            <w:r>
              <w:rPr>
                <w:szCs w:val="21"/>
              </w:rPr>
              <w:t>供气状况</w:t>
            </w:r>
          </w:p>
        </w:tc>
        <w:tc>
          <w:tcPr>
            <w:tcW w:w="1111" w:type="dxa"/>
            <w:vAlign w:val="center"/>
          </w:tcPr>
          <w:p>
            <w:pPr>
              <w:spacing w:line="400" w:lineRule="exact"/>
              <w:jc w:val="center"/>
              <w:rPr>
                <w:szCs w:val="21"/>
              </w:rPr>
            </w:pPr>
            <w:r>
              <w:rPr>
                <w:szCs w:val="21"/>
              </w:rPr>
              <w:t>好</w:t>
            </w:r>
          </w:p>
        </w:tc>
        <w:tc>
          <w:tcPr>
            <w:tcW w:w="1293" w:type="dxa"/>
            <w:vAlign w:val="center"/>
          </w:tcPr>
          <w:p>
            <w:pPr>
              <w:spacing w:line="400" w:lineRule="exact"/>
              <w:jc w:val="center"/>
              <w:rPr>
                <w:szCs w:val="21"/>
              </w:rPr>
            </w:pPr>
            <w:r>
              <w:rPr>
                <w:szCs w:val="21"/>
              </w:rPr>
              <w:t>较好</w:t>
            </w:r>
          </w:p>
        </w:tc>
        <w:tc>
          <w:tcPr>
            <w:tcW w:w="1183" w:type="dxa"/>
            <w:vAlign w:val="center"/>
          </w:tcPr>
          <w:p>
            <w:pPr>
              <w:spacing w:line="400" w:lineRule="exact"/>
              <w:jc w:val="center"/>
              <w:rPr>
                <w:szCs w:val="21"/>
              </w:rPr>
            </w:pPr>
            <w:r>
              <w:rPr>
                <w:szCs w:val="21"/>
              </w:rPr>
              <w:t>一般</w:t>
            </w:r>
          </w:p>
        </w:tc>
        <w:tc>
          <w:tcPr>
            <w:tcW w:w="1183" w:type="dxa"/>
            <w:vAlign w:val="center"/>
          </w:tcPr>
          <w:p>
            <w:pPr>
              <w:spacing w:line="400" w:lineRule="exact"/>
              <w:jc w:val="center"/>
              <w:rPr>
                <w:szCs w:val="21"/>
              </w:rPr>
            </w:pPr>
            <w:r>
              <w:rPr>
                <w:szCs w:val="21"/>
              </w:rPr>
              <w:t>较差</w:t>
            </w:r>
          </w:p>
        </w:tc>
        <w:tc>
          <w:tcPr>
            <w:tcW w:w="1098" w:type="dxa"/>
            <w:vAlign w:val="center"/>
          </w:tcPr>
          <w:p>
            <w:pPr>
              <w:spacing w:line="400" w:lineRule="exact"/>
              <w:jc w:val="center"/>
              <w:rPr>
                <w:szCs w:val="21"/>
              </w:rPr>
            </w:pPr>
            <w:r>
              <w:rPr>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Merge w:val="restart"/>
            <w:vAlign w:val="center"/>
          </w:tcPr>
          <w:p>
            <w:pPr>
              <w:spacing w:line="400" w:lineRule="exact"/>
              <w:jc w:val="center"/>
              <w:rPr>
                <w:szCs w:val="21"/>
              </w:rPr>
            </w:pPr>
            <w:r>
              <w:rPr>
                <w:szCs w:val="21"/>
              </w:rPr>
              <w:t>交通条件</w:t>
            </w:r>
          </w:p>
        </w:tc>
        <w:tc>
          <w:tcPr>
            <w:tcW w:w="1070" w:type="dxa"/>
            <w:vAlign w:val="center"/>
          </w:tcPr>
          <w:p>
            <w:pPr>
              <w:spacing w:line="400" w:lineRule="exact"/>
              <w:jc w:val="center"/>
              <w:rPr>
                <w:szCs w:val="21"/>
              </w:rPr>
            </w:pPr>
            <w:r>
              <w:rPr>
                <w:szCs w:val="21"/>
              </w:rPr>
              <w:t>道路通达度</w:t>
            </w:r>
          </w:p>
        </w:tc>
        <w:tc>
          <w:tcPr>
            <w:tcW w:w="1070" w:type="dxa"/>
            <w:vAlign w:val="center"/>
          </w:tcPr>
          <w:p>
            <w:pPr>
              <w:spacing w:line="400" w:lineRule="exact"/>
              <w:jc w:val="center"/>
              <w:rPr>
                <w:szCs w:val="21"/>
              </w:rPr>
            </w:pPr>
            <w:r>
              <w:rPr>
                <w:szCs w:val="21"/>
              </w:rPr>
              <w:t>临近道路状况</w:t>
            </w:r>
          </w:p>
        </w:tc>
        <w:tc>
          <w:tcPr>
            <w:tcW w:w="1111" w:type="dxa"/>
            <w:vAlign w:val="center"/>
          </w:tcPr>
          <w:p>
            <w:pPr>
              <w:spacing w:line="400" w:lineRule="exact"/>
              <w:jc w:val="center"/>
              <w:rPr>
                <w:szCs w:val="21"/>
              </w:rPr>
            </w:pPr>
            <w:r>
              <w:rPr>
                <w:szCs w:val="21"/>
              </w:rPr>
              <w:t>交通型主干道</w:t>
            </w:r>
          </w:p>
        </w:tc>
        <w:tc>
          <w:tcPr>
            <w:tcW w:w="1293" w:type="dxa"/>
            <w:vAlign w:val="center"/>
          </w:tcPr>
          <w:p>
            <w:pPr>
              <w:spacing w:line="400" w:lineRule="exact"/>
              <w:jc w:val="center"/>
              <w:rPr>
                <w:szCs w:val="21"/>
              </w:rPr>
            </w:pPr>
            <w:r>
              <w:rPr>
                <w:szCs w:val="21"/>
              </w:rPr>
              <w:t>混合型主干道</w:t>
            </w:r>
          </w:p>
        </w:tc>
        <w:tc>
          <w:tcPr>
            <w:tcW w:w="1183" w:type="dxa"/>
            <w:vAlign w:val="center"/>
          </w:tcPr>
          <w:p>
            <w:pPr>
              <w:spacing w:line="400" w:lineRule="exact"/>
              <w:jc w:val="center"/>
              <w:rPr>
                <w:szCs w:val="21"/>
              </w:rPr>
            </w:pPr>
            <w:r>
              <w:rPr>
                <w:szCs w:val="21"/>
              </w:rPr>
              <w:t>交通型次干道</w:t>
            </w:r>
          </w:p>
        </w:tc>
        <w:tc>
          <w:tcPr>
            <w:tcW w:w="1183" w:type="dxa"/>
            <w:vAlign w:val="center"/>
          </w:tcPr>
          <w:p>
            <w:pPr>
              <w:spacing w:line="400" w:lineRule="exact"/>
              <w:jc w:val="center"/>
              <w:rPr>
                <w:szCs w:val="21"/>
              </w:rPr>
            </w:pPr>
            <w:r>
              <w:rPr>
                <w:szCs w:val="21"/>
              </w:rPr>
              <w:t>生活型次干道</w:t>
            </w:r>
          </w:p>
        </w:tc>
        <w:tc>
          <w:tcPr>
            <w:tcW w:w="1098" w:type="dxa"/>
            <w:vAlign w:val="center"/>
          </w:tcPr>
          <w:p>
            <w:pPr>
              <w:spacing w:line="400" w:lineRule="exact"/>
              <w:jc w:val="center"/>
              <w:rPr>
                <w:szCs w:val="21"/>
              </w:rPr>
            </w:pPr>
            <w:r>
              <w:rPr>
                <w:szCs w:val="21"/>
              </w:rPr>
              <w:t>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Merge w:val="continue"/>
            <w:vAlign w:val="center"/>
          </w:tcPr>
          <w:p>
            <w:pPr>
              <w:spacing w:line="400" w:lineRule="exact"/>
              <w:jc w:val="center"/>
              <w:rPr>
                <w:szCs w:val="21"/>
              </w:rPr>
            </w:pPr>
          </w:p>
        </w:tc>
        <w:tc>
          <w:tcPr>
            <w:tcW w:w="1070" w:type="dxa"/>
            <w:vAlign w:val="center"/>
          </w:tcPr>
          <w:p>
            <w:pPr>
              <w:spacing w:line="400" w:lineRule="exact"/>
              <w:jc w:val="center"/>
              <w:rPr>
                <w:szCs w:val="21"/>
              </w:rPr>
            </w:pPr>
            <w:r>
              <w:rPr>
                <w:szCs w:val="21"/>
              </w:rPr>
              <w:t>公交便捷度</w:t>
            </w:r>
          </w:p>
        </w:tc>
        <w:tc>
          <w:tcPr>
            <w:tcW w:w="1070" w:type="dxa"/>
            <w:vAlign w:val="center"/>
          </w:tcPr>
          <w:p>
            <w:pPr>
              <w:spacing w:line="400" w:lineRule="exact"/>
              <w:jc w:val="center"/>
              <w:rPr>
                <w:szCs w:val="21"/>
              </w:rPr>
            </w:pPr>
            <w:r>
              <w:rPr>
                <w:szCs w:val="21"/>
              </w:rPr>
              <w:t>距最近公交站点距离</w:t>
            </w:r>
          </w:p>
        </w:tc>
        <w:tc>
          <w:tcPr>
            <w:tcW w:w="1111" w:type="dxa"/>
            <w:vAlign w:val="center"/>
          </w:tcPr>
          <w:p>
            <w:pPr>
              <w:spacing w:line="400" w:lineRule="exact"/>
              <w:jc w:val="center"/>
              <w:rPr>
                <w:szCs w:val="21"/>
              </w:rPr>
            </w:pPr>
            <w:r>
              <w:rPr>
                <w:szCs w:val="21"/>
              </w:rPr>
              <w:t>&lt;1</w:t>
            </w:r>
            <w:r>
              <w:rPr>
                <w:rFonts w:hint="eastAsia"/>
                <w:szCs w:val="21"/>
              </w:rPr>
              <w:t>4</w:t>
            </w:r>
            <w:r>
              <w:rPr>
                <w:szCs w:val="21"/>
              </w:rPr>
              <w:t>00</w:t>
            </w:r>
          </w:p>
        </w:tc>
        <w:tc>
          <w:tcPr>
            <w:tcW w:w="1293" w:type="dxa"/>
            <w:vAlign w:val="center"/>
          </w:tcPr>
          <w:p>
            <w:pPr>
              <w:spacing w:line="400" w:lineRule="exact"/>
              <w:jc w:val="center"/>
              <w:rPr>
                <w:szCs w:val="21"/>
              </w:rPr>
            </w:pPr>
            <w:r>
              <w:rPr>
                <w:szCs w:val="21"/>
              </w:rPr>
              <w:t>1</w:t>
            </w:r>
            <w:r>
              <w:rPr>
                <w:rFonts w:hint="eastAsia"/>
                <w:szCs w:val="21"/>
              </w:rPr>
              <w:t>4</w:t>
            </w:r>
            <w:r>
              <w:rPr>
                <w:szCs w:val="21"/>
              </w:rPr>
              <w:t>00-1</w:t>
            </w:r>
            <w:r>
              <w:rPr>
                <w:rFonts w:hint="eastAsia"/>
                <w:szCs w:val="21"/>
              </w:rPr>
              <w:t>7</w:t>
            </w:r>
            <w:r>
              <w:rPr>
                <w:szCs w:val="21"/>
              </w:rPr>
              <w:t>00</w:t>
            </w:r>
          </w:p>
        </w:tc>
        <w:tc>
          <w:tcPr>
            <w:tcW w:w="1183" w:type="dxa"/>
            <w:vAlign w:val="center"/>
          </w:tcPr>
          <w:p>
            <w:pPr>
              <w:spacing w:line="400" w:lineRule="exact"/>
              <w:jc w:val="center"/>
              <w:rPr>
                <w:szCs w:val="21"/>
              </w:rPr>
            </w:pPr>
            <w:r>
              <w:rPr>
                <w:szCs w:val="21"/>
              </w:rPr>
              <w:t>1</w:t>
            </w:r>
            <w:r>
              <w:rPr>
                <w:rFonts w:hint="eastAsia"/>
                <w:szCs w:val="21"/>
              </w:rPr>
              <w:t>7</w:t>
            </w:r>
            <w:r>
              <w:rPr>
                <w:szCs w:val="21"/>
              </w:rPr>
              <w:t>00-</w:t>
            </w:r>
            <w:r>
              <w:rPr>
                <w:rFonts w:hint="eastAsia"/>
                <w:szCs w:val="21"/>
              </w:rPr>
              <w:t>20</w:t>
            </w:r>
            <w:r>
              <w:rPr>
                <w:szCs w:val="21"/>
              </w:rPr>
              <w:t>00</w:t>
            </w:r>
          </w:p>
        </w:tc>
        <w:tc>
          <w:tcPr>
            <w:tcW w:w="1183" w:type="dxa"/>
            <w:vAlign w:val="center"/>
          </w:tcPr>
          <w:p>
            <w:pPr>
              <w:spacing w:line="400" w:lineRule="exact"/>
              <w:jc w:val="center"/>
              <w:rPr>
                <w:szCs w:val="21"/>
              </w:rPr>
            </w:pPr>
            <w:r>
              <w:rPr>
                <w:rFonts w:hint="eastAsia"/>
                <w:szCs w:val="21"/>
              </w:rPr>
              <w:t>20</w:t>
            </w:r>
            <w:r>
              <w:rPr>
                <w:szCs w:val="21"/>
              </w:rPr>
              <w:t>00-2</w:t>
            </w:r>
            <w:r>
              <w:rPr>
                <w:rFonts w:hint="eastAsia"/>
                <w:szCs w:val="21"/>
              </w:rPr>
              <w:t>4</w:t>
            </w:r>
            <w:r>
              <w:rPr>
                <w:szCs w:val="21"/>
              </w:rPr>
              <w:t>00</w:t>
            </w:r>
          </w:p>
        </w:tc>
        <w:tc>
          <w:tcPr>
            <w:tcW w:w="1098" w:type="dxa"/>
            <w:vAlign w:val="center"/>
          </w:tcPr>
          <w:p>
            <w:pPr>
              <w:spacing w:line="400" w:lineRule="exact"/>
              <w:jc w:val="center"/>
              <w:rPr>
                <w:szCs w:val="21"/>
              </w:rPr>
            </w:pPr>
            <w:r>
              <w:rPr>
                <w:szCs w:val="21"/>
              </w:rPr>
              <w:t>&gt;2</w:t>
            </w:r>
            <w:r>
              <w:rPr>
                <w:rFonts w:hint="eastAsia"/>
                <w:szCs w:val="21"/>
              </w:rPr>
              <w:t>4</w:t>
            </w:r>
            <w:r>
              <w:rPr>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Align w:val="center"/>
          </w:tcPr>
          <w:p>
            <w:pPr>
              <w:spacing w:line="400" w:lineRule="exact"/>
              <w:jc w:val="center"/>
              <w:rPr>
                <w:szCs w:val="21"/>
              </w:rPr>
            </w:pPr>
            <w:r>
              <w:rPr>
                <w:szCs w:val="21"/>
              </w:rPr>
              <w:t>人口状况</w:t>
            </w:r>
          </w:p>
        </w:tc>
        <w:tc>
          <w:tcPr>
            <w:tcW w:w="1070" w:type="dxa"/>
            <w:vAlign w:val="center"/>
          </w:tcPr>
          <w:p>
            <w:pPr>
              <w:spacing w:line="400" w:lineRule="exact"/>
              <w:jc w:val="center"/>
              <w:rPr>
                <w:szCs w:val="21"/>
              </w:rPr>
            </w:pPr>
            <w:r>
              <w:rPr>
                <w:szCs w:val="21"/>
              </w:rPr>
              <w:t>人口密度</w:t>
            </w:r>
          </w:p>
        </w:tc>
        <w:tc>
          <w:tcPr>
            <w:tcW w:w="1070" w:type="dxa"/>
            <w:vAlign w:val="center"/>
          </w:tcPr>
          <w:p>
            <w:pPr>
              <w:spacing w:line="400" w:lineRule="exact"/>
              <w:jc w:val="center"/>
              <w:rPr>
                <w:szCs w:val="21"/>
              </w:rPr>
            </w:pPr>
            <w:r>
              <w:rPr>
                <w:szCs w:val="21"/>
              </w:rPr>
              <w:t>人口密度</w:t>
            </w:r>
          </w:p>
        </w:tc>
        <w:tc>
          <w:tcPr>
            <w:tcW w:w="1111" w:type="dxa"/>
            <w:vAlign w:val="center"/>
          </w:tcPr>
          <w:p>
            <w:pPr>
              <w:spacing w:line="400" w:lineRule="exact"/>
              <w:jc w:val="center"/>
              <w:rPr>
                <w:szCs w:val="21"/>
              </w:rPr>
            </w:pPr>
            <w:r>
              <w:rPr>
                <w:szCs w:val="21"/>
              </w:rPr>
              <w:t>≥</w:t>
            </w:r>
            <w:r>
              <w:rPr>
                <w:rFonts w:hint="eastAsia"/>
                <w:szCs w:val="21"/>
              </w:rPr>
              <w:t>9</w:t>
            </w:r>
            <w:r>
              <w:rPr>
                <w:szCs w:val="21"/>
              </w:rPr>
              <w:t>000</w:t>
            </w:r>
          </w:p>
        </w:tc>
        <w:tc>
          <w:tcPr>
            <w:tcW w:w="1293" w:type="dxa"/>
            <w:vAlign w:val="center"/>
          </w:tcPr>
          <w:p>
            <w:pPr>
              <w:spacing w:line="400" w:lineRule="exact"/>
              <w:jc w:val="center"/>
              <w:rPr>
                <w:szCs w:val="21"/>
              </w:rPr>
            </w:pPr>
            <w:r>
              <w:rPr>
                <w:rFonts w:hint="eastAsia"/>
                <w:szCs w:val="21"/>
              </w:rPr>
              <w:t>9</w:t>
            </w:r>
            <w:r>
              <w:rPr>
                <w:szCs w:val="21"/>
              </w:rPr>
              <w:t>000-</w:t>
            </w:r>
            <w:r>
              <w:rPr>
                <w:rFonts w:hint="eastAsia"/>
                <w:szCs w:val="21"/>
              </w:rPr>
              <w:t>45</w:t>
            </w:r>
            <w:r>
              <w:rPr>
                <w:szCs w:val="21"/>
              </w:rPr>
              <w:t>00</w:t>
            </w:r>
          </w:p>
        </w:tc>
        <w:tc>
          <w:tcPr>
            <w:tcW w:w="1183" w:type="dxa"/>
            <w:vAlign w:val="center"/>
          </w:tcPr>
          <w:p>
            <w:pPr>
              <w:spacing w:line="400" w:lineRule="exact"/>
              <w:jc w:val="center"/>
              <w:rPr>
                <w:szCs w:val="21"/>
              </w:rPr>
            </w:pPr>
            <w:r>
              <w:rPr>
                <w:rFonts w:hint="eastAsia"/>
                <w:szCs w:val="21"/>
              </w:rPr>
              <w:t>45</w:t>
            </w:r>
            <w:r>
              <w:rPr>
                <w:szCs w:val="21"/>
              </w:rPr>
              <w:t>00-</w:t>
            </w:r>
            <w:r>
              <w:rPr>
                <w:rFonts w:hint="eastAsia"/>
                <w:szCs w:val="21"/>
              </w:rPr>
              <w:t>2</w:t>
            </w:r>
            <w:r>
              <w:rPr>
                <w:szCs w:val="21"/>
              </w:rPr>
              <w:t>000</w:t>
            </w:r>
          </w:p>
        </w:tc>
        <w:tc>
          <w:tcPr>
            <w:tcW w:w="1183" w:type="dxa"/>
            <w:vAlign w:val="center"/>
          </w:tcPr>
          <w:p>
            <w:pPr>
              <w:spacing w:line="400" w:lineRule="exact"/>
              <w:jc w:val="center"/>
              <w:rPr>
                <w:szCs w:val="21"/>
              </w:rPr>
            </w:pPr>
            <w:r>
              <w:rPr>
                <w:rFonts w:hint="eastAsia"/>
                <w:szCs w:val="21"/>
              </w:rPr>
              <w:t>2</w:t>
            </w:r>
            <w:r>
              <w:rPr>
                <w:szCs w:val="21"/>
              </w:rPr>
              <w:t>000-1000</w:t>
            </w:r>
          </w:p>
        </w:tc>
        <w:tc>
          <w:tcPr>
            <w:tcW w:w="1098" w:type="dxa"/>
            <w:vAlign w:val="center"/>
          </w:tcPr>
          <w:p>
            <w:pPr>
              <w:spacing w:line="400" w:lineRule="exact"/>
              <w:jc w:val="center"/>
              <w:rPr>
                <w:szCs w:val="21"/>
              </w:rPr>
            </w:pPr>
            <w:r>
              <w:rPr>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Merge w:val="restart"/>
            <w:vAlign w:val="center"/>
          </w:tcPr>
          <w:p>
            <w:pPr>
              <w:spacing w:line="400" w:lineRule="exact"/>
              <w:jc w:val="center"/>
              <w:rPr>
                <w:szCs w:val="21"/>
              </w:rPr>
            </w:pPr>
            <w:r>
              <w:rPr>
                <w:szCs w:val="21"/>
              </w:rPr>
              <w:t>环境条件</w:t>
            </w:r>
          </w:p>
        </w:tc>
        <w:tc>
          <w:tcPr>
            <w:tcW w:w="1070" w:type="dxa"/>
            <w:vMerge w:val="restart"/>
            <w:vAlign w:val="center"/>
          </w:tcPr>
          <w:p>
            <w:pPr>
              <w:spacing w:line="400" w:lineRule="exact"/>
              <w:jc w:val="center"/>
              <w:rPr>
                <w:szCs w:val="21"/>
              </w:rPr>
            </w:pPr>
            <w:r>
              <w:rPr>
                <w:szCs w:val="21"/>
              </w:rPr>
              <w:t>自然条件优劣度</w:t>
            </w:r>
          </w:p>
        </w:tc>
        <w:tc>
          <w:tcPr>
            <w:tcW w:w="1070" w:type="dxa"/>
            <w:vAlign w:val="center"/>
          </w:tcPr>
          <w:p>
            <w:pPr>
              <w:spacing w:line="400" w:lineRule="exact"/>
              <w:jc w:val="center"/>
              <w:rPr>
                <w:szCs w:val="21"/>
              </w:rPr>
            </w:pPr>
            <w:r>
              <w:rPr>
                <w:szCs w:val="21"/>
              </w:rPr>
              <w:t>地形状况</w:t>
            </w:r>
          </w:p>
        </w:tc>
        <w:tc>
          <w:tcPr>
            <w:tcW w:w="1111" w:type="dxa"/>
            <w:vAlign w:val="center"/>
          </w:tcPr>
          <w:p>
            <w:pPr>
              <w:spacing w:line="400" w:lineRule="exact"/>
              <w:jc w:val="center"/>
              <w:rPr>
                <w:szCs w:val="21"/>
              </w:rPr>
            </w:pPr>
            <w:r>
              <w:rPr>
                <w:szCs w:val="21"/>
              </w:rPr>
              <w:t>地势平坦</w:t>
            </w:r>
          </w:p>
        </w:tc>
        <w:tc>
          <w:tcPr>
            <w:tcW w:w="1293" w:type="dxa"/>
            <w:vAlign w:val="center"/>
          </w:tcPr>
          <w:p>
            <w:pPr>
              <w:spacing w:line="400" w:lineRule="exact"/>
              <w:jc w:val="center"/>
              <w:rPr>
                <w:szCs w:val="21"/>
              </w:rPr>
            </w:pPr>
            <w:r>
              <w:rPr>
                <w:szCs w:val="21"/>
              </w:rPr>
              <w:t>较平坦，对建筑物无影响</w:t>
            </w:r>
          </w:p>
        </w:tc>
        <w:tc>
          <w:tcPr>
            <w:tcW w:w="1183" w:type="dxa"/>
            <w:vAlign w:val="center"/>
          </w:tcPr>
          <w:p>
            <w:pPr>
              <w:spacing w:line="400" w:lineRule="exact"/>
              <w:jc w:val="center"/>
              <w:rPr>
                <w:szCs w:val="21"/>
              </w:rPr>
            </w:pPr>
            <w:r>
              <w:rPr>
                <w:szCs w:val="21"/>
              </w:rPr>
              <w:t>较平坦，对建筑物影响较小</w:t>
            </w:r>
          </w:p>
        </w:tc>
        <w:tc>
          <w:tcPr>
            <w:tcW w:w="1183" w:type="dxa"/>
            <w:vAlign w:val="center"/>
          </w:tcPr>
          <w:p>
            <w:pPr>
              <w:spacing w:line="400" w:lineRule="exact"/>
              <w:jc w:val="center"/>
              <w:rPr>
                <w:szCs w:val="21"/>
              </w:rPr>
            </w:pPr>
            <w:r>
              <w:rPr>
                <w:szCs w:val="21"/>
              </w:rPr>
              <w:t>不平坦，需考虑坡度影响</w:t>
            </w:r>
          </w:p>
        </w:tc>
        <w:tc>
          <w:tcPr>
            <w:tcW w:w="1098" w:type="dxa"/>
            <w:vAlign w:val="center"/>
          </w:tcPr>
          <w:p>
            <w:pPr>
              <w:spacing w:line="400" w:lineRule="exact"/>
              <w:jc w:val="center"/>
              <w:rPr>
                <w:szCs w:val="21"/>
              </w:rPr>
            </w:pPr>
            <w:r>
              <w:rPr>
                <w:szCs w:val="21"/>
              </w:rPr>
              <w:t>不平坦，需经平整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Merge w:val="continue"/>
            <w:vAlign w:val="center"/>
          </w:tcPr>
          <w:p>
            <w:pPr>
              <w:spacing w:line="400" w:lineRule="exact"/>
              <w:jc w:val="center"/>
              <w:rPr>
                <w:szCs w:val="21"/>
              </w:rPr>
            </w:pPr>
          </w:p>
        </w:tc>
        <w:tc>
          <w:tcPr>
            <w:tcW w:w="1070" w:type="dxa"/>
            <w:vMerge w:val="continue"/>
            <w:vAlign w:val="center"/>
          </w:tcPr>
          <w:p>
            <w:pPr>
              <w:spacing w:line="400" w:lineRule="exact"/>
              <w:jc w:val="center"/>
              <w:rPr>
                <w:szCs w:val="21"/>
              </w:rPr>
            </w:pPr>
          </w:p>
        </w:tc>
        <w:tc>
          <w:tcPr>
            <w:tcW w:w="1070" w:type="dxa"/>
            <w:vAlign w:val="center"/>
          </w:tcPr>
          <w:p>
            <w:pPr>
              <w:spacing w:line="400" w:lineRule="exact"/>
              <w:jc w:val="center"/>
              <w:rPr>
                <w:szCs w:val="21"/>
              </w:rPr>
            </w:pPr>
            <w:r>
              <w:rPr>
                <w:szCs w:val="21"/>
              </w:rPr>
              <w:t>洪水淹没状况</w:t>
            </w:r>
          </w:p>
        </w:tc>
        <w:tc>
          <w:tcPr>
            <w:tcW w:w="1111" w:type="dxa"/>
            <w:vAlign w:val="center"/>
          </w:tcPr>
          <w:p>
            <w:pPr>
              <w:spacing w:line="400" w:lineRule="exact"/>
              <w:jc w:val="center"/>
              <w:rPr>
                <w:szCs w:val="21"/>
              </w:rPr>
            </w:pPr>
            <w:r>
              <w:rPr>
                <w:szCs w:val="21"/>
              </w:rPr>
              <w:t>&gt;100年一遇</w:t>
            </w:r>
          </w:p>
        </w:tc>
        <w:tc>
          <w:tcPr>
            <w:tcW w:w="1293" w:type="dxa"/>
            <w:vAlign w:val="center"/>
          </w:tcPr>
          <w:p>
            <w:pPr>
              <w:spacing w:line="400" w:lineRule="exact"/>
              <w:jc w:val="center"/>
              <w:rPr>
                <w:szCs w:val="21"/>
              </w:rPr>
            </w:pPr>
            <w:r>
              <w:rPr>
                <w:szCs w:val="21"/>
              </w:rPr>
              <w:t>50-100年一遇</w:t>
            </w:r>
          </w:p>
        </w:tc>
        <w:tc>
          <w:tcPr>
            <w:tcW w:w="1183" w:type="dxa"/>
            <w:vAlign w:val="center"/>
          </w:tcPr>
          <w:p>
            <w:pPr>
              <w:spacing w:line="400" w:lineRule="exact"/>
              <w:jc w:val="center"/>
              <w:rPr>
                <w:szCs w:val="21"/>
              </w:rPr>
            </w:pPr>
            <w:r>
              <w:rPr>
                <w:szCs w:val="21"/>
              </w:rPr>
              <w:t>20—50年一遇</w:t>
            </w:r>
          </w:p>
        </w:tc>
        <w:tc>
          <w:tcPr>
            <w:tcW w:w="1183" w:type="dxa"/>
            <w:vAlign w:val="center"/>
          </w:tcPr>
          <w:p>
            <w:pPr>
              <w:spacing w:line="400" w:lineRule="exact"/>
              <w:jc w:val="center"/>
              <w:rPr>
                <w:szCs w:val="21"/>
              </w:rPr>
            </w:pPr>
            <w:r>
              <w:rPr>
                <w:szCs w:val="21"/>
              </w:rPr>
              <w:t>10-20年一遇</w:t>
            </w:r>
          </w:p>
        </w:tc>
        <w:tc>
          <w:tcPr>
            <w:tcW w:w="1098" w:type="dxa"/>
            <w:vAlign w:val="center"/>
          </w:tcPr>
          <w:p>
            <w:pPr>
              <w:spacing w:line="400" w:lineRule="exact"/>
              <w:jc w:val="center"/>
              <w:rPr>
                <w:szCs w:val="21"/>
              </w:rPr>
            </w:pPr>
            <w:r>
              <w:rPr>
                <w:szCs w:val="21"/>
              </w:rPr>
              <w:t>&lt;10年一遇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Align w:val="center"/>
          </w:tcPr>
          <w:p>
            <w:pPr>
              <w:spacing w:line="400" w:lineRule="exact"/>
              <w:jc w:val="center"/>
              <w:rPr>
                <w:szCs w:val="21"/>
              </w:rPr>
            </w:pPr>
            <w:r>
              <w:rPr>
                <w:szCs w:val="21"/>
              </w:rPr>
              <w:t>城市规划</w:t>
            </w:r>
          </w:p>
        </w:tc>
        <w:tc>
          <w:tcPr>
            <w:tcW w:w="1070" w:type="dxa"/>
            <w:vAlign w:val="center"/>
          </w:tcPr>
          <w:p>
            <w:pPr>
              <w:spacing w:line="400" w:lineRule="exact"/>
              <w:jc w:val="center"/>
              <w:rPr>
                <w:szCs w:val="21"/>
              </w:rPr>
            </w:pPr>
            <w:r>
              <w:rPr>
                <w:szCs w:val="21"/>
              </w:rPr>
              <w:t>城市规划</w:t>
            </w:r>
          </w:p>
        </w:tc>
        <w:tc>
          <w:tcPr>
            <w:tcW w:w="1070" w:type="dxa"/>
            <w:vAlign w:val="center"/>
          </w:tcPr>
          <w:p>
            <w:pPr>
              <w:spacing w:line="400" w:lineRule="exact"/>
              <w:jc w:val="center"/>
              <w:rPr>
                <w:szCs w:val="21"/>
              </w:rPr>
            </w:pPr>
            <w:r>
              <w:rPr>
                <w:szCs w:val="21"/>
              </w:rPr>
              <w:t>道路规划</w:t>
            </w:r>
          </w:p>
        </w:tc>
        <w:tc>
          <w:tcPr>
            <w:tcW w:w="1111" w:type="dxa"/>
            <w:vAlign w:val="center"/>
          </w:tcPr>
          <w:p>
            <w:pPr>
              <w:spacing w:line="400" w:lineRule="exact"/>
              <w:jc w:val="center"/>
              <w:rPr>
                <w:szCs w:val="21"/>
              </w:rPr>
            </w:pPr>
            <w:r>
              <w:rPr>
                <w:szCs w:val="21"/>
              </w:rPr>
              <w:t>交通型主干道</w:t>
            </w:r>
          </w:p>
        </w:tc>
        <w:tc>
          <w:tcPr>
            <w:tcW w:w="1293" w:type="dxa"/>
            <w:vAlign w:val="center"/>
          </w:tcPr>
          <w:p>
            <w:pPr>
              <w:spacing w:line="400" w:lineRule="exact"/>
              <w:jc w:val="center"/>
              <w:rPr>
                <w:szCs w:val="21"/>
              </w:rPr>
            </w:pPr>
            <w:r>
              <w:rPr>
                <w:szCs w:val="21"/>
              </w:rPr>
              <w:t>混合型主干道</w:t>
            </w:r>
          </w:p>
        </w:tc>
        <w:tc>
          <w:tcPr>
            <w:tcW w:w="1183" w:type="dxa"/>
            <w:vAlign w:val="center"/>
          </w:tcPr>
          <w:p>
            <w:pPr>
              <w:spacing w:line="400" w:lineRule="exact"/>
              <w:jc w:val="center"/>
              <w:rPr>
                <w:szCs w:val="21"/>
              </w:rPr>
            </w:pPr>
            <w:r>
              <w:rPr>
                <w:szCs w:val="21"/>
              </w:rPr>
              <w:t>交通型次干道，生活型主干道</w:t>
            </w:r>
          </w:p>
        </w:tc>
        <w:tc>
          <w:tcPr>
            <w:tcW w:w="1183" w:type="dxa"/>
            <w:vAlign w:val="center"/>
          </w:tcPr>
          <w:p>
            <w:pPr>
              <w:spacing w:line="400" w:lineRule="exact"/>
              <w:jc w:val="center"/>
              <w:rPr>
                <w:szCs w:val="21"/>
              </w:rPr>
            </w:pPr>
            <w:r>
              <w:rPr>
                <w:szCs w:val="21"/>
              </w:rPr>
              <w:t>生活型次干道</w:t>
            </w:r>
          </w:p>
        </w:tc>
        <w:tc>
          <w:tcPr>
            <w:tcW w:w="1098" w:type="dxa"/>
            <w:vAlign w:val="center"/>
          </w:tcPr>
          <w:p>
            <w:pPr>
              <w:spacing w:line="400" w:lineRule="exact"/>
              <w:jc w:val="center"/>
              <w:rPr>
                <w:szCs w:val="21"/>
              </w:rPr>
            </w:pPr>
            <w:r>
              <w:rPr>
                <w:szCs w:val="21"/>
              </w:rPr>
              <w:t>支路</w:t>
            </w:r>
          </w:p>
        </w:tc>
      </w:tr>
    </w:tbl>
    <w:p>
      <w:pPr>
        <w:pStyle w:val="131"/>
        <w:spacing w:beforeLines="50" w:afterLines="50"/>
        <w:ind w:firstLine="0" w:firstLineChars="0"/>
        <w:rPr>
          <w:rFonts w:ascii="Times New Roman" w:hAnsi="Times New Roman"/>
          <w:sz w:val="24"/>
        </w:rPr>
      </w:pPr>
      <w:r>
        <w:rPr>
          <w:rFonts w:ascii="Times New Roman" w:hAnsi="Times New Roman"/>
          <w:sz w:val="24"/>
        </w:rPr>
        <w:br w:type="page"/>
      </w:r>
      <w:r>
        <w:rPr>
          <w:rFonts w:ascii="Times New Roman" w:hAnsi="Times New Roman"/>
          <w:sz w:val="24"/>
        </w:rPr>
        <w:t>表4-6-1</w:t>
      </w:r>
      <w:r>
        <w:rPr>
          <w:rFonts w:hint="eastAsia" w:ascii="Times New Roman" w:hAnsi="Times New Roman"/>
          <w:sz w:val="24"/>
        </w:rPr>
        <w:t>7</w:t>
      </w:r>
      <w:r>
        <w:rPr>
          <w:rFonts w:ascii="Times New Roman" w:hAnsi="Times New Roman"/>
          <w:sz w:val="24"/>
        </w:rPr>
        <w:t xml:space="preserve">  Ⅴ级公共管理与公共服务二类用地宗地地价区域因素修正系数表</w:t>
      </w:r>
    </w:p>
    <w:tbl>
      <w:tblPr>
        <w:tblW w:w="9030" w:type="dxa"/>
        <w:jc w:val="center"/>
        <w:tblInd w:w="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41"/>
        <w:gridCol w:w="843"/>
        <w:gridCol w:w="851"/>
        <w:gridCol w:w="1091"/>
        <w:gridCol w:w="873"/>
        <w:gridCol w:w="711"/>
        <w:gridCol w:w="711"/>
        <w:gridCol w:w="689"/>
        <w:gridCol w:w="785"/>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850" w:type="dxa"/>
            <w:vAlign w:val="center"/>
          </w:tcPr>
          <w:p>
            <w:pPr>
              <w:spacing w:line="400" w:lineRule="exact"/>
              <w:jc w:val="center"/>
              <w:rPr>
                <w:b/>
                <w:bCs/>
                <w:szCs w:val="21"/>
              </w:rPr>
            </w:pPr>
            <w:r>
              <w:rPr>
                <w:b/>
                <w:bCs/>
                <w:szCs w:val="21"/>
              </w:rPr>
              <w:t>因素层</w:t>
            </w:r>
          </w:p>
        </w:tc>
        <w:tc>
          <w:tcPr>
            <w:tcW w:w="841" w:type="dxa"/>
            <w:vAlign w:val="center"/>
          </w:tcPr>
          <w:p>
            <w:pPr>
              <w:spacing w:line="400" w:lineRule="exact"/>
              <w:jc w:val="center"/>
              <w:rPr>
                <w:b/>
                <w:bCs/>
                <w:szCs w:val="21"/>
              </w:rPr>
            </w:pPr>
            <w:r>
              <w:rPr>
                <w:b/>
                <w:bCs/>
                <w:szCs w:val="21"/>
              </w:rPr>
              <w:t>权重</w:t>
            </w:r>
          </w:p>
        </w:tc>
        <w:tc>
          <w:tcPr>
            <w:tcW w:w="843" w:type="dxa"/>
            <w:vAlign w:val="center"/>
          </w:tcPr>
          <w:p>
            <w:pPr>
              <w:spacing w:line="400" w:lineRule="exact"/>
              <w:jc w:val="center"/>
              <w:rPr>
                <w:b/>
                <w:bCs/>
                <w:szCs w:val="21"/>
              </w:rPr>
            </w:pPr>
            <w:r>
              <w:rPr>
                <w:b/>
                <w:bCs/>
                <w:szCs w:val="21"/>
              </w:rPr>
              <w:t>因子层</w:t>
            </w:r>
          </w:p>
        </w:tc>
        <w:tc>
          <w:tcPr>
            <w:tcW w:w="851" w:type="dxa"/>
            <w:vAlign w:val="center"/>
          </w:tcPr>
          <w:p>
            <w:pPr>
              <w:spacing w:line="400" w:lineRule="exact"/>
              <w:jc w:val="center"/>
              <w:rPr>
                <w:b/>
                <w:bCs/>
                <w:szCs w:val="21"/>
              </w:rPr>
            </w:pPr>
            <w:r>
              <w:rPr>
                <w:b/>
                <w:bCs/>
                <w:szCs w:val="21"/>
              </w:rPr>
              <w:t>权重</w:t>
            </w:r>
          </w:p>
        </w:tc>
        <w:tc>
          <w:tcPr>
            <w:tcW w:w="1091" w:type="dxa"/>
            <w:vAlign w:val="center"/>
          </w:tcPr>
          <w:p>
            <w:pPr>
              <w:spacing w:line="400" w:lineRule="exact"/>
              <w:jc w:val="center"/>
              <w:rPr>
                <w:b/>
                <w:bCs/>
                <w:szCs w:val="21"/>
              </w:rPr>
            </w:pPr>
            <w:r>
              <w:rPr>
                <w:b/>
                <w:bCs/>
                <w:szCs w:val="21"/>
              </w:rPr>
              <w:t>指标层</w:t>
            </w:r>
          </w:p>
        </w:tc>
        <w:tc>
          <w:tcPr>
            <w:tcW w:w="873" w:type="dxa"/>
            <w:vAlign w:val="center"/>
          </w:tcPr>
          <w:p>
            <w:pPr>
              <w:spacing w:line="400" w:lineRule="exact"/>
              <w:jc w:val="center"/>
              <w:rPr>
                <w:b/>
                <w:bCs/>
                <w:szCs w:val="21"/>
              </w:rPr>
            </w:pPr>
            <w:r>
              <w:rPr>
                <w:b/>
                <w:bCs/>
                <w:szCs w:val="21"/>
              </w:rPr>
              <w:t>权重</w:t>
            </w:r>
          </w:p>
        </w:tc>
        <w:tc>
          <w:tcPr>
            <w:tcW w:w="711" w:type="dxa"/>
            <w:vAlign w:val="center"/>
          </w:tcPr>
          <w:p>
            <w:pPr>
              <w:spacing w:line="400" w:lineRule="exact"/>
              <w:jc w:val="center"/>
              <w:rPr>
                <w:b/>
                <w:bCs/>
                <w:szCs w:val="21"/>
              </w:rPr>
            </w:pPr>
            <w:r>
              <w:rPr>
                <w:b/>
                <w:bCs/>
                <w:szCs w:val="21"/>
              </w:rPr>
              <w:t>优</w:t>
            </w:r>
          </w:p>
        </w:tc>
        <w:tc>
          <w:tcPr>
            <w:tcW w:w="711" w:type="dxa"/>
            <w:vAlign w:val="center"/>
          </w:tcPr>
          <w:p>
            <w:pPr>
              <w:spacing w:line="400" w:lineRule="exact"/>
              <w:jc w:val="center"/>
              <w:rPr>
                <w:b/>
                <w:bCs/>
                <w:szCs w:val="21"/>
              </w:rPr>
            </w:pPr>
            <w:r>
              <w:rPr>
                <w:b/>
                <w:bCs/>
                <w:szCs w:val="21"/>
              </w:rPr>
              <w:t>较优</w:t>
            </w:r>
          </w:p>
        </w:tc>
        <w:tc>
          <w:tcPr>
            <w:tcW w:w="689" w:type="dxa"/>
            <w:vAlign w:val="center"/>
          </w:tcPr>
          <w:p>
            <w:pPr>
              <w:spacing w:line="400" w:lineRule="exact"/>
              <w:jc w:val="center"/>
              <w:rPr>
                <w:b/>
                <w:bCs/>
                <w:szCs w:val="21"/>
              </w:rPr>
            </w:pPr>
            <w:r>
              <w:rPr>
                <w:b/>
                <w:bCs/>
                <w:szCs w:val="21"/>
              </w:rPr>
              <w:t>一般</w:t>
            </w:r>
          </w:p>
        </w:tc>
        <w:tc>
          <w:tcPr>
            <w:tcW w:w="785" w:type="dxa"/>
            <w:vAlign w:val="center"/>
          </w:tcPr>
          <w:p>
            <w:pPr>
              <w:spacing w:line="400" w:lineRule="exact"/>
              <w:jc w:val="center"/>
              <w:rPr>
                <w:b/>
                <w:bCs/>
                <w:szCs w:val="21"/>
              </w:rPr>
            </w:pPr>
            <w:r>
              <w:rPr>
                <w:b/>
                <w:bCs/>
                <w:szCs w:val="21"/>
              </w:rPr>
              <w:t>较劣</w:t>
            </w:r>
          </w:p>
        </w:tc>
        <w:tc>
          <w:tcPr>
            <w:tcW w:w="785"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50" w:type="dxa"/>
            <w:vMerge w:val="restart"/>
            <w:vAlign w:val="center"/>
          </w:tcPr>
          <w:p>
            <w:pPr>
              <w:widowControl/>
              <w:spacing w:line="400" w:lineRule="exact"/>
              <w:jc w:val="center"/>
              <w:rPr>
                <w:color w:val="000000"/>
                <w:kern w:val="0"/>
                <w:szCs w:val="21"/>
              </w:rPr>
            </w:pPr>
            <w:r>
              <w:rPr>
                <w:color w:val="000000"/>
                <w:kern w:val="0"/>
                <w:szCs w:val="21"/>
              </w:rPr>
              <w:t>基本设施状况</w:t>
            </w:r>
          </w:p>
        </w:tc>
        <w:tc>
          <w:tcPr>
            <w:tcW w:w="841" w:type="dxa"/>
            <w:vMerge w:val="restart"/>
            <w:vAlign w:val="center"/>
          </w:tcPr>
          <w:p>
            <w:pPr>
              <w:spacing w:line="400" w:lineRule="exact"/>
              <w:jc w:val="center"/>
              <w:rPr>
                <w:color w:val="000000"/>
                <w:szCs w:val="21"/>
              </w:rPr>
            </w:pPr>
            <w:r>
              <w:rPr>
                <w:color w:val="000000"/>
                <w:szCs w:val="21"/>
              </w:rPr>
              <w:t>0.3354</w:t>
            </w:r>
          </w:p>
        </w:tc>
        <w:tc>
          <w:tcPr>
            <w:tcW w:w="843" w:type="dxa"/>
            <w:vMerge w:val="restart"/>
            <w:vAlign w:val="center"/>
          </w:tcPr>
          <w:p>
            <w:pPr>
              <w:spacing w:line="400" w:lineRule="exact"/>
              <w:jc w:val="center"/>
              <w:rPr>
                <w:color w:val="000000"/>
                <w:szCs w:val="21"/>
              </w:rPr>
            </w:pPr>
            <w:r>
              <w:rPr>
                <w:color w:val="000000"/>
                <w:szCs w:val="21"/>
              </w:rPr>
              <w:t>基础设施完善度</w:t>
            </w:r>
          </w:p>
        </w:tc>
        <w:tc>
          <w:tcPr>
            <w:tcW w:w="851" w:type="dxa"/>
            <w:vMerge w:val="restart"/>
            <w:vAlign w:val="center"/>
          </w:tcPr>
          <w:p>
            <w:pPr>
              <w:spacing w:line="400" w:lineRule="exact"/>
              <w:jc w:val="center"/>
              <w:rPr>
                <w:color w:val="000000"/>
                <w:szCs w:val="21"/>
              </w:rPr>
            </w:pPr>
            <w:r>
              <w:rPr>
                <w:color w:val="000000"/>
                <w:szCs w:val="21"/>
              </w:rPr>
              <w:t>0.3354</w:t>
            </w:r>
          </w:p>
        </w:tc>
        <w:tc>
          <w:tcPr>
            <w:tcW w:w="1091" w:type="dxa"/>
            <w:vAlign w:val="center"/>
          </w:tcPr>
          <w:p>
            <w:pPr>
              <w:spacing w:line="400" w:lineRule="exact"/>
              <w:jc w:val="center"/>
              <w:rPr>
                <w:color w:val="000000"/>
                <w:szCs w:val="21"/>
              </w:rPr>
            </w:pPr>
            <w:r>
              <w:rPr>
                <w:color w:val="000000"/>
                <w:szCs w:val="21"/>
              </w:rPr>
              <w:t>排水状况</w:t>
            </w:r>
          </w:p>
        </w:tc>
        <w:tc>
          <w:tcPr>
            <w:tcW w:w="873" w:type="dxa"/>
            <w:vAlign w:val="center"/>
          </w:tcPr>
          <w:p>
            <w:pPr>
              <w:widowControl/>
              <w:spacing w:line="400" w:lineRule="exact"/>
              <w:jc w:val="center"/>
              <w:textAlignment w:val="bottom"/>
              <w:rPr>
                <w:color w:val="000000"/>
                <w:szCs w:val="21"/>
              </w:rPr>
            </w:pPr>
            <w:r>
              <w:rPr>
                <w:rFonts w:eastAsia="Tahoma"/>
                <w:color w:val="000000"/>
                <w:kern w:val="0"/>
                <w:szCs w:val="21"/>
                <w:lang/>
              </w:rPr>
              <w:t>0.0838</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1.654</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0.827</w:t>
            </w:r>
          </w:p>
        </w:tc>
        <w:tc>
          <w:tcPr>
            <w:tcW w:w="689" w:type="dxa"/>
            <w:vAlign w:val="center"/>
          </w:tcPr>
          <w:p>
            <w:pPr>
              <w:widowControl/>
              <w:spacing w:line="400" w:lineRule="exact"/>
              <w:jc w:val="center"/>
              <w:textAlignment w:val="bottom"/>
              <w:rPr>
                <w:color w:val="000000"/>
                <w:szCs w:val="21"/>
              </w:rPr>
            </w:pPr>
            <w:r>
              <w:rPr>
                <w:rFonts w:eastAsia="Tahoma"/>
                <w:color w:val="000000"/>
                <w:kern w:val="0"/>
                <w:szCs w:val="21"/>
                <w:lang/>
              </w:rPr>
              <w:t>0</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-0.764</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-1.528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50" w:type="dxa"/>
            <w:vMerge w:val="continue"/>
            <w:vAlign w:val="center"/>
          </w:tcPr>
          <w:p>
            <w:pPr>
              <w:widowControl/>
              <w:spacing w:line="400" w:lineRule="exact"/>
              <w:jc w:val="center"/>
              <w:rPr>
                <w:color w:val="000000"/>
                <w:kern w:val="0"/>
                <w:szCs w:val="21"/>
              </w:rPr>
            </w:pPr>
          </w:p>
        </w:tc>
        <w:tc>
          <w:tcPr>
            <w:tcW w:w="841" w:type="dxa"/>
            <w:vMerge w:val="continue"/>
            <w:vAlign w:val="center"/>
          </w:tcPr>
          <w:p>
            <w:pPr>
              <w:widowControl/>
              <w:spacing w:line="400" w:lineRule="exact"/>
              <w:jc w:val="center"/>
              <w:rPr>
                <w:color w:val="000000"/>
                <w:kern w:val="0"/>
                <w:szCs w:val="21"/>
              </w:rPr>
            </w:pPr>
          </w:p>
        </w:tc>
        <w:tc>
          <w:tcPr>
            <w:tcW w:w="843" w:type="dxa"/>
            <w:vMerge w:val="continue"/>
            <w:vAlign w:val="center"/>
          </w:tcPr>
          <w:p>
            <w:pPr>
              <w:widowControl/>
              <w:spacing w:line="400" w:lineRule="exact"/>
              <w:jc w:val="center"/>
              <w:rPr>
                <w:color w:val="000000"/>
                <w:kern w:val="0"/>
                <w:szCs w:val="21"/>
              </w:rPr>
            </w:pPr>
          </w:p>
        </w:tc>
        <w:tc>
          <w:tcPr>
            <w:tcW w:w="851" w:type="dxa"/>
            <w:vMerge w:val="continue"/>
            <w:vAlign w:val="center"/>
          </w:tcPr>
          <w:p>
            <w:pPr>
              <w:widowControl/>
              <w:spacing w:line="400" w:lineRule="exact"/>
              <w:jc w:val="center"/>
              <w:rPr>
                <w:color w:val="000000"/>
                <w:kern w:val="0"/>
                <w:szCs w:val="21"/>
              </w:rPr>
            </w:pPr>
          </w:p>
        </w:tc>
        <w:tc>
          <w:tcPr>
            <w:tcW w:w="1091" w:type="dxa"/>
            <w:vAlign w:val="center"/>
          </w:tcPr>
          <w:p>
            <w:pPr>
              <w:widowControl/>
              <w:spacing w:line="400" w:lineRule="exact"/>
              <w:jc w:val="center"/>
              <w:rPr>
                <w:color w:val="000000"/>
                <w:kern w:val="0"/>
                <w:szCs w:val="21"/>
              </w:rPr>
            </w:pPr>
            <w:r>
              <w:rPr>
                <w:color w:val="000000"/>
                <w:szCs w:val="21"/>
              </w:rPr>
              <w:t>供水状况</w:t>
            </w:r>
          </w:p>
        </w:tc>
        <w:tc>
          <w:tcPr>
            <w:tcW w:w="873" w:type="dxa"/>
            <w:vAlign w:val="center"/>
          </w:tcPr>
          <w:p>
            <w:pPr>
              <w:widowControl/>
              <w:spacing w:line="400" w:lineRule="exact"/>
              <w:jc w:val="center"/>
              <w:textAlignment w:val="bottom"/>
              <w:rPr>
                <w:color w:val="000000"/>
                <w:kern w:val="0"/>
                <w:szCs w:val="21"/>
              </w:rPr>
            </w:pPr>
            <w:r>
              <w:rPr>
                <w:rFonts w:eastAsia="Tahoma"/>
                <w:color w:val="000000"/>
                <w:kern w:val="0"/>
                <w:szCs w:val="21"/>
                <w:lang/>
              </w:rPr>
              <w:t>0.0838</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1.654</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0.827</w:t>
            </w:r>
          </w:p>
        </w:tc>
        <w:tc>
          <w:tcPr>
            <w:tcW w:w="689" w:type="dxa"/>
            <w:vAlign w:val="center"/>
          </w:tcPr>
          <w:p>
            <w:pPr>
              <w:widowControl/>
              <w:spacing w:line="400" w:lineRule="exact"/>
              <w:jc w:val="center"/>
              <w:textAlignment w:val="bottom"/>
              <w:rPr>
                <w:color w:val="000000"/>
                <w:szCs w:val="21"/>
              </w:rPr>
            </w:pPr>
            <w:r>
              <w:rPr>
                <w:rFonts w:eastAsia="Tahoma"/>
                <w:color w:val="000000"/>
                <w:kern w:val="0"/>
                <w:szCs w:val="21"/>
                <w:lang/>
              </w:rPr>
              <w:t>0</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-0.764</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-1.528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50" w:type="dxa"/>
            <w:vMerge w:val="continue"/>
            <w:vAlign w:val="center"/>
          </w:tcPr>
          <w:p>
            <w:pPr>
              <w:widowControl/>
              <w:spacing w:line="400" w:lineRule="exact"/>
              <w:jc w:val="center"/>
              <w:rPr>
                <w:color w:val="000000"/>
                <w:kern w:val="0"/>
                <w:szCs w:val="21"/>
              </w:rPr>
            </w:pPr>
          </w:p>
        </w:tc>
        <w:tc>
          <w:tcPr>
            <w:tcW w:w="841" w:type="dxa"/>
            <w:vMerge w:val="continue"/>
            <w:vAlign w:val="center"/>
          </w:tcPr>
          <w:p>
            <w:pPr>
              <w:widowControl/>
              <w:spacing w:line="400" w:lineRule="exact"/>
              <w:jc w:val="center"/>
              <w:rPr>
                <w:color w:val="000000"/>
                <w:kern w:val="0"/>
                <w:szCs w:val="21"/>
              </w:rPr>
            </w:pPr>
          </w:p>
        </w:tc>
        <w:tc>
          <w:tcPr>
            <w:tcW w:w="843" w:type="dxa"/>
            <w:vMerge w:val="continue"/>
            <w:vAlign w:val="center"/>
          </w:tcPr>
          <w:p>
            <w:pPr>
              <w:widowControl/>
              <w:spacing w:line="400" w:lineRule="exact"/>
              <w:jc w:val="center"/>
              <w:rPr>
                <w:color w:val="000000"/>
                <w:kern w:val="0"/>
                <w:szCs w:val="21"/>
              </w:rPr>
            </w:pPr>
          </w:p>
        </w:tc>
        <w:tc>
          <w:tcPr>
            <w:tcW w:w="851" w:type="dxa"/>
            <w:vMerge w:val="continue"/>
            <w:vAlign w:val="center"/>
          </w:tcPr>
          <w:p>
            <w:pPr>
              <w:widowControl/>
              <w:spacing w:line="400" w:lineRule="exact"/>
              <w:jc w:val="center"/>
              <w:rPr>
                <w:color w:val="000000"/>
                <w:kern w:val="0"/>
                <w:szCs w:val="21"/>
              </w:rPr>
            </w:pPr>
          </w:p>
        </w:tc>
        <w:tc>
          <w:tcPr>
            <w:tcW w:w="1091" w:type="dxa"/>
            <w:vAlign w:val="center"/>
          </w:tcPr>
          <w:p>
            <w:pPr>
              <w:widowControl/>
              <w:spacing w:line="400" w:lineRule="exact"/>
              <w:jc w:val="center"/>
              <w:rPr>
                <w:color w:val="000000"/>
                <w:kern w:val="0"/>
                <w:szCs w:val="21"/>
              </w:rPr>
            </w:pPr>
            <w:r>
              <w:rPr>
                <w:color w:val="000000"/>
                <w:szCs w:val="21"/>
              </w:rPr>
              <w:t>供电状况</w:t>
            </w:r>
          </w:p>
        </w:tc>
        <w:tc>
          <w:tcPr>
            <w:tcW w:w="873" w:type="dxa"/>
            <w:vAlign w:val="center"/>
          </w:tcPr>
          <w:p>
            <w:pPr>
              <w:widowControl/>
              <w:spacing w:line="400" w:lineRule="exact"/>
              <w:jc w:val="center"/>
              <w:textAlignment w:val="bottom"/>
              <w:rPr>
                <w:color w:val="000000"/>
                <w:kern w:val="0"/>
                <w:szCs w:val="21"/>
              </w:rPr>
            </w:pPr>
            <w:r>
              <w:rPr>
                <w:rFonts w:eastAsia="Tahoma"/>
                <w:color w:val="000000"/>
                <w:kern w:val="0"/>
                <w:szCs w:val="21"/>
                <w:lang/>
              </w:rPr>
              <w:t>0.0839</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1.656</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0.828</w:t>
            </w:r>
          </w:p>
        </w:tc>
        <w:tc>
          <w:tcPr>
            <w:tcW w:w="689" w:type="dxa"/>
            <w:vAlign w:val="center"/>
          </w:tcPr>
          <w:p>
            <w:pPr>
              <w:widowControl/>
              <w:spacing w:line="400" w:lineRule="exact"/>
              <w:jc w:val="center"/>
              <w:textAlignment w:val="bottom"/>
              <w:rPr>
                <w:color w:val="000000"/>
                <w:szCs w:val="21"/>
              </w:rPr>
            </w:pPr>
            <w:r>
              <w:rPr>
                <w:rFonts w:eastAsia="Tahoma"/>
                <w:color w:val="000000"/>
                <w:kern w:val="0"/>
                <w:szCs w:val="21"/>
                <w:lang/>
              </w:rPr>
              <w:t>0</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-0.765</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-1.529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50" w:type="dxa"/>
            <w:vMerge w:val="continue"/>
            <w:vAlign w:val="center"/>
          </w:tcPr>
          <w:p>
            <w:pPr>
              <w:widowControl/>
              <w:spacing w:line="400" w:lineRule="exact"/>
              <w:jc w:val="center"/>
              <w:rPr>
                <w:color w:val="000000"/>
                <w:kern w:val="0"/>
                <w:szCs w:val="21"/>
              </w:rPr>
            </w:pPr>
          </w:p>
        </w:tc>
        <w:tc>
          <w:tcPr>
            <w:tcW w:w="841" w:type="dxa"/>
            <w:vMerge w:val="continue"/>
            <w:vAlign w:val="center"/>
          </w:tcPr>
          <w:p>
            <w:pPr>
              <w:widowControl/>
              <w:spacing w:line="400" w:lineRule="exact"/>
              <w:jc w:val="center"/>
              <w:rPr>
                <w:color w:val="000000"/>
                <w:kern w:val="0"/>
                <w:szCs w:val="21"/>
              </w:rPr>
            </w:pPr>
          </w:p>
        </w:tc>
        <w:tc>
          <w:tcPr>
            <w:tcW w:w="843" w:type="dxa"/>
            <w:vMerge w:val="continue"/>
            <w:vAlign w:val="center"/>
          </w:tcPr>
          <w:p>
            <w:pPr>
              <w:widowControl/>
              <w:spacing w:line="400" w:lineRule="exact"/>
              <w:jc w:val="center"/>
              <w:rPr>
                <w:color w:val="000000"/>
                <w:kern w:val="0"/>
                <w:szCs w:val="21"/>
              </w:rPr>
            </w:pPr>
          </w:p>
        </w:tc>
        <w:tc>
          <w:tcPr>
            <w:tcW w:w="851" w:type="dxa"/>
            <w:vMerge w:val="continue"/>
            <w:vAlign w:val="center"/>
          </w:tcPr>
          <w:p>
            <w:pPr>
              <w:widowControl/>
              <w:spacing w:line="400" w:lineRule="exact"/>
              <w:jc w:val="center"/>
              <w:rPr>
                <w:color w:val="000000"/>
                <w:kern w:val="0"/>
                <w:szCs w:val="21"/>
              </w:rPr>
            </w:pPr>
          </w:p>
        </w:tc>
        <w:tc>
          <w:tcPr>
            <w:tcW w:w="1091" w:type="dxa"/>
            <w:vAlign w:val="center"/>
          </w:tcPr>
          <w:p>
            <w:pPr>
              <w:widowControl/>
              <w:spacing w:line="400" w:lineRule="exact"/>
              <w:jc w:val="center"/>
              <w:rPr>
                <w:color w:val="000000"/>
                <w:kern w:val="0"/>
                <w:szCs w:val="21"/>
              </w:rPr>
            </w:pPr>
            <w:r>
              <w:rPr>
                <w:color w:val="000000"/>
                <w:szCs w:val="21"/>
              </w:rPr>
              <w:t>供气状况</w:t>
            </w:r>
          </w:p>
        </w:tc>
        <w:tc>
          <w:tcPr>
            <w:tcW w:w="873" w:type="dxa"/>
            <w:vAlign w:val="center"/>
          </w:tcPr>
          <w:p>
            <w:pPr>
              <w:widowControl/>
              <w:spacing w:line="400" w:lineRule="exact"/>
              <w:jc w:val="center"/>
              <w:textAlignment w:val="bottom"/>
              <w:rPr>
                <w:color w:val="000000"/>
                <w:kern w:val="0"/>
                <w:szCs w:val="21"/>
              </w:rPr>
            </w:pPr>
            <w:r>
              <w:rPr>
                <w:rFonts w:eastAsia="Tahoma"/>
                <w:color w:val="000000"/>
                <w:kern w:val="0"/>
                <w:szCs w:val="21"/>
                <w:lang/>
              </w:rPr>
              <w:t>0.0839</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1.656</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0.828</w:t>
            </w:r>
          </w:p>
        </w:tc>
        <w:tc>
          <w:tcPr>
            <w:tcW w:w="689" w:type="dxa"/>
            <w:vAlign w:val="center"/>
          </w:tcPr>
          <w:p>
            <w:pPr>
              <w:widowControl/>
              <w:spacing w:line="400" w:lineRule="exact"/>
              <w:jc w:val="center"/>
              <w:textAlignment w:val="bottom"/>
              <w:rPr>
                <w:color w:val="000000"/>
                <w:szCs w:val="21"/>
              </w:rPr>
            </w:pPr>
            <w:r>
              <w:rPr>
                <w:rFonts w:eastAsia="Tahoma"/>
                <w:color w:val="000000"/>
                <w:kern w:val="0"/>
                <w:szCs w:val="21"/>
                <w:lang/>
              </w:rPr>
              <w:t>0</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-0.765</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-1.529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50" w:type="dxa"/>
            <w:vMerge w:val="restart"/>
            <w:vAlign w:val="center"/>
          </w:tcPr>
          <w:p>
            <w:pPr>
              <w:widowControl/>
              <w:spacing w:line="400" w:lineRule="exact"/>
              <w:jc w:val="center"/>
              <w:rPr>
                <w:color w:val="000000"/>
                <w:kern w:val="0"/>
                <w:szCs w:val="21"/>
              </w:rPr>
            </w:pPr>
            <w:r>
              <w:rPr>
                <w:color w:val="000000"/>
                <w:kern w:val="0"/>
                <w:szCs w:val="21"/>
              </w:rPr>
              <w:t>交通条件</w:t>
            </w:r>
          </w:p>
        </w:tc>
        <w:tc>
          <w:tcPr>
            <w:tcW w:w="841" w:type="dxa"/>
            <w:vMerge w:val="restart"/>
            <w:vAlign w:val="center"/>
          </w:tcPr>
          <w:p>
            <w:pPr>
              <w:spacing w:line="400" w:lineRule="exact"/>
              <w:jc w:val="center"/>
              <w:rPr>
                <w:color w:val="000000"/>
                <w:szCs w:val="21"/>
              </w:rPr>
            </w:pPr>
            <w:r>
              <w:rPr>
                <w:color w:val="000000"/>
                <w:szCs w:val="21"/>
              </w:rPr>
              <w:t>0.2732</w:t>
            </w:r>
          </w:p>
        </w:tc>
        <w:tc>
          <w:tcPr>
            <w:tcW w:w="843" w:type="dxa"/>
            <w:vAlign w:val="center"/>
          </w:tcPr>
          <w:p>
            <w:pPr>
              <w:spacing w:line="400" w:lineRule="exact"/>
              <w:jc w:val="center"/>
              <w:rPr>
                <w:color w:val="000000"/>
                <w:szCs w:val="21"/>
              </w:rPr>
            </w:pPr>
            <w:r>
              <w:rPr>
                <w:color w:val="000000"/>
                <w:szCs w:val="21"/>
              </w:rPr>
              <w:t>道路通达度</w:t>
            </w:r>
          </w:p>
        </w:tc>
        <w:tc>
          <w:tcPr>
            <w:tcW w:w="851" w:type="dxa"/>
            <w:vAlign w:val="center"/>
          </w:tcPr>
          <w:p>
            <w:pPr>
              <w:spacing w:line="400" w:lineRule="exact"/>
              <w:jc w:val="center"/>
              <w:rPr>
                <w:color w:val="000000"/>
                <w:szCs w:val="21"/>
              </w:rPr>
            </w:pPr>
            <w:r>
              <w:rPr>
                <w:color w:val="000000"/>
                <w:szCs w:val="21"/>
              </w:rPr>
              <w:t>0.1366</w:t>
            </w:r>
          </w:p>
        </w:tc>
        <w:tc>
          <w:tcPr>
            <w:tcW w:w="1091" w:type="dxa"/>
            <w:vAlign w:val="center"/>
          </w:tcPr>
          <w:p>
            <w:pPr>
              <w:spacing w:line="400" w:lineRule="exact"/>
              <w:jc w:val="center"/>
              <w:rPr>
                <w:color w:val="000000"/>
                <w:szCs w:val="21"/>
              </w:rPr>
            </w:pPr>
            <w:r>
              <w:rPr>
                <w:color w:val="000000"/>
                <w:szCs w:val="21"/>
              </w:rPr>
              <w:t>临近道路状况</w:t>
            </w:r>
          </w:p>
        </w:tc>
        <w:tc>
          <w:tcPr>
            <w:tcW w:w="873" w:type="dxa"/>
            <w:vAlign w:val="center"/>
          </w:tcPr>
          <w:p>
            <w:pPr>
              <w:widowControl/>
              <w:spacing w:line="400" w:lineRule="exact"/>
              <w:jc w:val="center"/>
              <w:textAlignment w:val="bottom"/>
              <w:rPr>
                <w:color w:val="000000"/>
                <w:szCs w:val="21"/>
              </w:rPr>
            </w:pPr>
            <w:r>
              <w:rPr>
                <w:rFonts w:eastAsia="Tahoma"/>
                <w:color w:val="000000"/>
                <w:kern w:val="0"/>
                <w:szCs w:val="21"/>
                <w:lang/>
              </w:rPr>
              <w:t>0.1366</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2.696</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1.348</w:t>
            </w:r>
          </w:p>
        </w:tc>
        <w:tc>
          <w:tcPr>
            <w:tcW w:w="689" w:type="dxa"/>
            <w:vAlign w:val="center"/>
          </w:tcPr>
          <w:p>
            <w:pPr>
              <w:widowControl/>
              <w:spacing w:line="400" w:lineRule="exact"/>
              <w:jc w:val="center"/>
              <w:textAlignment w:val="bottom"/>
              <w:rPr>
                <w:color w:val="000000"/>
                <w:szCs w:val="21"/>
              </w:rPr>
            </w:pPr>
            <w:r>
              <w:rPr>
                <w:rFonts w:eastAsia="Tahoma"/>
                <w:color w:val="000000"/>
                <w:kern w:val="0"/>
                <w:szCs w:val="21"/>
                <w:lang/>
              </w:rPr>
              <w:t>0</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-1.245</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-2.490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50" w:type="dxa"/>
            <w:vMerge w:val="continue"/>
            <w:vAlign w:val="center"/>
          </w:tcPr>
          <w:p>
            <w:pPr>
              <w:widowControl/>
              <w:spacing w:line="400" w:lineRule="exact"/>
              <w:jc w:val="center"/>
              <w:rPr>
                <w:color w:val="000000"/>
                <w:kern w:val="0"/>
                <w:szCs w:val="21"/>
              </w:rPr>
            </w:pPr>
          </w:p>
        </w:tc>
        <w:tc>
          <w:tcPr>
            <w:tcW w:w="841" w:type="dxa"/>
            <w:vMerge w:val="continue"/>
            <w:vAlign w:val="center"/>
          </w:tcPr>
          <w:p>
            <w:pPr>
              <w:widowControl/>
              <w:spacing w:line="400" w:lineRule="exact"/>
              <w:jc w:val="center"/>
              <w:rPr>
                <w:color w:val="000000"/>
                <w:kern w:val="0"/>
                <w:szCs w:val="21"/>
              </w:rPr>
            </w:pPr>
          </w:p>
        </w:tc>
        <w:tc>
          <w:tcPr>
            <w:tcW w:w="843" w:type="dxa"/>
            <w:vAlign w:val="center"/>
          </w:tcPr>
          <w:p>
            <w:pPr>
              <w:widowControl/>
              <w:spacing w:line="400" w:lineRule="exact"/>
              <w:jc w:val="center"/>
              <w:rPr>
                <w:color w:val="000000"/>
                <w:kern w:val="0"/>
                <w:szCs w:val="21"/>
              </w:rPr>
            </w:pPr>
            <w:r>
              <w:rPr>
                <w:color w:val="000000"/>
                <w:szCs w:val="21"/>
              </w:rPr>
              <w:t>公交便捷度</w:t>
            </w:r>
          </w:p>
        </w:tc>
        <w:tc>
          <w:tcPr>
            <w:tcW w:w="851" w:type="dxa"/>
            <w:vAlign w:val="center"/>
          </w:tcPr>
          <w:p>
            <w:pPr>
              <w:widowControl/>
              <w:spacing w:line="400" w:lineRule="exact"/>
              <w:jc w:val="center"/>
              <w:rPr>
                <w:color w:val="000000"/>
                <w:kern w:val="0"/>
                <w:szCs w:val="21"/>
              </w:rPr>
            </w:pPr>
            <w:r>
              <w:rPr>
                <w:color w:val="000000"/>
                <w:szCs w:val="21"/>
              </w:rPr>
              <w:t>0.1366</w:t>
            </w:r>
          </w:p>
        </w:tc>
        <w:tc>
          <w:tcPr>
            <w:tcW w:w="1091" w:type="dxa"/>
            <w:vAlign w:val="center"/>
          </w:tcPr>
          <w:p>
            <w:pPr>
              <w:widowControl/>
              <w:spacing w:line="400" w:lineRule="exact"/>
              <w:jc w:val="center"/>
              <w:rPr>
                <w:color w:val="000000"/>
                <w:kern w:val="0"/>
                <w:szCs w:val="21"/>
              </w:rPr>
            </w:pPr>
            <w:r>
              <w:rPr>
                <w:color w:val="000000"/>
                <w:szCs w:val="21"/>
              </w:rPr>
              <w:t>距最近公交站点距离</w:t>
            </w:r>
          </w:p>
        </w:tc>
        <w:tc>
          <w:tcPr>
            <w:tcW w:w="873" w:type="dxa"/>
            <w:vAlign w:val="center"/>
          </w:tcPr>
          <w:p>
            <w:pPr>
              <w:widowControl/>
              <w:spacing w:line="400" w:lineRule="exact"/>
              <w:jc w:val="center"/>
              <w:textAlignment w:val="bottom"/>
              <w:rPr>
                <w:color w:val="000000"/>
                <w:kern w:val="0"/>
                <w:szCs w:val="21"/>
              </w:rPr>
            </w:pPr>
            <w:r>
              <w:rPr>
                <w:rFonts w:eastAsia="Tahoma"/>
                <w:color w:val="000000"/>
                <w:kern w:val="0"/>
                <w:szCs w:val="21"/>
                <w:lang/>
              </w:rPr>
              <w:t>0.1366</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2.696</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1.348</w:t>
            </w:r>
          </w:p>
        </w:tc>
        <w:tc>
          <w:tcPr>
            <w:tcW w:w="689" w:type="dxa"/>
            <w:vAlign w:val="center"/>
          </w:tcPr>
          <w:p>
            <w:pPr>
              <w:widowControl/>
              <w:spacing w:line="400" w:lineRule="exact"/>
              <w:jc w:val="center"/>
              <w:textAlignment w:val="bottom"/>
              <w:rPr>
                <w:color w:val="000000"/>
                <w:szCs w:val="21"/>
              </w:rPr>
            </w:pPr>
            <w:r>
              <w:rPr>
                <w:rFonts w:eastAsia="Tahoma"/>
                <w:color w:val="000000"/>
                <w:kern w:val="0"/>
                <w:szCs w:val="21"/>
                <w:lang/>
              </w:rPr>
              <w:t>0</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-1.245</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-2.490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50" w:type="dxa"/>
            <w:vAlign w:val="center"/>
          </w:tcPr>
          <w:p>
            <w:pPr>
              <w:widowControl/>
              <w:spacing w:line="400" w:lineRule="exact"/>
              <w:jc w:val="center"/>
              <w:rPr>
                <w:color w:val="000000"/>
                <w:kern w:val="0"/>
                <w:szCs w:val="21"/>
              </w:rPr>
            </w:pPr>
            <w:r>
              <w:rPr>
                <w:color w:val="000000"/>
                <w:kern w:val="0"/>
                <w:szCs w:val="21"/>
              </w:rPr>
              <w:t>人口状况</w:t>
            </w:r>
          </w:p>
        </w:tc>
        <w:tc>
          <w:tcPr>
            <w:tcW w:w="841" w:type="dxa"/>
            <w:vAlign w:val="center"/>
          </w:tcPr>
          <w:p>
            <w:pPr>
              <w:spacing w:line="400" w:lineRule="exact"/>
              <w:jc w:val="center"/>
              <w:rPr>
                <w:color w:val="000000"/>
                <w:szCs w:val="21"/>
              </w:rPr>
            </w:pPr>
            <w:r>
              <w:rPr>
                <w:color w:val="000000"/>
                <w:szCs w:val="21"/>
              </w:rPr>
              <w:t>0.0886</w:t>
            </w:r>
          </w:p>
        </w:tc>
        <w:tc>
          <w:tcPr>
            <w:tcW w:w="843" w:type="dxa"/>
            <w:vAlign w:val="center"/>
          </w:tcPr>
          <w:p>
            <w:pPr>
              <w:spacing w:line="400" w:lineRule="exact"/>
              <w:jc w:val="center"/>
              <w:rPr>
                <w:color w:val="000000"/>
                <w:szCs w:val="21"/>
              </w:rPr>
            </w:pPr>
            <w:r>
              <w:rPr>
                <w:color w:val="000000"/>
                <w:szCs w:val="21"/>
              </w:rPr>
              <w:t>人口密度</w:t>
            </w:r>
          </w:p>
        </w:tc>
        <w:tc>
          <w:tcPr>
            <w:tcW w:w="851" w:type="dxa"/>
            <w:vAlign w:val="center"/>
          </w:tcPr>
          <w:p>
            <w:pPr>
              <w:spacing w:line="400" w:lineRule="exact"/>
              <w:jc w:val="center"/>
              <w:rPr>
                <w:color w:val="000000"/>
                <w:szCs w:val="21"/>
              </w:rPr>
            </w:pPr>
            <w:r>
              <w:rPr>
                <w:color w:val="000000"/>
                <w:szCs w:val="21"/>
              </w:rPr>
              <w:t>0.0886</w:t>
            </w:r>
          </w:p>
        </w:tc>
        <w:tc>
          <w:tcPr>
            <w:tcW w:w="1091" w:type="dxa"/>
            <w:vAlign w:val="center"/>
          </w:tcPr>
          <w:p>
            <w:pPr>
              <w:spacing w:line="400" w:lineRule="exact"/>
              <w:jc w:val="center"/>
              <w:rPr>
                <w:color w:val="000000"/>
                <w:szCs w:val="21"/>
              </w:rPr>
            </w:pPr>
            <w:r>
              <w:rPr>
                <w:color w:val="000000"/>
                <w:szCs w:val="21"/>
              </w:rPr>
              <w:t>人口密度</w:t>
            </w:r>
          </w:p>
        </w:tc>
        <w:tc>
          <w:tcPr>
            <w:tcW w:w="873" w:type="dxa"/>
            <w:vAlign w:val="center"/>
          </w:tcPr>
          <w:p>
            <w:pPr>
              <w:widowControl/>
              <w:spacing w:line="400" w:lineRule="exact"/>
              <w:jc w:val="center"/>
              <w:textAlignment w:val="bottom"/>
              <w:rPr>
                <w:color w:val="000000"/>
                <w:szCs w:val="21"/>
              </w:rPr>
            </w:pPr>
            <w:r>
              <w:rPr>
                <w:rFonts w:eastAsia="Tahoma"/>
                <w:color w:val="000000"/>
                <w:kern w:val="0"/>
                <w:szCs w:val="21"/>
                <w:lang/>
              </w:rPr>
              <w:t>0.0886</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1.749</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0.874</w:t>
            </w:r>
          </w:p>
        </w:tc>
        <w:tc>
          <w:tcPr>
            <w:tcW w:w="689" w:type="dxa"/>
            <w:vAlign w:val="center"/>
          </w:tcPr>
          <w:p>
            <w:pPr>
              <w:widowControl/>
              <w:spacing w:line="400" w:lineRule="exact"/>
              <w:jc w:val="center"/>
              <w:textAlignment w:val="bottom"/>
              <w:rPr>
                <w:color w:val="000000"/>
                <w:szCs w:val="21"/>
              </w:rPr>
            </w:pPr>
            <w:r>
              <w:rPr>
                <w:rFonts w:eastAsia="Tahoma"/>
                <w:color w:val="000000"/>
                <w:kern w:val="0"/>
                <w:szCs w:val="21"/>
                <w:lang/>
              </w:rPr>
              <w:t>0</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-0.808</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-1.615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50" w:type="dxa"/>
            <w:vMerge w:val="restart"/>
            <w:vAlign w:val="center"/>
          </w:tcPr>
          <w:p>
            <w:pPr>
              <w:widowControl/>
              <w:spacing w:line="400" w:lineRule="exact"/>
              <w:jc w:val="center"/>
              <w:rPr>
                <w:color w:val="000000"/>
                <w:kern w:val="0"/>
                <w:szCs w:val="21"/>
              </w:rPr>
            </w:pPr>
            <w:r>
              <w:rPr>
                <w:color w:val="000000"/>
                <w:kern w:val="0"/>
                <w:szCs w:val="21"/>
              </w:rPr>
              <w:t>环境条件</w:t>
            </w:r>
          </w:p>
        </w:tc>
        <w:tc>
          <w:tcPr>
            <w:tcW w:w="841" w:type="dxa"/>
            <w:vMerge w:val="restart"/>
            <w:vAlign w:val="center"/>
          </w:tcPr>
          <w:p>
            <w:pPr>
              <w:spacing w:line="400" w:lineRule="exact"/>
              <w:jc w:val="center"/>
              <w:rPr>
                <w:color w:val="000000"/>
                <w:szCs w:val="21"/>
              </w:rPr>
            </w:pPr>
            <w:r>
              <w:rPr>
                <w:color w:val="000000"/>
                <w:szCs w:val="21"/>
              </w:rPr>
              <w:t>0.2014</w:t>
            </w:r>
          </w:p>
        </w:tc>
        <w:tc>
          <w:tcPr>
            <w:tcW w:w="843" w:type="dxa"/>
            <w:vMerge w:val="restart"/>
            <w:vAlign w:val="center"/>
          </w:tcPr>
          <w:p>
            <w:pPr>
              <w:spacing w:line="400" w:lineRule="exact"/>
              <w:jc w:val="center"/>
              <w:rPr>
                <w:color w:val="000000"/>
                <w:szCs w:val="21"/>
              </w:rPr>
            </w:pPr>
            <w:r>
              <w:rPr>
                <w:color w:val="000000"/>
                <w:szCs w:val="21"/>
              </w:rPr>
              <w:t>自然条件优劣度</w:t>
            </w:r>
          </w:p>
        </w:tc>
        <w:tc>
          <w:tcPr>
            <w:tcW w:w="851" w:type="dxa"/>
            <w:vMerge w:val="restart"/>
            <w:vAlign w:val="center"/>
          </w:tcPr>
          <w:p>
            <w:pPr>
              <w:spacing w:line="400" w:lineRule="exact"/>
              <w:jc w:val="center"/>
              <w:rPr>
                <w:color w:val="000000"/>
                <w:szCs w:val="21"/>
              </w:rPr>
            </w:pPr>
            <w:r>
              <w:rPr>
                <w:color w:val="000000"/>
                <w:szCs w:val="21"/>
              </w:rPr>
              <w:t>0.2014</w:t>
            </w:r>
          </w:p>
        </w:tc>
        <w:tc>
          <w:tcPr>
            <w:tcW w:w="1091" w:type="dxa"/>
            <w:vAlign w:val="center"/>
          </w:tcPr>
          <w:p>
            <w:pPr>
              <w:spacing w:line="400" w:lineRule="exact"/>
              <w:jc w:val="center"/>
              <w:rPr>
                <w:color w:val="000000"/>
                <w:szCs w:val="21"/>
              </w:rPr>
            </w:pPr>
            <w:r>
              <w:rPr>
                <w:color w:val="000000"/>
                <w:szCs w:val="21"/>
              </w:rPr>
              <w:t>地形状况</w:t>
            </w:r>
          </w:p>
        </w:tc>
        <w:tc>
          <w:tcPr>
            <w:tcW w:w="873" w:type="dxa"/>
            <w:vAlign w:val="center"/>
          </w:tcPr>
          <w:p>
            <w:pPr>
              <w:widowControl/>
              <w:spacing w:line="400" w:lineRule="exact"/>
              <w:jc w:val="center"/>
              <w:textAlignment w:val="bottom"/>
              <w:rPr>
                <w:color w:val="000000"/>
                <w:szCs w:val="21"/>
              </w:rPr>
            </w:pPr>
            <w:r>
              <w:rPr>
                <w:rFonts w:eastAsia="Tahoma"/>
                <w:color w:val="000000"/>
                <w:kern w:val="0"/>
                <w:szCs w:val="21"/>
                <w:lang/>
              </w:rPr>
              <w:t>0.1007</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1.988</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0.994</w:t>
            </w:r>
          </w:p>
        </w:tc>
        <w:tc>
          <w:tcPr>
            <w:tcW w:w="689" w:type="dxa"/>
            <w:vAlign w:val="center"/>
          </w:tcPr>
          <w:p>
            <w:pPr>
              <w:widowControl/>
              <w:spacing w:line="400" w:lineRule="exact"/>
              <w:jc w:val="center"/>
              <w:textAlignment w:val="bottom"/>
              <w:rPr>
                <w:color w:val="000000"/>
                <w:szCs w:val="21"/>
              </w:rPr>
            </w:pPr>
            <w:r>
              <w:rPr>
                <w:rFonts w:eastAsia="Tahoma"/>
                <w:color w:val="000000"/>
                <w:kern w:val="0"/>
                <w:szCs w:val="21"/>
                <w:lang/>
              </w:rPr>
              <w:t>0</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-0.918</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-1.836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50" w:type="dxa"/>
            <w:vMerge w:val="continue"/>
            <w:vAlign w:val="center"/>
          </w:tcPr>
          <w:p>
            <w:pPr>
              <w:widowControl/>
              <w:spacing w:line="400" w:lineRule="exact"/>
              <w:jc w:val="center"/>
              <w:rPr>
                <w:color w:val="000000"/>
                <w:kern w:val="0"/>
                <w:szCs w:val="21"/>
              </w:rPr>
            </w:pPr>
          </w:p>
        </w:tc>
        <w:tc>
          <w:tcPr>
            <w:tcW w:w="841" w:type="dxa"/>
            <w:vMerge w:val="continue"/>
            <w:vAlign w:val="center"/>
          </w:tcPr>
          <w:p>
            <w:pPr>
              <w:widowControl/>
              <w:spacing w:line="400" w:lineRule="exact"/>
              <w:jc w:val="center"/>
              <w:rPr>
                <w:color w:val="000000"/>
                <w:kern w:val="0"/>
                <w:szCs w:val="21"/>
              </w:rPr>
            </w:pPr>
          </w:p>
        </w:tc>
        <w:tc>
          <w:tcPr>
            <w:tcW w:w="843" w:type="dxa"/>
            <w:vMerge w:val="continue"/>
            <w:vAlign w:val="center"/>
          </w:tcPr>
          <w:p>
            <w:pPr>
              <w:widowControl/>
              <w:spacing w:line="400" w:lineRule="exact"/>
              <w:jc w:val="center"/>
              <w:rPr>
                <w:color w:val="000000"/>
                <w:kern w:val="0"/>
                <w:szCs w:val="21"/>
              </w:rPr>
            </w:pPr>
          </w:p>
        </w:tc>
        <w:tc>
          <w:tcPr>
            <w:tcW w:w="851" w:type="dxa"/>
            <w:vMerge w:val="continue"/>
            <w:vAlign w:val="center"/>
          </w:tcPr>
          <w:p>
            <w:pPr>
              <w:widowControl/>
              <w:spacing w:line="400" w:lineRule="exact"/>
              <w:jc w:val="center"/>
              <w:rPr>
                <w:color w:val="000000"/>
                <w:kern w:val="0"/>
                <w:szCs w:val="21"/>
              </w:rPr>
            </w:pPr>
          </w:p>
        </w:tc>
        <w:tc>
          <w:tcPr>
            <w:tcW w:w="1091" w:type="dxa"/>
            <w:vAlign w:val="center"/>
          </w:tcPr>
          <w:p>
            <w:pPr>
              <w:widowControl/>
              <w:spacing w:line="400" w:lineRule="exact"/>
              <w:jc w:val="center"/>
              <w:rPr>
                <w:color w:val="000000"/>
                <w:kern w:val="0"/>
                <w:szCs w:val="21"/>
              </w:rPr>
            </w:pPr>
            <w:r>
              <w:rPr>
                <w:color w:val="000000"/>
                <w:szCs w:val="21"/>
              </w:rPr>
              <w:t>洪水淹没状况</w:t>
            </w:r>
          </w:p>
        </w:tc>
        <w:tc>
          <w:tcPr>
            <w:tcW w:w="873" w:type="dxa"/>
            <w:vAlign w:val="center"/>
          </w:tcPr>
          <w:p>
            <w:pPr>
              <w:widowControl/>
              <w:spacing w:line="400" w:lineRule="exact"/>
              <w:jc w:val="center"/>
              <w:textAlignment w:val="bottom"/>
              <w:rPr>
                <w:color w:val="000000"/>
                <w:kern w:val="0"/>
                <w:szCs w:val="21"/>
              </w:rPr>
            </w:pPr>
            <w:r>
              <w:rPr>
                <w:rFonts w:eastAsia="Tahoma"/>
                <w:color w:val="000000"/>
                <w:kern w:val="0"/>
                <w:szCs w:val="21"/>
                <w:lang/>
              </w:rPr>
              <w:t>0.1007</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1.988</w:t>
            </w:r>
          </w:p>
        </w:tc>
        <w:tc>
          <w:tcPr>
            <w:tcW w:w="711" w:type="dxa"/>
            <w:vAlign w:val="center"/>
          </w:tcPr>
          <w:p>
            <w:pPr>
              <w:widowControl/>
              <w:spacing w:line="400" w:lineRule="exact"/>
              <w:jc w:val="center"/>
              <w:textAlignment w:val="bottom"/>
              <w:rPr>
                <w:color w:val="000000"/>
                <w:szCs w:val="21"/>
              </w:rPr>
            </w:pPr>
            <w:r>
              <w:rPr>
                <w:rFonts w:eastAsia="Tahoma"/>
                <w:color w:val="000000"/>
                <w:kern w:val="0"/>
                <w:szCs w:val="21"/>
                <w:lang/>
              </w:rPr>
              <w:t>0.994</w:t>
            </w:r>
          </w:p>
        </w:tc>
        <w:tc>
          <w:tcPr>
            <w:tcW w:w="689" w:type="dxa"/>
            <w:vAlign w:val="center"/>
          </w:tcPr>
          <w:p>
            <w:pPr>
              <w:widowControl/>
              <w:spacing w:line="400" w:lineRule="exact"/>
              <w:jc w:val="center"/>
              <w:textAlignment w:val="bottom"/>
              <w:rPr>
                <w:color w:val="000000"/>
                <w:szCs w:val="21"/>
              </w:rPr>
            </w:pPr>
            <w:r>
              <w:rPr>
                <w:rFonts w:eastAsia="Tahoma"/>
                <w:color w:val="000000"/>
                <w:kern w:val="0"/>
                <w:szCs w:val="21"/>
                <w:lang/>
              </w:rPr>
              <w:t>0</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-0.918</w:t>
            </w:r>
          </w:p>
        </w:tc>
        <w:tc>
          <w:tcPr>
            <w:tcW w:w="785" w:type="dxa"/>
            <w:vAlign w:val="center"/>
          </w:tcPr>
          <w:p>
            <w:pPr>
              <w:widowControl/>
              <w:spacing w:line="400" w:lineRule="exact"/>
              <w:jc w:val="center"/>
              <w:textAlignment w:val="bottom"/>
              <w:rPr>
                <w:color w:val="000000"/>
                <w:szCs w:val="21"/>
              </w:rPr>
            </w:pPr>
            <w:r>
              <w:rPr>
                <w:rFonts w:eastAsia="Tahoma"/>
                <w:color w:val="000000"/>
                <w:kern w:val="0"/>
                <w:szCs w:val="21"/>
                <w:lang/>
              </w:rPr>
              <w:t>-1.836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850" w:type="dxa"/>
            <w:vAlign w:val="center"/>
          </w:tcPr>
          <w:p>
            <w:pPr>
              <w:widowControl/>
              <w:spacing w:line="400" w:lineRule="exact"/>
              <w:jc w:val="center"/>
              <w:rPr>
                <w:color w:val="000000"/>
                <w:kern w:val="0"/>
                <w:szCs w:val="21"/>
              </w:rPr>
            </w:pPr>
            <w:r>
              <w:rPr>
                <w:color w:val="000000"/>
                <w:kern w:val="0"/>
                <w:szCs w:val="21"/>
              </w:rPr>
              <w:t>城市规划</w:t>
            </w:r>
          </w:p>
        </w:tc>
        <w:tc>
          <w:tcPr>
            <w:tcW w:w="841" w:type="dxa"/>
            <w:vAlign w:val="center"/>
          </w:tcPr>
          <w:p>
            <w:pPr>
              <w:spacing w:line="400" w:lineRule="exact"/>
              <w:jc w:val="center"/>
              <w:rPr>
                <w:color w:val="000000"/>
                <w:szCs w:val="21"/>
              </w:rPr>
            </w:pPr>
            <w:r>
              <w:rPr>
                <w:color w:val="000000"/>
                <w:szCs w:val="21"/>
              </w:rPr>
              <w:t>0.1014</w:t>
            </w:r>
          </w:p>
        </w:tc>
        <w:tc>
          <w:tcPr>
            <w:tcW w:w="843" w:type="dxa"/>
            <w:vAlign w:val="center"/>
          </w:tcPr>
          <w:p>
            <w:pPr>
              <w:spacing w:line="400" w:lineRule="exact"/>
              <w:jc w:val="center"/>
              <w:rPr>
                <w:color w:val="000000"/>
                <w:szCs w:val="21"/>
              </w:rPr>
            </w:pPr>
            <w:r>
              <w:rPr>
                <w:color w:val="000000"/>
                <w:szCs w:val="21"/>
              </w:rPr>
              <w:t>城市规划</w:t>
            </w:r>
          </w:p>
        </w:tc>
        <w:tc>
          <w:tcPr>
            <w:tcW w:w="851" w:type="dxa"/>
            <w:vAlign w:val="center"/>
          </w:tcPr>
          <w:p>
            <w:pPr>
              <w:spacing w:line="400" w:lineRule="exact"/>
              <w:jc w:val="center"/>
              <w:rPr>
                <w:color w:val="000000"/>
                <w:szCs w:val="21"/>
              </w:rPr>
            </w:pPr>
            <w:r>
              <w:rPr>
                <w:color w:val="000000"/>
                <w:szCs w:val="21"/>
              </w:rPr>
              <w:t>0.1014</w:t>
            </w:r>
          </w:p>
        </w:tc>
        <w:tc>
          <w:tcPr>
            <w:tcW w:w="1091" w:type="dxa"/>
            <w:vAlign w:val="center"/>
          </w:tcPr>
          <w:p>
            <w:pPr>
              <w:spacing w:line="400" w:lineRule="exact"/>
              <w:jc w:val="center"/>
              <w:rPr>
                <w:color w:val="000000"/>
                <w:szCs w:val="21"/>
              </w:rPr>
            </w:pPr>
            <w:r>
              <w:rPr>
                <w:color w:val="000000"/>
                <w:szCs w:val="21"/>
              </w:rPr>
              <w:t>道路规划</w:t>
            </w:r>
          </w:p>
        </w:tc>
        <w:tc>
          <w:tcPr>
            <w:tcW w:w="873" w:type="dxa"/>
            <w:vAlign w:val="center"/>
          </w:tcPr>
          <w:p>
            <w:pPr>
              <w:widowControl/>
              <w:spacing w:line="400" w:lineRule="exact"/>
              <w:jc w:val="center"/>
              <w:textAlignment w:val="bottom"/>
              <w:rPr>
                <w:color w:val="000000"/>
                <w:szCs w:val="21"/>
              </w:rPr>
            </w:pPr>
            <w:r>
              <w:rPr>
                <w:rFonts w:eastAsia="Tahoma"/>
                <w:color w:val="000000"/>
                <w:kern w:val="0"/>
                <w:szCs w:val="21"/>
                <w:lang/>
              </w:rPr>
              <w:t>0.1014</w:t>
            </w:r>
          </w:p>
        </w:tc>
        <w:tc>
          <w:tcPr>
            <w:tcW w:w="711" w:type="dxa"/>
            <w:vAlign w:val="center"/>
          </w:tcPr>
          <w:p>
            <w:pPr>
              <w:widowControl/>
              <w:spacing w:line="400" w:lineRule="exact"/>
              <w:jc w:val="center"/>
              <w:textAlignment w:val="bottom"/>
              <w:rPr>
                <w:color w:val="000000"/>
                <w:sz w:val="18"/>
                <w:szCs w:val="18"/>
              </w:rPr>
            </w:pPr>
            <w:r>
              <w:rPr>
                <w:rFonts w:eastAsia="Tahoma"/>
                <w:color w:val="000000"/>
                <w:kern w:val="0"/>
                <w:szCs w:val="21"/>
                <w:lang/>
              </w:rPr>
              <w:t>2.002</w:t>
            </w:r>
          </w:p>
        </w:tc>
        <w:tc>
          <w:tcPr>
            <w:tcW w:w="711" w:type="dxa"/>
            <w:vAlign w:val="center"/>
          </w:tcPr>
          <w:p>
            <w:pPr>
              <w:widowControl/>
              <w:spacing w:line="400" w:lineRule="exact"/>
              <w:jc w:val="center"/>
              <w:textAlignment w:val="bottom"/>
              <w:rPr>
                <w:color w:val="000000"/>
                <w:sz w:val="18"/>
                <w:szCs w:val="18"/>
              </w:rPr>
            </w:pPr>
            <w:r>
              <w:rPr>
                <w:rFonts w:eastAsia="Tahoma"/>
                <w:color w:val="000000"/>
                <w:kern w:val="0"/>
                <w:szCs w:val="21"/>
                <w:lang/>
              </w:rPr>
              <w:t>1.001</w:t>
            </w:r>
          </w:p>
        </w:tc>
        <w:tc>
          <w:tcPr>
            <w:tcW w:w="689" w:type="dxa"/>
            <w:vAlign w:val="center"/>
          </w:tcPr>
          <w:p>
            <w:pPr>
              <w:widowControl/>
              <w:spacing w:line="400" w:lineRule="exact"/>
              <w:jc w:val="center"/>
              <w:textAlignment w:val="bottom"/>
              <w:rPr>
                <w:color w:val="000000"/>
                <w:sz w:val="18"/>
                <w:szCs w:val="18"/>
              </w:rPr>
            </w:pPr>
            <w:r>
              <w:rPr>
                <w:rFonts w:eastAsia="Tahoma"/>
                <w:color w:val="000000"/>
                <w:kern w:val="0"/>
                <w:szCs w:val="21"/>
                <w:lang/>
              </w:rPr>
              <w:t>0</w:t>
            </w:r>
          </w:p>
        </w:tc>
        <w:tc>
          <w:tcPr>
            <w:tcW w:w="785" w:type="dxa"/>
            <w:vAlign w:val="center"/>
          </w:tcPr>
          <w:p>
            <w:pPr>
              <w:widowControl/>
              <w:spacing w:line="400" w:lineRule="exact"/>
              <w:jc w:val="center"/>
              <w:textAlignment w:val="bottom"/>
              <w:rPr>
                <w:color w:val="000000"/>
                <w:sz w:val="18"/>
                <w:szCs w:val="18"/>
              </w:rPr>
            </w:pPr>
            <w:r>
              <w:rPr>
                <w:rFonts w:eastAsia="Tahoma"/>
                <w:color w:val="000000"/>
                <w:kern w:val="0"/>
                <w:szCs w:val="21"/>
                <w:lang/>
              </w:rPr>
              <w:t>-0.924</w:t>
            </w:r>
          </w:p>
        </w:tc>
        <w:tc>
          <w:tcPr>
            <w:tcW w:w="785" w:type="dxa"/>
            <w:vAlign w:val="center"/>
          </w:tcPr>
          <w:p>
            <w:pPr>
              <w:widowControl/>
              <w:spacing w:line="400" w:lineRule="exact"/>
              <w:jc w:val="center"/>
              <w:textAlignment w:val="bottom"/>
              <w:rPr>
                <w:color w:val="000000"/>
                <w:sz w:val="18"/>
                <w:szCs w:val="18"/>
              </w:rPr>
            </w:pPr>
            <w:r>
              <w:rPr>
                <w:rFonts w:eastAsia="Tahoma"/>
                <w:color w:val="000000"/>
                <w:kern w:val="0"/>
                <w:szCs w:val="21"/>
                <w:lang/>
              </w:rPr>
              <w:t>-1.849</w:t>
            </w:r>
          </w:p>
        </w:tc>
      </w:tr>
    </w:tbl>
    <w:p>
      <w:pPr>
        <w:pStyle w:val="131"/>
        <w:spacing w:beforeLines="50" w:afterLines="50"/>
        <w:ind w:firstLine="0" w:firstLineChars="0"/>
        <w:rPr>
          <w:rFonts w:ascii="Times New Roman" w:hAnsi="Times New Roman"/>
          <w:sz w:val="24"/>
        </w:rPr>
      </w:pPr>
      <w:r>
        <w:rPr>
          <w:rFonts w:ascii="Times New Roman" w:hAnsi="Times New Roman"/>
          <w:sz w:val="24"/>
        </w:rPr>
        <w:t>表4-6-1</w:t>
      </w:r>
      <w:r>
        <w:rPr>
          <w:rFonts w:hint="eastAsia" w:ascii="Times New Roman" w:hAnsi="Times New Roman"/>
          <w:sz w:val="24"/>
        </w:rPr>
        <w:t>8</w:t>
      </w:r>
      <w:r>
        <w:rPr>
          <w:rFonts w:ascii="Times New Roman" w:hAnsi="Times New Roman"/>
          <w:sz w:val="24"/>
        </w:rPr>
        <w:t xml:space="preserve">  Ⅴ级公共管理与公共服务二类用地宗地地价区域因素修正系数指标说明表</w:t>
      </w:r>
    </w:p>
    <w:tbl>
      <w:tblPr>
        <w:tblW w:w="9078" w:type="dxa"/>
        <w:jc w:val="center"/>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070"/>
        <w:gridCol w:w="1070"/>
        <w:gridCol w:w="1111"/>
        <w:gridCol w:w="1293"/>
        <w:gridCol w:w="1183"/>
        <w:gridCol w:w="1183"/>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1070" w:type="dxa"/>
            <w:vAlign w:val="center"/>
          </w:tcPr>
          <w:p>
            <w:pPr>
              <w:spacing w:line="400" w:lineRule="exact"/>
              <w:jc w:val="center"/>
              <w:rPr>
                <w:b/>
                <w:bCs/>
                <w:szCs w:val="21"/>
              </w:rPr>
            </w:pPr>
            <w:r>
              <w:rPr>
                <w:b/>
                <w:bCs/>
                <w:szCs w:val="21"/>
              </w:rPr>
              <w:t>因素层</w:t>
            </w:r>
          </w:p>
        </w:tc>
        <w:tc>
          <w:tcPr>
            <w:tcW w:w="1070" w:type="dxa"/>
            <w:vAlign w:val="center"/>
          </w:tcPr>
          <w:p>
            <w:pPr>
              <w:spacing w:line="400" w:lineRule="exact"/>
              <w:jc w:val="center"/>
              <w:rPr>
                <w:b/>
                <w:bCs/>
                <w:szCs w:val="21"/>
              </w:rPr>
            </w:pPr>
            <w:r>
              <w:rPr>
                <w:b/>
                <w:bCs/>
                <w:szCs w:val="21"/>
              </w:rPr>
              <w:t>因子层</w:t>
            </w:r>
          </w:p>
        </w:tc>
        <w:tc>
          <w:tcPr>
            <w:tcW w:w="1070" w:type="dxa"/>
            <w:vAlign w:val="center"/>
          </w:tcPr>
          <w:p>
            <w:pPr>
              <w:spacing w:line="400" w:lineRule="exact"/>
              <w:jc w:val="center"/>
              <w:rPr>
                <w:b/>
                <w:bCs/>
                <w:szCs w:val="21"/>
              </w:rPr>
            </w:pPr>
            <w:r>
              <w:rPr>
                <w:b/>
                <w:bCs/>
                <w:szCs w:val="21"/>
              </w:rPr>
              <w:t>指标层</w:t>
            </w:r>
          </w:p>
        </w:tc>
        <w:tc>
          <w:tcPr>
            <w:tcW w:w="1111" w:type="dxa"/>
            <w:vAlign w:val="center"/>
          </w:tcPr>
          <w:p>
            <w:pPr>
              <w:spacing w:line="400" w:lineRule="exact"/>
              <w:jc w:val="center"/>
              <w:rPr>
                <w:b/>
                <w:bCs/>
                <w:szCs w:val="21"/>
              </w:rPr>
            </w:pPr>
            <w:r>
              <w:rPr>
                <w:b/>
                <w:bCs/>
                <w:szCs w:val="21"/>
              </w:rPr>
              <w:t>优</w:t>
            </w:r>
          </w:p>
        </w:tc>
        <w:tc>
          <w:tcPr>
            <w:tcW w:w="1293" w:type="dxa"/>
            <w:vAlign w:val="center"/>
          </w:tcPr>
          <w:p>
            <w:pPr>
              <w:spacing w:line="400" w:lineRule="exact"/>
              <w:jc w:val="center"/>
              <w:rPr>
                <w:b/>
                <w:bCs/>
                <w:szCs w:val="21"/>
              </w:rPr>
            </w:pPr>
            <w:r>
              <w:rPr>
                <w:b/>
                <w:bCs/>
                <w:szCs w:val="21"/>
              </w:rPr>
              <w:t>较优</w:t>
            </w:r>
          </w:p>
        </w:tc>
        <w:tc>
          <w:tcPr>
            <w:tcW w:w="1183" w:type="dxa"/>
            <w:vAlign w:val="center"/>
          </w:tcPr>
          <w:p>
            <w:pPr>
              <w:spacing w:line="400" w:lineRule="exact"/>
              <w:jc w:val="center"/>
              <w:rPr>
                <w:b/>
                <w:bCs/>
                <w:szCs w:val="21"/>
              </w:rPr>
            </w:pPr>
            <w:r>
              <w:rPr>
                <w:b/>
                <w:bCs/>
                <w:szCs w:val="21"/>
              </w:rPr>
              <w:t>一般</w:t>
            </w:r>
          </w:p>
        </w:tc>
        <w:tc>
          <w:tcPr>
            <w:tcW w:w="1183" w:type="dxa"/>
            <w:vAlign w:val="center"/>
          </w:tcPr>
          <w:p>
            <w:pPr>
              <w:spacing w:line="400" w:lineRule="exact"/>
              <w:jc w:val="center"/>
              <w:rPr>
                <w:b/>
                <w:bCs/>
                <w:szCs w:val="21"/>
              </w:rPr>
            </w:pPr>
            <w:r>
              <w:rPr>
                <w:b/>
                <w:bCs/>
                <w:szCs w:val="21"/>
              </w:rPr>
              <w:t>较劣</w:t>
            </w:r>
          </w:p>
        </w:tc>
        <w:tc>
          <w:tcPr>
            <w:tcW w:w="1098" w:type="dxa"/>
            <w:vAlign w:val="center"/>
          </w:tcPr>
          <w:p>
            <w:pPr>
              <w:spacing w:line="400" w:lineRule="exact"/>
              <w:jc w:val="center"/>
              <w:rPr>
                <w:b/>
                <w:bCs/>
                <w:szCs w:val="21"/>
              </w:rPr>
            </w:pPr>
            <w:r>
              <w:rPr>
                <w:b/>
                <w:bCs/>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1070" w:type="dxa"/>
            <w:vMerge w:val="restart"/>
            <w:vAlign w:val="center"/>
          </w:tcPr>
          <w:p>
            <w:pPr>
              <w:widowControl/>
              <w:spacing w:line="400" w:lineRule="exact"/>
              <w:jc w:val="center"/>
              <w:rPr>
                <w:bCs/>
                <w:color w:val="000000"/>
                <w:kern w:val="0"/>
                <w:szCs w:val="21"/>
              </w:rPr>
            </w:pPr>
            <w:r>
              <w:rPr>
                <w:bCs/>
                <w:color w:val="000000"/>
                <w:kern w:val="0"/>
                <w:szCs w:val="21"/>
              </w:rPr>
              <w:t>基本设施状况</w:t>
            </w:r>
          </w:p>
        </w:tc>
        <w:tc>
          <w:tcPr>
            <w:tcW w:w="1070" w:type="dxa"/>
            <w:vMerge w:val="restart"/>
            <w:vAlign w:val="center"/>
          </w:tcPr>
          <w:p>
            <w:pPr>
              <w:widowControl/>
              <w:spacing w:line="400" w:lineRule="exact"/>
              <w:jc w:val="center"/>
              <w:rPr>
                <w:bCs/>
                <w:color w:val="000000"/>
                <w:kern w:val="0"/>
                <w:szCs w:val="21"/>
              </w:rPr>
            </w:pPr>
            <w:r>
              <w:rPr>
                <w:bCs/>
                <w:color w:val="000000"/>
                <w:kern w:val="0"/>
                <w:szCs w:val="21"/>
              </w:rPr>
              <w:t>基础设施完善度</w:t>
            </w:r>
          </w:p>
        </w:tc>
        <w:tc>
          <w:tcPr>
            <w:tcW w:w="1070" w:type="dxa"/>
            <w:vAlign w:val="center"/>
          </w:tcPr>
          <w:p>
            <w:pPr>
              <w:widowControl/>
              <w:spacing w:line="400" w:lineRule="exact"/>
              <w:jc w:val="center"/>
              <w:rPr>
                <w:bCs/>
                <w:color w:val="000000"/>
                <w:kern w:val="0"/>
                <w:szCs w:val="21"/>
              </w:rPr>
            </w:pPr>
            <w:r>
              <w:rPr>
                <w:bCs/>
                <w:color w:val="000000"/>
                <w:kern w:val="0"/>
                <w:szCs w:val="21"/>
              </w:rPr>
              <w:t>排水状况</w:t>
            </w:r>
          </w:p>
        </w:tc>
        <w:tc>
          <w:tcPr>
            <w:tcW w:w="1111" w:type="dxa"/>
            <w:vAlign w:val="center"/>
          </w:tcPr>
          <w:p>
            <w:pPr>
              <w:widowControl/>
              <w:spacing w:line="400" w:lineRule="exact"/>
              <w:jc w:val="center"/>
              <w:rPr>
                <w:bCs/>
                <w:color w:val="000000"/>
                <w:kern w:val="0"/>
                <w:szCs w:val="21"/>
              </w:rPr>
            </w:pPr>
            <w:r>
              <w:rPr>
                <w:bCs/>
                <w:color w:val="000000"/>
                <w:kern w:val="0"/>
                <w:szCs w:val="21"/>
              </w:rPr>
              <w:t>好</w:t>
            </w:r>
          </w:p>
        </w:tc>
        <w:tc>
          <w:tcPr>
            <w:tcW w:w="1293" w:type="dxa"/>
            <w:vAlign w:val="center"/>
          </w:tcPr>
          <w:p>
            <w:pPr>
              <w:widowControl/>
              <w:spacing w:line="400" w:lineRule="exact"/>
              <w:jc w:val="center"/>
              <w:rPr>
                <w:bCs/>
                <w:color w:val="000000"/>
                <w:kern w:val="0"/>
                <w:szCs w:val="21"/>
              </w:rPr>
            </w:pPr>
            <w:r>
              <w:rPr>
                <w:bCs/>
                <w:color w:val="000000"/>
                <w:kern w:val="0"/>
                <w:szCs w:val="21"/>
              </w:rPr>
              <w:t>较好</w:t>
            </w:r>
          </w:p>
        </w:tc>
        <w:tc>
          <w:tcPr>
            <w:tcW w:w="1183" w:type="dxa"/>
            <w:vAlign w:val="center"/>
          </w:tcPr>
          <w:p>
            <w:pPr>
              <w:widowControl/>
              <w:spacing w:line="400" w:lineRule="exact"/>
              <w:jc w:val="center"/>
              <w:rPr>
                <w:bCs/>
                <w:color w:val="000000"/>
                <w:kern w:val="0"/>
                <w:szCs w:val="21"/>
              </w:rPr>
            </w:pPr>
            <w:r>
              <w:rPr>
                <w:bCs/>
                <w:color w:val="000000"/>
                <w:kern w:val="0"/>
                <w:szCs w:val="21"/>
              </w:rPr>
              <w:t>一般</w:t>
            </w:r>
          </w:p>
        </w:tc>
        <w:tc>
          <w:tcPr>
            <w:tcW w:w="1183" w:type="dxa"/>
            <w:vAlign w:val="center"/>
          </w:tcPr>
          <w:p>
            <w:pPr>
              <w:widowControl/>
              <w:spacing w:line="400" w:lineRule="exact"/>
              <w:jc w:val="center"/>
              <w:rPr>
                <w:bCs/>
                <w:color w:val="000000"/>
                <w:kern w:val="0"/>
                <w:szCs w:val="21"/>
              </w:rPr>
            </w:pPr>
            <w:r>
              <w:rPr>
                <w:bCs/>
                <w:color w:val="000000"/>
                <w:kern w:val="0"/>
                <w:szCs w:val="21"/>
              </w:rPr>
              <w:t>较差</w:t>
            </w:r>
          </w:p>
        </w:tc>
        <w:tc>
          <w:tcPr>
            <w:tcW w:w="1098" w:type="dxa"/>
            <w:vAlign w:val="center"/>
          </w:tcPr>
          <w:p>
            <w:pPr>
              <w:widowControl/>
              <w:spacing w:line="400" w:lineRule="exact"/>
              <w:jc w:val="center"/>
              <w:rPr>
                <w:bCs/>
                <w:color w:val="000000"/>
                <w:kern w:val="0"/>
                <w:szCs w:val="21"/>
              </w:rPr>
            </w:pPr>
            <w:r>
              <w:rPr>
                <w:bCs/>
                <w:color w:val="000000"/>
                <w:kern w:val="0"/>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1070" w:type="dxa"/>
            <w:vMerge w:val="continue"/>
            <w:vAlign w:val="center"/>
          </w:tcPr>
          <w:p>
            <w:pPr>
              <w:widowControl/>
              <w:spacing w:line="400" w:lineRule="exact"/>
              <w:jc w:val="center"/>
              <w:rPr>
                <w:bCs/>
                <w:color w:val="000000"/>
                <w:kern w:val="0"/>
                <w:szCs w:val="21"/>
              </w:rPr>
            </w:pPr>
          </w:p>
        </w:tc>
        <w:tc>
          <w:tcPr>
            <w:tcW w:w="1070" w:type="dxa"/>
            <w:vMerge w:val="continue"/>
            <w:vAlign w:val="center"/>
          </w:tcPr>
          <w:p>
            <w:pPr>
              <w:widowControl/>
              <w:spacing w:line="400" w:lineRule="exact"/>
              <w:jc w:val="center"/>
              <w:rPr>
                <w:bCs/>
                <w:color w:val="000000"/>
                <w:kern w:val="0"/>
                <w:szCs w:val="21"/>
              </w:rPr>
            </w:pPr>
          </w:p>
        </w:tc>
        <w:tc>
          <w:tcPr>
            <w:tcW w:w="1070" w:type="dxa"/>
            <w:vAlign w:val="center"/>
          </w:tcPr>
          <w:p>
            <w:pPr>
              <w:widowControl/>
              <w:spacing w:line="400" w:lineRule="exact"/>
              <w:jc w:val="center"/>
              <w:rPr>
                <w:bCs/>
                <w:color w:val="000000"/>
                <w:kern w:val="0"/>
                <w:szCs w:val="21"/>
              </w:rPr>
            </w:pPr>
            <w:r>
              <w:rPr>
                <w:bCs/>
                <w:color w:val="000000"/>
                <w:kern w:val="0"/>
                <w:szCs w:val="21"/>
              </w:rPr>
              <w:t>供水状况</w:t>
            </w:r>
          </w:p>
        </w:tc>
        <w:tc>
          <w:tcPr>
            <w:tcW w:w="1111" w:type="dxa"/>
            <w:vAlign w:val="center"/>
          </w:tcPr>
          <w:p>
            <w:pPr>
              <w:widowControl/>
              <w:spacing w:line="400" w:lineRule="exact"/>
              <w:jc w:val="center"/>
              <w:rPr>
                <w:bCs/>
                <w:color w:val="000000"/>
                <w:kern w:val="0"/>
                <w:szCs w:val="21"/>
              </w:rPr>
            </w:pPr>
            <w:r>
              <w:rPr>
                <w:bCs/>
                <w:color w:val="000000"/>
                <w:kern w:val="0"/>
                <w:szCs w:val="21"/>
              </w:rPr>
              <w:t>100%</w:t>
            </w:r>
          </w:p>
        </w:tc>
        <w:tc>
          <w:tcPr>
            <w:tcW w:w="1293" w:type="dxa"/>
            <w:vAlign w:val="center"/>
          </w:tcPr>
          <w:p>
            <w:pPr>
              <w:widowControl/>
              <w:spacing w:line="400" w:lineRule="exact"/>
              <w:jc w:val="center"/>
              <w:rPr>
                <w:bCs/>
                <w:color w:val="000000"/>
                <w:kern w:val="0"/>
                <w:szCs w:val="21"/>
              </w:rPr>
            </w:pPr>
            <w:r>
              <w:rPr>
                <w:bCs/>
                <w:color w:val="000000"/>
                <w:kern w:val="0"/>
                <w:szCs w:val="21"/>
              </w:rPr>
              <w:t>90-99%</w:t>
            </w:r>
          </w:p>
        </w:tc>
        <w:tc>
          <w:tcPr>
            <w:tcW w:w="1183" w:type="dxa"/>
            <w:vAlign w:val="center"/>
          </w:tcPr>
          <w:p>
            <w:pPr>
              <w:widowControl/>
              <w:spacing w:line="400" w:lineRule="exact"/>
              <w:jc w:val="center"/>
              <w:rPr>
                <w:bCs/>
                <w:color w:val="000000"/>
                <w:kern w:val="0"/>
                <w:szCs w:val="21"/>
              </w:rPr>
            </w:pPr>
            <w:r>
              <w:rPr>
                <w:bCs/>
                <w:color w:val="000000"/>
                <w:kern w:val="0"/>
                <w:szCs w:val="21"/>
              </w:rPr>
              <w:t>75-89%</w:t>
            </w:r>
          </w:p>
        </w:tc>
        <w:tc>
          <w:tcPr>
            <w:tcW w:w="1183" w:type="dxa"/>
            <w:vAlign w:val="center"/>
          </w:tcPr>
          <w:p>
            <w:pPr>
              <w:widowControl/>
              <w:spacing w:line="400" w:lineRule="exact"/>
              <w:jc w:val="center"/>
              <w:rPr>
                <w:bCs/>
                <w:color w:val="000000"/>
                <w:kern w:val="0"/>
                <w:szCs w:val="21"/>
              </w:rPr>
            </w:pPr>
            <w:r>
              <w:rPr>
                <w:bCs/>
                <w:color w:val="000000"/>
                <w:kern w:val="0"/>
                <w:szCs w:val="21"/>
              </w:rPr>
              <w:t>60-74%</w:t>
            </w:r>
          </w:p>
        </w:tc>
        <w:tc>
          <w:tcPr>
            <w:tcW w:w="1098" w:type="dxa"/>
            <w:vAlign w:val="center"/>
          </w:tcPr>
          <w:p>
            <w:pPr>
              <w:widowControl/>
              <w:spacing w:line="400" w:lineRule="exact"/>
              <w:jc w:val="center"/>
              <w:rPr>
                <w:bCs/>
                <w:color w:val="000000"/>
                <w:kern w:val="0"/>
                <w:szCs w:val="21"/>
              </w:rPr>
            </w:pPr>
            <w:r>
              <w:rPr>
                <w:bCs/>
                <w:color w:val="000000"/>
                <w:kern w:val="0"/>
                <w:szCs w:val="21"/>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Merge w:val="continue"/>
            <w:vAlign w:val="center"/>
          </w:tcPr>
          <w:p>
            <w:pPr>
              <w:widowControl/>
              <w:spacing w:line="400" w:lineRule="exact"/>
              <w:jc w:val="center"/>
              <w:rPr>
                <w:bCs/>
                <w:color w:val="000000"/>
                <w:kern w:val="0"/>
                <w:szCs w:val="21"/>
              </w:rPr>
            </w:pPr>
          </w:p>
        </w:tc>
        <w:tc>
          <w:tcPr>
            <w:tcW w:w="1070" w:type="dxa"/>
            <w:vMerge w:val="continue"/>
            <w:vAlign w:val="center"/>
          </w:tcPr>
          <w:p>
            <w:pPr>
              <w:widowControl/>
              <w:spacing w:line="400" w:lineRule="exact"/>
              <w:jc w:val="center"/>
              <w:rPr>
                <w:bCs/>
                <w:color w:val="000000"/>
                <w:kern w:val="0"/>
                <w:szCs w:val="21"/>
              </w:rPr>
            </w:pPr>
          </w:p>
        </w:tc>
        <w:tc>
          <w:tcPr>
            <w:tcW w:w="1070" w:type="dxa"/>
            <w:vAlign w:val="center"/>
          </w:tcPr>
          <w:p>
            <w:pPr>
              <w:widowControl/>
              <w:spacing w:line="400" w:lineRule="exact"/>
              <w:jc w:val="center"/>
              <w:rPr>
                <w:bCs/>
                <w:color w:val="000000"/>
                <w:kern w:val="0"/>
                <w:szCs w:val="21"/>
              </w:rPr>
            </w:pPr>
            <w:r>
              <w:rPr>
                <w:bCs/>
                <w:color w:val="000000"/>
                <w:kern w:val="0"/>
                <w:szCs w:val="21"/>
              </w:rPr>
              <w:t>供电状况</w:t>
            </w:r>
          </w:p>
        </w:tc>
        <w:tc>
          <w:tcPr>
            <w:tcW w:w="1111" w:type="dxa"/>
            <w:vAlign w:val="center"/>
          </w:tcPr>
          <w:p>
            <w:pPr>
              <w:widowControl/>
              <w:spacing w:line="400" w:lineRule="exact"/>
              <w:jc w:val="center"/>
              <w:rPr>
                <w:bCs/>
                <w:color w:val="000000"/>
                <w:kern w:val="0"/>
                <w:szCs w:val="21"/>
              </w:rPr>
            </w:pPr>
            <w:r>
              <w:rPr>
                <w:bCs/>
                <w:color w:val="000000"/>
                <w:kern w:val="0"/>
                <w:szCs w:val="21"/>
              </w:rPr>
              <w:t>好</w:t>
            </w:r>
          </w:p>
        </w:tc>
        <w:tc>
          <w:tcPr>
            <w:tcW w:w="1293" w:type="dxa"/>
            <w:vAlign w:val="center"/>
          </w:tcPr>
          <w:p>
            <w:pPr>
              <w:widowControl/>
              <w:spacing w:line="400" w:lineRule="exact"/>
              <w:jc w:val="center"/>
              <w:rPr>
                <w:bCs/>
                <w:color w:val="000000"/>
                <w:kern w:val="0"/>
                <w:szCs w:val="21"/>
              </w:rPr>
            </w:pPr>
            <w:r>
              <w:rPr>
                <w:bCs/>
                <w:color w:val="000000"/>
                <w:kern w:val="0"/>
                <w:szCs w:val="21"/>
              </w:rPr>
              <w:t>较好</w:t>
            </w:r>
          </w:p>
        </w:tc>
        <w:tc>
          <w:tcPr>
            <w:tcW w:w="1183" w:type="dxa"/>
            <w:vAlign w:val="center"/>
          </w:tcPr>
          <w:p>
            <w:pPr>
              <w:widowControl/>
              <w:spacing w:line="400" w:lineRule="exact"/>
              <w:jc w:val="center"/>
              <w:rPr>
                <w:bCs/>
                <w:color w:val="000000"/>
                <w:kern w:val="0"/>
                <w:szCs w:val="21"/>
              </w:rPr>
            </w:pPr>
            <w:r>
              <w:rPr>
                <w:bCs/>
                <w:color w:val="000000"/>
                <w:kern w:val="0"/>
                <w:szCs w:val="21"/>
              </w:rPr>
              <w:t>一般</w:t>
            </w:r>
          </w:p>
        </w:tc>
        <w:tc>
          <w:tcPr>
            <w:tcW w:w="1183" w:type="dxa"/>
            <w:vAlign w:val="center"/>
          </w:tcPr>
          <w:p>
            <w:pPr>
              <w:widowControl/>
              <w:spacing w:line="400" w:lineRule="exact"/>
              <w:jc w:val="center"/>
              <w:rPr>
                <w:bCs/>
                <w:color w:val="000000"/>
                <w:kern w:val="0"/>
                <w:szCs w:val="21"/>
              </w:rPr>
            </w:pPr>
            <w:r>
              <w:rPr>
                <w:bCs/>
                <w:color w:val="000000"/>
                <w:kern w:val="0"/>
                <w:szCs w:val="21"/>
              </w:rPr>
              <w:t>较差</w:t>
            </w:r>
          </w:p>
        </w:tc>
        <w:tc>
          <w:tcPr>
            <w:tcW w:w="1098" w:type="dxa"/>
            <w:vAlign w:val="center"/>
          </w:tcPr>
          <w:p>
            <w:pPr>
              <w:widowControl/>
              <w:spacing w:line="400" w:lineRule="exact"/>
              <w:jc w:val="center"/>
              <w:rPr>
                <w:bCs/>
                <w:color w:val="000000"/>
                <w:kern w:val="0"/>
                <w:szCs w:val="21"/>
              </w:rPr>
            </w:pPr>
            <w:r>
              <w:rPr>
                <w:bCs/>
                <w:color w:val="000000"/>
                <w:kern w:val="0"/>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1070" w:type="dxa"/>
            <w:vMerge w:val="continue"/>
            <w:vAlign w:val="center"/>
          </w:tcPr>
          <w:p>
            <w:pPr>
              <w:widowControl/>
              <w:spacing w:line="400" w:lineRule="exact"/>
              <w:jc w:val="center"/>
              <w:rPr>
                <w:bCs/>
                <w:color w:val="000000"/>
                <w:kern w:val="0"/>
                <w:szCs w:val="21"/>
              </w:rPr>
            </w:pPr>
          </w:p>
        </w:tc>
        <w:tc>
          <w:tcPr>
            <w:tcW w:w="1070" w:type="dxa"/>
            <w:vMerge w:val="continue"/>
            <w:vAlign w:val="center"/>
          </w:tcPr>
          <w:p>
            <w:pPr>
              <w:widowControl/>
              <w:spacing w:line="400" w:lineRule="exact"/>
              <w:jc w:val="center"/>
              <w:rPr>
                <w:bCs/>
                <w:color w:val="000000"/>
                <w:kern w:val="0"/>
                <w:szCs w:val="21"/>
              </w:rPr>
            </w:pPr>
          </w:p>
        </w:tc>
        <w:tc>
          <w:tcPr>
            <w:tcW w:w="1070" w:type="dxa"/>
            <w:vAlign w:val="center"/>
          </w:tcPr>
          <w:p>
            <w:pPr>
              <w:widowControl/>
              <w:spacing w:line="400" w:lineRule="exact"/>
              <w:jc w:val="center"/>
              <w:rPr>
                <w:bCs/>
                <w:color w:val="000000"/>
                <w:kern w:val="0"/>
                <w:szCs w:val="21"/>
              </w:rPr>
            </w:pPr>
            <w:r>
              <w:rPr>
                <w:bCs/>
                <w:color w:val="000000"/>
                <w:kern w:val="0"/>
                <w:szCs w:val="21"/>
              </w:rPr>
              <w:t>供气状况</w:t>
            </w:r>
          </w:p>
        </w:tc>
        <w:tc>
          <w:tcPr>
            <w:tcW w:w="1111" w:type="dxa"/>
            <w:vAlign w:val="center"/>
          </w:tcPr>
          <w:p>
            <w:pPr>
              <w:widowControl/>
              <w:spacing w:line="400" w:lineRule="exact"/>
              <w:jc w:val="center"/>
              <w:rPr>
                <w:bCs/>
                <w:color w:val="000000"/>
                <w:kern w:val="0"/>
                <w:szCs w:val="21"/>
              </w:rPr>
            </w:pPr>
            <w:r>
              <w:rPr>
                <w:bCs/>
                <w:color w:val="000000"/>
                <w:kern w:val="0"/>
                <w:szCs w:val="21"/>
              </w:rPr>
              <w:t>好</w:t>
            </w:r>
          </w:p>
        </w:tc>
        <w:tc>
          <w:tcPr>
            <w:tcW w:w="1293" w:type="dxa"/>
            <w:vAlign w:val="center"/>
          </w:tcPr>
          <w:p>
            <w:pPr>
              <w:widowControl/>
              <w:spacing w:line="400" w:lineRule="exact"/>
              <w:jc w:val="center"/>
              <w:rPr>
                <w:bCs/>
                <w:color w:val="000000"/>
                <w:kern w:val="0"/>
                <w:szCs w:val="21"/>
              </w:rPr>
            </w:pPr>
            <w:r>
              <w:rPr>
                <w:bCs/>
                <w:color w:val="000000"/>
                <w:kern w:val="0"/>
                <w:szCs w:val="21"/>
              </w:rPr>
              <w:t>较好</w:t>
            </w:r>
          </w:p>
        </w:tc>
        <w:tc>
          <w:tcPr>
            <w:tcW w:w="1183" w:type="dxa"/>
            <w:vAlign w:val="center"/>
          </w:tcPr>
          <w:p>
            <w:pPr>
              <w:widowControl/>
              <w:spacing w:line="400" w:lineRule="exact"/>
              <w:jc w:val="center"/>
              <w:rPr>
                <w:bCs/>
                <w:color w:val="000000"/>
                <w:kern w:val="0"/>
                <w:szCs w:val="21"/>
              </w:rPr>
            </w:pPr>
            <w:r>
              <w:rPr>
                <w:bCs/>
                <w:color w:val="000000"/>
                <w:kern w:val="0"/>
                <w:szCs w:val="21"/>
              </w:rPr>
              <w:t>一般</w:t>
            </w:r>
          </w:p>
        </w:tc>
        <w:tc>
          <w:tcPr>
            <w:tcW w:w="1183" w:type="dxa"/>
            <w:vAlign w:val="center"/>
          </w:tcPr>
          <w:p>
            <w:pPr>
              <w:widowControl/>
              <w:spacing w:line="400" w:lineRule="exact"/>
              <w:jc w:val="center"/>
              <w:rPr>
                <w:bCs/>
                <w:color w:val="000000"/>
                <w:kern w:val="0"/>
                <w:szCs w:val="21"/>
              </w:rPr>
            </w:pPr>
            <w:r>
              <w:rPr>
                <w:bCs/>
                <w:color w:val="000000"/>
                <w:kern w:val="0"/>
                <w:szCs w:val="21"/>
              </w:rPr>
              <w:t>较差</w:t>
            </w:r>
          </w:p>
        </w:tc>
        <w:tc>
          <w:tcPr>
            <w:tcW w:w="1098" w:type="dxa"/>
            <w:vAlign w:val="center"/>
          </w:tcPr>
          <w:p>
            <w:pPr>
              <w:widowControl/>
              <w:spacing w:line="400" w:lineRule="exact"/>
              <w:jc w:val="center"/>
              <w:rPr>
                <w:bCs/>
                <w:color w:val="000000"/>
                <w:kern w:val="0"/>
                <w:szCs w:val="21"/>
              </w:rPr>
            </w:pPr>
            <w:r>
              <w:rPr>
                <w:bCs/>
                <w:color w:val="000000"/>
                <w:kern w:val="0"/>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Merge w:val="restart"/>
            <w:vAlign w:val="center"/>
          </w:tcPr>
          <w:p>
            <w:pPr>
              <w:widowControl/>
              <w:spacing w:line="400" w:lineRule="exact"/>
              <w:jc w:val="center"/>
              <w:rPr>
                <w:bCs/>
                <w:color w:val="000000"/>
                <w:kern w:val="0"/>
                <w:szCs w:val="21"/>
              </w:rPr>
            </w:pPr>
            <w:r>
              <w:rPr>
                <w:bCs/>
                <w:color w:val="000000"/>
                <w:kern w:val="0"/>
                <w:szCs w:val="21"/>
              </w:rPr>
              <w:t>交通条件</w:t>
            </w:r>
          </w:p>
        </w:tc>
        <w:tc>
          <w:tcPr>
            <w:tcW w:w="1070" w:type="dxa"/>
            <w:vAlign w:val="center"/>
          </w:tcPr>
          <w:p>
            <w:pPr>
              <w:widowControl/>
              <w:spacing w:line="400" w:lineRule="exact"/>
              <w:jc w:val="center"/>
              <w:rPr>
                <w:bCs/>
                <w:color w:val="000000"/>
                <w:kern w:val="0"/>
                <w:szCs w:val="21"/>
              </w:rPr>
            </w:pPr>
            <w:r>
              <w:rPr>
                <w:bCs/>
                <w:color w:val="000000"/>
                <w:kern w:val="0"/>
                <w:szCs w:val="21"/>
              </w:rPr>
              <w:t>道路通达度</w:t>
            </w:r>
          </w:p>
        </w:tc>
        <w:tc>
          <w:tcPr>
            <w:tcW w:w="1070" w:type="dxa"/>
            <w:vAlign w:val="center"/>
          </w:tcPr>
          <w:p>
            <w:pPr>
              <w:widowControl/>
              <w:spacing w:line="400" w:lineRule="exact"/>
              <w:jc w:val="center"/>
              <w:rPr>
                <w:bCs/>
                <w:color w:val="000000"/>
                <w:kern w:val="0"/>
                <w:szCs w:val="21"/>
              </w:rPr>
            </w:pPr>
            <w:r>
              <w:rPr>
                <w:bCs/>
                <w:color w:val="000000"/>
                <w:kern w:val="0"/>
                <w:szCs w:val="21"/>
              </w:rPr>
              <w:t>临近道路状况</w:t>
            </w:r>
          </w:p>
        </w:tc>
        <w:tc>
          <w:tcPr>
            <w:tcW w:w="1111" w:type="dxa"/>
            <w:vAlign w:val="center"/>
          </w:tcPr>
          <w:p>
            <w:pPr>
              <w:widowControl/>
              <w:spacing w:line="400" w:lineRule="exact"/>
              <w:jc w:val="center"/>
              <w:rPr>
                <w:bCs/>
                <w:color w:val="000000"/>
                <w:kern w:val="0"/>
                <w:szCs w:val="21"/>
              </w:rPr>
            </w:pPr>
            <w:r>
              <w:rPr>
                <w:bCs/>
                <w:color w:val="000000"/>
                <w:kern w:val="0"/>
                <w:szCs w:val="21"/>
              </w:rPr>
              <w:t>交通型主干道</w:t>
            </w:r>
          </w:p>
        </w:tc>
        <w:tc>
          <w:tcPr>
            <w:tcW w:w="1293" w:type="dxa"/>
            <w:vAlign w:val="center"/>
          </w:tcPr>
          <w:p>
            <w:pPr>
              <w:widowControl/>
              <w:spacing w:line="400" w:lineRule="exact"/>
              <w:jc w:val="center"/>
              <w:rPr>
                <w:bCs/>
                <w:color w:val="000000"/>
                <w:kern w:val="0"/>
                <w:szCs w:val="21"/>
              </w:rPr>
            </w:pPr>
            <w:r>
              <w:rPr>
                <w:bCs/>
                <w:color w:val="000000"/>
                <w:kern w:val="0"/>
                <w:szCs w:val="21"/>
              </w:rPr>
              <w:t>混合型主干道</w:t>
            </w:r>
          </w:p>
        </w:tc>
        <w:tc>
          <w:tcPr>
            <w:tcW w:w="1183" w:type="dxa"/>
            <w:vAlign w:val="center"/>
          </w:tcPr>
          <w:p>
            <w:pPr>
              <w:widowControl/>
              <w:spacing w:line="400" w:lineRule="exact"/>
              <w:jc w:val="center"/>
              <w:rPr>
                <w:bCs/>
                <w:color w:val="000000"/>
                <w:kern w:val="0"/>
                <w:szCs w:val="21"/>
              </w:rPr>
            </w:pPr>
            <w:r>
              <w:rPr>
                <w:bCs/>
                <w:color w:val="000000"/>
                <w:kern w:val="0"/>
                <w:szCs w:val="21"/>
              </w:rPr>
              <w:t>交通型次干道</w:t>
            </w:r>
          </w:p>
        </w:tc>
        <w:tc>
          <w:tcPr>
            <w:tcW w:w="1183" w:type="dxa"/>
            <w:vAlign w:val="center"/>
          </w:tcPr>
          <w:p>
            <w:pPr>
              <w:widowControl/>
              <w:spacing w:line="400" w:lineRule="exact"/>
              <w:jc w:val="center"/>
              <w:rPr>
                <w:bCs/>
                <w:color w:val="000000"/>
                <w:kern w:val="0"/>
                <w:szCs w:val="21"/>
              </w:rPr>
            </w:pPr>
            <w:r>
              <w:rPr>
                <w:bCs/>
                <w:color w:val="000000"/>
                <w:kern w:val="0"/>
                <w:szCs w:val="21"/>
              </w:rPr>
              <w:t>生活型次干道</w:t>
            </w:r>
          </w:p>
        </w:tc>
        <w:tc>
          <w:tcPr>
            <w:tcW w:w="1098" w:type="dxa"/>
            <w:vAlign w:val="center"/>
          </w:tcPr>
          <w:p>
            <w:pPr>
              <w:widowControl/>
              <w:spacing w:line="400" w:lineRule="exact"/>
              <w:jc w:val="center"/>
              <w:rPr>
                <w:bCs/>
                <w:color w:val="000000"/>
                <w:kern w:val="0"/>
                <w:szCs w:val="21"/>
              </w:rPr>
            </w:pPr>
            <w:r>
              <w:rPr>
                <w:bCs/>
                <w:color w:val="000000"/>
                <w:kern w:val="0"/>
                <w:szCs w:val="21"/>
              </w:rPr>
              <w:t>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1070" w:type="dxa"/>
            <w:vMerge w:val="continue"/>
            <w:vAlign w:val="center"/>
          </w:tcPr>
          <w:p>
            <w:pPr>
              <w:widowControl/>
              <w:spacing w:line="400" w:lineRule="exact"/>
              <w:jc w:val="center"/>
              <w:rPr>
                <w:bCs/>
                <w:color w:val="000000"/>
                <w:kern w:val="0"/>
                <w:szCs w:val="21"/>
              </w:rPr>
            </w:pPr>
          </w:p>
        </w:tc>
        <w:tc>
          <w:tcPr>
            <w:tcW w:w="1070" w:type="dxa"/>
            <w:vAlign w:val="center"/>
          </w:tcPr>
          <w:p>
            <w:pPr>
              <w:widowControl/>
              <w:spacing w:line="400" w:lineRule="exact"/>
              <w:jc w:val="center"/>
              <w:rPr>
                <w:bCs/>
                <w:color w:val="000000"/>
                <w:kern w:val="0"/>
                <w:szCs w:val="21"/>
              </w:rPr>
            </w:pPr>
            <w:r>
              <w:rPr>
                <w:bCs/>
                <w:color w:val="000000"/>
                <w:kern w:val="0"/>
                <w:szCs w:val="21"/>
              </w:rPr>
              <w:t>公交便捷度</w:t>
            </w:r>
          </w:p>
        </w:tc>
        <w:tc>
          <w:tcPr>
            <w:tcW w:w="1070" w:type="dxa"/>
            <w:vAlign w:val="center"/>
          </w:tcPr>
          <w:p>
            <w:pPr>
              <w:widowControl/>
              <w:spacing w:line="400" w:lineRule="exact"/>
              <w:jc w:val="center"/>
              <w:rPr>
                <w:bCs/>
                <w:color w:val="000000"/>
                <w:kern w:val="0"/>
                <w:szCs w:val="21"/>
              </w:rPr>
            </w:pPr>
            <w:r>
              <w:rPr>
                <w:bCs/>
                <w:color w:val="000000"/>
                <w:kern w:val="0"/>
                <w:szCs w:val="21"/>
              </w:rPr>
              <w:t>距最近公交站点距离</w:t>
            </w:r>
          </w:p>
        </w:tc>
        <w:tc>
          <w:tcPr>
            <w:tcW w:w="1111" w:type="dxa"/>
            <w:vAlign w:val="center"/>
          </w:tcPr>
          <w:p>
            <w:pPr>
              <w:widowControl/>
              <w:spacing w:line="400" w:lineRule="exact"/>
              <w:jc w:val="center"/>
              <w:rPr>
                <w:bCs/>
                <w:color w:val="000000"/>
                <w:kern w:val="0"/>
                <w:szCs w:val="21"/>
              </w:rPr>
            </w:pPr>
            <w:r>
              <w:rPr>
                <w:bCs/>
                <w:color w:val="000000"/>
                <w:kern w:val="0"/>
                <w:szCs w:val="21"/>
              </w:rPr>
              <w:t>&lt;1</w:t>
            </w:r>
            <w:r>
              <w:rPr>
                <w:rFonts w:hint="eastAsia"/>
                <w:bCs/>
                <w:color w:val="000000"/>
                <w:kern w:val="0"/>
                <w:szCs w:val="21"/>
              </w:rPr>
              <w:t>5</w:t>
            </w:r>
            <w:r>
              <w:rPr>
                <w:bCs/>
                <w:color w:val="000000"/>
                <w:kern w:val="0"/>
                <w:szCs w:val="21"/>
              </w:rPr>
              <w:t>00</w:t>
            </w:r>
          </w:p>
        </w:tc>
        <w:tc>
          <w:tcPr>
            <w:tcW w:w="1293" w:type="dxa"/>
            <w:vAlign w:val="center"/>
          </w:tcPr>
          <w:p>
            <w:pPr>
              <w:widowControl/>
              <w:spacing w:line="400" w:lineRule="exact"/>
              <w:jc w:val="center"/>
              <w:rPr>
                <w:bCs/>
                <w:color w:val="000000"/>
                <w:kern w:val="0"/>
                <w:szCs w:val="21"/>
              </w:rPr>
            </w:pPr>
            <w:r>
              <w:rPr>
                <w:bCs/>
                <w:color w:val="000000"/>
                <w:kern w:val="0"/>
                <w:szCs w:val="21"/>
              </w:rPr>
              <w:t>1</w:t>
            </w:r>
            <w:r>
              <w:rPr>
                <w:rFonts w:hint="eastAsia"/>
                <w:bCs/>
                <w:color w:val="000000"/>
                <w:kern w:val="0"/>
                <w:szCs w:val="21"/>
              </w:rPr>
              <w:t>5</w:t>
            </w:r>
            <w:r>
              <w:rPr>
                <w:bCs/>
                <w:color w:val="000000"/>
                <w:kern w:val="0"/>
                <w:szCs w:val="21"/>
              </w:rPr>
              <w:t>00-1</w:t>
            </w:r>
            <w:r>
              <w:rPr>
                <w:rFonts w:hint="eastAsia"/>
                <w:bCs/>
                <w:color w:val="000000"/>
                <w:kern w:val="0"/>
                <w:szCs w:val="21"/>
              </w:rPr>
              <w:t>8</w:t>
            </w:r>
            <w:r>
              <w:rPr>
                <w:bCs/>
                <w:color w:val="000000"/>
                <w:kern w:val="0"/>
                <w:szCs w:val="21"/>
              </w:rPr>
              <w:t>00</w:t>
            </w:r>
          </w:p>
        </w:tc>
        <w:tc>
          <w:tcPr>
            <w:tcW w:w="1183" w:type="dxa"/>
            <w:vAlign w:val="center"/>
          </w:tcPr>
          <w:p>
            <w:pPr>
              <w:widowControl/>
              <w:spacing w:line="400" w:lineRule="exact"/>
              <w:jc w:val="center"/>
              <w:rPr>
                <w:bCs/>
                <w:color w:val="000000"/>
                <w:kern w:val="0"/>
                <w:szCs w:val="21"/>
              </w:rPr>
            </w:pPr>
            <w:r>
              <w:rPr>
                <w:bCs/>
                <w:color w:val="000000"/>
                <w:kern w:val="0"/>
                <w:szCs w:val="21"/>
              </w:rPr>
              <w:t>1</w:t>
            </w:r>
            <w:r>
              <w:rPr>
                <w:rFonts w:hint="eastAsia"/>
                <w:bCs/>
                <w:color w:val="000000"/>
                <w:kern w:val="0"/>
                <w:szCs w:val="21"/>
              </w:rPr>
              <w:t>8</w:t>
            </w:r>
            <w:r>
              <w:rPr>
                <w:bCs/>
                <w:color w:val="000000"/>
                <w:kern w:val="0"/>
                <w:szCs w:val="21"/>
              </w:rPr>
              <w:t>00-</w:t>
            </w:r>
            <w:r>
              <w:rPr>
                <w:rFonts w:hint="eastAsia"/>
                <w:bCs/>
                <w:color w:val="000000"/>
                <w:kern w:val="0"/>
                <w:szCs w:val="21"/>
              </w:rPr>
              <w:t>22</w:t>
            </w:r>
            <w:r>
              <w:rPr>
                <w:bCs/>
                <w:color w:val="000000"/>
                <w:kern w:val="0"/>
                <w:szCs w:val="21"/>
              </w:rPr>
              <w:t>00</w:t>
            </w:r>
          </w:p>
        </w:tc>
        <w:tc>
          <w:tcPr>
            <w:tcW w:w="1183" w:type="dxa"/>
            <w:vAlign w:val="center"/>
          </w:tcPr>
          <w:p>
            <w:pPr>
              <w:widowControl/>
              <w:spacing w:line="400" w:lineRule="exact"/>
              <w:jc w:val="center"/>
              <w:rPr>
                <w:bCs/>
                <w:color w:val="000000"/>
                <w:kern w:val="0"/>
                <w:szCs w:val="21"/>
              </w:rPr>
            </w:pPr>
            <w:r>
              <w:rPr>
                <w:rFonts w:hint="eastAsia"/>
                <w:bCs/>
                <w:color w:val="000000"/>
                <w:kern w:val="0"/>
                <w:szCs w:val="21"/>
              </w:rPr>
              <w:t>22</w:t>
            </w:r>
            <w:r>
              <w:rPr>
                <w:bCs/>
                <w:color w:val="000000"/>
                <w:kern w:val="0"/>
                <w:szCs w:val="21"/>
              </w:rPr>
              <w:t>00-2</w:t>
            </w:r>
            <w:r>
              <w:rPr>
                <w:rFonts w:hint="eastAsia"/>
                <w:bCs/>
                <w:color w:val="000000"/>
                <w:kern w:val="0"/>
                <w:szCs w:val="21"/>
              </w:rPr>
              <w:t>5</w:t>
            </w:r>
            <w:r>
              <w:rPr>
                <w:bCs/>
                <w:color w:val="000000"/>
                <w:kern w:val="0"/>
                <w:szCs w:val="21"/>
              </w:rPr>
              <w:t>00</w:t>
            </w:r>
          </w:p>
        </w:tc>
        <w:tc>
          <w:tcPr>
            <w:tcW w:w="1098" w:type="dxa"/>
            <w:vAlign w:val="center"/>
          </w:tcPr>
          <w:p>
            <w:pPr>
              <w:widowControl/>
              <w:spacing w:line="400" w:lineRule="exact"/>
              <w:jc w:val="center"/>
              <w:rPr>
                <w:bCs/>
                <w:color w:val="000000"/>
                <w:kern w:val="0"/>
                <w:szCs w:val="21"/>
              </w:rPr>
            </w:pPr>
            <w:r>
              <w:rPr>
                <w:bCs/>
                <w:color w:val="000000"/>
                <w:kern w:val="0"/>
                <w:szCs w:val="21"/>
              </w:rPr>
              <w:t>&gt;2</w:t>
            </w:r>
            <w:r>
              <w:rPr>
                <w:rFonts w:hint="eastAsia"/>
                <w:bCs/>
                <w:color w:val="000000"/>
                <w:kern w:val="0"/>
                <w:szCs w:val="21"/>
              </w:rPr>
              <w:t>5</w:t>
            </w:r>
            <w:r>
              <w:rPr>
                <w:bCs/>
                <w:color w:val="000000"/>
                <w:kern w:val="0"/>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1070" w:type="dxa"/>
            <w:vAlign w:val="center"/>
          </w:tcPr>
          <w:p>
            <w:pPr>
              <w:widowControl/>
              <w:spacing w:line="400" w:lineRule="exact"/>
              <w:jc w:val="center"/>
              <w:rPr>
                <w:bCs/>
                <w:color w:val="000000"/>
                <w:kern w:val="0"/>
                <w:szCs w:val="21"/>
              </w:rPr>
            </w:pPr>
            <w:r>
              <w:rPr>
                <w:bCs/>
                <w:color w:val="000000"/>
                <w:kern w:val="0"/>
                <w:szCs w:val="21"/>
              </w:rPr>
              <w:t>人口状况</w:t>
            </w:r>
          </w:p>
        </w:tc>
        <w:tc>
          <w:tcPr>
            <w:tcW w:w="1070" w:type="dxa"/>
            <w:vAlign w:val="center"/>
          </w:tcPr>
          <w:p>
            <w:pPr>
              <w:widowControl/>
              <w:spacing w:line="400" w:lineRule="exact"/>
              <w:jc w:val="center"/>
              <w:rPr>
                <w:bCs/>
                <w:color w:val="000000"/>
                <w:kern w:val="0"/>
                <w:szCs w:val="21"/>
              </w:rPr>
            </w:pPr>
            <w:r>
              <w:rPr>
                <w:bCs/>
                <w:color w:val="000000"/>
                <w:kern w:val="0"/>
                <w:szCs w:val="21"/>
              </w:rPr>
              <w:t>人口密度</w:t>
            </w:r>
          </w:p>
        </w:tc>
        <w:tc>
          <w:tcPr>
            <w:tcW w:w="1070" w:type="dxa"/>
            <w:vAlign w:val="center"/>
          </w:tcPr>
          <w:p>
            <w:pPr>
              <w:widowControl/>
              <w:spacing w:line="400" w:lineRule="exact"/>
              <w:jc w:val="center"/>
              <w:rPr>
                <w:bCs/>
                <w:color w:val="000000"/>
                <w:kern w:val="0"/>
                <w:szCs w:val="21"/>
              </w:rPr>
            </w:pPr>
            <w:r>
              <w:rPr>
                <w:bCs/>
                <w:color w:val="000000"/>
                <w:kern w:val="0"/>
                <w:szCs w:val="21"/>
              </w:rPr>
              <w:t>人口密度</w:t>
            </w:r>
          </w:p>
        </w:tc>
        <w:tc>
          <w:tcPr>
            <w:tcW w:w="1111" w:type="dxa"/>
            <w:vAlign w:val="center"/>
          </w:tcPr>
          <w:p>
            <w:pPr>
              <w:widowControl/>
              <w:spacing w:line="400" w:lineRule="exact"/>
              <w:jc w:val="center"/>
              <w:rPr>
                <w:bCs/>
                <w:color w:val="000000"/>
                <w:kern w:val="0"/>
                <w:szCs w:val="21"/>
              </w:rPr>
            </w:pPr>
            <w:r>
              <w:rPr>
                <w:bCs/>
                <w:color w:val="000000"/>
                <w:kern w:val="0"/>
                <w:szCs w:val="21"/>
              </w:rPr>
              <w:t>≥</w:t>
            </w:r>
            <w:r>
              <w:rPr>
                <w:rFonts w:hint="eastAsia"/>
                <w:bCs/>
                <w:color w:val="000000"/>
                <w:kern w:val="0"/>
                <w:szCs w:val="21"/>
              </w:rPr>
              <w:t>8</w:t>
            </w:r>
            <w:r>
              <w:rPr>
                <w:bCs/>
                <w:color w:val="000000"/>
                <w:kern w:val="0"/>
                <w:szCs w:val="21"/>
              </w:rPr>
              <w:t>000</w:t>
            </w:r>
          </w:p>
        </w:tc>
        <w:tc>
          <w:tcPr>
            <w:tcW w:w="1293" w:type="dxa"/>
            <w:vAlign w:val="center"/>
          </w:tcPr>
          <w:p>
            <w:pPr>
              <w:widowControl/>
              <w:spacing w:line="400" w:lineRule="exact"/>
              <w:jc w:val="center"/>
              <w:rPr>
                <w:bCs/>
                <w:color w:val="000000"/>
                <w:kern w:val="0"/>
                <w:szCs w:val="21"/>
              </w:rPr>
            </w:pPr>
            <w:r>
              <w:rPr>
                <w:rFonts w:hint="eastAsia"/>
                <w:bCs/>
                <w:color w:val="000000"/>
                <w:kern w:val="0"/>
                <w:szCs w:val="21"/>
              </w:rPr>
              <w:t>8</w:t>
            </w:r>
            <w:r>
              <w:rPr>
                <w:bCs/>
                <w:color w:val="000000"/>
                <w:kern w:val="0"/>
                <w:szCs w:val="21"/>
              </w:rPr>
              <w:t>000-</w:t>
            </w:r>
            <w:r>
              <w:rPr>
                <w:rFonts w:hint="eastAsia"/>
                <w:bCs/>
                <w:color w:val="000000"/>
                <w:kern w:val="0"/>
                <w:szCs w:val="21"/>
              </w:rPr>
              <w:t>4</w:t>
            </w:r>
            <w:r>
              <w:rPr>
                <w:bCs/>
                <w:color w:val="000000"/>
                <w:kern w:val="0"/>
                <w:szCs w:val="21"/>
              </w:rPr>
              <w:t>000</w:t>
            </w:r>
          </w:p>
        </w:tc>
        <w:tc>
          <w:tcPr>
            <w:tcW w:w="1183" w:type="dxa"/>
            <w:vAlign w:val="center"/>
          </w:tcPr>
          <w:p>
            <w:pPr>
              <w:widowControl/>
              <w:spacing w:line="400" w:lineRule="exact"/>
              <w:jc w:val="center"/>
              <w:rPr>
                <w:bCs/>
                <w:color w:val="000000"/>
                <w:kern w:val="0"/>
                <w:szCs w:val="21"/>
              </w:rPr>
            </w:pPr>
            <w:r>
              <w:rPr>
                <w:rFonts w:hint="eastAsia"/>
                <w:bCs/>
                <w:color w:val="000000"/>
                <w:kern w:val="0"/>
                <w:szCs w:val="21"/>
              </w:rPr>
              <w:t>4</w:t>
            </w:r>
            <w:r>
              <w:rPr>
                <w:bCs/>
                <w:color w:val="000000"/>
                <w:kern w:val="0"/>
                <w:szCs w:val="21"/>
              </w:rPr>
              <w:t>000-</w:t>
            </w:r>
            <w:r>
              <w:rPr>
                <w:rFonts w:hint="eastAsia"/>
                <w:bCs/>
                <w:color w:val="000000"/>
                <w:kern w:val="0"/>
                <w:szCs w:val="21"/>
              </w:rPr>
              <w:t>15</w:t>
            </w:r>
            <w:r>
              <w:rPr>
                <w:bCs/>
                <w:color w:val="000000"/>
                <w:kern w:val="0"/>
                <w:szCs w:val="21"/>
              </w:rPr>
              <w:t>00</w:t>
            </w:r>
          </w:p>
        </w:tc>
        <w:tc>
          <w:tcPr>
            <w:tcW w:w="1183" w:type="dxa"/>
            <w:vAlign w:val="center"/>
          </w:tcPr>
          <w:p>
            <w:pPr>
              <w:widowControl/>
              <w:spacing w:line="400" w:lineRule="exact"/>
              <w:jc w:val="center"/>
              <w:rPr>
                <w:bCs/>
                <w:color w:val="000000"/>
                <w:kern w:val="0"/>
                <w:szCs w:val="21"/>
              </w:rPr>
            </w:pPr>
            <w:r>
              <w:rPr>
                <w:rFonts w:hint="eastAsia"/>
                <w:bCs/>
                <w:color w:val="000000"/>
                <w:kern w:val="0"/>
                <w:szCs w:val="21"/>
              </w:rPr>
              <w:t>15</w:t>
            </w:r>
            <w:r>
              <w:rPr>
                <w:bCs/>
                <w:color w:val="000000"/>
                <w:kern w:val="0"/>
                <w:szCs w:val="21"/>
              </w:rPr>
              <w:t>00-</w:t>
            </w:r>
            <w:r>
              <w:rPr>
                <w:rFonts w:hint="eastAsia"/>
                <w:bCs/>
                <w:color w:val="000000"/>
                <w:kern w:val="0"/>
                <w:szCs w:val="21"/>
              </w:rPr>
              <w:t>8</w:t>
            </w:r>
            <w:r>
              <w:rPr>
                <w:bCs/>
                <w:color w:val="000000"/>
                <w:kern w:val="0"/>
                <w:szCs w:val="21"/>
              </w:rPr>
              <w:t>00</w:t>
            </w:r>
          </w:p>
        </w:tc>
        <w:tc>
          <w:tcPr>
            <w:tcW w:w="1098" w:type="dxa"/>
            <w:vAlign w:val="center"/>
          </w:tcPr>
          <w:p>
            <w:pPr>
              <w:widowControl/>
              <w:spacing w:line="400" w:lineRule="exact"/>
              <w:jc w:val="center"/>
              <w:rPr>
                <w:bCs/>
                <w:color w:val="000000"/>
                <w:kern w:val="0"/>
                <w:szCs w:val="21"/>
              </w:rPr>
            </w:pPr>
            <w:r>
              <w:rPr>
                <w:rFonts w:hint="eastAsia"/>
                <w:bCs/>
                <w:color w:val="000000"/>
                <w:kern w:val="0"/>
                <w:szCs w:val="21"/>
              </w:rPr>
              <w:t>8</w:t>
            </w:r>
            <w:r>
              <w:rPr>
                <w:bCs/>
                <w:color w:val="000000"/>
                <w:kern w:val="0"/>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Merge w:val="restart"/>
            <w:vAlign w:val="center"/>
          </w:tcPr>
          <w:p>
            <w:pPr>
              <w:widowControl/>
              <w:spacing w:line="400" w:lineRule="exact"/>
              <w:jc w:val="center"/>
              <w:rPr>
                <w:bCs/>
                <w:color w:val="000000"/>
                <w:kern w:val="0"/>
                <w:szCs w:val="21"/>
              </w:rPr>
            </w:pPr>
            <w:r>
              <w:rPr>
                <w:bCs/>
                <w:color w:val="000000"/>
                <w:kern w:val="0"/>
                <w:szCs w:val="21"/>
              </w:rPr>
              <w:t>环境条件</w:t>
            </w:r>
          </w:p>
        </w:tc>
        <w:tc>
          <w:tcPr>
            <w:tcW w:w="1070" w:type="dxa"/>
            <w:vMerge w:val="restart"/>
            <w:vAlign w:val="center"/>
          </w:tcPr>
          <w:p>
            <w:pPr>
              <w:widowControl/>
              <w:spacing w:line="400" w:lineRule="exact"/>
              <w:jc w:val="center"/>
              <w:rPr>
                <w:bCs/>
                <w:color w:val="000000"/>
                <w:kern w:val="0"/>
                <w:szCs w:val="21"/>
              </w:rPr>
            </w:pPr>
            <w:r>
              <w:rPr>
                <w:bCs/>
                <w:color w:val="000000"/>
                <w:kern w:val="0"/>
                <w:szCs w:val="21"/>
              </w:rPr>
              <w:t>自然条件优劣度</w:t>
            </w:r>
          </w:p>
        </w:tc>
        <w:tc>
          <w:tcPr>
            <w:tcW w:w="1070" w:type="dxa"/>
            <w:vAlign w:val="center"/>
          </w:tcPr>
          <w:p>
            <w:pPr>
              <w:widowControl/>
              <w:spacing w:line="400" w:lineRule="exact"/>
              <w:jc w:val="center"/>
              <w:rPr>
                <w:bCs/>
                <w:color w:val="000000"/>
                <w:kern w:val="0"/>
                <w:szCs w:val="21"/>
              </w:rPr>
            </w:pPr>
            <w:r>
              <w:rPr>
                <w:bCs/>
                <w:color w:val="000000"/>
                <w:kern w:val="0"/>
                <w:szCs w:val="21"/>
              </w:rPr>
              <w:t>地形状况</w:t>
            </w:r>
          </w:p>
        </w:tc>
        <w:tc>
          <w:tcPr>
            <w:tcW w:w="1111" w:type="dxa"/>
            <w:vAlign w:val="center"/>
          </w:tcPr>
          <w:p>
            <w:pPr>
              <w:widowControl/>
              <w:spacing w:line="400" w:lineRule="exact"/>
              <w:jc w:val="center"/>
              <w:rPr>
                <w:bCs/>
                <w:color w:val="000000"/>
                <w:kern w:val="0"/>
                <w:szCs w:val="21"/>
              </w:rPr>
            </w:pPr>
            <w:r>
              <w:rPr>
                <w:bCs/>
                <w:color w:val="000000"/>
                <w:kern w:val="0"/>
                <w:szCs w:val="21"/>
              </w:rPr>
              <w:t>地势平坦</w:t>
            </w:r>
          </w:p>
        </w:tc>
        <w:tc>
          <w:tcPr>
            <w:tcW w:w="1293" w:type="dxa"/>
            <w:vAlign w:val="center"/>
          </w:tcPr>
          <w:p>
            <w:pPr>
              <w:widowControl/>
              <w:spacing w:line="400" w:lineRule="exact"/>
              <w:jc w:val="center"/>
              <w:rPr>
                <w:bCs/>
                <w:color w:val="000000"/>
                <w:kern w:val="0"/>
                <w:szCs w:val="21"/>
              </w:rPr>
            </w:pPr>
            <w:r>
              <w:rPr>
                <w:bCs/>
                <w:color w:val="000000"/>
                <w:kern w:val="0"/>
                <w:szCs w:val="21"/>
              </w:rPr>
              <w:t>较平坦，对建筑物无影响</w:t>
            </w:r>
          </w:p>
        </w:tc>
        <w:tc>
          <w:tcPr>
            <w:tcW w:w="1183" w:type="dxa"/>
            <w:vAlign w:val="center"/>
          </w:tcPr>
          <w:p>
            <w:pPr>
              <w:widowControl/>
              <w:spacing w:line="400" w:lineRule="exact"/>
              <w:jc w:val="center"/>
              <w:rPr>
                <w:bCs/>
                <w:color w:val="000000"/>
                <w:kern w:val="0"/>
                <w:szCs w:val="21"/>
              </w:rPr>
            </w:pPr>
            <w:r>
              <w:rPr>
                <w:bCs/>
                <w:color w:val="000000"/>
                <w:kern w:val="0"/>
                <w:szCs w:val="21"/>
              </w:rPr>
              <w:t>较平坦，对建筑物影响较小</w:t>
            </w:r>
          </w:p>
        </w:tc>
        <w:tc>
          <w:tcPr>
            <w:tcW w:w="1183" w:type="dxa"/>
            <w:vAlign w:val="center"/>
          </w:tcPr>
          <w:p>
            <w:pPr>
              <w:widowControl/>
              <w:spacing w:line="400" w:lineRule="exact"/>
              <w:jc w:val="center"/>
              <w:rPr>
                <w:bCs/>
                <w:color w:val="000000"/>
                <w:kern w:val="0"/>
                <w:szCs w:val="21"/>
              </w:rPr>
            </w:pPr>
            <w:r>
              <w:rPr>
                <w:bCs/>
                <w:color w:val="000000"/>
                <w:kern w:val="0"/>
                <w:szCs w:val="21"/>
              </w:rPr>
              <w:t>不平坦，需考虑坡度影响</w:t>
            </w:r>
          </w:p>
        </w:tc>
        <w:tc>
          <w:tcPr>
            <w:tcW w:w="1098" w:type="dxa"/>
            <w:vAlign w:val="center"/>
          </w:tcPr>
          <w:p>
            <w:pPr>
              <w:widowControl/>
              <w:spacing w:line="400" w:lineRule="exact"/>
              <w:jc w:val="center"/>
              <w:rPr>
                <w:bCs/>
                <w:color w:val="000000"/>
                <w:kern w:val="0"/>
                <w:szCs w:val="21"/>
              </w:rPr>
            </w:pPr>
            <w:r>
              <w:rPr>
                <w:bCs/>
                <w:color w:val="000000"/>
                <w:kern w:val="0"/>
                <w:szCs w:val="21"/>
              </w:rPr>
              <w:t>不平坦，需经平整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0" w:hRule="atLeast"/>
          <w:jc w:val="center"/>
        </w:trPr>
        <w:tc>
          <w:tcPr>
            <w:tcW w:w="1070" w:type="dxa"/>
            <w:vMerge w:val="continue"/>
            <w:vAlign w:val="center"/>
          </w:tcPr>
          <w:p>
            <w:pPr>
              <w:widowControl/>
              <w:spacing w:line="400" w:lineRule="exact"/>
              <w:jc w:val="center"/>
              <w:rPr>
                <w:bCs/>
                <w:color w:val="000000"/>
                <w:kern w:val="0"/>
                <w:szCs w:val="21"/>
              </w:rPr>
            </w:pPr>
          </w:p>
        </w:tc>
        <w:tc>
          <w:tcPr>
            <w:tcW w:w="1070" w:type="dxa"/>
            <w:vMerge w:val="continue"/>
            <w:vAlign w:val="center"/>
          </w:tcPr>
          <w:p>
            <w:pPr>
              <w:widowControl/>
              <w:spacing w:line="400" w:lineRule="exact"/>
              <w:jc w:val="center"/>
              <w:rPr>
                <w:bCs/>
                <w:color w:val="000000"/>
                <w:kern w:val="0"/>
                <w:szCs w:val="21"/>
              </w:rPr>
            </w:pPr>
          </w:p>
        </w:tc>
        <w:tc>
          <w:tcPr>
            <w:tcW w:w="1070" w:type="dxa"/>
            <w:vAlign w:val="center"/>
          </w:tcPr>
          <w:p>
            <w:pPr>
              <w:widowControl/>
              <w:spacing w:line="400" w:lineRule="exact"/>
              <w:jc w:val="center"/>
              <w:rPr>
                <w:bCs/>
                <w:color w:val="000000"/>
                <w:kern w:val="0"/>
                <w:szCs w:val="21"/>
              </w:rPr>
            </w:pPr>
            <w:r>
              <w:rPr>
                <w:bCs/>
                <w:color w:val="000000"/>
                <w:kern w:val="0"/>
                <w:szCs w:val="21"/>
              </w:rPr>
              <w:t>洪水淹没状况</w:t>
            </w:r>
          </w:p>
        </w:tc>
        <w:tc>
          <w:tcPr>
            <w:tcW w:w="1111" w:type="dxa"/>
            <w:vAlign w:val="center"/>
          </w:tcPr>
          <w:p>
            <w:pPr>
              <w:widowControl/>
              <w:spacing w:line="400" w:lineRule="exact"/>
              <w:jc w:val="center"/>
              <w:rPr>
                <w:bCs/>
                <w:color w:val="000000"/>
                <w:kern w:val="0"/>
                <w:szCs w:val="21"/>
              </w:rPr>
            </w:pPr>
            <w:r>
              <w:rPr>
                <w:bCs/>
                <w:color w:val="000000"/>
                <w:kern w:val="0"/>
                <w:szCs w:val="21"/>
              </w:rPr>
              <w:t>&gt;100年一遇</w:t>
            </w:r>
          </w:p>
        </w:tc>
        <w:tc>
          <w:tcPr>
            <w:tcW w:w="1293" w:type="dxa"/>
            <w:vAlign w:val="center"/>
          </w:tcPr>
          <w:p>
            <w:pPr>
              <w:widowControl/>
              <w:spacing w:line="400" w:lineRule="exact"/>
              <w:jc w:val="center"/>
              <w:rPr>
                <w:bCs/>
                <w:color w:val="000000"/>
                <w:kern w:val="0"/>
                <w:szCs w:val="21"/>
              </w:rPr>
            </w:pPr>
            <w:r>
              <w:rPr>
                <w:bCs/>
                <w:color w:val="000000"/>
                <w:kern w:val="0"/>
                <w:szCs w:val="21"/>
              </w:rPr>
              <w:t>50-100年一遇</w:t>
            </w:r>
          </w:p>
        </w:tc>
        <w:tc>
          <w:tcPr>
            <w:tcW w:w="1183" w:type="dxa"/>
            <w:vAlign w:val="center"/>
          </w:tcPr>
          <w:p>
            <w:pPr>
              <w:widowControl/>
              <w:spacing w:line="400" w:lineRule="exact"/>
              <w:jc w:val="center"/>
              <w:rPr>
                <w:bCs/>
                <w:color w:val="000000"/>
                <w:kern w:val="0"/>
                <w:szCs w:val="21"/>
              </w:rPr>
            </w:pPr>
            <w:r>
              <w:rPr>
                <w:bCs/>
                <w:color w:val="000000"/>
                <w:kern w:val="0"/>
                <w:szCs w:val="21"/>
              </w:rPr>
              <w:t>20—50年一遇</w:t>
            </w:r>
          </w:p>
        </w:tc>
        <w:tc>
          <w:tcPr>
            <w:tcW w:w="1183" w:type="dxa"/>
            <w:vAlign w:val="center"/>
          </w:tcPr>
          <w:p>
            <w:pPr>
              <w:widowControl/>
              <w:spacing w:line="400" w:lineRule="exact"/>
              <w:jc w:val="center"/>
              <w:rPr>
                <w:bCs/>
                <w:color w:val="000000"/>
                <w:kern w:val="0"/>
                <w:szCs w:val="21"/>
              </w:rPr>
            </w:pPr>
            <w:r>
              <w:rPr>
                <w:bCs/>
                <w:color w:val="000000"/>
                <w:kern w:val="0"/>
                <w:szCs w:val="21"/>
              </w:rPr>
              <w:t>10-20年一遇</w:t>
            </w:r>
          </w:p>
        </w:tc>
        <w:tc>
          <w:tcPr>
            <w:tcW w:w="1098" w:type="dxa"/>
            <w:vAlign w:val="center"/>
          </w:tcPr>
          <w:p>
            <w:pPr>
              <w:widowControl/>
              <w:spacing w:line="400" w:lineRule="exact"/>
              <w:jc w:val="center"/>
              <w:rPr>
                <w:bCs/>
                <w:color w:val="000000"/>
                <w:kern w:val="0"/>
                <w:szCs w:val="21"/>
              </w:rPr>
            </w:pPr>
            <w:r>
              <w:rPr>
                <w:bCs/>
                <w:color w:val="000000"/>
                <w:kern w:val="0"/>
                <w:szCs w:val="21"/>
              </w:rPr>
              <w:t>&lt;10年一遇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70" w:type="dxa"/>
            <w:vAlign w:val="center"/>
          </w:tcPr>
          <w:p>
            <w:pPr>
              <w:widowControl/>
              <w:spacing w:line="400" w:lineRule="exact"/>
              <w:jc w:val="center"/>
              <w:rPr>
                <w:bCs/>
                <w:color w:val="000000"/>
                <w:kern w:val="0"/>
                <w:szCs w:val="21"/>
              </w:rPr>
            </w:pPr>
            <w:r>
              <w:rPr>
                <w:bCs/>
                <w:color w:val="000000"/>
                <w:kern w:val="0"/>
                <w:szCs w:val="21"/>
              </w:rPr>
              <w:t>城市规划</w:t>
            </w:r>
          </w:p>
        </w:tc>
        <w:tc>
          <w:tcPr>
            <w:tcW w:w="1070" w:type="dxa"/>
            <w:vAlign w:val="center"/>
          </w:tcPr>
          <w:p>
            <w:pPr>
              <w:widowControl/>
              <w:spacing w:line="400" w:lineRule="exact"/>
              <w:jc w:val="center"/>
              <w:rPr>
                <w:bCs/>
                <w:color w:val="000000"/>
                <w:kern w:val="0"/>
                <w:szCs w:val="21"/>
              </w:rPr>
            </w:pPr>
            <w:r>
              <w:rPr>
                <w:bCs/>
                <w:color w:val="000000"/>
                <w:kern w:val="0"/>
                <w:szCs w:val="21"/>
              </w:rPr>
              <w:t>城市规划</w:t>
            </w:r>
          </w:p>
        </w:tc>
        <w:tc>
          <w:tcPr>
            <w:tcW w:w="1070" w:type="dxa"/>
            <w:vAlign w:val="center"/>
          </w:tcPr>
          <w:p>
            <w:pPr>
              <w:widowControl/>
              <w:spacing w:line="400" w:lineRule="exact"/>
              <w:jc w:val="center"/>
              <w:rPr>
                <w:bCs/>
                <w:color w:val="000000"/>
                <w:kern w:val="0"/>
                <w:szCs w:val="21"/>
              </w:rPr>
            </w:pPr>
            <w:r>
              <w:rPr>
                <w:bCs/>
                <w:color w:val="000000"/>
                <w:kern w:val="0"/>
                <w:szCs w:val="21"/>
              </w:rPr>
              <w:t>道路规划</w:t>
            </w:r>
          </w:p>
        </w:tc>
        <w:tc>
          <w:tcPr>
            <w:tcW w:w="1111" w:type="dxa"/>
            <w:vAlign w:val="center"/>
          </w:tcPr>
          <w:p>
            <w:pPr>
              <w:widowControl/>
              <w:spacing w:line="400" w:lineRule="exact"/>
              <w:jc w:val="center"/>
              <w:rPr>
                <w:bCs/>
                <w:color w:val="000000"/>
                <w:kern w:val="0"/>
                <w:szCs w:val="21"/>
              </w:rPr>
            </w:pPr>
            <w:r>
              <w:rPr>
                <w:bCs/>
                <w:color w:val="000000"/>
                <w:kern w:val="0"/>
                <w:szCs w:val="21"/>
              </w:rPr>
              <w:t>交通型主干道</w:t>
            </w:r>
          </w:p>
        </w:tc>
        <w:tc>
          <w:tcPr>
            <w:tcW w:w="1293" w:type="dxa"/>
            <w:vAlign w:val="center"/>
          </w:tcPr>
          <w:p>
            <w:pPr>
              <w:widowControl/>
              <w:spacing w:line="400" w:lineRule="exact"/>
              <w:jc w:val="center"/>
              <w:rPr>
                <w:bCs/>
                <w:color w:val="000000"/>
                <w:kern w:val="0"/>
                <w:szCs w:val="21"/>
              </w:rPr>
            </w:pPr>
            <w:r>
              <w:rPr>
                <w:bCs/>
                <w:color w:val="000000"/>
                <w:kern w:val="0"/>
                <w:szCs w:val="21"/>
              </w:rPr>
              <w:t>混合型主干道</w:t>
            </w:r>
          </w:p>
        </w:tc>
        <w:tc>
          <w:tcPr>
            <w:tcW w:w="1183" w:type="dxa"/>
            <w:vAlign w:val="center"/>
          </w:tcPr>
          <w:p>
            <w:pPr>
              <w:widowControl/>
              <w:spacing w:line="400" w:lineRule="exact"/>
              <w:jc w:val="center"/>
              <w:rPr>
                <w:bCs/>
                <w:color w:val="000000"/>
                <w:kern w:val="0"/>
                <w:szCs w:val="21"/>
              </w:rPr>
            </w:pPr>
            <w:r>
              <w:rPr>
                <w:bCs/>
                <w:color w:val="000000"/>
                <w:kern w:val="0"/>
                <w:szCs w:val="21"/>
              </w:rPr>
              <w:t>交通型次干道，生活型主干道</w:t>
            </w:r>
          </w:p>
        </w:tc>
        <w:tc>
          <w:tcPr>
            <w:tcW w:w="1183" w:type="dxa"/>
            <w:vAlign w:val="center"/>
          </w:tcPr>
          <w:p>
            <w:pPr>
              <w:widowControl/>
              <w:spacing w:line="400" w:lineRule="exact"/>
              <w:jc w:val="center"/>
              <w:rPr>
                <w:bCs/>
                <w:color w:val="000000"/>
                <w:kern w:val="0"/>
                <w:szCs w:val="21"/>
              </w:rPr>
            </w:pPr>
            <w:r>
              <w:rPr>
                <w:bCs/>
                <w:color w:val="000000"/>
                <w:kern w:val="0"/>
                <w:szCs w:val="21"/>
              </w:rPr>
              <w:t>生活型次干道</w:t>
            </w:r>
          </w:p>
        </w:tc>
        <w:tc>
          <w:tcPr>
            <w:tcW w:w="1098" w:type="dxa"/>
            <w:vAlign w:val="center"/>
          </w:tcPr>
          <w:p>
            <w:pPr>
              <w:widowControl/>
              <w:spacing w:line="400" w:lineRule="exact"/>
              <w:jc w:val="center"/>
              <w:rPr>
                <w:bCs/>
                <w:color w:val="000000"/>
                <w:kern w:val="0"/>
                <w:szCs w:val="21"/>
              </w:rPr>
            </w:pPr>
            <w:r>
              <w:rPr>
                <w:bCs/>
                <w:color w:val="000000"/>
                <w:kern w:val="0"/>
                <w:szCs w:val="21"/>
              </w:rPr>
              <w:t>支路</w:t>
            </w:r>
          </w:p>
        </w:tc>
      </w:tr>
    </w:tbl>
    <w:p>
      <w:pPr>
        <w:spacing w:line="360" w:lineRule="auto"/>
        <w:ind w:firstLine="560" w:firstLineChars="200"/>
        <w:outlineLvl w:val="2"/>
        <w:rPr>
          <w:rFonts w:eastAsia="黑体"/>
          <w:sz w:val="28"/>
          <w:szCs w:val="28"/>
          <w:lang w:val="zh-CN"/>
        </w:rPr>
      </w:pPr>
      <w:bookmarkStart w:id="862" w:name="_Toc29522"/>
      <w:bookmarkStart w:id="863" w:name="_Toc30197"/>
      <w:r>
        <w:rPr>
          <w:rFonts w:eastAsia="黑体"/>
          <w:sz w:val="28"/>
          <w:szCs w:val="28"/>
          <w:lang w:val="zh-CN"/>
        </w:rPr>
        <w:t>二、宗地地价个别因素修正</w:t>
      </w:r>
      <w:bookmarkEnd w:id="860"/>
      <w:bookmarkEnd w:id="861"/>
      <w:bookmarkEnd w:id="862"/>
      <w:bookmarkEnd w:id="863"/>
    </w:p>
    <w:p>
      <w:pPr>
        <w:tabs>
          <w:tab w:val="right" w:pos="9298"/>
        </w:tabs>
        <w:adjustRightInd w:val="0"/>
        <w:snapToGrid w:val="0"/>
        <w:spacing w:line="360" w:lineRule="auto"/>
        <w:ind w:firstLine="480" w:firstLineChars="200"/>
        <w:rPr>
          <w:sz w:val="24"/>
        </w:rPr>
      </w:pPr>
      <w:r>
        <w:rPr>
          <w:sz w:val="24"/>
        </w:rPr>
        <w:t>（一）出让年期修正（K</w:t>
      </w:r>
      <w:r>
        <w:rPr>
          <w:sz w:val="24"/>
          <w:vertAlign w:val="subscript"/>
        </w:rPr>
        <w:t>n</w:t>
      </w:r>
      <w:r>
        <w:rPr>
          <w:sz w:val="24"/>
        </w:rPr>
        <w:t>）</w:t>
      </w:r>
    </w:p>
    <w:p>
      <w:pPr>
        <w:adjustRightInd w:val="0"/>
        <w:snapToGrid w:val="0"/>
        <w:spacing w:line="360" w:lineRule="auto"/>
        <w:ind w:firstLine="480" w:firstLineChars="200"/>
        <w:rPr>
          <w:sz w:val="24"/>
        </w:rPr>
      </w:pPr>
      <w:r>
        <w:rPr>
          <w:sz w:val="24"/>
        </w:rPr>
        <w:t>公共管理与公共服务用地最高出让年期为50年，公共服务一类用地土地还原利率参照住宅用地土地还原利率，为7.</w:t>
      </w:r>
      <w:r>
        <w:rPr>
          <w:rFonts w:hint="eastAsia"/>
          <w:sz w:val="24"/>
        </w:rPr>
        <w:t>54</w:t>
      </w:r>
      <w:r>
        <w:rPr>
          <w:sz w:val="24"/>
        </w:rPr>
        <w:t>%，，公共服务二类用地土地还原利率参照工矿仓储用地土地还原利率，为6.0</w:t>
      </w:r>
      <w:r>
        <w:rPr>
          <w:rFonts w:hint="eastAsia"/>
          <w:sz w:val="24"/>
        </w:rPr>
        <w:t>0</w:t>
      </w:r>
      <w:r>
        <w:rPr>
          <w:sz w:val="24"/>
        </w:rPr>
        <w:t>%，通过使用年期修正系数公式编制系数表。</w:t>
      </w:r>
    </w:p>
    <w:p>
      <w:pPr>
        <w:pStyle w:val="131"/>
        <w:spacing w:beforeLines="50" w:afterLines="50"/>
        <w:ind w:firstLine="0" w:firstLineChars="0"/>
        <w:rPr>
          <w:rFonts w:ascii="Times New Roman" w:hAnsi="Times New Roman"/>
          <w:sz w:val="24"/>
        </w:rPr>
      </w:pPr>
      <w:r>
        <w:rPr>
          <w:rFonts w:ascii="Times New Roman" w:hAnsi="Times New Roman"/>
          <w:sz w:val="24"/>
        </w:rPr>
        <w:t>表4-6-1</w:t>
      </w:r>
      <w:r>
        <w:rPr>
          <w:rFonts w:hint="eastAsia" w:ascii="Times New Roman" w:hAnsi="Times New Roman"/>
          <w:sz w:val="24"/>
        </w:rPr>
        <w:t>9</w:t>
      </w:r>
      <w:r>
        <w:rPr>
          <w:rFonts w:ascii="Times New Roman" w:hAnsi="Times New Roman"/>
          <w:sz w:val="24"/>
        </w:rPr>
        <w:t xml:space="preserve">   公共管理与公共服务</w:t>
      </w:r>
      <w:r>
        <w:rPr>
          <w:rFonts w:hint="eastAsia" w:ascii="Times New Roman" w:hAnsi="Times New Roman"/>
          <w:sz w:val="24"/>
        </w:rPr>
        <w:t>项目</w:t>
      </w:r>
      <w:r>
        <w:rPr>
          <w:rFonts w:ascii="Times New Roman" w:hAnsi="Times New Roman"/>
          <w:sz w:val="24"/>
        </w:rPr>
        <w:t>一类用地使用年期修正系数表</w:t>
      </w:r>
    </w:p>
    <w:tbl>
      <w:tblPr>
        <w:tblW w:w="8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252"/>
        <w:gridCol w:w="1253"/>
        <w:gridCol w:w="1253"/>
        <w:gridCol w:w="1252"/>
        <w:gridCol w:w="1253"/>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使用年期</w:t>
            </w:r>
          </w:p>
        </w:tc>
        <w:tc>
          <w:tcPr>
            <w:tcW w:w="1252" w:type="dxa"/>
            <w:vAlign w:val="top"/>
          </w:tcPr>
          <w:p>
            <w:pPr>
              <w:spacing w:line="400" w:lineRule="exact"/>
              <w:jc w:val="center"/>
              <w:rPr>
                <w:szCs w:val="22"/>
              </w:rPr>
            </w:pPr>
            <w:r>
              <w:rPr>
                <w:szCs w:val="22"/>
              </w:rPr>
              <w:t>1</w:t>
            </w:r>
          </w:p>
        </w:tc>
        <w:tc>
          <w:tcPr>
            <w:tcW w:w="1253" w:type="dxa"/>
            <w:vAlign w:val="top"/>
          </w:tcPr>
          <w:p>
            <w:pPr>
              <w:spacing w:line="400" w:lineRule="exact"/>
              <w:jc w:val="center"/>
              <w:rPr>
                <w:szCs w:val="22"/>
              </w:rPr>
            </w:pPr>
            <w:r>
              <w:rPr>
                <w:szCs w:val="22"/>
              </w:rPr>
              <w:t>2</w:t>
            </w:r>
          </w:p>
        </w:tc>
        <w:tc>
          <w:tcPr>
            <w:tcW w:w="1253" w:type="dxa"/>
            <w:vAlign w:val="top"/>
          </w:tcPr>
          <w:p>
            <w:pPr>
              <w:spacing w:line="400" w:lineRule="exact"/>
              <w:jc w:val="center"/>
              <w:rPr>
                <w:szCs w:val="22"/>
              </w:rPr>
            </w:pPr>
            <w:r>
              <w:rPr>
                <w:szCs w:val="22"/>
              </w:rPr>
              <w:t>3</w:t>
            </w:r>
          </w:p>
        </w:tc>
        <w:tc>
          <w:tcPr>
            <w:tcW w:w="1252" w:type="dxa"/>
            <w:vAlign w:val="top"/>
          </w:tcPr>
          <w:p>
            <w:pPr>
              <w:spacing w:line="400" w:lineRule="exact"/>
              <w:jc w:val="center"/>
              <w:rPr>
                <w:szCs w:val="22"/>
              </w:rPr>
            </w:pPr>
            <w:r>
              <w:rPr>
                <w:szCs w:val="22"/>
              </w:rPr>
              <w:t>4</w:t>
            </w:r>
          </w:p>
        </w:tc>
        <w:tc>
          <w:tcPr>
            <w:tcW w:w="1253" w:type="dxa"/>
            <w:vAlign w:val="top"/>
          </w:tcPr>
          <w:p>
            <w:pPr>
              <w:spacing w:line="400" w:lineRule="exact"/>
              <w:jc w:val="center"/>
              <w:rPr>
                <w:szCs w:val="22"/>
              </w:rPr>
            </w:pPr>
            <w:r>
              <w:rPr>
                <w:szCs w:val="22"/>
              </w:rPr>
              <w:t>5</w:t>
            </w:r>
          </w:p>
        </w:tc>
        <w:tc>
          <w:tcPr>
            <w:tcW w:w="1253" w:type="dxa"/>
            <w:vAlign w:val="top"/>
          </w:tcPr>
          <w:p>
            <w:pPr>
              <w:spacing w:line="400" w:lineRule="exact"/>
              <w:jc w:val="center"/>
              <w:rPr>
                <w:szCs w:val="22"/>
              </w:rPr>
            </w:pPr>
            <w:r>
              <w:rPr>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修正系数</w:t>
            </w:r>
          </w:p>
        </w:tc>
        <w:tc>
          <w:tcPr>
            <w:tcW w:w="1252" w:type="dxa"/>
            <w:vAlign w:val="center"/>
          </w:tcPr>
          <w:p>
            <w:pPr>
              <w:spacing w:line="400" w:lineRule="exact"/>
              <w:jc w:val="center"/>
              <w:rPr>
                <w:szCs w:val="22"/>
              </w:rPr>
            </w:pPr>
            <w:r>
              <w:rPr>
                <w:szCs w:val="22"/>
              </w:rPr>
              <w:t xml:space="preserve">0.0739 </w:t>
            </w:r>
          </w:p>
        </w:tc>
        <w:tc>
          <w:tcPr>
            <w:tcW w:w="1253" w:type="dxa"/>
            <w:vAlign w:val="center"/>
          </w:tcPr>
          <w:p>
            <w:pPr>
              <w:spacing w:line="400" w:lineRule="exact"/>
              <w:jc w:val="center"/>
              <w:rPr>
                <w:szCs w:val="22"/>
              </w:rPr>
            </w:pPr>
            <w:r>
              <w:rPr>
                <w:szCs w:val="22"/>
              </w:rPr>
              <w:t xml:space="preserve">0.1425 </w:t>
            </w:r>
          </w:p>
        </w:tc>
        <w:tc>
          <w:tcPr>
            <w:tcW w:w="1253" w:type="dxa"/>
            <w:vAlign w:val="center"/>
          </w:tcPr>
          <w:p>
            <w:pPr>
              <w:spacing w:line="400" w:lineRule="exact"/>
              <w:jc w:val="center"/>
              <w:rPr>
                <w:szCs w:val="22"/>
              </w:rPr>
            </w:pPr>
            <w:r>
              <w:rPr>
                <w:szCs w:val="22"/>
              </w:rPr>
              <w:t xml:space="preserve">0.2062 </w:t>
            </w:r>
          </w:p>
        </w:tc>
        <w:tc>
          <w:tcPr>
            <w:tcW w:w="1252" w:type="dxa"/>
            <w:vAlign w:val="center"/>
          </w:tcPr>
          <w:p>
            <w:pPr>
              <w:spacing w:line="400" w:lineRule="exact"/>
              <w:jc w:val="center"/>
              <w:rPr>
                <w:szCs w:val="22"/>
              </w:rPr>
            </w:pPr>
            <w:r>
              <w:rPr>
                <w:szCs w:val="22"/>
              </w:rPr>
              <w:t xml:space="preserve">0.2652 </w:t>
            </w:r>
          </w:p>
        </w:tc>
        <w:tc>
          <w:tcPr>
            <w:tcW w:w="1253" w:type="dxa"/>
            <w:vAlign w:val="center"/>
          </w:tcPr>
          <w:p>
            <w:pPr>
              <w:spacing w:line="400" w:lineRule="exact"/>
              <w:jc w:val="center"/>
              <w:rPr>
                <w:szCs w:val="22"/>
              </w:rPr>
            </w:pPr>
            <w:r>
              <w:rPr>
                <w:szCs w:val="22"/>
              </w:rPr>
              <w:t xml:space="preserve">0.3200 </w:t>
            </w:r>
          </w:p>
        </w:tc>
        <w:tc>
          <w:tcPr>
            <w:tcW w:w="1253" w:type="dxa"/>
            <w:vAlign w:val="center"/>
          </w:tcPr>
          <w:p>
            <w:pPr>
              <w:spacing w:line="400" w:lineRule="exact"/>
              <w:jc w:val="center"/>
              <w:rPr>
                <w:szCs w:val="22"/>
              </w:rPr>
            </w:pPr>
            <w:r>
              <w:rPr>
                <w:szCs w:val="22"/>
              </w:rPr>
              <w:t xml:space="preserve">0.3708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使用年期</w:t>
            </w:r>
          </w:p>
        </w:tc>
        <w:tc>
          <w:tcPr>
            <w:tcW w:w="1252" w:type="dxa"/>
            <w:vAlign w:val="center"/>
          </w:tcPr>
          <w:p>
            <w:pPr>
              <w:spacing w:line="400" w:lineRule="exact"/>
              <w:jc w:val="center"/>
              <w:rPr>
                <w:szCs w:val="22"/>
              </w:rPr>
            </w:pPr>
            <w:r>
              <w:rPr>
                <w:szCs w:val="22"/>
              </w:rPr>
              <w:t>7</w:t>
            </w:r>
          </w:p>
        </w:tc>
        <w:tc>
          <w:tcPr>
            <w:tcW w:w="1253" w:type="dxa"/>
            <w:vAlign w:val="center"/>
          </w:tcPr>
          <w:p>
            <w:pPr>
              <w:spacing w:line="400" w:lineRule="exact"/>
              <w:jc w:val="center"/>
              <w:rPr>
                <w:szCs w:val="22"/>
              </w:rPr>
            </w:pPr>
            <w:r>
              <w:rPr>
                <w:szCs w:val="22"/>
              </w:rPr>
              <w:t>8</w:t>
            </w:r>
          </w:p>
        </w:tc>
        <w:tc>
          <w:tcPr>
            <w:tcW w:w="1253" w:type="dxa"/>
            <w:vAlign w:val="center"/>
          </w:tcPr>
          <w:p>
            <w:pPr>
              <w:spacing w:line="400" w:lineRule="exact"/>
              <w:jc w:val="center"/>
              <w:rPr>
                <w:szCs w:val="22"/>
              </w:rPr>
            </w:pPr>
            <w:r>
              <w:rPr>
                <w:szCs w:val="22"/>
              </w:rPr>
              <w:t>9</w:t>
            </w:r>
          </w:p>
        </w:tc>
        <w:tc>
          <w:tcPr>
            <w:tcW w:w="1252" w:type="dxa"/>
            <w:vAlign w:val="center"/>
          </w:tcPr>
          <w:p>
            <w:pPr>
              <w:spacing w:line="400" w:lineRule="exact"/>
              <w:jc w:val="center"/>
              <w:rPr>
                <w:szCs w:val="22"/>
              </w:rPr>
            </w:pPr>
            <w:r>
              <w:rPr>
                <w:szCs w:val="22"/>
              </w:rPr>
              <w:t>10</w:t>
            </w:r>
          </w:p>
        </w:tc>
        <w:tc>
          <w:tcPr>
            <w:tcW w:w="1253" w:type="dxa"/>
            <w:vAlign w:val="center"/>
          </w:tcPr>
          <w:p>
            <w:pPr>
              <w:spacing w:line="400" w:lineRule="exact"/>
              <w:jc w:val="center"/>
              <w:rPr>
                <w:szCs w:val="22"/>
              </w:rPr>
            </w:pPr>
            <w:r>
              <w:rPr>
                <w:szCs w:val="22"/>
              </w:rPr>
              <w:t>11</w:t>
            </w:r>
          </w:p>
        </w:tc>
        <w:tc>
          <w:tcPr>
            <w:tcW w:w="1253" w:type="dxa"/>
            <w:vAlign w:val="center"/>
          </w:tcPr>
          <w:p>
            <w:pPr>
              <w:spacing w:line="400" w:lineRule="exact"/>
              <w:jc w:val="center"/>
              <w:rPr>
                <w:szCs w:val="22"/>
              </w:rPr>
            </w:pPr>
            <w:r>
              <w:rPr>
                <w:szCs w:val="22"/>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修正系数</w:t>
            </w:r>
          </w:p>
        </w:tc>
        <w:tc>
          <w:tcPr>
            <w:tcW w:w="1252" w:type="dxa"/>
            <w:vAlign w:val="center"/>
          </w:tcPr>
          <w:p>
            <w:pPr>
              <w:spacing w:line="400" w:lineRule="exact"/>
              <w:jc w:val="center"/>
              <w:rPr>
                <w:szCs w:val="22"/>
              </w:rPr>
            </w:pPr>
            <w:r>
              <w:rPr>
                <w:szCs w:val="22"/>
              </w:rPr>
              <w:t xml:space="preserve">0.4180 </w:t>
            </w:r>
          </w:p>
        </w:tc>
        <w:tc>
          <w:tcPr>
            <w:tcW w:w="1253" w:type="dxa"/>
            <w:vAlign w:val="center"/>
          </w:tcPr>
          <w:p>
            <w:pPr>
              <w:spacing w:line="400" w:lineRule="exact"/>
              <w:jc w:val="center"/>
              <w:rPr>
                <w:szCs w:val="22"/>
              </w:rPr>
            </w:pPr>
            <w:r>
              <w:rPr>
                <w:szCs w:val="22"/>
              </w:rPr>
              <w:t xml:space="preserve">0.4617 </w:t>
            </w:r>
          </w:p>
        </w:tc>
        <w:tc>
          <w:tcPr>
            <w:tcW w:w="1253" w:type="dxa"/>
            <w:vAlign w:val="center"/>
          </w:tcPr>
          <w:p>
            <w:pPr>
              <w:spacing w:line="400" w:lineRule="exact"/>
              <w:jc w:val="center"/>
              <w:rPr>
                <w:szCs w:val="22"/>
              </w:rPr>
            </w:pPr>
            <w:r>
              <w:rPr>
                <w:szCs w:val="22"/>
              </w:rPr>
              <w:t xml:space="preserve">0.5023 </w:t>
            </w:r>
          </w:p>
        </w:tc>
        <w:tc>
          <w:tcPr>
            <w:tcW w:w="1252" w:type="dxa"/>
            <w:vAlign w:val="center"/>
          </w:tcPr>
          <w:p>
            <w:pPr>
              <w:spacing w:line="400" w:lineRule="exact"/>
              <w:jc w:val="center"/>
              <w:rPr>
                <w:szCs w:val="22"/>
              </w:rPr>
            </w:pPr>
            <w:r>
              <w:rPr>
                <w:szCs w:val="22"/>
              </w:rPr>
              <w:t xml:space="preserve">0.5400 </w:t>
            </w:r>
          </w:p>
        </w:tc>
        <w:tc>
          <w:tcPr>
            <w:tcW w:w="1253" w:type="dxa"/>
            <w:vAlign w:val="center"/>
          </w:tcPr>
          <w:p>
            <w:pPr>
              <w:spacing w:line="400" w:lineRule="exact"/>
              <w:jc w:val="center"/>
              <w:rPr>
                <w:szCs w:val="22"/>
              </w:rPr>
            </w:pPr>
            <w:r>
              <w:rPr>
                <w:szCs w:val="22"/>
              </w:rPr>
              <w:t xml:space="preserve">0.5750 </w:t>
            </w:r>
          </w:p>
        </w:tc>
        <w:tc>
          <w:tcPr>
            <w:tcW w:w="1253" w:type="dxa"/>
            <w:vAlign w:val="center"/>
          </w:tcPr>
          <w:p>
            <w:pPr>
              <w:spacing w:line="400" w:lineRule="exact"/>
              <w:jc w:val="center"/>
              <w:rPr>
                <w:szCs w:val="22"/>
              </w:rPr>
            </w:pPr>
            <w:r>
              <w:rPr>
                <w:szCs w:val="22"/>
              </w:rPr>
              <w:t xml:space="preserve">0.6074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使用年期</w:t>
            </w:r>
          </w:p>
        </w:tc>
        <w:tc>
          <w:tcPr>
            <w:tcW w:w="1252" w:type="dxa"/>
            <w:vAlign w:val="center"/>
          </w:tcPr>
          <w:p>
            <w:pPr>
              <w:spacing w:line="400" w:lineRule="exact"/>
              <w:jc w:val="center"/>
              <w:rPr>
                <w:szCs w:val="22"/>
              </w:rPr>
            </w:pPr>
            <w:r>
              <w:rPr>
                <w:szCs w:val="22"/>
              </w:rPr>
              <w:t>13</w:t>
            </w:r>
          </w:p>
        </w:tc>
        <w:tc>
          <w:tcPr>
            <w:tcW w:w="1253" w:type="dxa"/>
            <w:vAlign w:val="center"/>
          </w:tcPr>
          <w:p>
            <w:pPr>
              <w:spacing w:line="400" w:lineRule="exact"/>
              <w:jc w:val="center"/>
              <w:rPr>
                <w:szCs w:val="22"/>
              </w:rPr>
            </w:pPr>
            <w:r>
              <w:rPr>
                <w:szCs w:val="22"/>
              </w:rPr>
              <w:t>14</w:t>
            </w:r>
          </w:p>
        </w:tc>
        <w:tc>
          <w:tcPr>
            <w:tcW w:w="1253" w:type="dxa"/>
            <w:vAlign w:val="center"/>
          </w:tcPr>
          <w:p>
            <w:pPr>
              <w:spacing w:line="400" w:lineRule="exact"/>
              <w:jc w:val="center"/>
              <w:rPr>
                <w:szCs w:val="22"/>
              </w:rPr>
            </w:pPr>
            <w:r>
              <w:rPr>
                <w:szCs w:val="22"/>
              </w:rPr>
              <w:t>15</w:t>
            </w:r>
          </w:p>
        </w:tc>
        <w:tc>
          <w:tcPr>
            <w:tcW w:w="1252" w:type="dxa"/>
            <w:vAlign w:val="center"/>
          </w:tcPr>
          <w:p>
            <w:pPr>
              <w:spacing w:line="400" w:lineRule="exact"/>
              <w:jc w:val="center"/>
              <w:rPr>
                <w:szCs w:val="22"/>
              </w:rPr>
            </w:pPr>
            <w:r>
              <w:rPr>
                <w:szCs w:val="22"/>
              </w:rPr>
              <w:t>16</w:t>
            </w:r>
          </w:p>
        </w:tc>
        <w:tc>
          <w:tcPr>
            <w:tcW w:w="1253" w:type="dxa"/>
            <w:vAlign w:val="center"/>
          </w:tcPr>
          <w:p>
            <w:pPr>
              <w:spacing w:line="400" w:lineRule="exact"/>
              <w:jc w:val="center"/>
              <w:rPr>
                <w:szCs w:val="22"/>
              </w:rPr>
            </w:pPr>
            <w:r>
              <w:rPr>
                <w:szCs w:val="22"/>
              </w:rPr>
              <w:t>17</w:t>
            </w:r>
          </w:p>
        </w:tc>
        <w:tc>
          <w:tcPr>
            <w:tcW w:w="1253" w:type="dxa"/>
            <w:vAlign w:val="center"/>
          </w:tcPr>
          <w:p>
            <w:pPr>
              <w:spacing w:line="400" w:lineRule="exact"/>
              <w:jc w:val="center"/>
              <w:rPr>
                <w:szCs w:val="22"/>
              </w:rPr>
            </w:pPr>
            <w:r>
              <w:rPr>
                <w:szCs w:val="22"/>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修正系数</w:t>
            </w:r>
          </w:p>
        </w:tc>
        <w:tc>
          <w:tcPr>
            <w:tcW w:w="1252" w:type="dxa"/>
            <w:vAlign w:val="center"/>
          </w:tcPr>
          <w:p>
            <w:pPr>
              <w:spacing w:line="400" w:lineRule="exact"/>
              <w:jc w:val="center"/>
              <w:rPr>
                <w:szCs w:val="22"/>
              </w:rPr>
            </w:pPr>
            <w:r>
              <w:rPr>
                <w:szCs w:val="22"/>
              </w:rPr>
              <w:t xml:space="preserve">0.6375 </w:t>
            </w:r>
          </w:p>
        </w:tc>
        <w:tc>
          <w:tcPr>
            <w:tcW w:w="1253" w:type="dxa"/>
            <w:vAlign w:val="center"/>
          </w:tcPr>
          <w:p>
            <w:pPr>
              <w:spacing w:line="400" w:lineRule="exact"/>
              <w:jc w:val="center"/>
              <w:rPr>
                <w:szCs w:val="22"/>
              </w:rPr>
            </w:pPr>
            <w:r>
              <w:rPr>
                <w:szCs w:val="22"/>
              </w:rPr>
              <w:t xml:space="preserve">0.6654 </w:t>
            </w:r>
          </w:p>
        </w:tc>
        <w:tc>
          <w:tcPr>
            <w:tcW w:w="1253" w:type="dxa"/>
            <w:vAlign w:val="center"/>
          </w:tcPr>
          <w:p>
            <w:pPr>
              <w:spacing w:line="400" w:lineRule="exact"/>
              <w:jc w:val="center"/>
              <w:rPr>
                <w:szCs w:val="22"/>
              </w:rPr>
            </w:pPr>
            <w:r>
              <w:rPr>
                <w:szCs w:val="22"/>
              </w:rPr>
              <w:t xml:space="preserve">0.6913 </w:t>
            </w:r>
          </w:p>
        </w:tc>
        <w:tc>
          <w:tcPr>
            <w:tcW w:w="1252" w:type="dxa"/>
            <w:vAlign w:val="center"/>
          </w:tcPr>
          <w:p>
            <w:pPr>
              <w:spacing w:line="400" w:lineRule="exact"/>
              <w:jc w:val="center"/>
              <w:rPr>
                <w:szCs w:val="22"/>
              </w:rPr>
            </w:pPr>
            <w:r>
              <w:rPr>
                <w:szCs w:val="22"/>
              </w:rPr>
              <w:t xml:space="preserve">0.7153 </w:t>
            </w:r>
          </w:p>
        </w:tc>
        <w:tc>
          <w:tcPr>
            <w:tcW w:w="1253" w:type="dxa"/>
            <w:vAlign w:val="center"/>
          </w:tcPr>
          <w:p>
            <w:pPr>
              <w:spacing w:line="400" w:lineRule="exact"/>
              <w:jc w:val="center"/>
              <w:rPr>
                <w:szCs w:val="22"/>
              </w:rPr>
            </w:pPr>
            <w:r>
              <w:rPr>
                <w:szCs w:val="22"/>
              </w:rPr>
              <w:t xml:space="preserve">0.7376 </w:t>
            </w:r>
          </w:p>
        </w:tc>
        <w:tc>
          <w:tcPr>
            <w:tcW w:w="1253" w:type="dxa"/>
            <w:vAlign w:val="center"/>
          </w:tcPr>
          <w:p>
            <w:pPr>
              <w:spacing w:line="400" w:lineRule="exact"/>
              <w:jc w:val="center"/>
              <w:rPr>
                <w:szCs w:val="22"/>
              </w:rPr>
            </w:pPr>
            <w:r>
              <w:rPr>
                <w:szCs w:val="22"/>
              </w:rPr>
              <w:t xml:space="preserve">0.7583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使用年期</w:t>
            </w:r>
          </w:p>
        </w:tc>
        <w:tc>
          <w:tcPr>
            <w:tcW w:w="1252" w:type="dxa"/>
            <w:vAlign w:val="center"/>
          </w:tcPr>
          <w:p>
            <w:pPr>
              <w:spacing w:line="400" w:lineRule="exact"/>
              <w:jc w:val="center"/>
              <w:rPr>
                <w:szCs w:val="22"/>
              </w:rPr>
            </w:pPr>
            <w:r>
              <w:rPr>
                <w:szCs w:val="22"/>
              </w:rPr>
              <w:t>19</w:t>
            </w:r>
          </w:p>
        </w:tc>
        <w:tc>
          <w:tcPr>
            <w:tcW w:w="1253" w:type="dxa"/>
            <w:vAlign w:val="center"/>
          </w:tcPr>
          <w:p>
            <w:pPr>
              <w:spacing w:line="400" w:lineRule="exact"/>
              <w:jc w:val="center"/>
              <w:rPr>
                <w:szCs w:val="22"/>
              </w:rPr>
            </w:pPr>
            <w:r>
              <w:rPr>
                <w:szCs w:val="22"/>
              </w:rPr>
              <w:t>20</w:t>
            </w:r>
          </w:p>
        </w:tc>
        <w:tc>
          <w:tcPr>
            <w:tcW w:w="1253" w:type="dxa"/>
            <w:vAlign w:val="center"/>
          </w:tcPr>
          <w:p>
            <w:pPr>
              <w:spacing w:line="400" w:lineRule="exact"/>
              <w:jc w:val="center"/>
              <w:rPr>
                <w:szCs w:val="22"/>
              </w:rPr>
            </w:pPr>
            <w:r>
              <w:rPr>
                <w:szCs w:val="22"/>
              </w:rPr>
              <w:t>21</w:t>
            </w:r>
          </w:p>
        </w:tc>
        <w:tc>
          <w:tcPr>
            <w:tcW w:w="1252" w:type="dxa"/>
            <w:vAlign w:val="center"/>
          </w:tcPr>
          <w:p>
            <w:pPr>
              <w:spacing w:line="400" w:lineRule="exact"/>
              <w:jc w:val="center"/>
              <w:rPr>
                <w:szCs w:val="22"/>
              </w:rPr>
            </w:pPr>
            <w:r>
              <w:rPr>
                <w:szCs w:val="22"/>
              </w:rPr>
              <w:t>22</w:t>
            </w:r>
          </w:p>
        </w:tc>
        <w:tc>
          <w:tcPr>
            <w:tcW w:w="1253" w:type="dxa"/>
            <w:vAlign w:val="center"/>
          </w:tcPr>
          <w:p>
            <w:pPr>
              <w:spacing w:line="400" w:lineRule="exact"/>
              <w:jc w:val="center"/>
              <w:rPr>
                <w:szCs w:val="22"/>
              </w:rPr>
            </w:pPr>
            <w:r>
              <w:rPr>
                <w:szCs w:val="22"/>
              </w:rPr>
              <w:t>23</w:t>
            </w:r>
          </w:p>
        </w:tc>
        <w:tc>
          <w:tcPr>
            <w:tcW w:w="1253" w:type="dxa"/>
            <w:vAlign w:val="center"/>
          </w:tcPr>
          <w:p>
            <w:pPr>
              <w:spacing w:line="400" w:lineRule="exact"/>
              <w:jc w:val="center"/>
              <w:rPr>
                <w:szCs w:val="22"/>
              </w:rPr>
            </w:pPr>
            <w:r>
              <w:rPr>
                <w:szCs w:val="22"/>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修正系数</w:t>
            </w:r>
          </w:p>
        </w:tc>
        <w:tc>
          <w:tcPr>
            <w:tcW w:w="1252" w:type="dxa"/>
            <w:vAlign w:val="center"/>
          </w:tcPr>
          <w:p>
            <w:pPr>
              <w:spacing w:line="400" w:lineRule="exact"/>
              <w:jc w:val="center"/>
              <w:rPr>
                <w:szCs w:val="22"/>
              </w:rPr>
            </w:pPr>
            <w:r>
              <w:rPr>
                <w:szCs w:val="22"/>
              </w:rPr>
              <w:t xml:space="preserve">0.7775 </w:t>
            </w:r>
          </w:p>
        </w:tc>
        <w:tc>
          <w:tcPr>
            <w:tcW w:w="1253" w:type="dxa"/>
            <w:vAlign w:val="center"/>
          </w:tcPr>
          <w:p>
            <w:pPr>
              <w:spacing w:line="400" w:lineRule="exact"/>
              <w:jc w:val="center"/>
              <w:rPr>
                <w:szCs w:val="22"/>
              </w:rPr>
            </w:pPr>
            <w:r>
              <w:rPr>
                <w:szCs w:val="22"/>
              </w:rPr>
              <w:t xml:space="preserve">0.7953 </w:t>
            </w:r>
          </w:p>
        </w:tc>
        <w:tc>
          <w:tcPr>
            <w:tcW w:w="1253" w:type="dxa"/>
            <w:vAlign w:val="center"/>
          </w:tcPr>
          <w:p>
            <w:pPr>
              <w:spacing w:line="400" w:lineRule="exact"/>
              <w:jc w:val="center"/>
              <w:rPr>
                <w:szCs w:val="22"/>
              </w:rPr>
            </w:pPr>
            <w:r>
              <w:rPr>
                <w:szCs w:val="22"/>
              </w:rPr>
              <w:t xml:space="preserve">0.8118 </w:t>
            </w:r>
          </w:p>
        </w:tc>
        <w:tc>
          <w:tcPr>
            <w:tcW w:w="1252" w:type="dxa"/>
            <w:vAlign w:val="center"/>
          </w:tcPr>
          <w:p>
            <w:pPr>
              <w:spacing w:line="400" w:lineRule="exact"/>
              <w:jc w:val="center"/>
              <w:rPr>
                <w:szCs w:val="22"/>
              </w:rPr>
            </w:pPr>
            <w:r>
              <w:rPr>
                <w:szCs w:val="22"/>
              </w:rPr>
              <w:t xml:space="preserve">0.8271 </w:t>
            </w:r>
          </w:p>
        </w:tc>
        <w:tc>
          <w:tcPr>
            <w:tcW w:w="1253" w:type="dxa"/>
            <w:vAlign w:val="center"/>
          </w:tcPr>
          <w:p>
            <w:pPr>
              <w:spacing w:line="400" w:lineRule="exact"/>
              <w:jc w:val="center"/>
              <w:rPr>
                <w:szCs w:val="22"/>
              </w:rPr>
            </w:pPr>
            <w:r>
              <w:rPr>
                <w:szCs w:val="22"/>
              </w:rPr>
              <w:t xml:space="preserve">0.8414 </w:t>
            </w:r>
          </w:p>
        </w:tc>
        <w:tc>
          <w:tcPr>
            <w:tcW w:w="1253" w:type="dxa"/>
            <w:vAlign w:val="center"/>
          </w:tcPr>
          <w:p>
            <w:pPr>
              <w:spacing w:line="400" w:lineRule="exact"/>
              <w:jc w:val="center"/>
              <w:rPr>
                <w:szCs w:val="22"/>
              </w:rPr>
            </w:pPr>
            <w:r>
              <w:rPr>
                <w:szCs w:val="22"/>
              </w:rPr>
              <w:t xml:space="preserve">0.8546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使用年期</w:t>
            </w:r>
          </w:p>
        </w:tc>
        <w:tc>
          <w:tcPr>
            <w:tcW w:w="1252" w:type="dxa"/>
            <w:vAlign w:val="center"/>
          </w:tcPr>
          <w:p>
            <w:pPr>
              <w:spacing w:line="400" w:lineRule="exact"/>
              <w:jc w:val="center"/>
              <w:rPr>
                <w:szCs w:val="22"/>
              </w:rPr>
            </w:pPr>
            <w:r>
              <w:rPr>
                <w:szCs w:val="22"/>
              </w:rPr>
              <w:t>25</w:t>
            </w:r>
          </w:p>
        </w:tc>
        <w:tc>
          <w:tcPr>
            <w:tcW w:w="1253" w:type="dxa"/>
            <w:vAlign w:val="center"/>
          </w:tcPr>
          <w:p>
            <w:pPr>
              <w:spacing w:line="400" w:lineRule="exact"/>
              <w:jc w:val="center"/>
              <w:rPr>
                <w:szCs w:val="22"/>
              </w:rPr>
            </w:pPr>
            <w:r>
              <w:rPr>
                <w:szCs w:val="22"/>
              </w:rPr>
              <w:t>26</w:t>
            </w:r>
          </w:p>
        </w:tc>
        <w:tc>
          <w:tcPr>
            <w:tcW w:w="1253" w:type="dxa"/>
            <w:vAlign w:val="center"/>
          </w:tcPr>
          <w:p>
            <w:pPr>
              <w:spacing w:line="400" w:lineRule="exact"/>
              <w:jc w:val="center"/>
              <w:rPr>
                <w:szCs w:val="22"/>
              </w:rPr>
            </w:pPr>
            <w:r>
              <w:rPr>
                <w:szCs w:val="22"/>
              </w:rPr>
              <w:t>27</w:t>
            </w:r>
          </w:p>
        </w:tc>
        <w:tc>
          <w:tcPr>
            <w:tcW w:w="1252" w:type="dxa"/>
            <w:vAlign w:val="center"/>
          </w:tcPr>
          <w:p>
            <w:pPr>
              <w:spacing w:line="400" w:lineRule="exact"/>
              <w:jc w:val="center"/>
              <w:rPr>
                <w:szCs w:val="22"/>
              </w:rPr>
            </w:pPr>
            <w:r>
              <w:rPr>
                <w:szCs w:val="22"/>
              </w:rPr>
              <w:t>28</w:t>
            </w:r>
          </w:p>
        </w:tc>
        <w:tc>
          <w:tcPr>
            <w:tcW w:w="1253" w:type="dxa"/>
            <w:vAlign w:val="center"/>
          </w:tcPr>
          <w:p>
            <w:pPr>
              <w:spacing w:line="400" w:lineRule="exact"/>
              <w:jc w:val="center"/>
              <w:rPr>
                <w:szCs w:val="22"/>
              </w:rPr>
            </w:pPr>
            <w:r>
              <w:rPr>
                <w:szCs w:val="22"/>
              </w:rPr>
              <w:t>29</w:t>
            </w:r>
          </w:p>
        </w:tc>
        <w:tc>
          <w:tcPr>
            <w:tcW w:w="1253" w:type="dxa"/>
            <w:vAlign w:val="center"/>
          </w:tcPr>
          <w:p>
            <w:pPr>
              <w:spacing w:line="400" w:lineRule="exact"/>
              <w:jc w:val="center"/>
              <w:rPr>
                <w:szCs w:val="22"/>
              </w:rPr>
            </w:pPr>
            <w:r>
              <w:rPr>
                <w:szCs w:val="2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修正系数</w:t>
            </w:r>
          </w:p>
        </w:tc>
        <w:tc>
          <w:tcPr>
            <w:tcW w:w="1252" w:type="dxa"/>
            <w:vAlign w:val="center"/>
          </w:tcPr>
          <w:p>
            <w:pPr>
              <w:spacing w:line="400" w:lineRule="exact"/>
              <w:jc w:val="center"/>
              <w:rPr>
                <w:szCs w:val="22"/>
              </w:rPr>
            </w:pPr>
            <w:r>
              <w:rPr>
                <w:szCs w:val="22"/>
              </w:rPr>
              <w:t xml:space="preserve">0.8668 </w:t>
            </w:r>
          </w:p>
        </w:tc>
        <w:tc>
          <w:tcPr>
            <w:tcW w:w="1253" w:type="dxa"/>
            <w:vAlign w:val="center"/>
          </w:tcPr>
          <w:p>
            <w:pPr>
              <w:spacing w:line="400" w:lineRule="exact"/>
              <w:jc w:val="center"/>
              <w:rPr>
                <w:szCs w:val="22"/>
              </w:rPr>
            </w:pPr>
            <w:r>
              <w:rPr>
                <w:szCs w:val="22"/>
              </w:rPr>
              <w:t xml:space="preserve">0.8782 </w:t>
            </w:r>
          </w:p>
        </w:tc>
        <w:tc>
          <w:tcPr>
            <w:tcW w:w="1253" w:type="dxa"/>
            <w:vAlign w:val="center"/>
          </w:tcPr>
          <w:p>
            <w:pPr>
              <w:spacing w:line="400" w:lineRule="exact"/>
              <w:jc w:val="center"/>
              <w:rPr>
                <w:szCs w:val="22"/>
              </w:rPr>
            </w:pPr>
            <w:r>
              <w:rPr>
                <w:szCs w:val="22"/>
              </w:rPr>
              <w:t xml:space="preserve">0.8887 </w:t>
            </w:r>
          </w:p>
        </w:tc>
        <w:tc>
          <w:tcPr>
            <w:tcW w:w="1252" w:type="dxa"/>
            <w:vAlign w:val="center"/>
          </w:tcPr>
          <w:p>
            <w:pPr>
              <w:spacing w:line="400" w:lineRule="exact"/>
              <w:jc w:val="center"/>
              <w:rPr>
                <w:szCs w:val="22"/>
              </w:rPr>
            </w:pPr>
            <w:r>
              <w:rPr>
                <w:szCs w:val="22"/>
              </w:rPr>
              <w:t xml:space="preserve">0.8985 </w:t>
            </w:r>
          </w:p>
        </w:tc>
        <w:tc>
          <w:tcPr>
            <w:tcW w:w="1253" w:type="dxa"/>
            <w:vAlign w:val="center"/>
          </w:tcPr>
          <w:p>
            <w:pPr>
              <w:spacing w:line="400" w:lineRule="exact"/>
              <w:jc w:val="center"/>
              <w:rPr>
                <w:szCs w:val="22"/>
              </w:rPr>
            </w:pPr>
            <w:r>
              <w:rPr>
                <w:szCs w:val="22"/>
              </w:rPr>
              <w:t xml:space="preserve">0.9076 </w:t>
            </w:r>
          </w:p>
        </w:tc>
        <w:tc>
          <w:tcPr>
            <w:tcW w:w="1253" w:type="dxa"/>
            <w:vAlign w:val="center"/>
          </w:tcPr>
          <w:p>
            <w:pPr>
              <w:spacing w:line="400" w:lineRule="exact"/>
              <w:jc w:val="center"/>
              <w:rPr>
                <w:szCs w:val="22"/>
              </w:rPr>
            </w:pPr>
            <w:r>
              <w:rPr>
                <w:szCs w:val="22"/>
              </w:rPr>
              <w:t xml:space="preserve">0.9160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使用年期</w:t>
            </w:r>
          </w:p>
        </w:tc>
        <w:tc>
          <w:tcPr>
            <w:tcW w:w="1252" w:type="dxa"/>
            <w:vAlign w:val="center"/>
          </w:tcPr>
          <w:p>
            <w:pPr>
              <w:spacing w:line="400" w:lineRule="exact"/>
              <w:jc w:val="center"/>
              <w:rPr>
                <w:szCs w:val="22"/>
              </w:rPr>
            </w:pPr>
            <w:r>
              <w:rPr>
                <w:szCs w:val="22"/>
              </w:rPr>
              <w:t>31</w:t>
            </w:r>
          </w:p>
        </w:tc>
        <w:tc>
          <w:tcPr>
            <w:tcW w:w="1253" w:type="dxa"/>
            <w:vAlign w:val="center"/>
          </w:tcPr>
          <w:p>
            <w:pPr>
              <w:spacing w:line="400" w:lineRule="exact"/>
              <w:jc w:val="center"/>
              <w:rPr>
                <w:szCs w:val="22"/>
              </w:rPr>
            </w:pPr>
            <w:r>
              <w:rPr>
                <w:szCs w:val="22"/>
              </w:rPr>
              <w:t>32</w:t>
            </w:r>
          </w:p>
        </w:tc>
        <w:tc>
          <w:tcPr>
            <w:tcW w:w="1253" w:type="dxa"/>
            <w:vAlign w:val="center"/>
          </w:tcPr>
          <w:p>
            <w:pPr>
              <w:spacing w:line="400" w:lineRule="exact"/>
              <w:jc w:val="center"/>
              <w:rPr>
                <w:szCs w:val="22"/>
              </w:rPr>
            </w:pPr>
            <w:r>
              <w:rPr>
                <w:szCs w:val="22"/>
              </w:rPr>
              <w:t>33</w:t>
            </w:r>
          </w:p>
        </w:tc>
        <w:tc>
          <w:tcPr>
            <w:tcW w:w="1252" w:type="dxa"/>
            <w:vAlign w:val="center"/>
          </w:tcPr>
          <w:p>
            <w:pPr>
              <w:spacing w:line="400" w:lineRule="exact"/>
              <w:jc w:val="center"/>
              <w:rPr>
                <w:szCs w:val="22"/>
              </w:rPr>
            </w:pPr>
            <w:r>
              <w:rPr>
                <w:szCs w:val="22"/>
              </w:rPr>
              <w:t>34</w:t>
            </w:r>
          </w:p>
        </w:tc>
        <w:tc>
          <w:tcPr>
            <w:tcW w:w="1253" w:type="dxa"/>
            <w:vAlign w:val="center"/>
          </w:tcPr>
          <w:p>
            <w:pPr>
              <w:spacing w:line="400" w:lineRule="exact"/>
              <w:jc w:val="center"/>
              <w:rPr>
                <w:szCs w:val="22"/>
              </w:rPr>
            </w:pPr>
            <w:r>
              <w:rPr>
                <w:szCs w:val="22"/>
              </w:rPr>
              <w:t>35</w:t>
            </w:r>
          </w:p>
        </w:tc>
        <w:tc>
          <w:tcPr>
            <w:tcW w:w="1253" w:type="dxa"/>
            <w:vAlign w:val="center"/>
          </w:tcPr>
          <w:p>
            <w:pPr>
              <w:spacing w:line="400" w:lineRule="exact"/>
              <w:jc w:val="center"/>
              <w:rPr>
                <w:szCs w:val="22"/>
              </w:rPr>
            </w:pPr>
            <w:r>
              <w:rPr>
                <w:szCs w:val="22"/>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修正系数</w:t>
            </w:r>
          </w:p>
        </w:tc>
        <w:tc>
          <w:tcPr>
            <w:tcW w:w="1252" w:type="dxa"/>
            <w:vAlign w:val="center"/>
          </w:tcPr>
          <w:p>
            <w:pPr>
              <w:spacing w:line="400" w:lineRule="exact"/>
              <w:jc w:val="center"/>
              <w:rPr>
                <w:szCs w:val="22"/>
              </w:rPr>
            </w:pPr>
            <w:r>
              <w:rPr>
                <w:szCs w:val="22"/>
              </w:rPr>
              <w:t xml:space="preserve">0.9238 </w:t>
            </w:r>
          </w:p>
        </w:tc>
        <w:tc>
          <w:tcPr>
            <w:tcW w:w="1253" w:type="dxa"/>
            <w:vAlign w:val="center"/>
          </w:tcPr>
          <w:p>
            <w:pPr>
              <w:spacing w:line="400" w:lineRule="exact"/>
              <w:jc w:val="center"/>
              <w:rPr>
                <w:szCs w:val="22"/>
              </w:rPr>
            </w:pPr>
            <w:r>
              <w:rPr>
                <w:szCs w:val="22"/>
              </w:rPr>
              <w:t xml:space="preserve">0.9310 </w:t>
            </w:r>
          </w:p>
        </w:tc>
        <w:tc>
          <w:tcPr>
            <w:tcW w:w="1253" w:type="dxa"/>
            <w:vAlign w:val="center"/>
          </w:tcPr>
          <w:p>
            <w:pPr>
              <w:spacing w:line="400" w:lineRule="exact"/>
              <w:jc w:val="center"/>
              <w:rPr>
                <w:szCs w:val="22"/>
              </w:rPr>
            </w:pPr>
            <w:r>
              <w:rPr>
                <w:szCs w:val="22"/>
              </w:rPr>
              <w:t xml:space="preserve">0.9378 </w:t>
            </w:r>
          </w:p>
        </w:tc>
        <w:tc>
          <w:tcPr>
            <w:tcW w:w="1252" w:type="dxa"/>
            <w:vAlign w:val="center"/>
          </w:tcPr>
          <w:p>
            <w:pPr>
              <w:spacing w:line="400" w:lineRule="exact"/>
              <w:jc w:val="center"/>
              <w:rPr>
                <w:szCs w:val="22"/>
              </w:rPr>
            </w:pPr>
            <w:r>
              <w:rPr>
                <w:szCs w:val="22"/>
              </w:rPr>
              <w:t xml:space="preserve">0.9440 </w:t>
            </w:r>
          </w:p>
        </w:tc>
        <w:tc>
          <w:tcPr>
            <w:tcW w:w="1253" w:type="dxa"/>
            <w:vAlign w:val="center"/>
          </w:tcPr>
          <w:p>
            <w:pPr>
              <w:spacing w:line="400" w:lineRule="exact"/>
              <w:jc w:val="center"/>
              <w:rPr>
                <w:szCs w:val="22"/>
              </w:rPr>
            </w:pPr>
            <w:r>
              <w:rPr>
                <w:szCs w:val="22"/>
              </w:rPr>
              <w:t xml:space="preserve">0.9498 </w:t>
            </w:r>
          </w:p>
        </w:tc>
        <w:tc>
          <w:tcPr>
            <w:tcW w:w="1253" w:type="dxa"/>
            <w:vAlign w:val="center"/>
          </w:tcPr>
          <w:p>
            <w:pPr>
              <w:spacing w:line="400" w:lineRule="exact"/>
              <w:jc w:val="center"/>
              <w:rPr>
                <w:szCs w:val="22"/>
              </w:rPr>
            </w:pPr>
            <w:r>
              <w:rPr>
                <w:szCs w:val="22"/>
              </w:rPr>
              <w:t>0.9552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使用年期</w:t>
            </w:r>
          </w:p>
        </w:tc>
        <w:tc>
          <w:tcPr>
            <w:tcW w:w="1252" w:type="dxa"/>
            <w:vAlign w:val="center"/>
          </w:tcPr>
          <w:p>
            <w:pPr>
              <w:spacing w:line="400" w:lineRule="exact"/>
              <w:jc w:val="center"/>
              <w:rPr>
                <w:szCs w:val="22"/>
              </w:rPr>
            </w:pPr>
            <w:r>
              <w:rPr>
                <w:szCs w:val="22"/>
              </w:rPr>
              <w:t>37</w:t>
            </w:r>
          </w:p>
        </w:tc>
        <w:tc>
          <w:tcPr>
            <w:tcW w:w="1253" w:type="dxa"/>
            <w:vAlign w:val="center"/>
          </w:tcPr>
          <w:p>
            <w:pPr>
              <w:spacing w:line="400" w:lineRule="exact"/>
              <w:jc w:val="center"/>
              <w:rPr>
                <w:szCs w:val="22"/>
              </w:rPr>
            </w:pPr>
            <w:r>
              <w:rPr>
                <w:szCs w:val="22"/>
              </w:rPr>
              <w:t>38</w:t>
            </w:r>
          </w:p>
        </w:tc>
        <w:tc>
          <w:tcPr>
            <w:tcW w:w="1253" w:type="dxa"/>
            <w:vAlign w:val="center"/>
          </w:tcPr>
          <w:p>
            <w:pPr>
              <w:spacing w:line="400" w:lineRule="exact"/>
              <w:jc w:val="center"/>
              <w:rPr>
                <w:szCs w:val="22"/>
              </w:rPr>
            </w:pPr>
            <w:r>
              <w:rPr>
                <w:szCs w:val="22"/>
              </w:rPr>
              <w:t>39</w:t>
            </w:r>
          </w:p>
        </w:tc>
        <w:tc>
          <w:tcPr>
            <w:tcW w:w="1252" w:type="dxa"/>
            <w:vAlign w:val="center"/>
          </w:tcPr>
          <w:p>
            <w:pPr>
              <w:spacing w:line="400" w:lineRule="exact"/>
              <w:jc w:val="center"/>
              <w:rPr>
                <w:szCs w:val="22"/>
              </w:rPr>
            </w:pPr>
            <w:r>
              <w:rPr>
                <w:szCs w:val="22"/>
              </w:rPr>
              <w:t>40</w:t>
            </w:r>
          </w:p>
        </w:tc>
        <w:tc>
          <w:tcPr>
            <w:tcW w:w="1253" w:type="dxa"/>
            <w:vAlign w:val="center"/>
          </w:tcPr>
          <w:p>
            <w:pPr>
              <w:spacing w:line="400" w:lineRule="exact"/>
              <w:jc w:val="center"/>
              <w:rPr>
                <w:szCs w:val="22"/>
              </w:rPr>
            </w:pPr>
            <w:r>
              <w:rPr>
                <w:szCs w:val="22"/>
              </w:rPr>
              <w:t>41</w:t>
            </w:r>
          </w:p>
        </w:tc>
        <w:tc>
          <w:tcPr>
            <w:tcW w:w="1253" w:type="dxa"/>
            <w:vAlign w:val="center"/>
          </w:tcPr>
          <w:p>
            <w:pPr>
              <w:spacing w:line="400" w:lineRule="exact"/>
              <w:jc w:val="center"/>
              <w:rPr>
                <w:szCs w:val="22"/>
              </w:rPr>
            </w:pPr>
            <w:r>
              <w:rPr>
                <w:szCs w:val="22"/>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300" w:type="dxa"/>
            <w:vAlign w:val="center"/>
          </w:tcPr>
          <w:p>
            <w:pPr>
              <w:spacing w:line="400" w:lineRule="exact"/>
              <w:jc w:val="center"/>
              <w:rPr>
                <w:szCs w:val="22"/>
              </w:rPr>
            </w:pPr>
            <w:r>
              <w:rPr>
                <w:szCs w:val="22"/>
              </w:rPr>
              <w:t>修正系数</w:t>
            </w:r>
          </w:p>
        </w:tc>
        <w:tc>
          <w:tcPr>
            <w:tcW w:w="1252" w:type="dxa"/>
            <w:vAlign w:val="center"/>
          </w:tcPr>
          <w:p>
            <w:pPr>
              <w:spacing w:line="400" w:lineRule="exact"/>
              <w:jc w:val="center"/>
              <w:rPr>
                <w:szCs w:val="22"/>
              </w:rPr>
            </w:pPr>
            <w:r>
              <w:rPr>
                <w:szCs w:val="22"/>
              </w:rPr>
              <w:t xml:space="preserve">0.9601 </w:t>
            </w:r>
          </w:p>
        </w:tc>
        <w:tc>
          <w:tcPr>
            <w:tcW w:w="1253" w:type="dxa"/>
            <w:vAlign w:val="center"/>
          </w:tcPr>
          <w:p>
            <w:pPr>
              <w:spacing w:line="400" w:lineRule="exact"/>
              <w:jc w:val="center"/>
              <w:rPr>
                <w:szCs w:val="22"/>
              </w:rPr>
            </w:pPr>
            <w:r>
              <w:rPr>
                <w:szCs w:val="22"/>
              </w:rPr>
              <w:t xml:space="preserve">0.9648 </w:t>
            </w:r>
          </w:p>
        </w:tc>
        <w:tc>
          <w:tcPr>
            <w:tcW w:w="1253" w:type="dxa"/>
            <w:vAlign w:val="center"/>
          </w:tcPr>
          <w:p>
            <w:pPr>
              <w:spacing w:line="400" w:lineRule="exact"/>
              <w:jc w:val="center"/>
              <w:rPr>
                <w:szCs w:val="22"/>
              </w:rPr>
            </w:pPr>
            <w:r>
              <w:rPr>
                <w:szCs w:val="22"/>
              </w:rPr>
              <w:t xml:space="preserve">0.9691 </w:t>
            </w:r>
          </w:p>
        </w:tc>
        <w:tc>
          <w:tcPr>
            <w:tcW w:w="1252" w:type="dxa"/>
            <w:vAlign w:val="center"/>
          </w:tcPr>
          <w:p>
            <w:pPr>
              <w:spacing w:line="400" w:lineRule="exact"/>
              <w:jc w:val="center"/>
              <w:rPr>
                <w:szCs w:val="22"/>
              </w:rPr>
            </w:pPr>
            <w:r>
              <w:rPr>
                <w:szCs w:val="22"/>
              </w:rPr>
              <w:t xml:space="preserve">0.9730 </w:t>
            </w:r>
          </w:p>
        </w:tc>
        <w:tc>
          <w:tcPr>
            <w:tcW w:w="1253" w:type="dxa"/>
            <w:vAlign w:val="center"/>
          </w:tcPr>
          <w:p>
            <w:pPr>
              <w:spacing w:line="400" w:lineRule="exact"/>
              <w:jc w:val="center"/>
              <w:rPr>
                <w:szCs w:val="22"/>
              </w:rPr>
            </w:pPr>
            <w:r>
              <w:rPr>
                <w:szCs w:val="22"/>
              </w:rPr>
              <w:t xml:space="preserve">0.9767 </w:t>
            </w:r>
          </w:p>
        </w:tc>
        <w:tc>
          <w:tcPr>
            <w:tcW w:w="1253" w:type="dxa"/>
            <w:vAlign w:val="center"/>
          </w:tcPr>
          <w:p>
            <w:pPr>
              <w:spacing w:line="400" w:lineRule="exact"/>
              <w:jc w:val="center"/>
              <w:rPr>
                <w:szCs w:val="22"/>
              </w:rPr>
            </w:pPr>
            <w:r>
              <w:rPr>
                <w:szCs w:val="22"/>
              </w:rPr>
              <w:t xml:space="preserve">0.9801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使用年期</w:t>
            </w:r>
          </w:p>
        </w:tc>
        <w:tc>
          <w:tcPr>
            <w:tcW w:w="1252" w:type="dxa"/>
            <w:vAlign w:val="center"/>
          </w:tcPr>
          <w:p>
            <w:pPr>
              <w:spacing w:line="400" w:lineRule="exact"/>
              <w:jc w:val="center"/>
              <w:rPr>
                <w:szCs w:val="22"/>
              </w:rPr>
            </w:pPr>
            <w:r>
              <w:rPr>
                <w:szCs w:val="22"/>
              </w:rPr>
              <w:t>43</w:t>
            </w:r>
          </w:p>
        </w:tc>
        <w:tc>
          <w:tcPr>
            <w:tcW w:w="1253" w:type="dxa"/>
            <w:vAlign w:val="center"/>
          </w:tcPr>
          <w:p>
            <w:pPr>
              <w:spacing w:line="400" w:lineRule="exact"/>
              <w:jc w:val="center"/>
              <w:rPr>
                <w:szCs w:val="22"/>
              </w:rPr>
            </w:pPr>
            <w:r>
              <w:rPr>
                <w:szCs w:val="22"/>
              </w:rPr>
              <w:t>44</w:t>
            </w:r>
          </w:p>
        </w:tc>
        <w:tc>
          <w:tcPr>
            <w:tcW w:w="1253" w:type="dxa"/>
            <w:vAlign w:val="center"/>
          </w:tcPr>
          <w:p>
            <w:pPr>
              <w:spacing w:line="400" w:lineRule="exact"/>
              <w:jc w:val="center"/>
              <w:rPr>
                <w:szCs w:val="22"/>
              </w:rPr>
            </w:pPr>
            <w:r>
              <w:rPr>
                <w:szCs w:val="22"/>
              </w:rPr>
              <w:t>45</w:t>
            </w:r>
          </w:p>
        </w:tc>
        <w:tc>
          <w:tcPr>
            <w:tcW w:w="1252" w:type="dxa"/>
            <w:vAlign w:val="center"/>
          </w:tcPr>
          <w:p>
            <w:pPr>
              <w:spacing w:line="400" w:lineRule="exact"/>
              <w:jc w:val="center"/>
              <w:rPr>
                <w:szCs w:val="22"/>
              </w:rPr>
            </w:pPr>
            <w:r>
              <w:rPr>
                <w:szCs w:val="22"/>
              </w:rPr>
              <w:t>46</w:t>
            </w:r>
          </w:p>
        </w:tc>
        <w:tc>
          <w:tcPr>
            <w:tcW w:w="1253" w:type="dxa"/>
            <w:vAlign w:val="center"/>
          </w:tcPr>
          <w:p>
            <w:pPr>
              <w:spacing w:line="400" w:lineRule="exact"/>
              <w:jc w:val="center"/>
              <w:rPr>
                <w:szCs w:val="22"/>
              </w:rPr>
            </w:pPr>
            <w:r>
              <w:rPr>
                <w:szCs w:val="22"/>
              </w:rPr>
              <w:t>47</w:t>
            </w:r>
          </w:p>
        </w:tc>
        <w:tc>
          <w:tcPr>
            <w:tcW w:w="1253" w:type="dxa"/>
            <w:vAlign w:val="center"/>
          </w:tcPr>
          <w:p>
            <w:pPr>
              <w:spacing w:line="400" w:lineRule="exact"/>
              <w:jc w:val="center"/>
              <w:rPr>
                <w:szCs w:val="22"/>
              </w:rPr>
            </w:pPr>
            <w:r>
              <w:rPr>
                <w:szCs w:val="22"/>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修正系数</w:t>
            </w:r>
          </w:p>
        </w:tc>
        <w:tc>
          <w:tcPr>
            <w:tcW w:w="1252" w:type="dxa"/>
            <w:vAlign w:val="center"/>
          </w:tcPr>
          <w:p>
            <w:pPr>
              <w:spacing w:line="400" w:lineRule="exact"/>
              <w:jc w:val="center"/>
              <w:rPr>
                <w:szCs w:val="22"/>
              </w:rPr>
            </w:pPr>
            <w:r>
              <w:rPr>
                <w:szCs w:val="22"/>
              </w:rPr>
              <w:t xml:space="preserve">0.9833 </w:t>
            </w:r>
          </w:p>
        </w:tc>
        <w:tc>
          <w:tcPr>
            <w:tcW w:w="1253" w:type="dxa"/>
            <w:vAlign w:val="center"/>
          </w:tcPr>
          <w:p>
            <w:pPr>
              <w:spacing w:line="400" w:lineRule="exact"/>
              <w:jc w:val="center"/>
              <w:rPr>
                <w:szCs w:val="22"/>
              </w:rPr>
            </w:pPr>
            <w:r>
              <w:rPr>
                <w:szCs w:val="22"/>
              </w:rPr>
              <w:t xml:space="preserve">0.9863 </w:t>
            </w:r>
          </w:p>
        </w:tc>
        <w:tc>
          <w:tcPr>
            <w:tcW w:w="1253" w:type="dxa"/>
            <w:vAlign w:val="center"/>
          </w:tcPr>
          <w:p>
            <w:pPr>
              <w:spacing w:line="400" w:lineRule="exact"/>
              <w:jc w:val="center"/>
              <w:rPr>
                <w:szCs w:val="22"/>
              </w:rPr>
            </w:pPr>
            <w:r>
              <w:rPr>
                <w:szCs w:val="22"/>
              </w:rPr>
              <w:t xml:space="preserve">0.9890 </w:t>
            </w:r>
          </w:p>
        </w:tc>
        <w:tc>
          <w:tcPr>
            <w:tcW w:w="1252" w:type="dxa"/>
            <w:vAlign w:val="center"/>
          </w:tcPr>
          <w:p>
            <w:pPr>
              <w:spacing w:line="400" w:lineRule="exact"/>
              <w:jc w:val="center"/>
              <w:rPr>
                <w:szCs w:val="22"/>
              </w:rPr>
            </w:pPr>
            <w:r>
              <w:rPr>
                <w:szCs w:val="22"/>
              </w:rPr>
              <w:t xml:space="preserve">0.9916 </w:t>
            </w:r>
          </w:p>
        </w:tc>
        <w:tc>
          <w:tcPr>
            <w:tcW w:w="1253" w:type="dxa"/>
            <w:vAlign w:val="center"/>
          </w:tcPr>
          <w:p>
            <w:pPr>
              <w:spacing w:line="400" w:lineRule="exact"/>
              <w:jc w:val="center"/>
              <w:rPr>
                <w:szCs w:val="22"/>
              </w:rPr>
            </w:pPr>
            <w:r>
              <w:rPr>
                <w:szCs w:val="22"/>
              </w:rPr>
              <w:t xml:space="preserve">0.9939 </w:t>
            </w:r>
          </w:p>
        </w:tc>
        <w:tc>
          <w:tcPr>
            <w:tcW w:w="1253" w:type="dxa"/>
            <w:vAlign w:val="center"/>
          </w:tcPr>
          <w:p>
            <w:pPr>
              <w:spacing w:line="400" w:lineRule="exact"/>
              <w:jc w:val="center"/>
              <w:rPr>
                <w:szCs w:val="22"/>
              </w:rPr>
            </w:pPr>
            <w:r>
              <w:rPr>
                <w:szCs w:val="22"/>
              </w:rPr>
              <w:t xml:space="preserve">0.9961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使用年期</w:t>
            </w:r>
          </w:p>
        </w:tc>
        <w:tc>
          <w:tcPr>
            <w:tcW w:w="1252" w:type="dxa"/>
            <w:vAlign w:val="center"/>
          </w:tcPr>
          <w:p>
            <w:pPr>
              <w:spacing w:line="400" w:lineRule="exact"/>
              <w:jc w:val="center"/>
              <w:rPr>
                <w:szCs w:val="22"/>
              </w:rPr>
            </w:pPr>
            <w:r>
              <w:rPr>
                <w:szCs w:val="22"/>
              </w:rPr>
              <w:t>49</w:t>
            </w:r>
          </w:p>
        </w:tc>
        <w:tc>
          <w:tcPr>
            <w:tcW w:w="1253" w:type="dxa"/>
            <w:vAlign w:val="center"/>
          </w:tcPr>
          <w:p>
            <w:pPr>
              <w:spacing w:line="400" w:lineRule="exact"/>
              <w:jc w:val="center"/>
              <w:rPr>
                <w:szCs w:val="22"/>
              </w:rPr>
            </w:pPr>
            <w:r>
              <w:rPr>
                <w:szCs w:val="22"/>
              </w:rPr>
              <w:t>50</w:t>
            </w:r>
          </w:p>
        </w:tc>
        <w:tc>
          <w:tcPr>
            <w:tcW w:w="1253" w:type="dxa"/>
            <w:vAlign w:val="center"/>
          </w:tcPr>
          <w:p>
            <w:pPr>
              <w:spacing w:line="400" w:lineRule="exact"/>
              <w:jc w:val="center"/>
              <w:rPr>
                <w:szCs w:val="22"/>
              </w:rPr>
            </w:pPr>
          </w:p>
        </w:tc>
        <w:tc>
          <w:tcPr>
            <w:tcW w:w="1252" w:type="dxa"/>
            <w:vAlign w:val="center"/>
          </w:tcPr>
          <w:p>
            <w:pPr>
              <w:spacing w:line="400" w:lineRule="exact"/>
              <w:jc w:val="center"/>
              <w:rPr>
                <w:szCs w:val="22"/>
              </w:rPr>
            </w:pPr>
          </w:p>
        </w:tc>
        <w:tc>
          <w:tcPr>
            <w:tcW w:w="1253" w:type="dxa"/>
            <w:vAlign w:val="center"/>
          </w:tcPr>
          <w:p>
            <w:pPr>
              <w:spacing w:line="400" w:lineRule="exact"/>
              <w:jc w:val="center"/>
              <w:rPr>
                <w:szCs w:val="22"/>
              </w:rPr>
            </w:pPr>
          </w:p>
        </w:tc>
        <w:tc>
          <w:tcPr>
            <w:tcW w:w="1253" w:type="dxa"/>
            <w:vAlign w:val="center"/>
          </w:tcPr>
          <w:p>
            <w:pPr>
              <w:spacing w:line="400" w:lineRule="exact"/>
              <w:jc w:val="center"/>
              <w:rPr>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rPr>
                <w:szCs w:val="22"/>
              </w:rPr>
            </w:pPr>
            <w:r>
              <w:rPr>
                <w:szCs w:val="22"/>
              </w:rPr>
              <w:t>修正系数</w:t>
            </w:r>
          </w:p>
        </w:tc>
        <w:tc>
          <w:tcPr>
            <w:tcW w:w="1252" w:type="dxa"/>
            <w:vAlign w:val="center"/>
          </w:tcPr>
          <w:p>
            <w:pPr>
              <w:spacing w:line="400" w:lineRule="exact"/>
              <w:jc w:val="center"/>
              <w:rPr>
                <w:szCs w:val="22"/>
              </w:rPr>
            </w:pPr>
            <w:r>
              <w:rPr>
                <w:szCs w:val="22"/>
              </w:rPr>
              <w:t>0.9981</w:t>
            </w:r>
          </w:p>
        </w:tc>
        <w:tc>
          <w:tcPr>
            <w:tcW w:w="1253" w:type="dxa"/>
            <w:vAlign w:val="center"/>
          </w:tcPr>
          <w:p>
            <w:pPr>
              <w:spacing w:line="400" w:lineRule="exact"/>
              <w:jc w:val="center"/>
              <w:rPr>
                <w:szCs w:val="22"/>
              </w:rPr>
            </w:pPr>
            <w:r>
              <w:rPr>
                <w:szCs w:val="22"/>
              </w:rPr>
              <w:t xml:space="preserve">1.0000 </w:t>
            </w:r>
          </w:p>
        </w:tc>
        <w:tc>
          <w:tcPr>
            <w:tcW w:w="1253" w:type="dxa"/>
            <w:vAlign w:val="center"/>
          </w:tcPr>
          <w:p>
            <w:pPr>
              <w:spacing w:line="400" w:lineRule="exact"/>
              <w:jc w:val="center"/>
              <w:rPr>
                <w:szCs w:val="22"/>
              </w:rPr>
            </w:pPr>
          </w:p>
        </w:tc>
        <w:tc>
          <w:tcPr>
            <w:tcW w:w="1252" w:type="dxa"/>
            <w:vAlign w:val="center"/>
          </w:tcPr>
          <w:p>
            <w:pPr>
              <w:spacing w:line="400" w:lineRule="exact"/>
              <w:jc w:val="center"/>
              <w:rPr>
                <w:szCs w:val="22"/>
              </w:rPr>
            </w:pPr>
          </w:p>
        </w:tc>
        <w:tc>
          <w:tcPr>
            <w:tcW w:w="1253" w:type="dxa"/>
            <w:vAlign w:val="center"/>
          </w:tcPr>
          <w:p>
            <w:pPr>
              <w:spacing w:line="400" w:lineRule="exact"/>
              <w:jc w:val="center"/>
              <w:rPr>
                <w:szCs w:val="22"/>
              </w:rPr>
            </w:pPr>
          </w:p>
        </w:tc>
        <w:tc>
          <w:tcPr>
            <w:tcW w:w="1253" w:type="dxa"/>
            <w:vAlign w:val="center"/>
          </w:tcPr>
          <w:p>
            <w:pPr>
              <w:spacing w:line="400" w:lineRule="exact"/>
              <w:jc w:val="center"/>
              <w:rPr>
                <w:szCs w:val="22"/>
              </w:rPr>
            </w:pPr>
          </w:p>
        </w:tc>
      </w:tr>
    </w:tbl>
    <w:p>
      <w:pPr>
        <w:tabs>
          <w:tab w:val="right" w:pos="9298"/>
        </w:tabs>
        <w:ind w:firstLine="360" w:firstLineChars="200"/>
        <w:rPr>
          <w:sz w:val="18"/>
          <w:szCs w:val="18"/>
        </w:rPr>
      </w:pPr>
      <w:r>
        <w:rPr>
          <w:sz w:val="18"/>
          <w:szCs w:val="18"/>
        </w:rPr>
        <w:t>备注：本表为基于基准日</w:t>
      </w:r>
      <w:r>
        <w:rPr>
          <w:rFonts w:hint="eastAsia"/>
          <w:sz w:val="18"/>
          <w:szCs w:val="18"/>
          <w:lang w:eastAsia="zh-CN"/>
        </w:rPr>
        <w:t>2018年3月1日</w:t>
      </w:r>
      <w:r>
        <w:rPr>
          <w:sz w:val="18"/>
          <w:szCs w:val="18"/>
        </w:rPr>
        <w:t>时确定的还原利率来测算的，在宗地评估中，可根据实际测算的还原利率动态调整。</w:t>
      </w:r>
    </w:p>
    <w:p>
      <w:pPr>
        <w:pStyle w:val="131"/>
        <w:spacing w:beforeLines="50" w:afterLines="50"/>
        <w:ind w:firstLine="0" w:firstLineChars="0"/>
        <w:rPr>
          <w:rFonts w:ascii="Times New Roman" w:hAnsi="Times New Roman"/>
          <w:sz w:val="24"/>
        </w:rPr>
      </w:pPr>
      <w:r>
        <w:rPr>
          <w:rFonts w:ascii="Times New Roman" w:hAnsi="Times New Roman"/>
          <w:sz w:val="24"/>
        </w:rPr>
        <w:t>表4-6-</w:t>
      </w:r>
      <w:r>
        <w:rPr>
          <w:rFonts w:hint="eastAsia" w:ascii="Times New Roman" w:hAnsi="Times New Roman"/>
          <w:sz w:val="24"/>
        </w:rPr>
        <w:t>20</w:t>
      </w:r>
      <w:r>
        <w:rPr>
          <w:rFonts w:ascii="Times New Roman" w:hAnsi="Times New Roman"/>
          <w:sz w:val="24"/>
        </w:rPr>
        <w:t xml:space="preserve">   公共管理与公共服务</w:t>
      </w:r>
      <w:r>
        <w:rPr>
          <w:rFonts w:hint="eastAsia" w:ascii="Times New Roman" w:hAnsi="Times New Roman"/>
          <w:sz w:val="24"/>
        </w:rPr>
        <w:t>项目</w:t>
      </w:r>
      <w:r>
        <w:rPr>
          <w:rFonts w:ascii="Times New Roman" w:hAnsi="Times New Roman"/>
          <w:sz w:val="24"/>
        </w:rPr>
        <w:t>二类用地使用年期修正系数表</w:t>
      </w:r>
    </w:p>
    <w:tbl>
      <w:tblPr>
        <w:tblW w:w="8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252"/>
        <w:gridCol w:w="1253"/>
        <w:gridCol w:w="1253"/>
        <w:gridCol w:w="1252"/>
        <w:gridCol w:w="1253"/>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使用年期</w:t>
            </w:r>
          </w:p>
        </w:tc>
        <w:tc>
          <w:tcPr>
            <w:tcW w:w="1252" w:type="dxa"/>
            <w:vAlign w:val="top"/>
          </w:tcPr>
          <w:p>
            <w:pPr>
              <w:spacing w:line="400" w:lineRule="exact"/>
              <w:jc w:val="center"/>
              <w:rPr>
                <w:color w:val="000000"/>
                <w:szCs w:val="21"/>
              </w:rPr>
            </w:pPr>
            <w:r>
              <w:rPr>
                <w:color w:val="000000"/>
                <w:szCs w:val="21"/>
              </w:rPr>
              <w:t>1</w:t>
            </w:r>
          </w:p>
        </w:tc>
        <w:tc>
          <w:tcPr>
            <w:tcW w:w="1253" w:type="dxa"/>
            <w:vAlign w:val="top"/>
          </w:tcPr>
          <w:p>
            <w:pPr>
              <w:spacing w:line="400" w:lineRule="exact"/>
              <w:jc w:val="center"/>
              <w:rPr>
                <w:color w:val="000000"/>
                <w:szCs w:val="21"/>
              </w:rPr>
            </w:pPr>
            <w:r>
              <w:rPr>
                <w:color w:val="000000"/>
                <w:szCs w:val="21"/>
              </w:rPr>
              <w:t>2</w:t>
            </w:r>
          </w:p>
        </w:tc>
        <w:tc>
          <w:tcPr>
            <w:tcW w:w="1253" w:type="dxa"/>
            <w:vAlign w:val="top"/>
          </w:tcPr>
          <w:p>
            <w:pPr>
              <w:spacing w:line="400" w:lineRule="exact"/>
              <w:jc w:val="center"/>
              <w:rPr>
                <w:color w:val="000000"/>
                <w:szCs w:val="21"/>
              </w:rPr>
            </w:pPr>
            <w:r>
              <w:rPr>
                <w:color w:val="000000"/>
                <w:szCs w:val="21"/>
              </w:rPr>
              <w:t>3</w:t>
            </w:r>
          </w:p>
        </w:tc>
        <w:tc>
          <w:tcPr>
            <w:tcW w:w="1252" w:type="dxa"/>
            <w:vAlign w:val="top"/>
          </w:tcPr>
          <w:p>
            <w:pPr>
              <w:spacing w:line="400" w:lineRule="exact"/>
              <w:jc w:val="center"/>
              <w:rPr>
                <w:color w:val="000000"/>
                <w:szCs w:val="21"/>
              </w:rPr>
            </w:pPr>
            <w:r>
              <w:rPr>
                <w:color w:val="000000"/>
                <w:szCs w:val="21"/>
              </w:rPr>
              <w:t>4</w:t>
            </w:r>
          </w:p>
        </w:tc>
        <w:tc>
          <w:tcPr>
            <w:tcW w:w="1253" w:type="dxa"/>
            <w:vAlign w:val="top"/>
          </w:tcPr>
          <w:p>
            <w:pPr>
              <w:spacing w:line="400" w:lineRule="exact"/>
              <w:jc w:val="center"/>
              <w:rPr>
                <w:color w:val="000000"/>
                <w:szCs w:val="21"/>
              </w:rPr>
            </w:pPr>
            <w:r>
              <w:rPr>
                <w:color w:val="000000"/>
                <w:szCs w:val="21"/>
              </w:rPr>
              <w:t>5</w:t>
            </w:r>
          </w:p>
        </w:tc>
        <w:tc>
          <w:tcPr>
            <w:tcW w:w="1253" w:type="dxa"/>
            <w:vAlign w:val="top"/>
          </w:tcPr>
          <w:p>
            <w:pPr>
              <w:spacing w:line="400" w:lineRule="exact"/>
              <w:jc w:val="center"/>
              <w:rPr>
                <w:color w:val="000000"/>
                <w:szCs w:val="21"/>
              </w:rPr>
            </w:pPr>
            <w:r>
              <w:rPr>
                <w:color w:val="00000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修正系数</w:t>
            </w:r>
          </w:p>
        </w:tc>
        <w:tc>
          <w:tcPr>
            <w:tcW w:w="1252" w:type="dxa"/>
            <w:vAlign w:val="center"/>
          </w:tcPr>
          <w:p>
            <w:pPr>
              <w:spacing w:line="400" w:lineRule="exact"/>
              <w:jc w:val="center"/>
              <w:rPr>
                <w:color w:val="000000"/>
                <w:szCs w:val="21"/>
              </w:rPr>
            </w:pPr>
            <w:r>
              <w:rPr>
                <w:color w:val="000000"/>
                <w:szCs w:val="21"/>
              </w:rPr>
              <w:t xml:space="preserve">0.0605 </w:t>
            </w:r>
          </w:p>
        </w:tc>
        <w:tc>
          <w:tcPr>
            <w:tcW w:w="1253" w:type="dxa"/>
            <w:vAlign w:val="center"/>
          </w:tcPr>
          <w:p>
            <w:pPr>
              <w:spacing w:line="400" w:lineRule="exact"/>
              <w:jc w:val="center"/>
              <w:rPr>
                <w:color w:val="000000"/>
                <w:szCs w:val="21"/>
              </w:rPr>
            </w:pPr>
            <w:r>
              <w:rPr>
                <w:color w:val="000000"/>
                <w:szCs w:val="21"/>
              </w:rPr>
              <w:t xml:space="preserve">0.1175 </w:t>
            </w:r>
          </w:p>
        </w:tc>
        <w:tc>
          <w:tcPr>
            <w:tcW w:w="1253" w:type="dxa"/>
            <w:vAlign w:val="center"/>
          </w:tcPr>
          <w:p>
            <w:pPr>
              <w:spacing w:line="400" w:lineRule="exact"/>
              <w:jc w:val="center"/>
              <w:rPr>
                <w:color w:val="000000"/>
                <w:szCs w:val="21"/>
              </w:rPr>
            </w:pPr>
            <w:r>
              <w:rPr>
                <w:color w:val="000000"/>
                <w:szCs w:val="21"/>
              </w:rPr>
              <w:t xml:space="preserve">0.1712 </w:t>
            </w:r>
          </w:p>
        </w:tc>
        <w:tc>
          <w:tcPr>
            <w:tcW w:w="1252" w:type="dxa"/>
            <w:vAlign w:val="center"/>
          </w:tcPr>
          <w:p>
            <w:pPr>
              <w:spacing w:line="400" w:lineRule="exact"/>
              <w:jc w:val="center"/>
              <w:rPr>
                <w:color w:val="000000"/>
                <w:szCs w:val="21"/>
              </w:rPr>
            </w:pPr>
            <w:r>
              <w:rPr>
                <w:color w:val="000000"/>
                <w:szCs w:val="21"/>
              </w:rPr>
              <w:t xml:space="preserve">0.2219 </w:t>
            </w:r>
          </w:p>
        </w:tc>
        <w:tc>
          <w:tcPr>
            <w:tcW w:w="1253" w:type="dxa"/>
            <w:vAlign w:val="center"/>
          </w:tcPr>
          <w:p>
            <w:pPr>
              <w:spacing w:line="400" w:lineRule="exact"/>
              <w:jc w:val="center"/>
              <w:rPr>
                <w:color w:val="000000"/>
                <w:szCs w:val="21"/>
              </w:rPr>
            </w:pPr>
            <w:r>
              <w:rPr>
                <w:color w:val="000000"/>
                <w:szCs w:val="21"/>
              </w:rPr>
              <w:t xml:space="preserve">0.2697 </w:t>
            </w:r>
          </w:p>
        </w:tc>
        <w:tc>
          <w:tcPr>
            <w:tcW w:w="1253" w:type="dxa"/>
            <w:vAlign w:val="center"/>
          </w:tcPr>
          <w:p>
            <w:pPr>
              <w:spacing w:line="400" w:lineRule="exact"/>
              <w:jc w:val="center"/>
              <w:rPr>
                <w:color w:val="000000"/>
                <w:szCs w:val="21"/>
              </w:rPr>
            </w:pPr>
            <w:r>
              <w:rPr>
                <w:color w:val="000000"/>
                <w:szCs w:val="21"/>
              </w:rPr>
              <w:t xml:space="preserve">0.3147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使用年期</w:t>
            </w:r>
          </w:p>
        </w:tc>
        <w:tc>
          <w:tcPr>
            <w:tcW w:w="1252" w:type="dxa"/>
            <w:vAlign w:val="center"/>
          </w:tcPr>
          <w:p>
            <w:pPr>
              <w:spacing w:line="400" w:lineRule="exact"/>
              <w:jc w:val="center"/>
              <w:rPr>
                <w:color w:val="000000"/>
                <w:szCs w:val="21"/>
              </w:rPr>
            </w:pPr>
            <w:r>
              <w:rPr>
                <w:color w:val="000000"/>
                <w:szCs w:val="21"/>
              </w:rPr>
              <w:t>7</w:t>
            </w:r>
          </w:p>
        </w:tc>
        <w:tc>
          <w:tcPr>
            <w:tcW w:w="1253" w:type="dxa"/>
            <w:vAlign w:val="center"/>
          </w:tcPr>
          <w:p>
            <w:pPr>
              <w:spacing w:line="400" w:lineRule="exact"/>
              <w:jc w:val="center"/>
              <w:rPr>
                <w:color w:val="000000"/>
                <w:szCs w:val="21"/>
              </w:rPr>
            </w:pPr>
            <w:r>
              <w:rPr>
                <w:color w:val="000000"/>
                <w:szCs w:val="21"/>
              </w:rPr>
              <w:t>8</w:t>
            </w:r>
          </w:p>
        </w:tc>
        <w:tc>
          <w:tcPr>
            <w:tcW w:w="1253" w:type="dxa"/>
            <w:vAlign w:val="center"/>
          </w:tcPr>
          <w:p>
            <w:pPr>
              <w:spacing w:line="400" w:lineRule="exact"/>
              <w:jc w:val="center"/>
              <w:rPr>
                <w:color w:val="000000"/>
                <w:szCs w:val="21"/>
              </w:rPr>
            </w:pPr>
            <w:r>
              <w:rPr>
                <w:color w:val="000000"/>
                <w:szCs w:val="21"/>
              </w:rPr>
              <w:t>9</w:t>
            </w:r>
          </w:p>
        </w:tc>
        <w:tc>
          <w:tcPr>
            <w:tcW w:w="1252" w:type="dxa"/>
            <w:vAlign w:val="center"/>
          </w:tcPr>
          <w:p>
            <w:pPr>
              <w:spacing w:line="400" w:lineRule="exact"/>
              <w:jc w:val="center"/>
              <w:rPr>
                <w:color w:val="000000"/>
                <w:szCs w:val="21"/>
              </w:rPr>
            </w:pPr>
            <w:r>
              <w:rPr>
                <w:color w:val="000000"/>
                <w:szCs w:val="21"/>
              </w:rPr>
              <w:t>10</w:t>
            </w:r>
          </w:p>
        </w:tc>
        <w:tc>
          <w:tcPr>
            <w:tcW w:w="1253" w:type="dxa"/>
            <w:vAlign w:val="center"/>
          </w:tcPr>
          <w:p>
            <w:pPr>
              <w:spacing w:line="400" w:lineRule="exact"/>
              <w:jc w:val="center"/>
              <w:rPr>
                <w:color w:val="000000"/>
                <w:szCs w:val="21"/>
              </w:rPr>
            </w:pPr>
            <w:r>
              <w:rPr>
                <w:color w:val="000000"/>
                <w:szCs w:val="21"/>
              </w:rPr>
              <w:t>11</w:t>
            </w:r>
          </w:p>
        </w:tc>
        <w:tc>
          <w:tcPr>
            <w:tcW w:w="1253" w:type="dxa"/>
            <w:vAlign w:val="center"/>
          </w:tcPr>
          <w:p>
            <w:pPr>
              <w:spacing w:line="400" w:lineRule="exact"/>
              <w:jc w:val="center"/>
              <w:rPr>
                <w:color w:val="000000"/>
                <w:szCs w:val="21"/>
              </w:rPr>
            </w:pPr>
            <w:r>
              <w:rPr>
                <w:color w:val="00000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修正系数</w:t>
            </w:r>
          </w:p>
        </w:tc>
        <w:tc>
          <w:tcPr>
            <w:tcW w:w="1252" w:type="dxa"/>
            <w:vAlign w:val="center"/>
          </w:tcPr>
          <w:p>
            <w:pPr>
              <w:spacing w:line="400" w:lineRule="exact"/>
              <w:jc w:val="center"/>
              <w:rPr>
                <w:color w:val="000000"/>
                <w:szCs w:val="21"/>
              </w:rPr>
            </w:pPr>
            <w:r>
              <w:rPr>
                <w:color w:val="000000"/>
                <w:szCs w:val="21"/>
              </w:rPr>
              <w:t xml:space="preserve">0.3571 </w:t>
            </w:r>
          </w:p>
        </w:tc>
        <w:tc>
          <w:tcPr>
            <w:tcW w:w="1253" w:type="dxa"/>
            <w:vAlign w:val="center"/>
          </w:tcPr>
          <w:p>
            <w:pPr>
              <w:spacing w:line="400" w:lineRule="exact"/>
              <w:jc w:val="center"/>
              <w:rPr>
                <w:color w:val="000000"/>
                <w:szCs w:val="21"/>
              </w:rPr>
            </w:pPr>
            <w:r>
              <w:rPr>
                <w:color w:val="000000"/>
                <w:szCs w:val="21"/>
              </w:rPr>
              <w:t xml:space="preserve">0.3971 </w:t>
            </w:r>
          </w:p>
        </w:tc>
        <w:tc>
          <w:tcPr>
            <w:tcW w:w="1253" w:type="dxa"/>
            <w:vAlign w:val="center"/>
          </w:tcPr>
          <w:p>
            <w:pPr>
              <w:spacing w:line="400" w:lineRule="exact"/>
              <w:jc w:val="center"/>
              <w:rPr>
                <w:color w:val="000000"/>
                <w:szCs w:val="21"/>
              </w:rPr>
            </w:pPr>
            <w:r>
              <w:rPr>
                <w:color w:val="000000"/>
                <w:szCs w:val="21"/>
              </w:rPr>
              <w:t xml:space="preserve">0.4348 </w:t>
            </w:r>
          </w:p>
        </w:tc>
        <w:tc>
          <w:tcPr>
            <w:tcW w:w="1252" w:type="dxa"/>
            <w:vAlign w:val="center"/>
          </w:tcPr>
          <w:p>
            <w:pPr>
              <w:spacing w:line="400" w:lineRule="exact"/>
              <w:jc w:val="center"/>
              <w:rPr>
                <w:color w:val="000000"/>
                <w:szCs w:val="21"/>
              </w:rPr>
            </w:pPr>
            <w:r>
              <w:rPr>
                <w:color w:val="000000"/>
                <w:szCs w:val="21"/>
              </w:rPr>
              <w:t xml:space="preserve">0.4704 </w:t>
            </w:r>
          </w:p>
        </w:tc>
        <w:tc>
          <w:tcPr>
            <w:tcW w:w="1253" w:type="dxa"/>
            <w:vAlign w:val="center"/>
          </w:tcPr>
          <w:p>
            <w:pPr>
              <w:spacing w:line="400" w:lineRule="exact"/>
              <w:jc w:val="center"/>
              <w:rPr>
                <w:color w:val="000000"/>
                <w:szCs w:val="21"/>
              </w:rPr>
            </w:pPr>
            <w:r>
              <w:rPr>
                <w:color w:val="000000"/>
                <w:szCs w:val="21"/>
              </w:rPr>
              <w:t xml:space="preserve">0.5039 </w:t>
            </w:r>
          </w:p>
        </w:tc>
        <w:tc>
          <w:tcPr>
            <w:tcW w:w="1253" w:type="dxa"/>
            <w:vAlign w:val="center"/>
          </w:tcPr>
          <w:p>
            <w:pPr>
              <w:spacing w:line="400" w:lineRule="exact"/>
              <w:jc w:val="center"/>
              <w:rPr>
                <w:color w:val="000000"/>
                <w:szCs w:val="21"/>
              </w:rPr>
            </w:pPr>
            <w:r>
              <w:rPr>
                <w:color w:val="000000"/>
                <w:szCs w:val="21"/>
              </w:rPr>
              <w:t xml:space="preserve">0.5355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使用年期</w:t>
            </w:r>
          </w:p>
        </w:tc>
        <w:tc>
          <w:tcPr>
            <w:tcW w:w="1252" w:type="dxa"/>
            <w:vAlign w:val="center"/>
          </w:tcPr>
          <w:p>
            <w:pPr>
              <w:spacing w:line="400" w:lineRule="exact"/>
              <w:jc w:val="center"/>
              <w:rPr>
                <w:color w:val="000000"/>
                <w:szCs w:val="21"/>
              </w:rPr>
            </w:pPr>
            <w:r>
              <w:rPr>
                <w:color w:val="000000"/>
                <w:szCs w:val="21"/>
              </w:rPr>
              <w:t>13</w:t>
            </w:r>
          </w:p>
        </w:tc>
        <w:tc>
          <w:tcPr>
            <w:tcW w:w="1253" w:type="dxa"/>
            <w:vAlign w:val="center"/>
          </w:tcPr>
          <w:p>
            <w:pPr>
              <w:spacing w:line="400" w:lineRule="exact"/>
              <w:jc w:val="center"/>
              <w:rPr>
                <w:color w:val="000000"/>
                <w:szCs w:val="21"/>
              </w:rPr>
            </w:pPr>
            <w:r>
              <w:rPr>
                <w:color w:val="000000"/>
                <w:szCs w:val="21"/>
              </w:rPr>
              <w:t>14</w:t>
            </w:r>
          </w:p>
        </w:tc>
        <w:tc>
          <w:tcPr>
            <w:tcW w:w="1253" w:type="dxa"/>
            <w:vAlign w:val="center"/>
          </w:tcPr>
          <w:p>
            <w:pPr>
              <w:spacing w:line="400" w:lineRule="exact"/>
              <w:jc w:val="center"/>
              <w:rPr>
                <w:color w:val="000000"/>
                <w:szCs w:val="21"/>
              </w:rPr>
            </w:pPr>
            <w:r>
              <w:rPr>
                <w:color w:val="000000"/>
                <w:szCs w:val="21"/>
              </w:rPr>
              <w:t>15</w:t>
            </w:r>
          </w:p>
        </w:tc>
        <w:tc>
          <w:tcPr>
            <w:tcW w:w="1252" w:type="dxa"/>
            <w:vAlign w:val="center"/>
          </w:tcPr>
          <w:p>
            <w:pPr>
              <w:spacing w:line="400" w:lineRule="exact"/>
              <w:jc w:val="center"/>
              <w:rPr>
                <w:color w:val="000000"/>
                <w:szCs w:val="21"/>
              </w:rPr>
            </w:pPr>
            <w:r>
              <w:rPr>
                <w:color w:val="000000"/>
                <w:szCs w:val="21"/>
              </w:rPr>
              <w:t>16</w:t>
            </w:r>
          </w:p>
        </w:tc>
        <w:tc>
          <w:tcPr>
            <w:tcW w:w="1253" w:type="dxa"/>
            <w:vAlign w:val="center"/>
          </w:tcPr>
          <w:p>
            <w:pPr>
              <w:spacing w:line="400" w:lineRule="exact"/>
              <w:jc w:val="center"/>
              <w:rPr>
                <w:color w:val="000000"/>
                <w:szCs w:val="21"/>
              </w:rPr>
            </w:pPr>
            <w:r>
              <w:rPr>
                <w:color w:val="000000"/>
                <w:szCs w:val="21"/>
              </w:rPr>
              <w:t>17</w:t>
            </w:r>
          </w:p>
        </w:tc>
        <w:tc>
          <w:tcPr>
            <w:tcW w:w="1253" w:type="dxa"/>
            <w:vAlign w:val="center"/>
          </w:tcPr>
          <w:p>
            <w:pPr>
              <w:spacing w:line="400" w:lineRule="exact"/>
              <w:jc w:val="center"/>
              <w:rPr>
                <w:color w:val="000000"/>
                <w:szCs w:val="21"/>
              </w:rPr>
            </w:pPr>
            <w:r>
              <w:rPr>
                <w:color w:val="00000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修正系数</w:t>
            </w:r>
          </w:p>
        </w:tc>
        <w:tc>
          <w:tcPr>
            <w:tcW w:w="1252" w:type="dxa"/>
            <w:vAlign w:val="center"/>
          </w:tcPr>
          <w:p>
            <w:pPr>
              <w:spacing w:line="400" w:lineRule="exact"/>
              <w:jc w:val="center"/>
              <w:rPr>
                <w:color w:val="000000"/>
                <w:szCs w:val="21"/>
              </w:rPr>
            </w:pPr>
            <w:r>
              <w:rPr>
                <w:color w:val="000000"/>
                <w:szCs w:val="21"/>
              </w:rPr>
              <w:t xml:space="preserve">0.5653 </w:t>
            </w:r>
          </w:p>
        </w:tc>
        <w:tc>
          <w:tcPr>
            <w:tcW w:w="1253" w:type="dxa"/>
            <w:vAlign w:val="center"/>
          </w:tcPr>
          <w:p>
            <w:pPr>
              <w:spacing w:line="400" w:lineRule="exact"/>
              <w:jc w:val="center"/>
              <w:rPr>
                <w:color w:val="000000"/>
                <w:szCs w:val="21"/>
              </w:rPr>
            </w:pPr>
            <w:r>
              <w:rPr>
                <w:color w:val="000000"/>
                <w:szCs w:val="21"/>
              </w:rPr>
              <w:t xml:space="preserve">0.5934 </w:t>
            </w:r>
          </w:p>
        </w:tc>
        <w:tc>
          <w:tcPr>
            <w:tcW w:w="1253" w:type="dxa"/>
            <w:vAlign w:val="center"/>
          </w:tcPr>
          <w:p>
            <w:pPr>
              <w:spacing w:line="400" w:lineRule="exact"/>
              <w:jc w:val="center"/>
              <w:rPr>
                <w:color w:val="000000"/>
                <w:szCs w:val="21"/>
              </w:rPr>
            </w:pPr>
            <w:r>
              <w:rPr>
                <w:color w:val="000000"/>
                <w:szCs w:val="21"/>
              </w:rPr>
              <w:t xml:space="preserve">0.6198 </w:t>
            </w:r>
          </w:p>
        </w:tc>
        <w:tc>
          <w:tcPr>
            <w:tcW w:w="1252" w:type="dxa"/>
            <w:vAlign w:val="center"/>
          </w:tcPr>
          <w:p>
            <w:pPr>
              <w:spacing w:line="400" w:lineRule="exact"/>
              <w:jc w:val="center"/>
              <w:rPr>
                <w:color w:val="000000"/>
                <w:szCs w:val="21"/>
              </w:rPr>
            </w:pPr>
            <w:r>
              <w:rPr>
                <w:color w:val="000000"/>
                <w:szCs w:val="21"/>
              </w:rPr>
              <w:t xml:space="preserve">0.6448 </w:t>
            </w:r>
          </w:p>
        </w:tc>
        <w:tc>
          <w:tcPr>
            <w:tcW w:w="1253" w:type="dxa"/>
            <w:vAlign w:val="center"/>
          </w:tcPr>
          <w:p>
            <w:pPr>
              <w:spacing w:line="400" w:lineRule="exact"/>
              <w:jc w:val="center"/>
              <w:rPr>
                <w:color w:val="000000"/>
                <w:szCs w:val="21"/>
              </w:rPr>
            </w:pPr>
            <w:r>
              <w:rPr>
                <w:color w:val="000000"/>
                <w:szCs w:val="21"/>
              </w:rPr>
              <w:t xml:space="preserve">0.6683 </w:t>
            </w:r>
          </w:p>
        </w:tc>
        <w:tc>
          <w:tcPr>
            <w:tcW w:w="1253" w:type="dxa"/>
            <w:vAlign w:val="center"/>
          </w:tcPr>
          <w:p>
            <w:pPr>
              <w:spacing w:line="400" w:lineRule="exact"/>
              <w:jc w:val="center"/>
              <w:rPr>
                <w:color w:val="000000"/>
                <w:szCs w:val="21"/>
              </w:rPr>
            </w:pPr>
            <w:r>
              <w:rPr>
                <w:color w:val="000000"/>
                <w:szCs w:val="21"/>
              </w:rPr>
              <w:t xml:space="preserve">0.6905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使用年期</w:t>
            </w:r>
          </w:p>
        </w:tc>
        <w:tc>
          <w:tcPr>
            <w:tcW w:w="1252" w:type="dxa"/>
            <w:vAlign w:val="center"/>
          </w:tcPr>
          <w:p>
            <w:pPr>
              <w:spacing w:line="400" w:lineRule="exact"/>
              <w:jc w:val="center"/>
              <w:rPr>
                <w:color w:val="000000"/>
                <w:szCs w:val="21"/>
              </w:rPr>
            </w:pPr>
            <w:r>
              <w:rPr>
                <w:color w:val="000000"/>
                <w:szCs w:val="21"/>
              </w:rPr>
              <w:t>19</w:t>
            </w:r>
          </w:p>
        </w:tc>
        <w:tc>
          <w:tcPr>
            <w:tcW w:w="1253" w:type="dxa"/>
            <w:vAlign w:val="center"/>
          </w:tcPr>
          <w:p>
            <w:pPr>
              <w:spacing w:line="400" w:lineRule="exact"/>
              <w:jc w:val="center"/>
              <w:rPr>
                <w:color w:val="000000"/>
                <w:szCs w:val="21"/>
              </w:rPr>
            </w:pPr>
            <w:r>
              <w:rPr>
                <w:color w:val="000000"/>
                <w:szCs w:val="21"/>
              </w:rPr>
              <w:t>20</w:t>
            </w:r>
          </w:p>
        </w:tc>
        <w:tc>
          <w:tcPr>
            <w:tcW w:w="1253" w:type="dxa"/>
            <w:vAlign w:val="center"/>
          </w:tcPr>
          <w:p>
            <w:pPr>
              <w:spacing w:line="400" w:lineRule="exact"/>
              <w:jc w:val="center"/>
              <w:rPr>
                <w:color w:val="000000"/>
                <w:szCs w:val="21"/>
              </w:rPr>
            </w:pPr>
            <w:r>
              <w:rPr>
                <w:color w:val="000000"/>
                <w:szCs w:val="21"/>
              </w:rPr>
              <w:t>21</w:t>
            </w:r>
          </w:p>
        </w:tc>
        <w:tc>
          <w:tcPr>
            <w:tcW w:w="1252" w:type="dxa"/>
            <w:vAlign w:val="center"/>
          </w:tcPr>
          <w:p>
            <w:pPr>
              <w:spacing w:line="400" w:lineRule="exact"/>
              <w:jc w:val="center"/>
              <w:rPr>
                <w:color w:val="000000"/>
                <w:szCs w:val="21"/>
              </w:rPr>
            </w:pPr>
            <w:r>
              <w:rPr>
                <w:color w:val="000000"/>
                <w:szCs w:val="21"/>
              </w:rPr>
              <w:t>22</w:t>
            </w:r>
          </w:p>
        </w:tc>
        <w:tc>
          <w:tcPr>
            <w:tcW w:w="1253" w:type="dxa"/>
            <w:vAlign w:val="center"/>
          </w:tcPr>
          <w:p>
            <w:pPr>
              <w:spacing w:line="400" w:lineRule="exact"/>
              <w:jc w:val="center"/>
              <w:rPr>
                <w:color w:val="000000"/>
                <w:szCs w:val="21"/>
              </w:rPr>
            </w:pPr>
            <w:r>
              <w:rPr>
                <w:color w:val="000000"/>
                <w:szCs w:val="21"/>
              </w:rPr>
              <w:t>23</w:t>
            </w:r>
          </w:p>
        </w:tc>
        <w:tc>
          <w:tcPr>
            <w:tcW w:w="1253" w:type="dxa"/>
            <w:vAlign w:val="center"/>
          </w:tcPr>
          <w:p>
            <w:pPr>
              <w:spacing w:line="400" w:lineRule="exact"/>
              <w:jc w:val="center"/>
              <w:rPr>
                <w:color w:val="000000"/>
                <w:szCs w:val="21"/>
              </w:rPr>
            </w:pPr>
            <w:r>
              <w:rPr>
                <w:color w:val="000000"/>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修正系数</w:t>
            </w:r>
          </w:p>
        </w:tc>
        <w:tc>
          <w:tcPr>
            <w:tcW w:w="1252" w:type="dxa"/>
            <w:vAlign w:val="center"/>
          </w:tcPr>
          <w:p>
            <w:pPr>
              <w:spacing w:line="400" w:lineRule="exact"/>
              <w:jc w:val="center"/>
              <w:rPr>
                <w:color w:val="000000"/>
                <w:szCs w:val="21"/>
              </w:rPr>
            </w:pPr>
            <w:r>
              <w:rPr>
                <w:color w:val="000000"/>
                <w:szCs w:val="21"/>
              </w:rPr>
              <w:t xml:space="preserve">0.7114 </w:t>
            </w:r>
          </w:p>
        </w:tc>
        <w:tc>
          <w:tcPr>
            <w:tcW w:w="1253" w:type="dxa"/>
            <w:vAlign w:val="center"/>
          </w:tcPr>
          <w:p>
            <w:pPr>
              <w:spacing w:line="400" w:lineRule="exact"/>
              <w:jc w:val="center"/>
              <w:rPr>
                <w:color w:val="000000"/>
                <w:szCs w:val="21"/>
              </w:rPr>
            </w:pPr>
            <w:r>
              <w:rPr>
                <w:color w:val="000000"/>
                <w:szCs w:val="21"/>
              </w:rPr>
              <w:t xml:space="preserve">0.7311 </w:t>
            </w:r>
          </w:p>
        </w:tc>
        <w:tc>
          <w:tcPr>
            <w:tcW w:w="1253" w:type="dxa"/>
            <w:vAlign w:val="center"/>
          </w:tcPr>
          <w:p>
            <w:pPr>
              <w:spacing w:line="400" w:lineRule="exact"/>
              <w:jc w:val="center"/>
              <w:rPr>
                <w:color w:val="000000"/>
                <w:szCs w:val="21"/>
              </w:rPr>
            </w:pPr>
            <w:r>
              <w:rPr>
                <w:color w:val="000000"/>
                <w:szCs w:val="21"/>
              </w:rPr>
              <w:t xml:space="preserve">0.7497 </w:t>
            </w:r>
          </w:p>
        </w:tc>
        <w:tc>
          <w:tcPr>
            <w:tcW w:w="1252" w:type="dxa"/>
            <w:vAlign w:val="center"/>
          </w:tcPr>
          <w:p>
            <w:pPr>
              <w:spacing w:line="400" w:lineRule="exact"/>
              <w:jc w:val="center"/>
              <w:rPr>
                <w:color w:val="000000"/>
                <w:szCs w:val="21"/>
              </w:rPr>
            </w:pPr>
            <w:r>
              <w:rPr>
                <w:color w:val="000000"/>
                <w:szCs w:val="21"/>
              </w:rPr>
              <w:t xml:space="preserve">0.7672 </w:t>
            </w:r>
          </w:p>
        </w:tc>
        <w:tc>
          <w:tcPr>
            <w:tcW w:w="1253" w:type="dxa"/>
            <w:vAlign w:val="center"/>
          </w:tcPr>
          <w:p>
            <w:pPr>
              <w:spacing w:line="400" w:lineRule="exact"/>
              <w:jc w:val="center"/>
              <w:rPr>
                <w:color w:val="000000"/>
                <w:szCs w:val="21"/>
              </w:rPr>
            </w:pPr>
            <w:r>
              <w:rPr>
                <w:color w:val="000000"/>
                <w:szCs w:val="21"/>
              </w:rPr>
              <w:t xml:space="preserve">0.7837 </w:t>
            </w:r>
          </w:p>
        </w:tc>
        <w:tc>
          <w:tcPr>
            <w:tcW w:w="1253" w:type="dxa"/>
            <w:vAlign w:val="center"/>
          </w:tcPr>
          <w:p>
            <w:pPr>
              <w:spacing w:line="400" w:lineRule="exact"/>
              <w:jc w:val="center"/>
              <w:rPr>
                <w:color w:val="000000"/>
                <w:szCs w:val="21"/>
              </w:rPr>
            </w:pPr>
            <w:r>
              <w:rPr>
                <w:color w:val="000000"/>
                <w:szCs w:val="21"/>
              </w:rPr>
              <w:t xml:space="preserve">0.7992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使用年期</w:t>
            </w:r>
          </w:p>
        </w:tc>
        <w:tc>
          <w:tcPr>
            <w:tcW w:w="1252" w:type="dxa"/>
            <w:vAlign w:val="center"/>
          </w:tcPr>
          <w:p>
            <w:pPr>
              <w:spacing w:line="400" w:lineRule="exact"/>
              <w:jc w:val="center"/>
              <w:rPr>
                <w:color w:val="000000"/>
                <w:szCs w:val="21"/>
              </w:rPr>
            </w:pPr>
            <w:r>
              <w:rPr>
                <w:color w:val="000000"/>
                <w:szCs w:val="21"/>
              </w:rPr>
              <w:t>25</w:t>
            </w:r>
          </w:p>
        </w:tc>
        <w:tc>
          <w:tcPr>
            <w:tcW w:w="1253" w:type="dxa"/>
            <w:vAlign w:val="center"/>
          </w:tcPr>
          <w:p>
            <w:pPr>
              <w:spacing w:line="400" w:lineRule="exact"/>
              <w:jc w:val="center"/>
              <w:rPr>
                <w:color w:val="000000"/>
                <w:szCs w:val="21"/>
              </w:rPr>
            </w:pPr>
            <w:r>
              <w:rPr>
                <w:color w:val="000000"/>
                <w:szCs w:val="21"/>
              </w:rPr>
              <w:t>26</w:t>
            </w:r>
          </w:p>
        </w:tc>
        <w:tc>
          <w:tcPr>
            <w:tcW w:w="1253" w:type="dxa"/>
            <w:vAlign w:val="center"/>
          </w:tcPr>
          <w:p>
            <w:pPr>
              <w:spacing w:line="400" w:lineRule="exact"/>
              <w:jc w:val="center"/>
              <w:rPr>
                <w:color w:val="000000"/>
                <w:szCs w:val="21"/>
              </w:rPr>
            </w:pPr>
            <w:r>
              <w:rPr>
                <w:color w:val="000000"/>
                <w:szCs w:val="21"/>
              </w:rPr>
              <w:t>27</w:t>
            </w:r>
          </w:p>
        </w:tc>
        <w:tc>
          <w:tcPr>
            <w:tcW w:w="1252" w:type="dxa"/>
            <w:vAlign w:val="center"/>
          </w:tcPr>
          <w:p>
            <w:pPr>
              <w:spacing w:line="400" w:lineRule="exact"/>
              <w:jc w:val="center"/>
              <w:rPr>
                <w:color w:val="000000"/>
                <w:szCs w:val="21"/>
              </w:rPr>
            </w:pPr>
            <w:r>
              <w:rPr>
                <w:color w:val="000000"/>
                <w:szCs w:val="21"/>
              </w:rPr>
              <w:t>28</w:t>
            </w:r>
          </w:p>
        </w:tc>
        <w:tc>
          <w:tcPr>
            <w:tcW w:w="1253" w:type="dxa"/>
            <w:vAlign w:val="center"/>
          </w:tcPr>
          <w:p>
            <w:pPr>
              <w:spacing w:line="400" w:lineRule="exact"/>
              <w:jc w:val="center"/>
              <w:rPr>
                <w:color w:val="000000"/>
                <w:szCs w:val="21"/>
              </w:rPr>
            </w:pPr>
            <w:r>
              <w:rPr>
                <w:color w:val="000000"/>
                <w:szCs w:val="21"/>
              </w:rPr>
              <w:t>29</w:t>
            </w:r>
          </w:p>
        </w:tc>
        <w:tc>
          <w:tcPr>
            <w:tcW w:w="1253" w:type="dxa"/>
            <w:vAlign w:val="center"/>
          </w:tcPr>
          <w:p>
            <w:pPr>
              <w:spacing w:line="400" w:lineRule="exact"/>
              <w:jc w:val="center"/>
              <w:rPr>
                <w:color w:val="000000"/>
                <w:szCs w:val="21"/>
              </w:rPr>
            </w:pPr>
            <w:r>
              <w:rPr>
                <w:color w:val="00000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修正系数</w:t>
            </w:r>
          </w:p>
        </w:tc>
        <w:tc>
          <w:tcPr>
            <w:tcW w:w="1252" w:type="dxa"/>
            <w:vAlign w:val="center"/>
          </w:tcPr>
          <w:p>
            <w:pPr>
              <w:spacing w:line="400" w:lineRule="exact"/>
              <w:jc w:val="center"/>
              <w:rPr>
                <w:color w:val="000000"/>
                <w:szCs w:val="21"/>
              </w:rPr>
            </w:pPr>
            <w:r>
              <w:rPr>
                <w:color w:val="000000"/>
                <w:szCs w:val="21"/>
              </w:rPr>
              <w:t xml:space="preserve">0.8139 </w:t>
            </w:r>
          </w:p>
        </w:tc>
        <w:tc>
          <w:tcPr>
            <w:tcW w:w="1253" w:type="dxa"/>
            <w:vAlign w:val="center"/>
          </w:tcPr>
          <w:p>
            <w:pPr>
              <w:spacing w:line="400" w:lineRule="exact"/>
              <w:jc w:val="center"/>
              <w:rPr>
                <w:color w:val="000000"/>
                <w:szCs w:val="21"/>
              </w:rPr>
            </w:pPr>
            <w:r>
              <w:rPr>
                <w:color w:val="000000"/>
                <w:szCs w:val="21"/>
              </w:rPr>
              <w:t xml:space="preserve">0.8277 </w:t>
            </w:r>
          </w:p>
        </w:tc>
        <w:tc>
          <w:tcPr>
            <w:tcW w:w="1253" w:type="dxa"/>
            <w:vAlign w:val="center"/>
          </w:tcPr>
          <w:p>
            <w:pPr>
              <w:spacing w:line="400" w:lineRule="exact"/>
              <w:jc w:val="center"/>
              <w:rPr>
                <w:color w:val="000000"/>
                <w:szCs w:val="21"/>
              </w:rPr>
            </w:pPr>
            <w:r>
              <w:rPr>
                <w:color w:val="000000"/>
                <w:szCs w:val="21"/>
              </w:rPr>
              <w:t xml:space="preserve">0.8408 </w:t>
            </w:r>
          </w:p>
        </w:tc>
        <w:tc>
          <w:tcPr>
            <w:tcW w:w="1252" w:type="dxa"/>
            <w:vAlign w:val="center"/>
          </w:tcPr>
          <w:p>
            <w:pPr>
              <w:spacing w:line="400" w:lineRule="exact"/>
              <w:jc w:val="center"/>
              <w:rPr>
                <w:color w:val="000000"/>
                <w:szCs w:val="21"/>
              </w:rPr>
            </w:pPr>
            <w:r>
              <w:rPr>
                <w:color w:val="000000"/>
                <w:szCs w:val="21"/>
              </w:rPr>
              <w:t xml:space="preserve">0.8531 </w:t>
            </w:r>
          </w:p>
        </w:tc>
        <w:tc>
          <w:tcPr>
            <w:tcW w:w="1253" w:type="dxa"/>
            <w:vAlign w:val="center"/>
          </w:tcPr>
          <w:p>
            <w:pPr>
              <w:spacing w:line="400" w:lineRule="exact"/>
              <w:jc w:val="center"/>
              <w:rPr>
                <w:color w:val="000000"/>
                <w:szCs w:val="21"/>
              </w:rPr>
            </w:pPr>
            <w:r>
              <w:rPr>
                <w:color w:val="000000"/>
                <w:szCs w:val="21"/>
              </w:rPr>
              <w:t xml:space="preserve">0.8646 </w:t>
            </w:r>
          </w:p>
        </w:tc>
        <w:tc>
          <w:tcPr>
            <w:tcW w:w="1253" w:type="dxa"/>
            <w:vAlign w:val="center"/>
          </w:tcPr>
          <w:p>
            <w:pPr>
              <w:spacing w:line="400" w:lineRule="exact"/>
              <w:jc w:val="center"/>
              <w:rPr>
                <w:color w:val="000000"/>
                <w:szCs w:val="21"/>
              </w:rPr>
            </w:pPr>
            <w:r>
              <w:rPr>
                <w:color w:val="000000"/>
                <w:szCs w:val="21"/>
              </w:rPr>
              <w:t xml:space="preserve">0.8756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使用年期</w:t>
            </w:r>
          </w:p>
        </w:tc>
        <w:tc>
          <w:tcPr>
            <w:tcW w:w="1252" w:type="dxa"/>
            <w:vAlign w:val="center"/>
          </w:tcPr>
          <w:p>
            <w:pPr>
              <w:spacing w:line="400" w:lineRule="exact"/>
              <w:jc w:val="center"/>
              <w:rPr>
                <w:color w:val="000000"/>
                <w:szCs w:val="21"/>
              </w:rPr>
            </w:pPr>
            <w:r>
              <w:rPr>
                <w:color w:val="000000"/>
                <w:szCs w:val="21"/>
              </w:rPr>
              <w:t>31</w:t>
            </w:r>
          </w:p>
        </w:tc>
        <w:tc>
          <w:tcPr>
            <w:tcW w:w="1253" w:type="dxa"/>
            <w:vAlign w:val="center"/>
          </w:tcPr>
          <w:p>
            <w:pPr>
              <w:spacing w:line="400" w:lineRule="exact"/>
              <w:jc w:val="center"/>
              <w:rPr>
                <w:color w:val="000000"/>
                <w:szCs w:val="21"/>
              </w:rPr>
            </w:pPr>
            <w:r>
              <w:rPr>
                <w:color w:val="000000"/>
                <w:szCs w:val="21"/>
              </w:rPr>
              <w:t>32</w:t>
            </w:r>
          </w:p>
        </w:tc>
        <w:tc>
          <w:tcPr>
            <w:tcW w:w="1253" w:type="dxa"/>
            <w:vAlign w:val="center"/>
          </w:tcPr>
          <w:p>
            <w:pPr>
              <w:spacing w:line="400" w:lineRule="exact"/>
              <w:jc w:val="center"/>
              <w:rPr>
                <w:color w:val="000000"/>
                <w:szCs w:val="21"/>
              </w:rPr>
            </w:pPr>
            <w:r>
              <w:rPr>
                <w:color w:val="000000"/>
                <w:szCs w:val="21"/>
              </w:rPr>
              <w:t>33</w:t>
            </w:r>
          </w:p>
        </w:tc>
        <w:tc>
          <w:tcPr>
            <w:tcW w:w="1252" w:type="dxa"/>
            <w:vAlign w:val="center"/>
          </w:tcPr>
          <w:p>
            <w:pPr>
              <w:spacing w:line="400" w:lineRule="exact"/>
              <w:jc w:val="center"/>
              <w:rPr>
                <w:color w:val="000000"/>
                <w:szCs w:val="21"/>
              </w:rPr>
            </w:pPr>
            <w:r>
              <w:rPr>
                <w:color w:val="000000"/>
                <w:szCs w:val="21"/>
              </w:rPr>
              <w:t>34</w:t>
            </w:r>
          </w:p>
        </w:tc>
        <w:tc>
          <w:tcPr>
            <w:tcW w:w="1253" w:type="dxa"/>
            <w:vAlign w:val="center"/>
          </w:tcPr>
          <w:p>
            <w:pPr>
              <w:spacing w:line="400" w:lineRule="exact"/>
              <w:jc w:val="center"/>
              <w:rPr>
                <w:color w:val="000000"/>
                <w:szCs w:val="21"/>
              </w:rPr>
            </w:pPr>
            <w:r>
              <w:rPr>
                <w:color w:val="000000"/>
                <w:szCs w:val="21"/>
              </w:rPr>
              <w:t>35</w:t>
            </w:r>
          </w:p>
        </w:tc>
        <w:tc>
          <w:tcPr>
            <w:tcW w:w="1253" w:type="dxa"/>
            <w:vAlign w:val="center"/>
          </w:tcPr>
          <w:p>
            <w:pPr>
              <w:spacing w:line="400" w:lineRule="exact"/>
              <w:jc w:val="center"/>
              <w:rPr>
                <w:color w:val="000000"/>
                <w:szCs w:val="21"/>
              </w:rPr>
            </w:pPr>
            <w:r>
              <w:rPr>
                <w:color w:val="00000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修正系数</w:t>
            </w:r>
          </w:p>
        </w:tc>
        <w:tc>
          <w:tcPr>
            <w:tcW w:w="1252" w:type="dxa"/>
            <w:vAlign w:val="center"/>
          </w:tcPr>
          <w:p>
            <w:pPr>
              <w:spacing w:line="400" w:lineRule="exact"/>
              <w:jc w:val="center"/>
              <w:rPr>
                <w:color w:val="000000"/>
                <w:szCs w:val="21"/>
              </w:rPr>
            </w:pPr>
            <w:r>
              <w:rPr>
                <w:color w:val="000000"/>
                <w:szCs w:val="21"/>
              </w:rPr>
              <w:t xml:space="preserve">0.8859 </w:t>
            </w:r>
          </w:p>
        </w:tc>
        <w:tc>
          <w:tcPr>
            <w:tcW w:w="1253" w:type="dxa"/>
            <w:vAlign w:val="center"/>
          </w:tcPr>
          <w:p>
            <w:pPr>
              <w:spacing w:line="400" w:lineRule="exact"/>
              <w:jc w:val="center"/>
              <w:rPr>
                <w:color w:val="000000"/>
                <w:szCs w:val="21"/>
              </w:rPr>
            </w:pPr>
            <w:r>
              <w:rPr>
                <w:color w:val="000000"/>
                <w:szCs w:val="21"/>
              </w:rPr>
              <w:t xml:space="preserve">0.8956 </w:t>
            </w:r>
          </w:p>
        </w:tc>
        <w:tc>
          <w:tcPr>
            <w:tcW w:w="1253" w:type="dxa"/>
            <w:vAlign w:val="center"/>
          </w:tcPr>
          <w:p>
            <w:pPr>
              <w:spacing w:line="400" w:lineRule="exact"/>
              <w:jc w:val="center"/>
              <w:rPr>
                <w:color w:val="000000"/>
                <w:szCs w:val="21"/>
              </w:rPr>
            </w:pPr>
            <w:r>
              <w:rPr>
                <w:color w:val="000000"/>
                <w:szCs w:val="21"/>
              </w:rPr>
              <w:t xml:space="preserve">0.9047 </w:t>
            </w:r>
          </w:p>
        </w:tc>
        <w:tc>
          <w:tcPr>
            <w:tcW w:w="1252" w:type="dxa"/>
            <w:vAlign w:val="center"/>
          </w:tcPr>
          <w:p>
            <w:pPr>
              <w:spacing w:line="400" w:lineRule="exact"/>
              <w:jc w:val="center"/>
              <w:rPr>
                <w:color w:val="000000"/>
                <w:szCs w:val="21"/>
              </w:rPr>
            </w:pPr>
            <w:r>
              <w:rPr>
                <w:color w:val="000000"/>
                <w:szCs w:val="21"/>
              </w:rPr>
              <w:t xml:space="preserve">0.9133 </w:t>
            </w:r>
          </w:p>
        </w:tc>
        <w:tc>
          <w:tcPr>
            <w:tcW w:w="1253" w:type="dxa"/>
            <w:vAlign w:val="center"/>
          </w:tcPr>
          <w:p>
            <w:pPr>
              <w:spacing w:line="400" w:lineRule="exact"/>
              <w:jc w:val="center"/>
              <w:rPr>
                <w:color w:val="000000"/>
                <w:szCs w:val="21"/>
              </w:rPr>
            </w:pPr>
            <w:r>
              <w:rPr>
                <w:color w:val="000000"/>
                <w:szCs w:val="21"/>
              </w:rPr>
              <w:t xml:space="preserve">0.9215 </w:t>
            </w:r>
          </w:p>
        </w:tc>
        <w:tc>
          <w:tcPr>
            <w:tcW w:w="1253" w:type="dxa"/>
            <w:vAlign w:val="center"/>
          </w:tcPr>
          <w:p>
            <w:pPr>
              <w:spacing w:line="400" w:lineRule="exact"/>
              <w:jc w:val="center"/>
              <w:rPr>
                <w:color w:val="000000"/>
                <w:szCs w:val="21"/>
              </w:rPr>
            </w:pPr>
            <w:r>
              <w:rPr>
                <w:color w:val="000000"/>
                <w:szCs w:val="21"/>
              </w:rPr>
              <w:t xml:space="preserve">0.9291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使用年期</w:t>
            </w:r>
          </w:p>
        </w:tc>
        <w:tc>
          <w:tcPr>
            <w:tcW w:w="1252" w:type="dxa"/>
            <w:vAlign w:val="center"/>
          </w:tcPr>
          <w:p>
            <w:pPr>
              <w:spacing w:line="400" w:lineRule="exact"/>
              <w:jc w:val="center"/>
              <w:rPr>
                <w:color w:val="000000"/>
                <w:szCs w:val="21"/>
              </w:rPr>
            </w:pPr>
            <w:r>
              <w:rPr>
                <w:color w:val="000000"/>
                <w:szCs w:val="21"/>
              </w:rPr>
              <w:t>37</w:t>
            </w:r>
          </w:p>
        </w:tc>
        <w:tc>
          <w:tcPr>
            <w:tcW w:w="1253" w:type="dxa"/>
            <w:vAlign w:val="center"/>
          </w:tcPr>
          <w:p>
            <w:pPr>
              <w:spacing w:line="400" w:lineRule="exact"/>
              <w:jc w:val="center"/>
              <w:rPr>
                <w:color w:val="000000"/>
                <w:szCs w:val="21"/>
              </w:rPr>
            </w:pPr>
            <w:r>
              <w:rPr>
                <w:color w:val="000000"/>
                <w:szCs w:val="21"/>
              </w:rPr>
              <w:t>38</w:t>
            </w:r>
          </w:p>
        </w:tc>
        <w:tc>
          <w:tcPr>
            <w:tcW w:w="1253" w:type="dxa"/>
            <w:vAlign w:val="center"/>
          </w:tcPr>
          <w:p>
            <w:pPr>
              <w:spacing w:line="400" w:lineRule="exact"/>
              <w:jc w:val="center"/>
              <w:rPr>
                <w:color w:val="000000"/>
                <w:szCs w:val="21"/>
              </w:rPr>
            </w:pPr>
            <w:r>
              <w:rPr>
                <w:color w:val="000000"/>
                <w:szCs w:val="21"/>
              </w:rPr>
              <w:t>39</w:t>
            </w:r>
          </w:p>
        </w:tc>
        <w:tc>
          <w:tcPr>
            <w:tcW w:w="1252" w:type="dxa"/>
            <w:vAlign w:val="center"/>
          </w:tcPr>
          <w:p>
            <w:pPr>
              <w:spacing w:line="400" w:lineRule="exact"/>
              <w:jc w:val="center"/>
              <w:rPr>
                <w:color w:val="000000"/>
                <w:szCs w:val="21"/>
              </w:rPr>
            </w:pPr>
            <w:r>
              <w:rPr>
                <w:color w:val="000000"/>
                <w:szCs w:val="21"/>
              </w:rPr>
              <w:t>40</w:t>
            </w:r>
          </w:p>
        </w:tc>
        <w:tc>
          <w:tcPr>
            <w:tcW w:w="1253" w:type="dxa"/>
            <w:vAlign w:val="center"/>
          </w:tcPr>
          <w:p>
            <w:pPr>
              <w:spacing w:line="400" w:lineRule="exact"/>
              <w:jc w:val="center"/>
              <w:rPr>
                <w:color w:val="000000"/>
                <w:szCs w:val="21"/>
              </w:rPr>
            </w:pPr>
            <w:r>
              <w:rPr>
                <w:color w:val="000000"/>
                <w:szCs w:val="21"/>
              </w:rPr>
              <w:t>41</w:t>
            </w:r>
          </w:p>
        </w:tc>
        <w:tc>
          <w:tcPr>
            <w:tcW w:w="1253" w:type="dxa"/>
            <w:vAlign w:val="center"/>
          </w:tcPr>
          <w:p>
            <w:pPr>
              <w:spacing w:line="400" w:lineRule="exact"/>
              <w:jc w:val="center"/>
              <w:rPr>
                <w:color w:val="000000"/>
                <w:szCs w:val="21"/>
              </w:rPr>
            </w:pPr>
            <w:r>
              <w:rPr>
                <w:color w:val="000000"/>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300" w:type="dxa"/>
            <w:vAlign w:val="center"/>
          </w:tcPr>
          <w:p>
            <w:pPr>
              <w:spacing w:line="400" w:lineRule="exact"/>
              <w:jc w:val="center"/>
            </w:pPr>
            <w:r>
              <w:t>修正系数</w:t>
            </w:r>
          </w:p>
        </w:tc>
        <w:tc>
          <w:tcPr>
            <w:tcW w:w="1252" w:type="dxa"/>
            <w:vAlign w:val="center"/>
          </w:tcPr>
          <w:p>
            <w:pPr>
              <w:spacing w:line="400" w:lineRule="exact"/>
              <w:jc w:val="center"/>
              <w:rPr>
                <w:color w:val="000000"/>
                <w:szCs w:val="21"/>
              </w:rPr>
            </w:pPr>
            <w:r>
              <w:rPr>
                <w:color w:val="000000"/>
                <w:szCs w:val="21"/>
              </w:rPr>
              <w:t xml:space="preserve">0.9363 </w:t>
            </w:r>
          </w:p>
        </w:tc>
        <w:tc>
          <w:tcPr>
            <w:tcW w:w="1253" w:type="dxa"/>
            <w:vAlign w:val="center"/>
          </w:tcPr>
          <w:p>
            <w:pPr>
              <w:spacing w:line="400" w:lineRule="exact"/>
              <w:jc w:val="center"/>
              <w:rPr>
                <w:color w:val="000000"/>
                <w:szCs w:val="21"/>
              </w:rPr>
            </w:pPr>
            <w:r>
              <w:rPr>
                <w:color w:val="000000"/>
                <w:szCs w:val="21"/>
              </w:rPr>
              <w:t xml:space="preserve">0.9432 </w:t>
            </w:r>
          </w:p>
        </w:tc>
        <w:tc>
          <w:tcPr>
            <w:tcW w:w="1253" w:type="dxa"/>
            <w:vAlign w:val="center"/>
          </w:tcPr>
          <w:p>
            <w:pPr>
              <w:spacing w:line="400" w:lineRule="exact"/>
              <w:jc w:val="center"/>
              <w:rPr>
                <w:color w:val="000000"/>
                <w:szCs w:val="21"/>
              </w:rPr>
            </w:pPr>
            <w:r>
              <w:rPr>
                <w:color w:val="000000"/>
                <w:szCs w:val="21"/>
              </w:rPr>
              <w:t xml:space="preserve">0.9496 </w:t>
            </w:r>
          </w:p>
        </w:tc>
        <w:tc>
          <w:tcPr>
            <w:tcW w:w="1252" w:type="dxa"/>
            <w:vAlign w:val="center"/>
          </w:tcPr>
          <w:p>
            <w:pPr>
              <w:spacing w:line="400" w:lineRule="exact"/>
              <w:jc w:val="center"/>
              <w:rPr>
                <w:color w:val="000000"/>
                <w:szCs w:val="21"/>
              </w:rPr>
            </w:pPr>
            <w:r>
              <w:rPr>
                <w:color w:val="000000"/>
                <w:szCs w:val="21"/>
              </w:rPr>
              <w:t xml:space="preserve">0.9556 </w:t>
            </w:r>
          </w:p>
        </w:tc>
        <w:tc>
          <w:tcPr>
            <w:tcW w:w="1253" w:type="dxa"/>
            <w:vAlign w:val="center"/>
          </w:tcPr>
          <w:p>
            <w:pPr>
              <w:spacing w:line="400" w:lineRule="exact"/>
              <w:jc w:val="center"/>
              <w:rPr>
                <w:color w:val="000000"/>
                <w:szCs w:val="21"/>
              </w:rPr>
            </w:pPr>
            <w:r>
              <w:rPr>
                <w:color w:val="000000"/>
                <w:szCs w:val="21"/>
              </w:rPr>
              <w:t xml:space="preserve">0.9613 </w:t>
            </w:r>
          </w:p>
        </w:tc>
        <w:tc>
          <w:tcPr>
            <w:tcW w:w="1253" w:type="dxa"/>
            <w:vAlign w:val="center"/>
          </w:tcPr>
          <w:p>
            <w:pPr>
              <w:spacing w:line="400" w:lineRule="exact"/>
              <w:jc w:val="center"/>
              <w:rPr>
                <w:color w:val="000000"/>
                <w:szCs w:val="21"/>
              </w:rPr>
            </w:pPr>
            <w:r>
              <w:rPr>
                <w:color w:val="000000"/>
                <w:szCs w:val="21"/>
              </w:rPr>
              <w:t xml:space="preserve">0.9667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使用年期</w:t>
            </w:r>
          </w:p>
        </w:tc>
        <w:tc>
          <w:tcPr>
            <w:tcW w:w="1252" w:type="dxa"/>
            <w:vAlign w:val="center"/>
          </w:tcPr>
          <w:p>
            <w:pPr>
              <w:spacing w:line="400" w:lineRule="exact"/>
              <w:jc w:val="center"/>
              <w:rPr>
                <w:color w:val="000000"/>
                <w:szCs w:val="21"/>
              </w:rPr>
            </w:pPr>
            <w:r>
              <w:rPr>
                <w:color w:val="000000"/>
                <w:szCs w:val="21"/>
              </w:rPr>
              <w:t>43</w:t>
            </w:r>
          </w:p>
        </w:tc>
        <w:tc>
          <w:tcPr>
            <w:tcW w:w="1253" w:type="dxa"/>
            <w:vAlign w:val="center"/>
          </w:tcPr>
          <w:p>
            <w:pPr>
              <w:spacing w:line="400" w:lineRule="exact"/>
              <w:jc w:val="center"/>
              <w:rPr>
                <w:color w:val="000000"/>
                <w:szCs w:val="21"/>
              </w:rPr>
            </w:pPr>
            <w:r>
              <w:rPr>
                <w:color w:val="000000"/>
                <w:szCs w:val="21"/>
              </w:rPr>
              <w:t>44</w:t>
            </w:r>
          </w:p>
        </w:tc>
        <w:tc>
          <w:tcPr>
            <w:tcW w:w="1253" w:type="dxa"/>
            <w:vAlign w:val="center"/>
          </w:tcPr>
          <w:p>
            <w:pPr>
              <w:spacing w:line="400" w:lineRule="exact"/>
              <w:jc w:val="center"/>
              <w:rPr>
                <w:color w:val="000000"/>
                <w:szCs w:val="21"/>
              </w:rPr>
            </w:pPr>
            <w:r>
              <w:rPr>
                <w:color w:val="000000"/>
                <w:szCs w:val="21"/>
              </w:rPr>
              <w:t>45</w:t>
            </w:r>
          </w:p>
        </w:tc>
        <w:tc>
          <w:tcPr>
            <w:tcW w:w="1252" w:type="dxa"/>
            <w:vAlign w:val="center"/>
          </w:tcPr>
          <w:p>
            <w:pPr>
              <w:spacing w:line="400" w:lineRule="exact"/>
              <w:jc w:val="center"/>
              <w:rPr>
                <w:color w:val="000000"/>
                <w:szCs w:val="21"/>
              </w:rPr>
            </w:pPr>
            <w:r>
              <w:rPr>
                <w:color w:val="000000"/>
                <w:szCs w:val="21"/>
              </w:rPr>
              <w:t>46</w:t>
            </w:r>
          </w:p>
        </w:tc>
        <w:tc>
          <w:tcPr>
            <w:tcW w:w="1253" w:type="dxa"/>
            <w:vAlign w:val="center"/>
          </w:tcPr>
          <w:p>
            <w:pPr>
              <w:spacing w:line="400" w:lineRule="exact"/>
              <w:jc w:val="center"/>
              <w:rPr>
                <w:color w:val="000000"/>
                <w:szCs w:val="21"/>
              </w:rPr>
            </w:pPr>
            <w:r>
              <w:rPr>
                <w:color w:val="000000"/>
                <w:szCs w:val="21"/>
              </w:rPr>
              <w:t>47</w:t>
            </w:r>
          </w:p>
        </w:tc>
        <w:tc>
          <w:tcPr>
            <w:tcW w:w="1253" w:type="dxa"/>
            <w:vAlign w:val="center"/>
          </w:tcPr>
          <w:p>
            <w:pPr>
              <w:spacing w:line="400" w:lineRule="exact"/>
              <w:jc w:val="center"/>
              <w:rPr>
                <w:color w:val="000000"/>
                <w:szCs w:val="21"/>
              </w:rPr>
            </w:pPr>
            <w:r>
              <w:rPr>
                <w:color w:val="000000"/>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修正系数</w:t>
            </w:r>
          </w:p>
        </w:tc>
        <w:tc>
          <w:tcPr>
            <w:tcW w:w="1252" w:type="dxa"/>
            <w:vAlign w:val="center"/>
          </w:tcPr>
          <w:p>
            <w:pPr>
              <w:spacing w:line="400" w:lineRule="exact"/>
              <w:jc w:val="center"/>
              <w:rPr>
                <w:color w:val="000000"/>
                <w:szCs w:val="21"/>
              </w:rPr>
            </w:pPr>
            <w:r>
              <w:rPr>
                <w:color w:val="000000"/>
                <w:szCs w:val="21"/>
              </w:rPr>
              <w:t xml:space="preserve">0.9718 </w:t>
            </w:r>
          </w:p>
        </w:tc>
        <w:tc>
          <w:tcPr>
            <w:tcW w:w="1253" w:type="dxa"/>
            <w:vAlign w:val="center"/>
          </w:tcPr>
          <w:p>
            <w:pPr>
              <w:spacing w:line="400" w:lineRule="exact"/>
              <w:jc w:val="center"/>
              <w:rPr>
                <w:color w:val="000000"/>
                <w:szCs w:val="21"/>
              </w:rPr>
            </w:pPr>
            <w:r>
              <w:rPr>
                <w:color w:val="000000"/>
                <w:szCs w:val="21"/>
              </w:rPr>
              <w:t xml:space="preserve">0.9766 </w:t>
            </w:r>
          </w:p>
        </w:tc>
        <w:tc>
          <w:tcPr>
            <w:tcW w:w="1253" w:type="dxa"/>
            <w:vAlign w:val="center"/>
          </w:tcPr>
          <w:p>
            <w:pPr>
              <w:spacing w:line="400" w:lineRule="exact"/>
              <w:jc w:val="center"/>
              <w:rPr>
                <w:color w:val="000000"/>
                <w:szCs w:val="21"/>
              </w:rPr>
            </w:pPr>
            <w:r>
              <w:rPr>
                <w:color w:val="000000"/>
                <w:szCs w:val="21"/>
              </w:rPr>
              <w:t xml:space="preserve">0.9811 </w:t>
            </w:r>
          </w:p>
        </w:tc>
        <w:tc>
          <w:tcPr>
            <w:tcW w:w="1252" w:type="dxa"/>
            <w:vAlign w:val="center"/>
          </w:tcPr>
          <w:p>
            <w:pPr>
              <w:spacing w:line="400" w:lineRule="exact"/>
              <w:jc w:val="center"/>
              <w:rPr>
                <w:color w:val="000000"/>
                <w:szCs w:val="21"/>
              </w:rPr>
            </w:pPr>
            <w:r>
              <w:rPr>
                <w:color w:val="000000"/>
                <w:szCs w:val="21"/>
              </w:rPr>
              <w:t xml:space="preserve">0.9853 </w:t>
            </w:r>
          </w:p>
        </w:tc>
        <w:tc>
          <w:tcPr>
            <w:tcW w:w="1253" w:type="dxa"/>
            <w:vAlign w:val="center"/>
          </w:tcPr>
          <w:p>
            <w:pPr>
              <w:spacing w:line="400" w:lineRule="exact"/>
              <w:jc w:val="center"/>
              <w:rPr>
                <w:color w:val="000000"/>
                <w:szCs w:val="21"/>
              </w:rPr>
            </w:pPr>
            <w:r>
              <w:rPr>
                <w:color w:val="000000"/>
                <w:szCs w:val="21"/>
              </w:rPr>
              <w:t xml:space="preserve">0.9893 </w:t>
            </w:r>
          </w:p>
        </w:tc>
        <w:tc>
          <w:tcPr>
            <w:tcW w:w="1253" w:type="dxa"/>
            <w:vAlign w:val="center"/>
          </w:tcPr>
          <w:p>
            <w:pPr>
              <w:spacing w:line="400" w:lineRule="exact"/>
              <w:jc w:val="center"/>
              <w:rPr>
                <w:color w:val="000000"/>
                <w:szCs w:val="21"/>
              </w:rPr>
            </w:pPr>
            <w:r>
              <w:rPr>
                <w:color w:val="000000"/>
                <w:szCs w:val="21"/>
              </w:rPr>
              <w:t xml:space="preserve">0.9931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使用年期</w:t>
            </w:r>
          </w:p>
        </w:tc>
        <w:tc>
          <w:tcPr>
            <w:tcW w:w="1252" w:type="dxa"/>
            <w:vAlign w:val="center"/>
          </w:tcPr>
          <w:p>
            <w:pPr>
              <w:spacing w:line="400" w:lineRule="exact"/>
              <w:jc w:val="center"/>
              <w:rPr>
                <w:color w:val="000000"/>
                <w:szCs w:val="21"/>
              </w:rPr>
            </w:pPr>
            <w:r>
              <w:rPr>
                <w:color w:val="000000"/>
                <w:szCs w:val="21"/>
              </w:rPr>
              <w:t>49</w:t>
            </w:r>
          </w:p>
        </w:tc>
        <w:tc>
          <w:tcPr>
            <w:tcW w:w="1253" w:type="dxa"/>
            <w:vAlign w:val="center"/>
          </w:tcPr>
          <w:p>
            <w:pPr>
              <w:spacing w:line="400" w:lineRule="exact"/>
              <w:jc w:val="center"/>
              <w:rPr>
                <w:color w:val="000000"/>
                <w:szCs w:val="21"/>
              </w:rPr>
            </w:pPr>
            <w:r>
              <w:rPr>
                <w:color w:val="000000"/>
                <w:szCs w:val="21"/>
              </w:rPr>
              <w:t>50</w:t>
            </w:r>
          </w:p>
        </w:tc>
        <w:tc>
          <w:tcPr>
            <w:tcW w:w="1253" w:type="dxa"/>
            <w:vAlign w:val="center"/>
          </w:tcPr>
          <w:p>
            <w:pPr>
              <w:spacing w:line="400" w:lineRule="exact"/>
              <w:jc w:val="center"/>
              <w:rPr>
                <w:color w:val="000000"/>
                <w:szCs w:val="21"/>
              </w:rPr>
            </w:pPr>
          </w:p>
        </w:tc>
        <w:tc>
          <w:tcPr>
            <w:tcW w:w="1252" w:type="dxa"/>
            <w:vAlign w:val="center"/>
          </w:tcPr>
          <w:p>
            <w:pPr>
              <w:spacing w:line="400" w:lineRule="exact"/>
              <w:jc w:val="center"/>
              <w:rPr>
                <w:color w:val="000000"/>
                <w:szCs w:val="21"/>
              </w:rPr>
            </w:pPr>
          </w:p>
        </w:tc>
        <w:tc>
          <w:tcPr>
            <w:tcW w:w="1253" w:type="dxa"/>
            <w:vAlign w:val="center"/>
          </w:tcPr>
          <w:p>
            <w:pPr>
              <w:spacing w:line="400" w:lineRule="exact"/>
              <w:jc w:val="center"/>
              <w:rPr>
                <w:color w:val="000000"/>
                <w:szCs w:val="21"/>
              </w:rPr>
            </w:pPr>
          </w:p>
        </w:tc>
        <w:tc>
          <w:tcPr>
            <w:tcW w:w="1253" w:type="dxa"/>
            <w:vAlign w:val="center"/>
          </w:tcPr>
          <w:p>
            <w:pPr>
              <w:spacing w:line="40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00" w:type="dxa"/>
            <w:vAlign w:val="center"/>
          </w:tcPr>
          <w:p>
            <w:pPr>
              <w:spacing w:line="400" w:lineRule="exact"/>
              <w:jc w:val="center"/>
            </w:pPr>
            <w:r>
              <w:t>修正系数</w:t>
            </w:r>
          </w:p>
        </w:tc>
        <w:tc>
          <w:tcPr>
            <w:tcW w:w="1252" w:type="dxa"/>
            <w:vAlign w:val="center"/>
          </w:tcPr>
          <w:p>
            <w:pPr>
              <w:spacing w:line="400" w:lineRule="exact"/>
              <w:jc w:val="center"/>
              <w:rPr>
                <w:color w:val="000000"/>
                <w:szCs w:val="21"/>
              </w:rPr>
            </w:pPr>
            <w:r>
              <w:rPr>
                <w:color w:val="000000"/>
                <w:szCs w:val="21"/>
              </w:rPr>
              <w:t xml:space="preserve">0.9966 </w:t>
            </w:r>
          </w:p>
        </w:tc>
        <w:tc>
          <w:tcPr>
            <w:tcW w:w="1253" w:type="dxa"/>
            <w:vAlign w:val="center"/>
          </w:tcPr>
          <w:p>
            <w:pPr>
              <w:spacing w:line="400" w:lineRule="exact"/>
              <w:jc w:val="center"/>
              <w:rPr>
                <w:color w:val="000000"/>
                <w:szCs w:val="21"/>
              </w:rPr>
            </w:pPr>
            <w:r>
              <w:rPr>
                <w:color w:val="000000"/>
                <w:szCs w:val="21"/>
              </w:rPr>
              <w:t xml:space="preserve">1.0000 </w:t>
            </w:r>
          </w:p>
        </w:tc>
        <w:tc>
          <w:tcPr>
            <w:tcW w:w="1253" w:type="dxa"/>
            <w:vAlign w:val="center"/>
          </w:tcPr>
          <w:p>
            <w:pPr>
              <w:spacing w:line="400" w:lineRule="exact"/>
              <w:jc w:val="center"/>
              <w:rPr>
                <w:color w:val="000000"/>
                <w:szCs w:val="21"/>
              </w:rPr>
            </w:pPr>
          </w:p>
        </w:tc>
        <w:tc>
          <w:tcPr>
            <w:tcW w:w="1252" w:type="dxa"/>
            <w:vAlign w:val="center"/>
          </w:tcPr>
          <w:p>
            <w:pPr>
              <w:spacing w:line="400" w:lineRule="exact"/>
              <w:jc w:val="center"/>
              <w:rPr>
                <w:color w:val="000000"/>
                <w:szCs w:val="21"/>
              </w:rPr>
            </w:pPr>
          </w:p>
        </w:tc>
        <w:tc>
          <w:tcPr>
            <w:tcW w:w="1253" w:type="dxa"/>
            <w:vAlign w:val="center"/>
          </w:tcPr>
          <w:p>
            <w:pPr>
              <w:spacing w:line="400" w:lineRule="exact"/>
              <w:jc w:val="center"/>
              <w:rPr>
                <w:color w:val="000000"/>
                <w:szCs w:val="21"/>
              </w:rPr>
            </w:pPr>
          </w:p>
        </w:tc>
        <w:tc>
          <w:tcPr>
            <w:tcW w:w="1253" w:type="dxa"/>
            <w:vAlign w:val="center"/>
          </w:tcPr>
          <w:p>
            <w:pPr>
              <w:spacing w:line="400" w:lineRule="exact"/>
              <w:jc w:val="center"/>
              <w:rPr>
                <w:color w:val="000000"/>
                <w:szCs w:val="21"/>
              </w:rPr>
            </w:pPr>
          </w:p>
        </w:tc>
      </w:tr>
    </w:tbl>
    <w:p>
      <w:pPr>
        <w:tabs>
          <w:tab w:val="right" w:pos="9298"/>
        </w:tabs>
        <w:ind w:firstLine="360" w:firstLineChars="200"/>
        <w:rPr>
          <w:sz w:val="18"/>
          <w:szCs w:val="18"/>
        </w:rPr>
      </w:pPr>
      <w:r>
        <w:rPr>
          <w:sz w:val="18"/>
          <w:szCs w:val="18"/>
        </w:rPr>
        <w:t>备注：本表为基于基准日</w:t>
      </w:r>
      <w:r>
        <w:rPr>
          <w:rFonts w:hint="eastAsia"/>
          <w:sz w:val="18"/>
          <w:szCs w:val="18"/>
          <w:lang w:eastAsia="zh-CN"/>
        </w:rPr>
        <w:t>2018年3月1</w:t>
      </w:r>
      <w:r>
        <w:rPr>
          <w:sz w:val="18"/>
          <w:szCs w:val="18"/>
        </w:rPr>
        <w:t>日时确定的还原利率来测算的，在宗地评估中，可根据实际测算的还原利率动态调整。</w:t>
      </w:r>
    </w:p>
    <w:p>
      <w:pPr>
        <w:tabs>
          <w:tab w:val="right" w:pos="9298"/>
        </w:tabs>
        <w:adjustRightInd w:val="0"/>
        <w:snapToGrid w:val="0"/>
        <w:spacing w:line="360" w:lineRule="auto"/>
        <w:ind w:firstLine="480" w:firstLineChars="200"/>
        <w:rPr>
          <w:sz w:val="24"/>
        </w:rPr>
      </w:pPr>
      <w:r>
        <w:rPr>
          <w:sz w:val="24"/>
        </w:rPr>
        <w:t>（二）交易期日修正(Kt)</w:t>
      </w:r>
    </w:p>
    <w:p>
      <w:pPr>
        <w:adjustRightInd w:val="0"/>
        <w:snapToGrid w:val="0"/>
        <w:spacing w:line="360" w:lineRule="auto"/>
        <w:ind w:firstLine="480" w:firstLineChars="200"/>
        <w:rPr>
          <w:sz w:val="24"/>
        </w:rPr>
      </w:pPr>
      <w:r>
        <w:rPr>
          <w:sz w:val="24"/>
        </w:rPr>
        <w:t>待估宗地的基准日与基准地价的基准期日如不相同,则需根据地价的实际变化程度进行期日修正。期日修正系数K</w:t>
      </w:r>
      <w:r>
        <w:rPr>
          <w:sz w:val="24"/>
          <w:vertAlign w:val="subscript"/>
        </w:rPr>
        <w:t>t</w:t>
      </w:r>
      <w:r>
        <w:rPr>
          <w:sz w:val="24"/>
        </w:rPr>
        <w:t>与P</w:t>
      </w:r>
      <w:r>
        <w:rPr>
          <w:sz w:val="24"/>
          <w:vertAlign w:val="subscript"/>
        </w:rPr>
        <w:t>i</w:t>
      </w:r>
      <w:r>
        <w:rPr>
          <w:sz w:val="24"/>
        </w:rPr>
        <w:t>、P</w:t>
      </w:r>
      <w:r>
        <w:rPr>
          <w:sz w:val="24"/>
          <w:vertAlign w:val="subscript"/>
        </w:rPr>
        <w:t>o</w:t>
      </w:r>
      <w:r>
        <w:rPr>
          <w:sz w:val="24"/>
        </w:rPr>
        <w:t>关系如下式：</w:t>
      </w:r>
    </w:p>
    <w:p>
      <w:pPr>
        <w:adjustRightInd w:val="0"/>
        <w:snapToGrid w:val="0"/>
        <w:spacing w:line="360" w:lineRule="auto"/>
        <w:ind w:firstLine="480" w:firstLineChars="200"/>
        <w:jc w:val="center"/>
        <w:rPr>
          <w:sz w:val="24"/>
        </w:rPr>
      </w:pPr>
      <w:r>
        <w:rPr>
          <w:sz w:val="24"/>
        </w:rPr>
        <w:t>K</w:t>
      </w:r>
      <w:r>
        <w:rPr>
          <w:sz w:val="24"/>
          <w:vertAlign w:val="subscript"/>
        </w:rPr>
        <w:t>t</w:t>
      </w:r>
      <w:r>
        <w:rPr>
          <w:sz w:val="24"/>
        </w:rPr>
        <w:t>=Pi/Po</w:t>
      </w:r>
    </w:p>
    <w:p>
      <w:pPr>
        <w:adjustRightInd w:val="0"/>
        <w:snapToGrid w:val="0"/>
        <w:spacing w:line="360" w:lineRule="auto"/>
        <w:ind w:firstLine="480" w:firstLineChars="200"/>
        <w:rPr>
          <w:sz w:val="24"/>
        </w:rPr>
      </w:pPr>
      <w:r>
        <w:rPr>
          <w:sz w:val="24"/>
        </w:rPr>
        <w:t>式中：K</w:t>
      </w:r>
      <w:r>
        <w:rPr>
          <w:sz w:val="24"/>
          <w:vertAlign w:val="subscript"/>
        </w:rPr>
        <w:t>t</w:t>
      </w:r>
      <w:r>
        <w:rPr>
          <w:sz w:val="24"/>
        </w:rPr>
        <w:t>------将基准地价评估期日修正到待估宗地评估期日的系数</w:t>
      </w:r>
    </w:p>
    <w:p>
      <w:pPr>
        <w:adjustRightInd w:val="0"/>
        <w:snapToGrid w:val="0"/>
        <w:spacing w:line="360" w:lineRule="auto"/>
        <w:ind w:firstLine="480" w:firstLineChars="200"/>
        <w:rPr>
          <w:sz w:val="24"/>
        </w:rPr>
      </w:pPr>
      <w:r>
        <w:rPr>
          <w:sz w:val="24"/>
        </w:rPr>
        <w:t>P</w:t>
      </w:r>
      <w:r>
        <w:rPr>
          <w:sz w:val="24"/>
          <w:vertAlign w:val="subscript"/>
        </w:rPr>
        <w:t>i</w:t>
      </w:r>
      <w:r>
        <w:rPr>
          <w:sz w:val="24"/>
        </w:rPr>
        <w:t>------待估宗地所在土地级别评估期日的地价</w:t>
      </w:r>
    </w:p>
    <w:p>
      <w:pPr>
        <w:adjustRightInd w:val="0"/>
        <w:snapToGrid w:val="0"/>
        <w:spacing w:line="360" w:lineRule="auto"/>
        <w:ind w:firstLine="480" w:firstLineChars="200"/>
        <w:rPr>
          <w:sz w:val="24"/>
        </w:rPr>
      </w:pPr>
      <w:r>
        <w:rPr>
          <w:sz w:val="24"/>
        </w:rPr>
        <w:t>P</w:t>
      </w:r>
      <w:r>
        <w:rPr>
          <w:sz w:val="24"/>
          <w:vertAlign w:val="subscript"/>
        </w:rPr>
        <w:t>o</w:t>
      </w:r>
      <w:r>
        <w:rPr>
          <w:sz w:val="24"/>
        </w:rPr>
        <w:t>------基准地价评估期日待估宗地所在土地级别的土地交易平均价格</w:t>
      </w:r>
    </w:p>
    <w:p>
      <w:pPr>
        <w:tabs>
          <w:tab w:val="right" w:pos="9298"/>
        </w:tabs>
        <w:adjustRightInd w:val="0"/>
        <w:snapToGrid w:val="0"/>
        <w:spacing w:line="360" w:lineRule="auto"/>
        <w:ind w:firstLine="480" w:firstLineChars="200"/>
        <w:rPr>
          <w:sz w:val="24"/>
        </w:rPr>
      </w:pPr>
      <w:r>
        <w:rPr>
          <w:sz w:val="24"/>
        </w:rPr>
        <w:t>（三）容积率修正（Kv）</w:t>
      </w:r>
    </w:p>
    <w:p>
      <w:pPr>
        <w:pStyle w:val="131"/>
        <w:spacing w:beforeLines="50" w:afterLines="50"/>
        <w:ind w:firstLine="0" w:firstLineChars="0"/>
        <w:rPr>
          <w:rFonts w:ascii="Times New Roman" w:hAnsi="Times New Roman"/>
          <w:sz w:val="24"/>
        </w:rPr>
      </w:pPr>
      <w:r>
        <w:rPr>
          <w:rFonts w:ascii="Times New Roman" w:hAnsi="Times New Roman"/>
          <w:sz w:val="24"/>
        </w:rPr>
        <w:br w:type="page"/>
      </w:r>
      <w:r>
        <w:rPr>
          <w:rFonts w:ascii="Times New Roman" w:hAnsi="Times New Roman"/>
          <w:sz w:val="24"/>
        </w:rPr>
        <w:t>表4-6-</w:t>
      </w:r>
      <w:r>
        <w:rPr>
          <w:rFonts w:hint="eastAsia" w:ascii="Times New Roman" w:hAnsi="Times New Roman"/>
          <w:sz w:val="24"/>
        </w:rPr>
        <w:t>21</w:t>
      </w:r>
      <w:r>
        <w:rPr>
          <w:rFonts w:ascii="Times New Roman" w:hAnsi="Times New Roman"/>
          <w:sz w:val="24"/>
        </w:rPr>
        <w:t xml:space="preserve">  长沙县公共管理与公共服务</w:t>
      </w:r>
      <w:r>
        <w:rPr>
          <w:rFonts w:hint="eastAsia" w:ascii="Times New Roman" w:hAnsi="Times New Roman"/>
          <w:sz w:val="24"/>
        </w:rPr>
        <w:t>项目</w:t>
      </w:r>
      <w:r>
        <w:rPr>
          <w:rFonts w:ascii="Times New Roman" w:hAnsi="Times New Roman"/>
          <w:sz w:val="24"/>
        </w:rPr>
        <w:t>一类用地容积率修正系数表</w:t>
      </w:r>
    </w:p>
    <w:tbl>
      <w:tblPr>
        <w:tblW w:w="8838" w:type="dxa"/>
        <w:jc w:val="center"/>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824"/>
        <w:gridCol w:w="756"/>
        <w:gridCol w:w="757"/>
        <w:gridCol w:w="757"/>
        <w:gridCol w:w="757"/>
        <w:gridCol w:w="757"/>
        <w:gridCol w:w="757"/>
        <w:gridCol w:w="757"/>
        <w:gridCol w:w="757"/>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56" w:type="dxa"/>
            <w:vAlign w:val="center"/>
          </w:tcPr>
          <w:p>
            <w:pPr>
              <w:widowControl/>
              <w:spacing w:line="360" w:lineRule="auto"/>
              <w:jc w:val="center"/>
              <w:rPr>
                <w:color w:val="000000"/>
                <w:kern w:val="0"/>
                <w:szCs w:val="21"/>
              </w:rPr>
            </w:pPr>
            <w:r>
              <w:rPr>
                <w:color w:val="000000"/>
                <w:kern w:val="0"/>
                <w:szCs w:val="21"/>
              </w:rPr>
              <w:t>容积率</w:t>
            </w:r>
          </w:p>
        </w:tc>
        <w:tc>
          <w:tcPr>
            <w:tcW w:w="824" w:type="dxa"/>
            <w:vAlign w:val="center"/>
          </w:tcPr>
          <w:p>
            <w:pPr>
              <w:spacing w:line="360" w:lineRule="auto"/>
              <w:jc w:val="center"/>
              <w:rPr>
                <w:color w:val="000000"/>
                <w:szCs w:val="21"/>
              </w:rPr>
            </w:pPr>
            <w:r>
              <w:rPr>
                <w:color w:val="000000"/>
                <w:szCs w:val="21"/>
              </w:rPr>
              <w:t>0.5</w:t>
            </w:r>
          </w:p>
        </w:tc>
        <w:tc>
          <w:tcPr>
            <w:tcW w:w="756" w:type="dxa"/>
            <w:vAlign w:val="center"/>
          </w:tcPr>
          <w:p>
            <w:pPr>
              <w:spacing w:line="360" w:lineRule="auto"/>
              <w:jc w:val="center"/>
              <w:rPr>
                <w:color w:val="000000"/>
                <w:szCs w:val="21"/>
              </w:rPr>
            </w:pPr>
            <w:r>
              <w:rPr>
                <w:color w:val="000000"/>
                <w:szCs w:val="21"/>
              </w:rPr>
              <w:t>0.6</w:t>
            </w:r>
          </w:p>
        </w:tc>
        <w:tc>
          <w:tcPr>
            <w:tcW w:w="757" w:type="dxa"/>
            <w:vAlign w:val="center"/>
          </w:tcPr>
          <w:p>
            <w:pPr>
              <w:spacing w:line="360" w:lineRule="auto"/>
              <w:jc w:val="center"/>
              <w:rPr>
                <w:color w:val="000000"/>
                <w:szCs w:val="21"/>
              </w:rPr>
            </w:pPr>
            <w:r>
              <w:rPr>
                <w:color w:val="000000"/>
                <w:szCs w:val="21"/>
              </w:rPr>
              <w:t>0.7</w:t>
            </w:r>
          </w:p>
        </w:tc>
        <w:tc>
          <w:tcPr>
            <w:tcW w:w="757" w:type="dxa"/>
            <w:vAlign w:val="center"/>
          </w:tcPr>
          <w:p>
            <w:pPr>
              <w:spacing w:line="360" w:lineRule="auto"/>
              <w:jc w:val="center"/>
              <w:rPr>
                <w:color w:val="000000"/>
                <w:szCs w:val="21"/>
              </w:rPr>
            </w:pPr>
            <w:r>
              <w:rPr>
                <w:color w:val="000000"/>
                <w:szCs w:val="21"/>
              </w:rPr>
              <w:t>0.8</w:t>
            </w:r>
          </w:p>
        </w:tc>
        <w:tc>
          <w:tcPr>
            <w:tcW w:w="757" w:type="dxa"/>
            <w:vAlign w:val="center"/>
          </w:tcPr>
          <w:p>
            <w:pPr>
              <w:spacing w:line="360" w:lineRule="auto"/>
              <w:jc w:val="center"/>
              <w:rPr>
                <w:color w:val="000000"/>
                <w:szCs w:val="21"/>
              </w:rPr>
            </w:pPr>
            <w:r>
              <w:rPr>
                <w:color w:val="000000"/>
                <w:szCs w:val="21"/>
              </w:rPr>
              <w:t>0.9</w:t>
            </w:r>
          </w:p>
        </w:tc>
        <w:tc>
          <w:tcPr>
            <w:tcW w:w="757" w:type="dxa"/>
            <w:vAlign w:val="center"/>
          </w:tcPr>
          <w:p>
            <w:pPr>
              <w:spacing w:line="360" w:lineRule="auto"/>
              <w:jc w:val="center"/>
              <w:rPr>
                <w:color w:val="000000"/>
                <w:szCs w:val="21"/>
              </w:rPr>
            </w:pPr>
            <w:r>
              <w:rPr>
                <w:color w:val="000000"/>
                <w:szCs w:val="21"/>
              </w:rPr>
              <w:t>1</w:t>
            </w:r>
          </w:p>
        </w:tc>
        <w:tc>
          <w:tcPr>
            <w:tcW w:w="757" w:type="dxa"/>
            <w:vAlign w:val="center"/>
          </w:tcPr>
          <w:p>
            <w:pPr>
              <w:spacing w:line="360" w:lineRule="auto"/>
              <w:jc w:val="center"/>
              <w:rPr>
                <w:color w:val="000000"/>
                <w:szCs w:val="21"/>
              </w:rPr>
            </w:pPr>
            <w:r>
              <w:rPr>
                <w:color w:val="000000"/>
                <w:szCs w:val="21"/>
              </w:rPr>
              <w:t>1.1</w:t>
            </w:r>
          </w:p>
        </w:tc>
        <w:tc>
          <w:tcPr>
            <w:tcW w:w="757" w:type="dxa"/>
            <w:vAlign w:val="center"/>
          </w:tcPr>
          <w:p>
            <w:pPr>
              <w:spacing w:line="360" w:lineRule="auto"/>
              <w:jc w:val="center"/>
              <w:rPr>
                <w:color w:val="000000"/>
                <w:szCs w:val="21"/>
              </w:rPr>
            </w:pPr>
            <w:r>
              <w:rPr>
                <w:color w:val="000000"/>
                <w:szCs w:val="21"/>
              </w:rPr>
              <w:t>1.2</w:t>
            </w:r>
          </w:p>
        </w:tc>
        <w:tc>
          <w:tcPr>
            <w:tcW w:w="757" w:type="dxa"/>
            <w:vAlign w:val="center"/>
          </w:tcPr>
          <w:p>
            <w:pPr>
              <w:spacing w:line="360" w:lineRule="auto"/>
              <w:jc w:val="center"/>
              <w:rPr>
                <w:color w:val="000000"/>
                <w:szCs w:val="21"/>
              </w:rPr>
            </w:pPr>
            <w:r>
              <w:rPr>
                <w:color w:val="000000"/>
                <w:szCs w:val="21"/>
              </w:rPr>
              <w:t>1.3</w:t>
            </w:r>
          </w:p>
        </w:tc>
        <w:tc>
          <w:tcPr>
            <w:tcW w:w="903" w:type="dxa"/>
            <w:vAlign w:val="center"/>
          </w:tcPr>
          <w:p>
            <w:pPr>
              <w:spacing w:line="360" w:lineRule="auto"/>
              <w:jc w:val="center"/>
              <w:rPr>
                <w:color w:val="000000"/>
                <w:szCs w:val="21"/>
              </w:rPr>
            </w:pPr>
            <w:r>
              <w:rPr>
                <w:color w:val="00000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56" w:type="dxa"/>
            <w:vAlign w:val="center"/>
          </w:tcPr>
          <w:p>
            <w:pPr>
              <w:widowControl/>
              <w:spacing w:line="360" w:lineRule="auto"/>
              <w:jc w:val="center"/>
              <w:rPr>
                <w:color w:val="000000"/>
                <w:kern w:val="0"/>
                <w:szCs w:val="21"/>
              </w:rPr>
            </w:pPr>
            <w:r>
              <w:rPr>
                <w:color w:val="000000"/>
                <w:kern w:val="0"/>
                <w:szCs w:val="21"/>
              </w:rPr>
              <w:t>比值</w:t>
            </w:r>
          </w:p>
        </w:tc>
        <w:tc>
          <w:tcPr>
            <w:tcW w:w="824" w:type="dxa"/>
            <w:vAlign w:val="center"/>
          </w:tcPr>
          <w:p>
            <w:pPr>
              <w:spacing w:line="360" w:lineRule="auto"/>
              <w:jc w:val="center"/>
              <w:rPr>
                <w:color w:val="000000"/>
                <w:szCs w:val="21"/>
              </w:rPr>
            </w:pPr>
            <w:r>
              <w:rPr>
                <w:color w:val="000000"/>
                <w:szCs w:val="21"/>
              </w:rPr>
              <w:t xml:space="preserve">0.545 </w:t>
            </w:r>
          </w:p>
        </w:tc>
        <w:tc>
          <w:tcPr>
            <w:tcW w:w="756" w:type="dxa"/>
            <w:vAlign w:val="center"/>
          </w:tcPr>
          <w:p>
            <w:pPr>
              <w:spacing w:line="360" w:lineRule="auto"/>
              <w:jc w:val="center"/>
              <w:rPr>
                <w:color w:val="000000"/>
                <w:szCs w:val="21"/>
              </w:rPr>
            </w:pPr>
            <w:r>
              <w:rPr>
                <w:color w:val="000000"/>
                <w:szCs w:val="21"/>
              </w:rPr>
              <w:t xml:space="preserve">0.594 </w:t>
            </w:r>
          </w:p>
        </w:tc>
        <w:tc>
          <w:tcPr>
            <w:tcW w:w="757" w:type="dxa"/>
            <w:vAlign w:val="center"/>
          </w:tcPr>
          <w:p>
            <w:pPr>
              <w:spacing w:line="360" w:lineRule="auto"/>
              <w:jc w:val="center"/>
              <w:rPr>
                <w:color w:val="000000"/>
                <w:szCs w:val="21"/>
              </w:rPr>
            </w:pPr>
            <w:r>
              <w:rPr>
                <w:color w:val="000000"/>
                <w:szCs w:val="21"/>
              </w:rPr>
              <w:t xml:space="preserve">0.641 </w:t>
            </w:r>
          </w:p>
        </w:tc>
        <w:tc>
          <w:tcPr>
            <w:tcW w:w="757" w:type="dxa"/>
            <w:vAlign w:val="center"/>
          </w:tcPr>
          <w:p>
            <w:pPr>
              <w:spacing w:line="360" w:lineRule="auto"/>
              <w:jc w:val="center"/>
              <w:rPr>
                <w:color w:val="000000"/>
                <w:szCs w:val="21"/>
              </w:rPr>
            </w:pPr>
            <w:r>
              <w:rPr>
                <w:color w:val="000000"/>
                <w:szCs w:val="21"/>
              </w:rPr>
              <w:t xml:space="preserve">0.687 </w:t>
            </w:r>
          </w:p>
        </w:tc>
        <w:tc>
          <w:tcPr>
            <w:tcW w:w="757" w:type="dxa"/>
            <w:vAlign w:val="center"/>
          </w:tcPr>
          <w:p>
            <w:pPr>
              <w:spacing w:line="360" w:lineRule="auto"/>
              <w:jc w:val="center"/>
              <w:rPr>
                <w:color w:val="000000"/>
                <w:szCs w:val="21"/>
              </w:rPr>
            </w:pPr>
            <w:r>
              <w:rPr>
                <w:color w:val="000000"/>
                <w:szCs w:val="21"/>
              </w:rPr>
              <w:t xml:space="preserve">0.731 </w:t>
            </w:r>
          </w:p>
        </w:tc>
        <w:tc>
          <w:tcPr>
            <w:tcW w:w="757" w:type="dxa"/>
            <w:vAlign w:val="center"/>
          </w:tcPr>
          <w:p>
            <w:pPr>
              <w:spacing w:line="360" w:lineRule="auto"/>
              <w:jc w:val="center"/>
              <w:rPr>
                <w:color w:val="000000"/>
                <w:szCs w:val="21"/>
              </w:rPr>
            </w:pPr>
            <w:r>
              <w:rPr>
                <w:color w:val="000000"/>
                <w:szCs w:val="21"/>
              </w:rPr>
              <w:t xml:space="preserve">0.773 </w:t>
            </w:r>
          </w:p>
        </w:tc>
        <w:tc>
          <w:tcPr>
            <w:tcW w:w="757" w:type="dxa"/>
            <w:vAlign w:val="center"/>
          </w:tcPr>
          <w:p>
            <w:pPr>
              <w:spacing w:line="360" w:lineRule="auto"/>
              <w:jc w:val="center"/>
              <w:rPr>
                <w:color w:val="000000"/>
                <w:szCs w:val="21"/>
              </w:rPr>
            </w:pPr>
            <w:r>
              <w:rPr>
                <w:color w:val="000000"/>
                <w:szCs w:val="21"/>
              </w:rPr>
              <w:t xml:space="preserve">0.814 </w:t>
            </w:r>
          </w:p>
        </w:tc>
        <w:tc>
          <w:tcPr>
            <w:tcW w:w="757" w:type="dxa"/>
            <w:vAlign w:val="center"/>
          </w:tcPr>
          <w:p>
            <w:pPr>
              <w:spacing w:line="360" w:lineRule="auto"/>
              <w:jc w:val="center"/>
              <w:rPr>
                <w:color w:val="000000"/>
                <w:szCs w:val="21"/>
              </w:rPr>
            </w:pPr>
            <w:r>
              <w:rPr>
                <w:color w:val="000000"/>
                <w:szCs w:val="21"/>
              </w:rPr>
              <w:t xml:space="preserve">0.854 </w:t>
            </w:r>
          </w:p>
        </w:tc>
        <w:tc>
          <w:tcPr>
            <w:tcW w:w="757" w:type="dxa"/>
            <w:vAlign w:val="center"/>
          </w:tcPr>
          <w:p>
            <w:pPr>
              <w:spacing w:line="360" w:lineRule="auto"/>
              <w:jc w:val="center"/>
              <w:rPr>
                <w:color w:val="000000"/>
                <w:szCs w:val="21"/>
              </w:rPr>
            </w:pPr>
            <w:r>
              <w:rPr>
                <w:color w:val="000000"/>
                <w:szCs w:val="21"/>
              </w:rPr>
              <w:t xml:space="preserve">0.892 </w:t>
            </w:r>
          </w:p>
        </w:tc>
        <w:tc>
          <w:tcPr>
            <w:tcW w:w="903" w:type="dxa"/>
            <w:vAlign w:val="center"/>
          </w:tcPr>
          <w:p>
            <w:pPr>
              <w:spacing w:line="360" w:lineRule="auto"/>
              <w:jc w:val="center"/>
              <w:rPr>
                <w:color w:val="000000"/>
                <w:szCs w:val="21"/>
              </w:rPr>
            </w:pPr>
            <w:r>
              <w:rPr>
                <w:color w:val="000000"/>
                <w:szCs w:val="21"/>
              </w:rPr>
              <w:t xml:space="preserve">0.929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56" w:type="dxa"/>
            <w:vAlign w:val="center"/>
          </w:tcPr>
          <w:p>
            <w:pPr>
              <w:widowControl/>
              <w:spacing w:line="360" w:lineRule="auto"/>
              <w:jc w:val="center"/>
              <w:rPr>
                <w:color w:val="000000"/>
                <w:kern w:val="0"/>
                <w:szCs w:val="21"/>
              </w:rPr>
            </w:pPr>
            <w:r>
              <w:rPr>
                <w:color w:val="000000"/>
                <w:kern w:val="0"/>
                <w:szCs w:val="21"/>
              </w:rPr>
              <w:t>容积率</w:t>
            </w:r>
          </w:p>
        </w:tc>
        <w:tc>
          <w:tcPr>
            <w:tcW w:w="824" w:type="dxa"/>
            <w:vAlign w:val="center"/>
          </w:tcPr>
          <w:p>
            <w:pPr>
              <w:spacing w:line="360" w:lineRule="auto"/>
              <w:jc w:val="center"/>
              <w:rPr>
                <w:color w:val="000000"/>
                <w:szCs w:val="21"/>
              </w:rPr>
            </w:pPr>
            <w:r>
              <w:rPr>
                <w:color w:val="000000"/>
                <w:szCs w:val="21"/>
              </w:rPr>
              <w:t>1.5</w:t>
            </w:r>
          </w:p>
        </w:tc>
        <w:tc>
          <w:tcPr>
            <w:tcW w:w="756" w:type="dxa"/>
            <w:vAlign w:val="center"/>
          </w:tcPr>
          <w:p>
            <w:pPr>
              <w:spacing w:line="360" w:lineRule="auto"/>
              <w:jc w:val="center"/>
              <w:rPr>
                <w:color w:val="000000"/>
                <w:szCs w:val="21"/>
              </w:rPr>
            </w:pPr>
            <w:r>
              <w:rPr>
                <w:color w:val="000000"/>
                <w:szCs w:val="21"/>
              </w:rPr>
              <w:t>1.6</w:t>
            </w:r>
          </w:p>
        </w:tc>
        <w:tc>
          <w:tcPr>
            <w:tcW w:w="757" w:type="dxa"/>
            <w:vAlign w:val="center"/>
          </w:tcPr>
          <w:p>
            <w:pPr>
              <w:spacing w:line="360" w:lineRule="auto"/>
              <w:jc w:val="center"/>
              <w:rPr>
                <w:color w:val="000000"/>
                <w:szCs w:val="21"/>
              </w:rPr>
            </w:pPr>
            <w:r>
              <w:rPr>
                <w:color w:val="000000"/>
                <w:szCs w:val="21"/>
              </w:rPr>
              <w:t>1.7</w:t>
            </w:r>
          </w:p>
        </w:tc>
        <w:tc>
          <w:tcPr>
            <w:tcW w:w="757" w:type="dxa"/>
            <w:vAlign w:val="center"/>
          </w:tcPr>
          <w:p>
            <w:pPr>
              <w:spacing w:line="360" w:lineRule="auto"/>
              <w:jc w:val="center"/>
              <w:rPr>
                <w:color w:val="000000"/>
                <w:szCs w:val="21"/>
              </w:rPr>
            </w:pPr>
            <w:r>
              <w:rPr>
                <w:color w:val="000000"/>
                <w:szCs w:val="21"/>
              </w:rPr>
              <w:t>1.8</w:t>
            </w:r>
          </w:p>
        </w:tc>
        <w:tc>
          <w:tcPr>
            <w:tcW w:w="757" w:type="dxa"/>
            <w:vAlign w:val="center"/>
          </w:tcPr>
          <w:p>
            <w:pPr>
              <w:spacing w:line="360" w:lineRule="auto"/>
              <w:jc w:val="center"/>
              <w:rPr>
                <w:color w:val="000000"/>
                <w:szCs w:val="21"/>
              </w:rPr>
            </w:pPr>
            <w:r>
              <w:rPr>
                <w:color w:val="000000"/>
                <w:szCs w:val="21"/>
              </w:rPr>
              <w:t>1.9</w:t>
            </w:r>
          </w:p>
        </w:tc>
        <w:tc>
          <w:tcPr>
            <w:tcW w:w="757" w:type="dxa"/>
            <w:vAlign w:val="center"/>
          </w:tcPr>
          <w:p>
            <w:pPr>
              <w:spacing w:line="360" w:lineRule="auto"/>
              <w:jc w:val="center"/>
              <w:rPr>
                <w:color w:val="000000"/>
                <w:szCs w:val="21"/>
              </w:rPr>
            </w:pPr>
            <w:r>
              <w:rPr>
                <w:color w:val="000000"/>
                <w:szCs w:val="21"/>
              </w:rPr>
              <w:t>2</w:t>
            </w:r>
          </w:p>
        </w:tc>
        <w:tc>
          <w:tcPr>
            <w:tcW w:w="757" w:type="dxa"/>
            <w:vAlign w:val="center"/>
          </w:tcPr>
          <w:p>
            <w:pPr>
              <w:spacing w:line="360" w:lineRule="auto"/>
              <w:jc w:val="center"/>
              <w:rPr>
                <w:color w:val="000000"/>
                <w:szCs w:val="21"/>
              </w:rPr>
            </w:pPr>
            <w:r>
              <w:rPr>
                <w:color w:val="000000"/>
                <w:szCs w:val="21"/>
              </w:rPr>
              <w:t>2.1</w:t>
            </w:r>
          </w:p>
        </w:tc>
        <w:tc>
          <w:tcPr>
            <w:tcW w:w="757" w:type="dxa"/>
            <w:vAlign w:val="center"/>
          </w:tcPr>
          <w:p>
            <w:pPr>
              <w:spacing w:line="360" w:lineRule="auto"/>
              <w:jc w:val="center"/>
              <w:rPr>
                <w:color w:val="000000"/>
                <w:szCs w:val="21"/>
              </w:rPr>
            </w:pPr>
            <w:r>
              <w:rPr>
                <w:color w:val="000000"/>
                <w:szCs w:val="21"/>
              </w:rPr>
              <w:t>2.2</w:t>
            </w:r>
          </w:p>
        </w:tc>
        <w:tc>
          <w:tcPr>
            <w:tcW w:w="757" w:type="dxa"/>
            <w:vAlign w:val="center"/>
          </w:tcPr>
          <w:p>
            <w:pPr>
              <w:spacing w:line="360" w:lineRule="auto"/>
              <w:jc w:val="center"/>
              <w:rPr>
                <w:color w:val="000000"/>
                <w:szCs w:val="21"/>
              </w:rPr>
            </w:pPr>
            <w:r>
              <w:rPr>
                <w:color w:val="000000"/>
                <w:szCs w:val="21"/>
              </w:rPr>
              <w:t>2.3</w:t>
            </w:r>
          </w:p>
        </w:tc>
        <w:tc>
          <w:tcPr>
            <w:tcW w:w="903" w:type="dxa"/>
            <w:vAlign w:val="center"/>
          </w:tcPr>
          <w:p>
            <w:pPr>
              <w:spacing w:line="360" w:lineRule="auto"/>
              <w:jc w:val="center"/>
              <w:rPr>
                <w:color w:val="000000"/>
                <w:szCs w:val="21"/>
              </w:rPr>
            </w:pPr>
            <w:r>
              <w:rPr>
                <w:color w:val="000000"/>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56" w:type="dxa"/>
            <w:vAlign w:val="center"/>
          </w:tcPr>
          <w:p>
            <w:pPr>
              <w:widowControl/>
              <w:spacing w:line="360" w:lineRule="auto"/>
              <w:jc w:val="center"/>
              <w:rPr>
                <w:color w:val="000000"/>
                <w:kern w:val="0"/>
                <w:szCs w:val="21"/>
              </w:rPr>
            </w:pPr>
            <w:r>
              <w:rPr>
                <w:color w:val="000000"/>
                <w:kern w:val="0"/>
                <w:szCs w:val="21"/>
              </w:rPr>
              <w:t>比值</w:t>
            </w:r>
          </w:p>
        </w:tc>
        <w:tc>
          <w:tcPr>
            <w:tcW w:w="824" w:type="dxa"/>
            <w:vAlign w:val="center"/>
          </w:tcPr>
          <w:p>
            <w:pPr>
              <w:spacing w:line="360" w:lineRule="auto"/>
              <w:jc w:val="center"/>
              <w:rPr>
                <w:color w:val="000000"/>
                <w:szCs w:val="21"/>
              </w:rPr>
            </w:pPr>
            <w:r>
              <w:rPr>
                <w:color w:val="000000"/>
                <w:szCs w:val="21"/>
              </w:rPr>
              <w:t xml:space="preserve">0.965 </w:t>
            </w:r>
          </w:p>
        </w:tc>
        <w:tc>
          <w:tcPr>
            <w:tcW w:w="756" w:type="dxa"/>
            <w:vAlign w:val="center"/>
          </w:tcPr>
          <w:p>
            <w:pPr>
              <w:spacing w:line="360" w:lineRule="auto"/>
              <w:jc w:val="center"/>
              <w:rPr>
                <w:color w:val="000000"/>
                <w:szCs w:val="21"/>
              </w:rPr>
            </w:pPr>
            <w:r>
              <w:rPr>
                <w:color w:val="000000"/>
                <w:szCs w:val="21"/>
              </w:rPr>
              <w:t xml:space="preserve">1.000 </w:t>
            </w:r>
          </w:p>
        </w:tc>
        <w:tc>
          <w:tcPr>
            <w:tcW w:w="757" w:type="dxa"/>
            <w:vAlign w:val="center"/>
          </w:tcPr>
          <w:p>
            <w:pPr>
              <w:spacing w:line="360" w:lineRule="auto"/>
              <w:jc w:val="center"/>
              <w:rPr>
                <w:color w:val="000000"/>
                <w:szCs w:val="21"/>
              </w:rPr>
            </w:pPr>
            <w:r>
              <w:rPr>
                <w:color w:val="000000"/>
                <w:szCs w:val="21"/>
              </w:rPr>
              <w:t xml:space="preserve">1.034 </w:t>
            </w:r>
          </w:p>
        </w:tc>
        <w:tc>
          <w:tcPr>
            <w:tcW w:w="757" w:type="dxa"/>
            <w:vAlign w:val="center"/>
          </w:tcPr>
          <w:p>
            <w:pPr>
              <w:spacing w:line="360" w:lineRule="auto"/>
              <w:jc w:val="center"/>
              <w:rPr>
                <w:color w:val="000000"/>
                <w:szCs w:val="21"/>
              </w:rPr>
            </w:pPr>
            <w:r>
              <w:rPr>
                <w:color w:val="000000"/>
                <w:szCs w:val="21"/>
              </w:rPr>
              <w:t xml:space="preserve">1.066 </w:t>
            </w:r>
          </w:p>
        </w:tc>
        <w:tc>
          <w:tcPr>
            <w:tcW w:w="757" w:type="dxa"/>
            <w:vAlign w:val="center"/>
          </w:tcPr>
          <w:p>
            <w:pPr>
              <w:spacing w:line="360" w:lineRule="auto"/>
              <w:jc w:val="center"/>
              <w:rPr>
                <w:color w:val="000000"/>
                <w:szCs w:val="21"/>
              </w:rPr>
            </w:pPr>
            <w:r>
              <w:rPr>
                <w:color w:val="000000"/>
                <w:szCs w:val="21"/>
              </w:rPr>
              <w:t xml:space="preserve">1.097 </w:t>
            </w:r>
          </w:p>
        </w:tc>
        <w:tc>
          <w:tcPr>
            <w:tcW w:w="757" w:type="dxa"/>
            <w:vAlign w:val="center"/>
          </w:tcPr>
          <w:p>
            <w:pPr>
              <w:spacing w:line="360" w:lineRule="auto"/>
              <w:jc w:val="center"/>
              <w:rPr>
                <w:color w:val="000000"/>
                <w:szCs w:val="21"/>
              </w:rPr>
            </w:pPr>
            <w:r>
              <w:rPr>
                <w:color w:val="000000"/>
                <w:szCs w:val="21"/>
              </w:rPr>
              <w:t xml:space="preserve">1.127 </w:t>
            </w:r>
          </w:p>
        </w:tc>
        <w:tc>
          <w:tcPr>
            <w:tcW w:w="757" w:type="dxa"/>
            <w:vAlign w:val="center"/>
          </w:tcPr>
          <w:p>
            <w:pPr>
              <w:spacing w:line="360" w:lineRule="auto"/>
              <w:jc w:val="center"/>
              <w:rPr>
                <w:color w:val="000000"/>
                <w:szCs w:val="21"/>
              </w:rPr>
            </w:pPr>
            <w:r>
              <w:rPr>
                <w:color w:val="000000"/>
                <w:szCs w:val="21"/>
              </w:rPr>
              <w:t xml:space="preserve">1.157 </w:t>
            </w:r>
          </w:p>
        </w:tc>
        <w:tc>
          <w:tcPr>
            <w:tcW w:w="757" w:type="dxa"/>
            <w:vAlign w:val="center"/>
          </w:tcPr>
          <w:p>
            <w:pPr>
              <w:spacing w:line="360" w:lineRule="auto"/>
              <w:jc w:val="center"/>
              <w:rPr>
                <w:color w:val="000000"/>
                <w:szCs w:val="21"/>
              </w:rPr>
            </w:pPr>
            <w:r>
              <w:rPr>
                <w:color w:val="000000"/>
                <w:szCs w:val="21"/>
              </w:rPr>
              <w:t xml:space="preserve">1.185 </w:t>
            </w:r>
          </w:p>
        </w:tc>
        <w:tc>
          <w:tcPr>
            <w:tcW w:w="757" w:type="dxa"/>
            <w:vAlign w:val="center"/>
          </w:tcPr>
          <w:p>
            <w:pPr>
              <w:spacing w:line="360" w:lineRule="auto"/>
              <w:jc w:val="center"/>
              <w:rPr>
                <w:color w:val="000000"/>
                <w:szCs w:val="21"/>
              </w:rPr>
            </w:pPr>
            <w:r>
              <w:rPr>
                <w:color w:val="000000"/>
                <w:szCs w:val="21"/>
              </w:rPr>
              <w:t xml:space="preserve">1.212 </w:t>
            </w:r>
          </w:p>
        </w:tc>
        <w:tc>
          <w:tcPr>
            <w:tcW w:w="903" w:type="dxa"/>
            <w:vAlign w:val="center"/>
          </w:tcPr>
          <w:p>
            <w:pPr>
              <w:spacing w:line="360" w:lineRule="auto"/>
              <w:jc w:val="center"/>
              <w:rPr>
                <w:color w:val="000000"/>
                <w:szCs w:val="21"/>
              </w:rPr>
            </w:pPr>
            <w:r>
              <w:rPr>
                <w:color w:val="000000"/>
                <w:szCs w:val="21"/>
              </w:rPr>
              <w:t xml:space="preserve">1.239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56" w:type="dxa"/>
            <w:vAlign w:val="center"/>
          </w:tcPr>
          <w:p>
            <w:pPr>
              <w:widowControl/>
              <w:spacing w:line="360" w:lineRule="auto"/>
              <w:jc w:val="center"/>
              <w:rPr>
                <w:color w:val="000000"/>
                <w:kern w:val="0"/>
                <w:szCs w:val="21"/>
              </w:rPr>
            </w:pPr>
            <w:r>
              <w:rPr>
                <w:color w:val="000000"/>
                <w:kern w:val="0"/>
                <w:szCs w:val="21"/>
              </w:rPr>
              <w:t>容积率</w:t>
            </w:r>
          </w:p>
        </w:tc>
        <w:tc>
          <w:tcPr>
            <w:tcW w:w="824" w:type="dxa"/>
            <w:vAlign w:val="center"/>
          </w:tcPr>
          <w:p>
            <w:pPr>
              <w:spacing w:line="360" w:lineRule="auto"/>
              <w:jc w:val="center"/>
              <w:rPr>
                <w:color w:val="000000"/>
                <w:szCs w:val="21"/>
              </w:rPr>
            </w:pPr>
            <w:r>
              <w:rPr>
                <w:color w:val="000000"/>
                <w:szCs w:val="21"/>
              </w:rPr>
              <w:t>2.5</w:t>
            </w:r>
          </w:p>
        </w:tc>
        <w:tc>
          <w:tcPr>
            <w:tcW w:w="756" w:type="dxa"/>
            <w:vAlign w:val="center"/>
          </w:tcPr>
          <w:p>
            <w:pPr>
              <w:spacing w:line="360" w:lineRule="auto"/>
              <w:jc w:val="center"/>
              <w:rPr>
                <w:color w:val="000000"/>
                <w:szCs w:val="21"/>
              </w:rPr>
            </w:pPr>
            <w:r>
              <w:rPr>
                <w:color w:val="000000"/>
                <w:szCs w:val="21"/>
              </w:rPr>
              <w:t>2.6</w:t>
            </w:r>
          </w:p>
        </w:tc>
        <w:tc>
          <w:tcPr>
            <w:tcW w:w="757" w:type="dxa"/>
            <w:vAlign w:val="center"/>
          </w:tcPr>
          <w:p>
            <w:pPr>
              <w:spacing w:line="360" w:lineRule="auto"/>
              <w:jc w:val="center"/>
              <w:rPr>
                <w:color w:val="000000"/>
                <w:szCs w:val="21"/>
              </w:rPr>
            </w:pPr>
            <w:r>
              <w:rPr>
                <w:color w:val="000000"/>
                <w:szCs w:val="21"/>
              </w:rPr>
              <w:t>2.7</w:t>
            </w:r>
          </w:p>
        </w:tc>
        <w:tc>
          <w:tcPr>
            <w:tcW w:w="757" w:type="dxa"/>
            <w:vAlign w:val="center"/>
          </w:tcPr>
          <w:p>
            <w:pPr>
              <w:spacing w:line="360" w:lineRule="auto"/>
              <w:jc w:val="center"/>
              <w:rPr>
                <w:color w:val="000000"/>
                <w:szCs w:val="21"/>
              </w:rPr>
            </w:pPr>
            <w:r>
              <w:rPr>
                <w:color w:val="000000"/>
                <w:szCs w:val="21"/>
              </w:rPr>
              <w:t>2.8</w:t>
            </w:r>
          </w:p>
        </w:tc>
        <w:tc>
          <w:tcPr>
            <w:tcW w:w="757" w:type="dxa"/>
            <w:vAlign w:val="center"/>
          </w:tcPr>
          <w:p>
            <w:pPr>
              <w:spacing w:line="360" w:lineRule="auto"/>
              <w:jc w:val="center"/>
              <w:rPr>
                <w:color w:val="000000"/>
                <w:szCs w:val="21"/>
              </w:rPr>
            </w:pPr>
            <w:r>
              <w:rPr>
                <w:color w:val="000000"/>
                <w:szCs w:val="21"/>
              </w:rPr>
              <w:t>2.9</w:t>
            </w:r>
          </w:p>
        </w:tc>
        <w:tc>
          <w:tcPr>
            <w:tcW w:w="757" w:type="dxa"/>
            <w:vAlign w:val="center"/>
          </w:tcPr>
          <w:p>
            <w:pPr>
              <w:spacing w:line="360" w:lineRule="auto"/>
              <w:jc w:val="center"/>
              <w:rPr>
                <w:color w:val="000000"/>
                <w:szCs w:val="21"/>
              </w:rPr>
            </w:pPr>
            <w:r>
              <w:rPr>
                <w:color w:val="000000"/>
                <w:szCs w:val="21"/>
              </w:rPr>
              <w:t>3</w:t>
            </w:r>
          </w:p>
        </w:tc>
        <w:tc>
          <w:tcPr>
            <w:tcW w:w="757" w:type="dxa"/>
            <w:vAlign w:val="center"/>
          </w:tcPr>
          <w:p>
            <w:pPr>
              <w:spacing w:line="360" w:lineRule="auto"/>
              <w:jc w:val="center"/>
              <w:rPr>
                <w:color w:val="000000"/>
                <w:szCs w:val="21"/>
              </w:rPr>
            </w:pPr>
            <w:r>
              <w:rPr>
                <w:color w:val="000000"/>
                <w:szCs w:val="21"/>
              </w:rPr>
              <w:t>3.1</w:t>
            </w:r>
          </w:p>
        </w:tc>
        <w:tc>
          <w:tcPr>
            <w:tcW w:w="757" w:type="dxa"/>
            <w:vAlign w:val="center"/>
          </w:tcPr>
          <w:p>
            <w:pPr>
              <w:spacing w:line="360" w:lineRule="auto"/>
              <w:jc w:val="center"/>
              <w:rPr>
                <w:color w:val="000000"/>
                <w:szCs w:val="21"/>
              </w:rPr>
            </w:pPr>
            <w:r>
              <w:rPr>
                <w:color w:val="000000"/>
                <w:szCs w:val="21"/>
              </w:rPr>
              <w:t>3.2</w:t>
            </w:r>
          </w:p>
        </w:tc>
        <w:tc>
          <w:tcPr>
            <w:tcW w:w="757" w:type="dxa"/>
            <w:vAlign w:val="center"/>
          </w:tcPr>
          <w:p>
            <w:pPr>
              <w:spacing w:line="360" w:lineRule="auto"/>
              <w:jc w:val="center"/>
              <w:rPr>
                <w:color w:val="000000"/>
                <w:szCs w:val="21"/>
              </w:rPr>
            </w:pPr>
            <w:r>
              <w:rPr>
                <w:color w:val="000000"/>
                <w:szCs w:val="21"/>
              </w:rPr>
              <w:t>3.3</w:t>
            </w:r>
          </w:p>
        </w:tc>
        <w:tc>
          <w:tcPr>
            <w:tcW w:w="903" w:type="dxa"/>
            <w:vAlign w:val="center"/>
          </w:tcPr>
          <w:p>
            <w:pPr>
              <w:spacing w:line="360" w:lineRule="auto"/>
              <w:jc w:val="center"/>
              <w:rPr>
                <w:color w:val="000000"/>
                <w:szCs w:val="21"/>
              </w:rPr>
            </w:pPr>
            <w:r>
              <w:rPr>
                <w:color w:val="000000"/>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56" w:type="dxa"/>
            <w:vAlign w:val="center"/>
          </w:tcPr>
          <w:p>
            <w:pPr>
              <w:widowControl/>
              <w:spacing w:line="360" w:lineRule="auto"/>
              <w:jc w:val="center"/>
              <w:rPr>
                <w:color w:val="000000"/>
                <w:kern w:val="0"/>
                <w:szCs w:val="21"/>
              </w:rPr>
            </w:pPr>
            <w:r>
              <w:rPr>
                <w:color w:val="000000"/>
                <w:kern w:val="0"/>
                <w:szCs w:val="21"/>
              </w:rPr>
              <w:t>比值</w:t>
            </w:r>
          </w:p>
        </w:tc>
        <w:tc>
          <w:tcPr>
            <w:tcW w:w="824" w:type="dxa"/>
            <w:vAlign w:val="center"/>
          </w:tcPr>
          <w:p>
            <w:pPr>
              <w:spacing w:line="360" w:lineRule="auto"/>
              <w:jc w:val="center"/>
              <w:rPr>
                <w:color w:val="000000"/>
                <w:szCs w:val="21"/>
              </w:rPr>
            </w:pPr>
            <w:r>
              <w:rPr>
                <w:color w:val="000000"/>
                <w:szCs w:val="21"/>
              </w:rPr>
              <w:t xml:space="preserve">1.264 </w:t>
            </w:r>
          </w:p>
        </w:tc>
        <w:tc>
          <w:tcPr>
            <w:tcW w:w="756" w:type="dxa"/>
            <w:vAlign w:val="center"/>
          </w:tcPr>
          <w:p>
            <w:pPr>
              <w:spacing w:line="360" w:lineRule="auto"/>
              <w:jc w:val="center"/>
              <w:rPr>
                <w:color w:val="000000"/>
                <w:szCs w:val="21"/>
              </w:rPr>
            </w:pPr>
            <w:r>
              <w:rPr>
                <w:color w:val="000000"/>
                <w:szCs w:val="21"/>
              </w:rPr>
              <w:t xml:space="preserve">1.289 </w:t>
            </w:r>
          </w:p>
        </w:tc>
        <w:tc>
          <w:tcPr>
            <w:tcW w:w="757" w:type="dxa"/>
            <w:vAlign w:val="center"/>
          </w:tcPr>
          <w:p>
            <w:pPr>
              <w:spacing w:line="360" w:lineRule="auto"/>
              <w:jc w:val="center"/>
              <w:rPr>
                <w:color w:val="000000"/>
                <w:szCs w:val="21"/>
              </w:rPr>
            </w:pPr>
            <w:r>
              <w:rPr>
                <w:color w:val="000000"/>
                <w:szCs w:val="21"/>
              </w:rPr>
              <w:t xml:space="preserve">1.313 </w:t>
            </w:r>
          </w:p>
        </w:tc>
        <w:tc>
          <w:tcPr>
            <w:tcW w:w="757" w:type="dxa"/>
            <w:vAlign w:val="center"/>
          </w:tcPr>
          <w:p>
            <w:pPr>
              <w:spacing w:line="360" w:lineRule="auto"/>
              <w:jc w:val="center"/>
              <w:rPr>
                <w:color w:val="000000"/>
                <w:szCs w:val="21"/>
              </w:rPr>
            </w:pPr>
            <w:r>
              <w:rPr>
                <w:color w:val="000000"/>
                <w:szCs w:val="21"/>
              </w:rPr>
              <w:t xml:space="preserve">1.336 </w:t>
            </w:r>
          </w:p>
        </w:tc>
        <w:tc>
          <w:tcPr>
            <w:tcW w:w="757" w:type="dxa"/>
            <w:vAlign w:val="center"/>
          </w:tcPr>
          <w:p>
            <w:pPr>
              <w:spacing w:line="360" w:lineRule="auto"/>
              <w:jc w:val="center"/>
              <w:rPr>
                <w:color w:val="000000"/>
                <w:szCs w:val="21"/>
              </w:rPr>
            </w:pPr>
            <w:r>
              <w:rPr>
                <w:color w:val="000000"/>
                <w:szCs w:val="21"/>
              </w:rPr>
              <w:t xml:space="preserve">1.358 </w:t>
            </w:r>
          </w:p>
        </w:tc>
        <w:tc>
          <w:tcPr>
            <w:tcW w:w="757" w:type="dxa"/>
            <w:vAlign w:val="center"/>
          </w:tcPr>
          <w:p>
            <w:pPr>
              <w:spacing w:line="360" w:lineRule="auto"/>
              <w:jc w:val="center"/>
              <w:rPr>
                <w:color w:val="000000"/>
                <w:szCs w:val="21"/>
              </w:rPr>
            </w:pPr>
            <w:r>
              <w:rPr>
                <w:color w:val="000000"/>
                <w:szCs w:val="21"/>
              </w:rPr>
              <w:t xml:space="preserve">1.379 </w:t>
            </w:r>
          </w:p>
        </w:tc>
        <w:tc>
          <w:tcPr>
            <w:tcW w:w="757" w:type="dxa"/>
            <w:vAlign w:val="center"/>
          </w:tcPr>
          <w:p>
            <w:pPr>
              <w:spacing w:line="360" w:lineRule="auto"/>
              <w:jc w:val="center"/>
              <w:rPr>
                <w:color w:val="000000"/>
                <w:szCs w:val="21"/>
              </w:rPr>
            </w:pPr>
            <w:r>
              <w:rPr>
                <w:color w:val="000000"/>
                <w:szCs w:val="21"/>
              </w:rPr>
              <w:t xml:space="preserve">1.400 </w:t>
            </w:r>
          </w:p>
        </w:tc>
        <w:tc>
          <w:tcPr>
            <w:tcW w:w="757" w:type="dxa"/>
            <w:vAlign w:val="center"/>
          </w:tcPr>
          <w:p>
            <w:pPr>
              <w:spacing w:line="360" w:lineRule="auto"/>
              <w:jc w:val="center"/>
              <w:rPr>
                <w:color w:val="000000"/>
                <w:szCs w:val="21"/>
              </w:rPr>
            </w:pPr>
            <w:r>
              <w:rPr>
                <w:color w:val="000000"/>
                <w:szCs w:val="21"/>
              </w:rPr>
              <w:t xml:space="preserve">1.420 </w:t>
            </w:r>
          </w:p>
        </w:tc>
        <w:tc>
          <w:tcPr>
            <w:tcW w:w="757" w:type="dxa"/>
            <w:vAlign w:val="center"/>
          </w:tcPr>
          <w:p>
            <w:pPr>
              <w:spacing w:line="360" w:lineRule="auto"/>
              <w:jc w:val="center"/>
              <w:rPr>
                <w:color w:val="000000"/>
                <w:szCs w:val="21"/>
              </w:rPr>
            </w:pPr>
            <w:r>
              <w:rPr>
                <w:color w:val="000000"/>
                <w:szCs w:val="21"/>
              </w:rPr>
              <w:t xml:space="preserve">1.440 </w:t>
            </w:r>
          </w:p>
        </w:tc>
        <w:tc>
          <w:tcPr>
            <w:tcW w:w="903" w:type="dxa"/>
            <w:vAlign w:val="center"/>
          </w:tcPr>
          <w:p>
            <w:pPr>
              <w:spacing w:line="360" w:lineRule="auto"/>
              <w:jc w:val="center"/>
              <w:rPr>
                <w:color w:val="000000"/>
                <w:szCs w:val="21"/>
              </w:rPr>
            </w:pPr>
            <w:r>
              <w:rPr>
                <w:color w:val="000000"/>
                <w:szCs w:val="21"/>
              </w:rPr>
              <w:t xml:space="preserve">1.458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56" w:type="dxa"/>
            <w:vAlign w:val="center"/>
          </w:tcPr>
          <w:p>
            <w:pPr>
              <w:widowControl/>
              <w:spacing w:line="360" w:lineRule="auto"/>
              <w:jc w:val="center"/>
              <w:rPr>
                <w:color w:val="000000"/>
                <w:kern w:val="0"/>
                <w:szCs w:val="21"/>
              </w:rPr>
            </w:pPr>
            <w:r>
              <w:rPr>
                <w:color w:val="000000"/>
                <w:kern w:val="0"/>
                <w:szCs w:val="21"/>
              </w:rPr>
              <w:t>容积率</w:t>
            </w:r>
          </w:p>
        </w:tc>
        <w:tc>
          <w:tcPr>
            <w:tcW w:w="824" w:type="dxa"/>
            <w:vAlign w:val="center"/>
          </w:tcPr>
          <w:p>
            <w:pPr>
              <w:spacing w:line="360" w:lineRule="auto"/>
              <w:jc w:val="center"/>
              <w:rPr>
                <w:color w:val="000000"/>
                <w:szCs w:val="21"/>
              </w:rPr>
            </w:pPr>
            <w:r>
              <w:rPr>
                <w:color w:val="000000"/>
                <w:szCs w:val="21"/>
              </w:rPr>
              <w:t>3.5</w:t>
            </w:r>
          </w:p>
        </w:tc>
        <w:tc>
          <w:tcPr>
            <w:tcW w:w="756" w:type="dxa"/>
            <w:vAlign w:val="center"/>
          </w:tcPr>
          <w:p>
            <w:pPr>
              <w:spacing w:line="360" w:lineRule="auto"/>
              <w:jc w:val="center"/>
              <w:rPr>
                <w:color w:val="000000"/>
                <w:szCs w:val="21"/>
              </w:rPr>
            </w:pPr>
            <w:r>
              <w:rPr>
                <w:color w:val="000000"/>
                <w:szCs w:val="21"/>
              </w:rPr>
              <w:t>3.6</w:t>
            </w:r>
          </w:p>
        </w:tc>
        <w:tc>
          <w:tcPr>
            <w:tcW w:w="757" w:type="dxa"/>
            <w:vAlign w:val="center"/>
          </w:tcPr>
          <w:p>
            <w:pPr>
              <w:spacing w:line="360" w:lineRule="auto"/>
              <w:jc w:val="center"/>
              <w:rPr>
                <w:color w:val="000000"/>
                <w:szCs w:val="21"/>
              </w:rPr>
            </w:pPr>
            <w:r>
              <w:rPr>
                <w:color w:val="000000"/>
                <w:szCs w:val="21"/>
              </w:rPr>
              <w:t>3.7</w:t>
            </w:r>
          </w:p>
        </w:tc>
        <w:tc>
          <w:tcPr>
            <w:tcW w:w="757" w:type="dxa"/>
            <w:vAlign w:val="center"/>
          </w:tcPr>
          <w:p>
            <w:pPr>
              <w:spacing w:line="360" w:lineRule="auto"/>
              <w:jc w:val="center"/>
              <w:rPr>
                <w:color w:val="000000"/>
                <w:szCs w:val="21"/>
              </w:rPr>
            </w:pPr>
            <w:r>
              <w:rPr>
                <w:color w:val="000000"/>
                <w:szCs w:val="21"/>
              </w:rPr>
              <w:t>3.8</w:t>
            </w:r>
          </w:p>
        </w:tc>
        <w:tc>
          <w:tcPr>
            <w:tcW w:w="757" w:type="dxa"/>
            <w:vAlign w:val="center"/>
          </w:tcPr>
          <w:p>
            <w:pPr>
              <w:spacing w:line="360" w:lineRule="auto"/>
              <w:jc w:val="center"/>
              <w:rPr>
                <w:color w:val="000000"/>
                <w:szCs w:val="21"/>
              </w:rPr>
            </w:pPr>
            <w:r>
              <w:rPr>
                <w:color w:val="000000"/>
                <w:szCs w:val="21"/>
              </w:rPr>
              <w:t>3.9</w:t>
            </w:r>
          </w:p>
        </w:tc>
        <w:tc>
          <w:tcPr>
            <w:tcW w:w="757" w:type="dxa"/>
            <w:vAlign w:val="center"/>
          </w:tcPr>
          <w:p>
            <w:pPr>
              <w:spacing w:line="360" w:lineRule="auto"/>
              <w:jc w:val="center"/>
              <w:rPr>
                <w:color w:val="000000"/>
                <w:szCs w:val="21"/>
              </w:rPr>
            </w:pPr>
            <w:r>
              <w:rPr>
                <w:color w:val="000000"/>
                <w:szCs w:val="21"/>
              </w:rPr>
              <w:t>4</w:t>
            </w:r>
          </w:p>
        </w:tc>
        <w:tc>
          <w:tcPr>
            <w:tcW w:w="757" w:type="dxa"/>
            <w:vAlign w:val="center"/>
          </w:tcPr>
          <w:p>
            <w:pPr>
              <w:spacing w:line="360" w:lineRule="auto"/>
              <w:jc w:val="center"/>
              <w:rPr>
                <w:color w:val="000000"/>
                <w:szCs w:val="21"/>
              </w:rPr>
            </w:pPr>
          </w:p>
        </w:tc>
        <w:tc>
          <w:tcPr>
            <w:tcW w:w="757" w:type="dxa"/>
            <w:vAlign w:val="center"/>
          </w:tcPr>
          <w:p>
            <w:pPr>
              <w:spacing w:line="360" w:lineRule="auto"/>
              <w:jc w:val="center"/>
              <w:rPr>
                <w:color w:val="000000"/>
                <w:szCs w:val="21"/>
              </w:rPr>
            </w:pPr>
          </w:p>
        </w:tc>
        <w:tc>
          <w:tcPr>
            <w:tcW w:w="757" w:type="dxa"/>
            <w:vAlign w:val="center"/>
          </w:tcPr>
          <w:p>
            <w:pPr>
              <w:spacing w:line="360" w:lineRule="auto"/>
              <w:jc w:val="center"/>
              <w:rPr>
                <w:color w:val="000000"/>
                <w:szCs w:val="21"/>
              </w:rPr>
            </w:pPr>
          </w:p>
        </w:tc>
        <w:tc>
          <w:tcPr>
            <w:tcW w:w="903" w:type="dxa"/>
            <w:vAlign w:val="center"/>
          </w:tcPr>
          <w:p>
            <w:pPr>
              <w:spacing w:line="360" w:lineRule="auto"/>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56" w:type="dxa"/>
            <w:vAlign w:val="center"/>
          </w:tcPr>
          <w:p>
            <w:pPr>
              <w:widowControl/>
              <w:spacing w:line="360" w:lineRule="auto"/>
              <w:jc w:val="center"/>
              <w:rPr>
                <w:color w:val="000000"/>
                <w:kern w:val="0"/>
                <w:szCs w:val="21"/>
              </w:rPr>
            </w:pPr>
            <w:r>
              <w:rPr>
                <w:color w:val="000000"/>
                <w:kern w:val="0"/>
                <w:szCs w:val="21"/>
              </w:rPr>
              <w:t>比值</w:t>
            </w:r>
          </w:p>
        </w:tc>
        <w:tc>
          <w:tcPr>
            <w:tcW w:w="824" w:type="dxa"/>
            <w:vAlign w:val="center"/>
          </w:tcPr>
          <w:p>
            <w:pPr>
              <w:spacing w:line="360" w:lineRule="auto"/>
              <w:jc w:val="center"/>
              <w:rPr>
                <w:color w:val="000000"/>
                <w:szCs w:val="21"/>
              </w:rPr>
            </w:pPr>
            <w:r>
              <w:rPr>
                <w:color w:val="000000"/>
                <w:szCs w:val="21"/>
              </w:rPr>
              <w:t xml:space="preserve">1.477 </w:t>
            </w:r>
          </w:p>
        </w:tc>
        <w:tc>
          <w:tcPr>
            <w:tcW w:w="756" w:type="dxa"/>
            <w:vAlign w:val="center"/>
          </w:tcPr>
          <w:p>
            <w:pPr>
              <w:spacing w:line="360" w:lineRule="auto"/>
              <w:jc w:val="center"/>
              <w:rPr>
                <w:color w:val="000000"/>
                <w:szCs w:val="21"/>
              </w:rPr>
            </w:pPr>
            <w:r>
              <w:rPr>
                <w:color w:val="000000"/>
                <w:szCs w:val="21"/>
              </w:rPr>
              <w:t xml:space="preserve">1.494 </w:t>
            </w:r>
          </w:p>
        </w:tc>
        <w:tc>
          <w:tcPr>
            <w:tcW w:w="757" w:type="dxa"/>
            <w:vAlign w:val="center"/>
          </w:tcPr>
          <w:p>
            <w:pPr>
              <w:spacing w:line="360" w:lineRule="auto"/>
              <w:jc w:val="center"/>
              <w:rPr>
                <w:color w:val="000000"/>
                <w:szCs w:val="21"/>
              </w:rPr>
            </w:pPr>
            <w:r>
              <w:rPr>
                <w:color w:val="000000"/>
                <w:szCs w:val="21"/>
              </w:rPr>
              <w:t xml:space="preserve">1.511 </w:t>
            </w:r>
          </w:p>
        </w:tc>
        <w:tc>
          <w:tcPr>
            <w:tcW w:w="757" w:type="dxa"/>
            <w:vAlign w:val="center"/>
          </w:tcPr>
          <w:p>
            <w:pPr>
              <w:spacing w:line="360" w:lineRule="auto"/>
              <w:jc w:val="center"/>
              <w:rPr>
                <w:color w:val="000000"/>
                <w:szCs w:val="21"/>
              </w:rPr>
            </w:pPr>
            <w:r>
              <w:rPr>
                <w:color w:val="000000"/>
                <w:szCs w:val="21"/>
              </w:rPr>
              <w:t xml:space="preserve">1.527 </w:t>
            </w:r>
          </w:p>
        </w:tc>
        <w:tc>
          <w:tcPr>
            <w:tcW w:w="757" w:type="dxa"/>
            <w:vAlign w:val="center"/>
          </w:tcPr>
          <w:p>
            <w:pPr>
              <w:spacing w:line="360" w:lineRule="auto"/>
              <w:jc w:val="center"/>
              <w:rPr>
                <w:color w:val="000000"/>
                <w:szCs w:val="21"/>
              </w:rPr>
            </w:pPr>
            <w:r>
              <w:rPr>
                <w:color w:val="000000"/>
                <w:szCs w:val="21"/>
              </w:rPr>
              <w:t xml:space="preserve">1.543 </w:t>
            </w:r>
          </w:p>
        </w:tc>
        <w:tc>
          <w:tcPr>
            <w:tcW w:w="757" w:type="dxa"/>
            <w:vAlign w:val="center"/>
          </w:tcPr>
          <w:p>
            <w:pPr>
              <w:spacing w:line="360" w:lineRule="auto"/>
              <w:jc w:val="center"/>
              <w:rPr>
                <w:color w:val="000000"/>
                <w:szCs w:val="21"/>
              </w:rPr>
            </w:pPr>
            <w:r>
              <w:rPr>
                <w:color w:val="000000"/>
                <w:szCs w:val="21"/>
              </w:rPr>
              <w:t xml:space="preserve">1.559 </w:t>
            </w:r>
          </w:p>
        </w:tc>
        <w:tc>
          <w:tcPr>
            <w:tcW w:w="757" w:type="dxa"/>
            <w:vAlign w:val="center"/>
          </w:tcPr>
          <w:p>
            <w:pPr>
              <w:spacing w:line="360" w:lineRule="auto"/>
              <w:jc w:val="center"/>
              <w:rPr>
                <w:color w:val="000000"/>
                <w:szCs w:val="21"/>
              </w:rPr>
            </w:pPr>
          </w:p>
        </w:tc>
        <w:tc>
          <w:tcPr>
            <w:tcW w:w="757" w:type="dxa"/>
            <w:vAlign w:val="center"/>
          </w:tcPr>
          <w:p>
            <w:pPr>
              <w:spacing w:line="360" w:lineRule="auto"/>
              <w:jc w:val="center"/>
              <w:rPr>
                <w:color w:val="000000"/>
                <w:szCs w:val="21"/>
              </w:rPr>
            </w:pPr>
          </w:p>
        </w:tc>
        <w:tc>
          <w:tcPr>
            <w:tcW w:w="757" w:type="dxa"/>
            <w:vAlign w:val="center"/>
          </w:tcPr>
          <w:p>
            <w:pPr>
              <w:spacing w:line="360" w:lineRule="auto"/>
              <w:jc w:val="center"/>
              <w:rPr>
                <w:color w:val="000000"/>
                <w:szCs w:val="21"/>
              </w:rPr>
            </w:pPr>
          </w:p>
        </w:tc>
        <w:tc>
          <w:tcPr>
            <w:tcW w:w="903" w:type="dxa"/>
            <w:vAlign w:val="center"/>
          </w:tcPr>
          <w:p>
            <w:pPr>
              <w:spacing w:line="360" w:lineRule="auto"/>
              <w:jc w:val="center"/>
              <w:rPr>
                <w:color w:val="000000"/>
                <w:szCs w:val="21"/>
              </w:rPr>
            </w:pPr>
          </w:p>
        </w:tc>
      </w:tr>
    </w:tbl>
    <w:p>
      <w:pPr>
        <w:pStyle w:val="131"/>
        <w:spacing w:beforeLines="50" w:afterLines="50"/>
        <w:ind w:firstLine="0" w:firstLineChars="0"/>
        <w:rPr>
          <w:rFonts w:ascii="Times New Roman" w:hAnsi="Times New Roman"/>
          <w:sz w:val="24"/>
        </w:rPr>
      </w:pPr>
      <w:r>
        <w:rPr>
          <w:rFonts w:ascii="Times New Roman" w:hAnsi="Times New Roman"/>
          <w:sz w:val="24"/>
        </w:rPr>
        <w:t>表4-6-2</w:t>
      </w:r>
      <w:r>
        <w:rPr>
          <w:rFonts w:hint="eastAsia" w:ascii="Times New Roman" w:hAnsi="Times New Roman"/>
          <w:sz w:val="24"/>
        </w:rPr>
        <w:t>2</w:t>
      </w:r>
      <w:r>
        <w:rPr>
          <w:rFonts w:ascii="Times New Roman" w:hAnsi="Times New Roman"/>
          <w:sz w:val="24"/>
        </w:rPr>
        <w:t xml:space="preserve">  长沙县公共管理与公共服务</w:t>
      </w:r>
      <w:r>
        <w:rPr>
          <w:rFonts w:hint="eastAsia" w:ascii="Times New Roman" w:hAnsi="Times New Roman"/>
          <w:sz w:val="24"/>
        </w:rPr>
        <w:t>项目</w:t>
      </w:r>
      <w:r>
        <w:rPr>
          <w:rFonts w:ascii="Times New Roman" w:hAnsi="Times New Roman"/>
          <w:sz w:val="24"/>
        </w:rPr>
        <w:t>二类用地容积率修正系数表</w:t>
      </w:r>
    </w:p>
    <w:tbl>
      <w:tblPr>
        <w:tblW w:w="8826" w:type="dxa"/>
        <w:jc w:val="center"/>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825"/>
        <w:gridCol w:w="755"/>
        <w:gridCol w:w="755"/>
        <w:gridCol w:w="756"/>
        <w:gridCol w:w="756"/>
        <w:gridCol w:w="756"/>
        <w:gridCol w:w="756"/>
        <w:gridCol w:w="756"/>
        <w:gridCol w:w="756"/>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055" w:type="dxa"/>
            <w:vAlign w:val="center"/>
          </w:tcPr>
          <w:p>
            <w:pPr>
              <w:widowControl/>
              <w:spacing w:line="360" w:lineRule="auto"/>
              <w:jc w:val="center"/>
              <w:rPr>
                <w:color w:val="000000"/>
                <w:kern w:val="0"/>
                <w:szCs w:val="21"/>
              </w:rPr>
            </w:pPr>
            <w:r>
              <w:rPr>
                <w:color w:val="000000"/>
                <w:kern w:val="0"/>
                <w:szCs w:val="21"/>
              </w:rPr>
              <w:t>容积率</w:t>
            </w:r>
          </w:p>
        </w:tc>
        <w:tc>
          <w:tcPr>
            <w:tcW w:w="825" w:type="dxa"/>
            <w:vAlign w:val="center"/>
          </w:tcPr>
          <w:p>
            <w:pPr>
              <w:spacing w:line="360" w:lineRule="auto"/>
              <w:jc w:val="center"/>
              <w:rPr>
                <w:color w:val="000000"/>
                <w:szCs w:val="21"/>
              </w:rPr>
            </w:pPr>
            <w:r>
              <w:rPr>
                <w:color w:val="000000"/>
                <w:szCs w:val="21"/>
              </w:rPr>
              <w:t>0.5</w:t>
            </w:r>
          </w:p>
        </w:tc>
        <w:tc>
          <w:tcPr>
            <w:tcW w:w="755" w:type="dxa"/>
            <w:vAlign w:val="center"/>
          </w:tcPr>
          <w:p>
            <w:pPr>
              <w:spacing w:line="360" w:lineRule="auto"/>
              <w:jc w:val="center"/>
              <w:rPr>
                <w:color w:val="000000"/>
                <w:szCs w:val="21"/>
              </w:rPr>
            </w:pPr>
            <w:r>
              <w:rPr>
                <w:color w:val="000000"/>
                <w:szCs w:val="21"/>
              </w:rPr>
              <w:t>0.6</w:t>
            </w:r>
          </w:p>
        </w:tc>
        <w:tc>
          <w:tcPr>
            <w:tcW w:w="755" w:type="dxa"/>
            <w:vAlign w:val="center"/>
          </w:tcPr>
          <w:p>
            <w:pPr>
              <w:spacing w:line="360" w:lineRule="auto"/>
              <w:jc w:val="center"/>
              <w:rPr>
                <w:color w:val="000000"/>
                <w:szCs w:val="21"/>
              </w:rPr>
            </w:pPr>
            <w:r>
              <w:rPr>
                <w:color w:val="000000"/>
                <w:szCs w:val="21"/>
              </w:rPr>
              <w:t>0.7</w:t>
            </w:r>
          </w:p>
        </w:tc>
        <w:tc>
          <w:tcPr>
            <w:tcW w:w="756" w:type="dxa"/>
            <w:vAlign w:val="center"/>
          </w:tcPr>
          <w:p>
            <w:pPr>
              <w:spacing w:line="360" w:lineRule="auto"/>
              <w:jc w:val="center"/>
              <w:rPr>
                <w:color w:val="000000"/>
                <w:szCs w:val="21"/>
              </w:rPr>
            </w:pPr>
            <w:r>
              <w:rPr>
                <w:color w:val="000000"/>
                <w:szCs w:val="21"/>
              </w:rPr>
              <w:t>0.8</w:t>
            </w:r>
          </w:p>
        </w:tc>
        <w:tc>
          <w:tcPr>
            <w:tcW w:w="756" w:type="dxa"/>
            <w:vAlign w:val="center"/>
          </w:tcPr>
          <w:p>
            <w:pPr>
              <w:spacing w:line="360" w:lineRule="auto"/>
              <w:jc w:val="center"/>
              <w:rPr>
                <w:color w:val="000000"/>
                <w:szCs w:val="21"/>
              </w:rPr>
            </w:pPr>
            <w:r>
              <w:rPr>
                <w:color w:val="000000"/>
                <w:szCs w:val="21"/>
              </w:rPr>
              <w:t>0.9</w:t>
            </w:r>
          </w:p>
        </w:tc>
        <w:tc>
          <w:tcPr>
            <w:tcW w:w="756" w:type="dxa"/>
            <w:vAlign w:val="center"/>
          </w:tcPr>
          <w:p>
            <w:pPr>
              <w:spacing w:line="360" w:lineRule="auto"/>
              <w:jc w:val="center"/>
              <w:rPr>
                <w:color w:val="000000"/>
                <w:szCs w:val="21"/>
              </w:rPr>
            </w:pPr>
            <w:r>
              <w:rPr>
                <w:color w:val="000000"/>
                <w:szCs w:val="21"/>
              </w:rPr>
              <w:t>1</w:t>
            </w:r>
          </w:p>
        </w:tc>
        <w:tc>
          <w:tcPr>
            <w:tcW w:w="756" w:type="dxa"/>
            <w:vAlign w:val="center"/>
          </w:tcPr>
          <w:p>
            <w:pPr>
              <w:spacing w:line="360" w:lineRule="auto"/>
              <w:jc w:val="center"/>
              <w:rPr>
                <w:color w:val="000000"/>
                <w:szCs w:val="21"/>
              </w:rPr>
            </w:pPr>
            <w:r>
              <w:rPr>
                <w:color w:val="000000"/>
                <w:szCs w:val="21"/>
              </w:rPr>
              <w:t>1.1</w:t>
            </w:r>
          </w:p>
        </w:tc>
        <w:tc>
          <w:tcPr>
            <w:tcW w:w="756" w:type="dxa"/>
            <w:vAlign w:val="center"/>
          </w:tcPr>
          <w:p>
            <w:pPr>
              <w:spacing w:line="360" w:lineRule="auto"/>
              <w:jc w:val="center"/>
              <w:rPr>
                <w:color w:val="000000"/>
                <w:szCs w:val="21"/>
              </w:rPr>
            </w:pPr>
            <w:r>
              <w:rPr>
                <w:color w:val="000000"/>
                <w:szCs w:val="21"/>
              </w:rPr>
              <w:t>1.2</w:t>
            </w:r>
          </w:p>
        </w:tc>
        <w:tc>
          <w:tcPr>
            <w:tcW w:w="756" w:type="dxa"/>
            <w:vAlign w:val="center"/>
          </w:tcPr>
          <w:p>
            <w:pPr>
              <w:spacing w:line="360" w:lineRule="auto"/>
              <w:jc w:val="center"/>
              <w:rPr>
                <w:color w:val="000000"/>
                <w:szCs w:val="21"/>
              </w:rPr>
            </w:pPr>
            <w:r>
              <w:rPr>
                <w:color w:val="000000"/>
                <w:szCs w:val="21"/>
              </w:rPr>
              <w:t>1.3</w:t>
            </w:r>
          </w:p>
        </w:tc>
        <w:tc>
          <w:tcPr>
            <w:tcW w:w="900" w:type="dxa"/>
            <w:vAlign w:val="center"/>
          </w:tcPr>
          <w:p>
            <w:pPr>
              <w:spacing w:line="360" w:lineRule="auto"/>
              <w:jc w:val="center"/>
              <w:rPr>
                <w:color w:val="000000"/>
                <w:szCs w:val="21"/>
              </w:rPr>
            </w:pPr>
            <w:r>
              <w:rPr>
                <w:color w:val="00000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055" w:type="dxa"/>
            <w:vAlign w:val="center"/>
          </w:tcPr>
          <w:p>
            <w:pPr>
              <w:widowControl/>
              <w:spacing w:line="360" w:lineRule="auto"/>
              <w:jc w:val="center"/>
              <w:rPr>
                <w:color w:val="000000"/>
                <w:kern w:val="0"/>
                <w:szCs w:val="21"/>
              </w:rPr>
            </w:pPr>
            <w:r>
              <w:rPr>
                <w:color w:val="000000"/>
                <w:kern w:val="0"/>
                <w:szCs w:val="21"/>
              </w:rPr>
              <w:t>比值</w:t>
            </w:r>
          </w:p>
        </w:tc>
        <w:tc>
          <w:tcPr>
            <w:tcW w:w="825" w:type="dxa"/>
            <w:vAlign w:val="center"/>
          </w:tcPr>
          <w:p>
            <w:pPr>
              <w:spacing w:line="360" w:lineRule="auto"/>
              <w:jc w:val="center"/>
              <w:rPr>
                <w:color w:val="000000"/>
                <w:szCs w:val="21"/>
              </w:rPr>
            </w:pPr>
            <w:r>
              <w:rPr>
                <w:color w:val="000000"/>
                <w:szCs w:val="21"/>
              </w:rPr>
              <w:t xml:space="preserve">0.796 </w:t>
            </w:r>
          </w:p>
        </w:tc>
        <w:tc>
          <w:tcPr>
            <w:tcW w:w="755" w:type="dxa"/>
            <w:vAlign w:val="center"/>
          </w:tcPr>
          <w:p>
            <w:pPr>
              <w:spacing w:line="360" w:lineRule="auto"/>
              <w:jc w:val="center"/>
              <w:rPr>
                <w:color w:val="000000"/>
                <w:szCs w:val="21"/>
              </w:rPr>
            </w:pPr>
            <w:r>
              <w:rPr>
                <w:color w:val="000000"/>
                <w:szCs w:val="21"/>
              </w:rPr>
              <w:t xml:space="preserve">0.840 </w:t>
            </w:r>
          </w:p>
        </w:tc>
        <w:tc>
          <w:tcPr>
            <w:tcW w:w="755" w:type="dxa"/>
            <w:vAlign w:val="center"/>
          </w:tcPr>
          <w:p>
            <w:pPr>
              <w:spacing w:line="360" w:lineRule="auto"/>
              <w:jc w:val="center"/>
              <w:rPr>
                <w:color w:val="000000"/>
                <w:szCs w:val="21"/>
              </w:rPr>
            </w:pPr>
            <w:r>
              <w:rPr>
                <w:color w:val="000000"/>
                <w:szCs w:val="21"/>
              </w:rPr>
              <w:t xml:space="preserve">0.882 </w:t>
            </w:r>
          </w:p>
        </w:tc>
        <w:tc>
          <w:tcPr>
            <w:tcW w:w="756" w:type="dxa"/>
            <w:vAlign w:val="center"/>
          </w:tcPr>
          <w:p>
            <w:pPr>
              <w:spacing w:line="360" w:lineRule="auto"/>
              <w:jc w:val="center"/>
              <w:rPr>
                <w:color w:val="000000"/>
                <w:szCs w:val="21"/>
              </w:rPr>
            </w:pPr>
            <w:r>
              <w:rPr>
                <w:color w:val="000000"/>
                <w:szCs w:val="21"/>
              </w:rPr>
              <w:t xml:space="preserve">0.923 </w:t>
            </w:r>
          </w:p>
        </w:tc>
        <w:tc>
          <w:tcPr>
            <w:tcW w:w="756" w:type="dxa"/>
            <w:vAlign w:val="center"/>
          </w:tcPr>
          <w:p>
            <w:pPr>
              <w:spacing w:line="360" w:lineRule="auto"/>
              <w:jc w:val="center"/>
              <w:rPr>
                <w:color w:val="000000"/>
                <w:szCs w:val="21"/>
              </w:rPr>
            </w:pPr>
            <w:r>
              <w:rPr>
                <w:color w:val="000000"/>
                <w:szCs w:val="21"/>
              </w:rPr>
              <w:t xml:space="preserve">0.962 </w:t>
            </w:r>
          </w:p>
        </w:tc>
        <w:tc>
          <w:tcPr>
            <w:tcW w:w="756" w:type="dxa"/>
            <w:vAlign w:val="center"/>
          </w:tcPr>
          <w:p>
            <w:pPr>
              <w:spacing w:line="360" w:lineRule="auto"/>
              <w:jc w:val="center"/>
              <w:rPr>
                <w:color w:val="000000"/>
                <w:szCs w:val="21"/>
              </w:rPr>
            </w:pPr>
            <w:r>
              <w:rPr>
                <w:color w:val="000000"/>
                <w:szCs w:val="21"/>
              </w:rPr>
              <w:t xml:space="preserve">1.000 </w:t>
            </w:r>
          </w:p>
        </w:tc>
        <w:tc>
          <w:tcPr>
            <w:tcW w:w="756" w:type="dxa"/>
            <w:vAlign w:val="center"/>
          </w:tcPr>
          <w:p>
            <w:pPr>
              <w:spacing w:line="360" w:lineRule="auto"/>
              <w:jc w:val="center"/>
              <w:rPr>
                <w:color w:val="000000"/>
                <w:szCs w:val="21"/>
              </w:rPr>
            </w:pPr>
            <w:r>
              <w:rPr>
                <w:color w:val="000000"/>
                <w:szCs w:val="21"/>
              </w:rPr>
              <w:t xml:space="preserve">1.037 </w:t>
            </w:r>
          </w:p>
        </w:tc>
        <w:tc>
          <w:tcPr>
            <w:tcW w:w="756" w:type="dxa"/>
            <w:vAlign w:val="center"/>
          </w:tcPr>
          <w:p>
            <w:pPr>
              <w:spacing w:line="360" w:lineRule="auto"/>
              <w:jc w:val="center"/>
              <w:rPr>
                <w:color w:val="000000"/>
                <w:szCs w:val="21"/>
              </w:rPr>
            </w:pPr>
            <w:r>
              <w:rPr>
                <w:color w:val="000000"/>
                <w:szCs w:val="21"/>
              </w:rPr>
              <w:t xml:space="preserve">1.072 </w:t>
            </w:r>
          </w:p>
        </w:tc>
        <w:tc>
          <w:tcPr>
            <w:tcW w:w="756" w:type="dxa"/>
            <w:vAlign w:val="center"/>
          </w:tcPr>
          <w:p>
            <w:pPr>
              <w:spacing w:line="360" w:lineRule="auto"/>
              <w:jc w:val="center"/>
              <w:rPr>
                <w:color w:val="000000"/>
                <w:szCs w:val="21"/>
              </w:rPr>
            </w:pPr>
            <w:r>
              <w:rPr>
                <w:color w:val="000000"/>
                <w:szCs w:val="21"/>
              </w:rPr>
              <w:t xml:space="preserve">1.106 </w:t>
            </w:r>
          </w:p>
        </w:tc>
        <w:tc>
          <w:tcPr>
            <w:tcW w:w="900" w:type="dxa"/>
            <w:vAlign w:val="center"/>
          </w:tcPr>
          <w:p>
            <w:pPr>
              <w:spacing w:line="360" w:lineRule="auto"/>
              <w:jc w:val="center"/>
              <w:rPr>
                <w:color w:val="000000"/>
                <w:szCs w:val="21"/>
              </w:rPr>
            </w:pPr>
            <w:r>
              <w:rPr>
                <w:color w:val="000000"/>
                <w:szCs w:val="21"/>
              </w:rPr>
              <w:t xml:space="preserve">1.138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055" w:type="dxa"/>
            <w:vAlign w:val="center"/>
          </w:tcPr>
          <w:p>
            <w:pPr>
              <w:widowControl/>
              <w:spacing w:line="360" w:lineRule="auto"/>
              <w:jc w:val="center"/>
              <w:rPr>
                <w:color w:val="000000"/>
                <w:kern w:val="0"/>
                <w:szCs w:val="21"/>
              </w:rPr>
            </w:pPr>
            <w:r>
              <w:rPr>
                <w:color w:val="000000"/>
                <w:kern w:val="0"/>
                <w:szCs w:val="21"/>
              </w:rPr>
              <w:t>容积率</w:t>
            </w:r>
          </w:p>
        </w:tc>
        <w:tc>
          <w:tcPr>
            <w:tcW w:w="825" w:type="dxa"/>
            <w:vAlign w:val="center"/>
          </w:tcPr>
          <w:p>
            <w:pPr>
              <w:spacing w:line="360" w:lineRule="auto"/>
              <w:jc w:val="center"/>
              <w:rPr>
                <w:color w:val="000000"/>
                <w:szCs w:val="21"/>
              </w:rPr>
            </w:pPr>
            <w:r>
              <w:rPr>
                <w:color w:val="000000"/>
                <w:szCs w:val="21"/>
              </w:rPr>
              <w:t>1.5</w:t>
            </w:r>
          </w:p>
        </w:tc>
        <w:tc>
          <w:tcPr>
            <w:tcW w:w="755" w:type="dxa"/>
            <w:vAlign w:val="center"/>
          </w:tcPr>
          <w:p>
            <w:pPr>
              <w:spacing w:line="360" w:lineRule="auto"/>
              <w:jc w:val="center"/>
              <w:rPr>
                <w:color w:val="000000"/>
                <w:szCs w:val="21"/>
              </w:rPr>
            </w:pPr>
            <w:r>
              <w:rPr>
                <w:color w:val="000000"/>
                <w:szCs w:val="21"/>
              </w:rPr>
              <w:t>1.6</w:t>
            </w:r>
          </w:p>
        </w:tc>
        <w:tc>
          <w:tcPr>
            <w:tcW w:w="755" w:type="dxa"/>
            <w:vAlign w:val="center"/>
          </w:tcPr>
          <w:p>
            <w:pPr>
              <w:spacing w:line="360" w:lineRule="auto"/>
              <w:jc w:val="center"/>
              <w:rPr>
                <w:color w:val="000000"/>
                <w:szCs w:val="21"/>
              </w:rPr>
            </w:pPr>
            <w:r>
              <w:rPr>
                <w:color w:val="000000"/>
                <w:szCs w:val="21"/>
              </w:rPr>
              <w:t>1.7</w:t>
            </w:r>
          </w:p>
        </w:tc>
        <w:tc>
          <w:tcPr>
            <w:tcW w:w="756" w:type="dxa"/>
            <w:vAlign w:val="center"/>
          </w:tcPr>
          <w:p>
            <w:pPr>
              <w:spacing w:line="360" w:lineRule="auto"/>
              <w:jc w:val="center"/>
              <w:rPr>
                <w:color w:val="000000"/>
                <w:szCs w:val="21"/>
              </w:rPr>
            </w:pPr>
            <w:r>
              <w:rPr>
                <w:color w:val="000000"/>
                <w:szCs w:val="21"/>
              </w:rPr>
              <w:t>1.8</w:t>
            </w:r>
          </w:p>
        </w:tc>
        <w:tc>
          <w:tcPr>
            <w:tcW w:w="756" w:type="dxa"/>
            <w:vAlign w:val="center"/>
          </w:tcPr>
          <w:p>
            <w:pPr>
              <w:spacing w:line="360" w:lineRule="auto"/>
              <w:jc w:val="center"/>
              <w:rPr>
                <w:color w:val="000000"/>
                <w:szCs w:val="21"/>
              </w:rPr>
            </w:pPr>
            <w:r>
              <w:rPr>
                <w:color w:val="000000"/>
                <w:szCs w:val="21"/>
              </w:rPr>
              <w:t>1.9</w:t>
            </w:r>
          </w:p>
        </w:tc>
        <w:tc>
          <w:tcPr>
            <w:tcW w:w="756" w:type="dxa"/>
            <w:vAlign w:val="center"/>
          </w:tcPr>
          <w:p>
            <w:pPr>
              <w:spacing w:line="360" w:lineRule="auto"/>
              <w:jc w:val="center"/>
              <w:rPr>
                <w:color w:val="000000"/>
                <w:szCs w:val="21"/>
              </w:rPr>
            </w:pPr>
            <w:r>
              <w:rPr>
                <w:color w:val="000000"/>
                <w:szCs w:val="21"/>
              </w:rPr>
              <w:t>2</w:t>
            </w:r>
          </w:p>
        </w:tc>
        <w:tc>
          <w:tcPr>
            <w:tcW w:w="756" w:type="dxa"/>
            <w:vAlign w:val="center"/>
          </w:tcPr>
          <w:p>
            <w:pPr>
              <w:spacing w:line="360" w:lineRule="auto"/>
              <w:jc w:val="center"/>
              <w:rPr>
                <w:color w:val="000000"/>
                <w:szCs w:val="21"/>
              </w:rPr>
            </w:pPr>
            <w:r>
              <w:rPr>
                <w:color w:val="000000"/>
                <w:szCs w:val="21"/>
              </w:rPr>
              <w:t>2.1</w:t>
            </w:r>
          </w:p>
        </w:tc>
        <w:tc>
          <w:tcPr>
            <w:tcW w:w="756" w:type="dxa"/>
            <w:vAlign w:val="center"/>
          </w:tcPr>
          <w:p>
            <w:pPr>
              <w:spacing w:line="360" w:lineRule="auto"/>
              <w:jc w:val="center"/>
              <w:rPr>
                <w:color w:val="000000"/>
                <w:szCs w:val="21"/>
              </w:rPr>
            </w:pPr>
            <w:r>
              <w:rPr>
                <w:color w:val="000000"/>
                <w:szCs w:val="21"/>
              </w:rPr>
              <w:t>2.2</w:t>
            </w:r>
          </w:p>
        </w:tc>
        <w:tc>
          <w:tcPr>
            <w:tcW w:w="756" w:type="dxa"/>
            <w:vAlign w:val="center"/>
          </w:tcPr>
          <w:p>
            <w:pPr>
              <w:spacing w:line="360" w:lineRule="auto"/>
              <w:jc w:val="center"/>
              <w:rPr>
                <w:color w:val="000000"/>
                <w:szCs w:val="21"/>
              </w:rPr>
            </w:pPr>
            <w:r>
              <w:rPr>
                <w:color w:val="000000"/>
                <w:szCs w:val="21"/>
              </w:rPr>
              <w:t>2.3</w:t>
            </w:r>
          </w:p>
        </w:tc>
        <w:tc>
          <w:tcPr>
            <w:tcW w:w="900" w:type="dxa"/>
            <w:vAlign w:val="center"/>
          </w:tcPr>
          <w:p>
            <w:pPr>
              <w:spacing w:line="360" w:lineRule="auto"/>
              <w:jc w:val="center"/>
              <w:rPr>
                <w:color w:val="000000"/>
                <w:szCs w:val="21"/>
              </w:rPr>
            </w:pPr>
            <w:r>
              <w:rPr>
                <w:color w:val="000000"/>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055" w:type="dxa"/>
            <w:vAlign w:val="center"/>
          </w:tcPr>
          <w:p>
            <w:pPr>
              <w:widowControl/>
              <w:spacing w:line="360" w:lineRule="auto"/>
              <w:jc w:val="center"/>
              <w:rPr>
                <w:color w:val="000000"/>
                <w:kern w:val="0"/>
                <w:szCs w:val="21"/>
              </w:rPr>
            </w:pPr>
            <w:r>
              <w:rPr>
                <w:color w:val="000000"/>
                <w:kern w:val="0"/>
                <w:szCs w:val="21"/>
              </w:rPr>
              <w:t>比值</w:t>
            </w:r>
          </w:p>
        </w:tc>
        <w:tc>
          <w:tcPr>
            <w:tcW w:w="825" w:type="dxa"/>
            <w:vAlign w:val="center"/>
          </w:tcPr>
          <w:p>
            <w:pPr>
              <w:spacing w:line="360" w:lineRule="auto"/>
              <w:jc w:val="center"/>
              <w:rPr>
                <w:color w:val="000000"/>
                <w:szCs w:val="21"/>
              </w:rPr>
            </w:pPr>
            <w:r>
              <w:rPr>
                <w:color w:val="000000"/>
                <w:szCs w:val="21"/>
              </w:rPr>
              <w:t xml:space="preserve">1.170 </w:t>
            </w:r>
          </w:p>
        </w:tc>
        <w:tc>
          <w:tcPr>
            <w:tcW w:w="755" w:type="dxa"/>
            <w:vAlign w:val="center"/>
          </w:tcPr>
          <w:p>
            <w:pPr>
              <w:spacing w:line="360" w:lineRule="auto"/>
              <w:jc w:val="center"/>
              <w:rPr>
                <w:color w:val="000000"/>
                <w:szCs w:val="21"/>
              </w:rPr>
            </w:pPr>
            <w:r>
              <w:rPr>
                <w:color w:val="000000"/>
                <w:szCs w:val="21"/>
              </w:rPr>
              <w:t xml:space="preserve">1.200 </w:t>
            </w:r>
          </w:p>
        </w:tc>
        <w:tc>
          <w:tcPr>
            <w:tcW w:w="755" w:type="dxa"/>
            <w:vAlign w:val="center"/>
          </w:tcPr>
          <w:p>
            <w:pPr>
              <w:spacing w:line="360" w:lineRule="auto"/>
              <w:jc w:val="center"/>
              <w:rPr>
                <w:color w:val="000000"/>
                <w:szCs w:val="21"/>
              </w:rPr>
            </w:pPr>
            <w:r>
              <w:rPr>
                <w:color w:val="000000"/>
                <w:szCs w:val="21"/>
              </w:rPr>
              <w:t xml:space="preserve">1.229 </w:t>
            </w:r>
          </w:p>
        </w:tc>
        <w:tc>
          <w:tcPr>
            <w:tcW w:w="756" w:type="dxa"/>
            <w:vAlign w:val="center"/>
          </w:tcPr>
          <w:p>
            <w:pPr>
              <w:spacing w:line="360" w:lineRule="auto"/>
              <w:jc w:val="center"/>
              <w:rPr>
                <w:color w:val="000000"/>
                <w:szCs w:val="21"/>
              </w:rPr>
            </w:pPr>
            <w:r>
              <w:rPr>
                <w:color w:val="000000"/>
                <w:szCs w:val="21"/>
              </w:rPr>
              <w:t xml:space="preserve">1.257 </w:t>
            </w:r>
          </w:p>
        </w:tc>
        <w:tc>
          <w:tcPr>
            <w:tcW w:w="756" w:type="dxa"/>
            <w:vAlign w:val="center"/>
          </w:tcPr>
          <w:p>
            <w:pPr>
              <w:spacing w:line="360" w:lineRule="auto"/>
              <w:jc w:val="center"/>
              <w:rPr>
                <w:color w:val="000000"/>
                <w:szCs w:val="21"/>
              </w:rPr>
            </w:pPr>
            <w:r>
              <w:rPr>
                <w:color w:val="000000"/>
                <w:szCs w:val="21"/>
              </w:rPr>
              <w:t xml:space="preserve">1.284 </w:t>
            </w:r>
          </w:p>
        </w:tc>
        <w:tc>
          <w:tcPr>
            <w:tcW w:w="756" w:type="dxa"/>
            <w:vAlign w:val="center"/>
          </w:tcPr>
          <w:p>
            <w:pPr>
              <w:spacing w:line="360" w:lineRule="auto"/>
              <w:jc w:val="center"/>
              <w:rPr>
                <w:color w:val="000000"/>
                <w:szCs w:val="21"/>
              </w:rPr>
            </w:pPr>
            <w:r>
              <w:rPr>
                <w:color w:val="000000"/>
                <w:szCs w:val="21"/>
              </w:rPr>
              <w:t xml:space="preserve">1.311 </w:t>
            </w:r>
          </w:p>
        </w:tc>
        <w:tc>
          <w:tcPr>
            <w:tcW w:w="756" w:type="dxa"/>
            <w:vAlign w:val="center"/>
          </w:tcPr>
          <w:p>
            <w:pPr>
              <w:spacing w:line="360" w:lineRule="auto"/>
              <w:jc w:val="center"/>
              <w:rPr>
                <w:color w:val="000000"/>
                <w:szCs w:val="21"/>
              </w:rPr>
            </w:pPr>
            <w:r>
              <w:rPr>
                <w:color w:val="000000"/>
                <w:szCs w:val="21"/>
              </w:rPr>
              <w:t xml:space="preserve">1.336 </w:t>
            </w:r>
          </w:p>
        </w:tc>
        <w:tc>
          <w:tcPr>
            <w:tcW w:w="756" w:type="dxa"/>
            <w:vAlign w:val="center"/>
          </w:tcPr>
          <w:p>
            <w:pPr>
              <w:spacing w:line="360" w:lineRule="auto"/>
              <w:jc w:val="center"/>
              <w:rPr>
                <w:color w:val="000000"/>
                <w:szCs w:val="21"/>
              </w:rPr>
            </w:pPr>
            <w:r>
              <w:rPr>
                <w:color w:val="000000"/>
                <w:szCs w:val="21"/>
              </w:rPr>
              <w:t xml:space="preserve">1.360 </w:t>
            </w:r>
          </w:p>
        </w:tc>
        <w:tc>
          <w:tcPr>
            <w:tcW w:w="756" w:type="dxa"/>
            <w:vAlign w:val="center"/>
          </w:tcPr>
          <w:p>
            <w:pPr>
              <w:spacing w:line="360" w:lineRule="auto"/>
              <w:jc w:val="center"/>
              <w:rPr>
                <w:color w:val="000000"/>
                <w:szCs w:val="21"/>
              </w:rPr>
            </w:pPr>
            <w:r>
              <w:rPr>
                <w:color w:val="000000"/>
                <w:szCs w:val="21"/>
              </w:rPr>
              <w:t xml:space="preserve">1.383 </w:t>
            </w:r>
          </w:p>
        </w:tc>
        <w:tc>
          <w:tcPr>
            <w:tcW w:w="900" w:type="dxa"/>
            <w:vAlign w:val="center"/>
          </w:tcPr>
          <w:p>
            <w:pPr>
              <w:spacing w:line="360" w:lineRule="auto"/>
              <w:jc w:val="center"/>
              <w:rPr>
                <w:color w:val="000000"/>
                <w:szCs w:val="21"/>
              </w:rPr>
            </w:pPr>
            <w:r>
              <w:rPr>
                <w:color w:val="000000"/>
                <w:szCs w:val="21"/>
              </w:rPr>
              <w:t xml:space="preserve">1.406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055" w:type="dxa"/>
            <w:vAlign w:val="center"/>
          </w:tcPr>
          <w:p>
            <w:pPr>
              <w:widowControl/>
              <w:spacing w:line="360" w:lineRule="auto"/>
              <w:jc w:val="center"/>
              <w:rPr>
                <w:color w:val="000000"/>
                <w:kern w:val="0"/>
                <w:szCs w:val="21"/>
              </w:rPr>
            </w:pPr>
            <w:r>
              <w:rPr>
                <w:color w:val="000000"/>
                <w:kern w:val="0"/>
                <w:szCs w:val="21"/>
              </w:rPr>
              <w:t>容积率</w:t>
            </w:r>
          </w:p>
        </w:tc>
        <w:tc>
          <w:tcPr>
            <w:tcW w:w="825" w:type="dxa"/>
            <w:vAlign w:val="center"/>
          </w:tcPr>
          <w:p>
            <w:pPr>
              <w:spacing w:line="360" w:lineRule="auto"/>
              <w:jc w:val="center"/>
              <w:rPr>
                <w:color w:val="000000"/>
                <w:szCs w:val="21"/>
              </w:rPr>
            </w:pPr>
            <w:r>
              <w:rPr>
                <w:color w:val="000000"/>
                <w:szCs w:val="21"/>
              </w:rPr>
              <w:t>2.5</w:t>
            </w:r>
          </w:p>
        </w:tc>
        <w:tc>
          <w:tcPr>
            <w:tcW w:w="755" w:type="dxa"/>
            <w:vAlign w:val="center"/>
          </w:tcPr>
          <w:p>
            <w:pPr>
              <w:spacing w:line="360" w:lineRule="auto"/>
              <w:jc w:val="center"/>
              <w:rPr>
                <w:color w:val="000000"/>
                <w:szCs w:val="21"/>
              </w:rPr>
            </w:pPr>
            <w:r>
              <w:rPr>
                <w:color w:val="000000"/>
                <w:szCs w:val="21"/>
              </w:rPr>
              <w:t>2.6</w:t>
            </w:r>
          </w:p>
        </w:tc>
        <w:tc>
          <w:tcPr>
            <w:tcW w:w="755" w:type="dxa"/>
            <w:vAlign w:val="center"/>
          </w:tcPr>
          <w:p>
            <w:pPr>
              <w:spacing w:line="360" w:lineRule="auto"/>
              <w:jc w:val="center"/>
              <w:rPr>
                <w:color w:val="000000"/>
                <w:szCs w:val="21"/>
              </w:rPr>
            </w:pPr>
            <w:r>
              <w:rPr>
                <w:color w:val="000000"/>
                <w:szCs w:val="21"/>
              </w:rPr>
              <w:t>2.7</w:t>
            </w:r>
          </w:p>
        </w:tc>
        <w:tc>
          <w:tcPr>
            <w:tcW w:w="756" w:type="dxa"/>
            <w:vAlign w:val="center"/>
          </w:tcPr>
          <w:p>
            <w:pPr>
              <w:spacing w:line="360" w:lineRule="auto"/>
              <w:jc w:val="center"/>
              <w:rPr>
                <w:color w:val="000000"/>
                <w:szCs w:val="21"/>
              </w:rPr>
            </w:pPr>
            <w:r>
              <w:rPr>
                <w:color w:val="000000"/>
                <w:szCs w:val="21"/>
              </w:rPr>
              <w:t>2.8</w:t>
            </w:r>
          </w:p>
        </w:tc>
        <w:tc>
          <w:tcPr>
            <w:tcW w:w="756" w:type="dxa"/>
            <w:vAlign w:val="center"/>
          </w:tcPr>
          <w:p>
            <w:pPr>
              <w:spacing w:line="360" w:lineRule="auto"/>
              <w:jc w:val="center"/>
              <w:rPr>
                <w:color w:val="000000"/>
                <w:szCs w:val="21"/>
              </w:rPr>
            </w:pPr>
            <w:r>
              <w:rPr>
                <w:color w:val="000000"/>
                <w:szCs w:val="21"/>
              </w:rPr>
              <w:t>2.9</w:t>
            </w:r>
          </w:p>
        </w:tc>
        <w:tc>
          <w:tcPr>
            <w:tcW w:w="756" w:type="dxa"/>
            <w:vAlign w:val="center"/>
          </w:tcPr>
          <w:p>
            <w:pPr>
              <w:spacing w:line="360" w:lineRule="auto"/>
              <w:jc w:val="center"/>
              <w:rPr>
                <w:color w:val="000000"/>
                <w:szCs w:val="21"/>
              </w:rPr>
            </w:pPr>
            <w:r>
              <w:rPr>
                <w:color w:val="000000"/>
                <w:szCs w:val="21"/>
              </w:rPr>
              <w:t>3</w:t>
            </w:r>
          </w:p>
        </w:tc>
        <w:tc>
          <w:tcPr>
            <w:tcW w:w="756" w:type="dxa"/>
            <w:vAlign w:val="center"/>
          </w:tcPr>
          <w:p>
            <w:pPr>
              <w:spacing w:line="360" w:lineRule="auto"/>
              <w:jc w:val="center"/>
              <w:rPr>
                <w:color w:val="000000"/>
                <w:szCs w:val="21"/>
              </w:rPr>
            </w:pPr>
            <w:r>
              <w:rPr>
                <w:color w:val="000000"/>
                <w:szCs w:val="21"/>
              </w:rPr>
              <w:t>3.1</w:t>
            </w:r>
          </w:p>
        </w:tc>
        <w:tc>
          <w:tcPr>
            <w:tcW w:w="756" w:type="dxa"/>
            <w:vAlign w:val="center"/>
          </w:tcPr>
          <w:p>
            <w:pPr>
              <w:spacing w:line="360" w:lineRule="auto"/>
              <w:jc w:val="center"/>
              <w:rPr>
                <w:color w:val="000000"/>
                <w:szCs w:val="21"/>
              </w:rPr>
            </w:pPr>
            <w:r>
              <w:rPr>
                <w:color w:val="000000"/>
                <w:szCs w:val="21"/>
              </w:rPr>
              <w:t>3.2</w:t>
            </w:r>
          </w:p>
        </w:tc>
        <w:tc>
          <w:tcPr>
            <w:tcW w:w="756" w:type="dxa"/>
            <w:vAlign w:val="center"/>
          </w:tcPr>
          <w:p>
            <w:pPr>
              <w:spacing w:line="360" w:lineRule="auto"/>
              <w:jc w:val="center"/>
              <w:rPr>
                <w:color w:val="000000"/>
                <w:szCs w:val="21"/>
              </w:rPr>
            </w:pPr>
            <w:r>
              <w:rPr>
                <w:color w:val="000000"/>
                <w:szCs w:val="21"/>
              </w:rPr>
              <w:t>3.3</w:t>
            </w:r>
          </w:p>
        </w:tc>
        <w:tc>
          <w:tcPr>
            <w:tcW w:w="900" w:type="dxa"/>
            <w:vAlign w:val="center"/>
          </w:tcPr>
          <w:p>
            <w:pPr>
              <w:spacing w:line="360" w:lineRule="auto"/>
              <w:jc w:val="center"/>
              <w:rPr>
                <w:color w:val="000000"/>
                <w:szCs w:val="21"/>
              </w:rPr>
            </w:pPr>
            <w:r>
              <w:rPr>
                <w:color w:val="000000"/>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055" w:type="dxa"/>
            <w:vAlign w:val="center"/>
          </w:tcPr>
          <w:p>
            <w:pPr>
              <w:widowControl/>
              <w:spacing w:line="360" w:lineRule="auto"/>
              <w:jc w:val="center"/>
              <w:rPr>
                <w:color w:val="000000"/>
                <w:kern w:val="0"/>
                <w:szCs w:val="21"/>
              </w:rPr>
            </w:pPr>
            <w:r>
              <w:rPr>
                <w:color w:val="000000"/>
                <w:kern w:val="0"/>
                <w:szCs w:val="21"/>
              </w:rPr>
              <w:t>比值</w:t>
            </w:r>
          </w:p>
        </w:tc>
        <w:tc>
          <w:tcPr>
            <w:tcW w:w="825" w:type="dxa"/>
            <w:vAlign w:val="center"/>
          </w:tcPr>
          <w:p>
            <w:pPr>
              <w:spacing w:line="360" w:lineRule="auto"/>
              <w:jc w:val="center"/>
              <w:rPr>
                <w:color w:val="000000"/>
                <w:szCs w:val="21"/>
              </w:rPr>
            </w:pPr>
            <w:r>
              <w:rPr>
                <w:color w:val="000000"/>
                <w:szCs w:val="21"/>
              </w:rPr>
              <w:t xml:space="preserve">1.427 </w:t>
            </w:r>
          </w:p>
        </w:tc>
        <w:tc>
          <w:tcPr>
            <w:tcW w:w="755" w:type="dxa"/>
            <w:vAlign w:val="center"/>
          </w:tcPr>
          <w:p>
            <w:pPr>
              <w:spacing w:line="360" w:lineRule="auto"/>
              <w:jc w:val="center"/>
              <w:rPr>
                <w:color w:val="000000"/>
                <w:szCs w:val="21"/>
              </w:rPr>
            </w:pPr>
            <w:r>
              <w:rPr>
                <w:color w:val="000000"/>
                <w:szCs w:val="21"/>
              </w:rPr>
              <w:t xml:space="preserve">1.448 </w:t>
            </w:r>
          </w:p>
        </w:tc>
        <w:tc>
          <w:tcPr>
            <w:tcW w:w="755" w:type="dxa"/>
            <w:vAlign w:val="center"/>
          </w:tcPr>
          <w:p>
            <w:pPr>
              <w:spacing w:line="360" w:lineRule="auto"/>
              <w:jc w:val="center"/>
              <w:rPr>
                <w:color w:val="000000"/>
                <w:szCs w:val="21"/>
              </w:rPr>
            </w:pPr>
            <w:r>
              <w:rPr>
                <w:color w:val="000000"/>
                <w:szCs w:val="21"/>
              </w:rPr>
              <w:t xml:space="preserve">1.469 </w:t>
            </w:r>
          </w:p>
        </w:tc>
        <w:tc>
          <w:tcPr>
            <w:tcW w:w="756" w:type="dxa"/>
            <w:vAlign w:val="center"/>
          </w:tcPr>
          <w:p>
            <w:pPr>
              <w:spacing w:line="360" w:lineRule="auto"/>
              <w:jc w:val="center"/>
              <w:rPr>
                <w:color w:val="000000"/>
                <w:szCs w:val="21"/>
              </w:rPr>
            </w:pPr>
            <w:r>
              <w:rPr>
                <w:color w:val="000000"/>
                <w:szCs w:val="21"/>
              </w:rPr>
              <w:t xml:space="preserve">1.488 </w:t>
            </w:r>
          </w:p>
        </w:tc>
        <w:tc>
          <w:tcPr>
            <w:tcW w:w="756" w:type="dxa"/>
            <w:vAlign w:val="center"/>
          </w:tcPr>
          <w:p>
            <w:pPr>
              <w:spacing w:line="360" w:lineRule="auto"/>
              <w:jc w:val="center"/>
              <w:rPr>
                <w:color w:val="000000"/>
                <w:szCs w:val="21"/>
              </w:rPr>
            </w:pPr>
            <w:r>
              <w:rPr>
                <w:color w:val="000000"/>
                <w:szCs w:val="21"/>
              </w:rPr>
              <w:t xml:space="preserve">1.507 </w:t>
            </w:r>
          </w:p>
        </w:tc>
        <w:tc>
          <w:tcPr>
            <w:tcW w:w="756" w:type="dxa"/>
            <w:vAlign w:val="center"/>
          </w:tcPr>
          <w:p>
            <w:pPr>
              <w:spacing w:line="360" w:lineRule="auto"/>
              <w:jc w:val="center"/>
              <w:rPr>
                <w:color w:val="000000"/>
                <w:szCs w:val="21"/>
              </w:rPr>
            </w:pPr>
            <w:r>
              <w:rPr>
                <w:color w:val="000000"/>
                <w:szCs w:val="21"/>
              </w:rPr>
              <w:t xml:space="preserve">1.525 </w:t>
            </w:r>
          </w:p>
        </w:tc>
        <w:tc>
          <w:tcPr>
            <w:tcW w:w="756" w:type="dxa"/>
            <w:vAlign w:val="center"/>
          </w:tcPr>
          <w:p>
            <w:pPr>
              <w:spacing w:line="360" w:lineRule="auto"/>
              <w:jc w:val="center"/>
              <w:rPr>
                <w:color w:val="000000"/>
                <w:szCs w:val="21"/>
              </w:rPr>
            </w:pPr>
            <w:r>
              <w:rPr>
                <w:color w:val="000000"/>
                <w:szCs w:val="21"/>
              </w:rPr>
              <w:t xml:space="preserve">1.542 </w:t>
            </w:r>
          </w:p>
        </w:tc>
        <w:tc>
          <w:tcPr>
            <w:tcW w:w="756" w:type="dxa"/>
            <w:vAlign w:val="center"/>
          </w:tcPr>
          <w:p>
            <w:pPr>
              <w:spacing w:line="360" w:lineRule="auto"/>
              <w:jc w:val="center"/>
              <w:rPr>
                <w:color w:val="000000"/>
                <w:szCs w:val="21"/>
              </w:rPr>
            </w:pPr>
            <w:r>
              <w:rPr>
                <w:color w:val="000000"/>
                <w:szCs w:val="21"/>
              </w:rPr>
              <w:t xml:space="preserve">1.559 </w:t>
            </w:r>
          </w:p>
        </w:tc>
        <w:tc>
          <w:tcPr>
            <w:tcW w:w="756" w:type="dxa"/>
            <w:vAlign w:val="center"/>
          </w:tcPr>
          <w:p>
            <w:pPr>
              <w:spacing w:line="360" w:lineRule="auto"/>
              <w:jc w:val="center"/>
              <w:rPr>
                <w:color w:val="000000"/>
                <w:szCs w:val="21"/>
              </w:rPr>
            </w:pPr>
            <w:r>
              <w:rPr>
                <w:color w:val="000000"/>
                <w:szCs w:val="21"/>
              </w:rPr>
              <w:t xml:space="preserve">1.575 </w:t>
            </w:r>
          </w:p>
        </w:tc>
        <w:tc>
          <w:tcPr>
            <w:tcW w:w="900" w:type="dxa"/>
            <w:vAlign w:val="center"/>
          </w:tcPr>
          <w:p>
            <w:pPr>
              <w:spacing w:line="360" w:lineRule="auto"/>
              <w:jc w:val="center"/>
              <w:rPr>
                <w:color w:val="000000"/>
                <w:szCs w:val="21"/>
              </w:rPr>
            </w:pPr>
            <w:r>
              <w:rPr>
                <w:color w:val="000000"/>
                <w:szCs w:val="21"/>
              </w:rPr>
              <w:t xml:space="preserve">1.590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055" w:type="dxa"/>
            <w:vAlign w:val="center"/>
          </w:tcPr>
          <w:p>
            <w:pPr>
              <w:widowControl/>
              <w:spacing w:line="360" w:lineRule="auto"/>
              <w:jc w:val="center"/>
              <w:rPr>
                <w:color w:val="000000"/>
                <w:kern w:val="0"/>
                <w:szCs w:val="21"/>
              </w:rPr>
            </w:pPr>
            <w:r>
              <w:rPr>
                <w:color w:val="000000"/>
                <w:kern w:val="0"/>
                <w:szCs w:val="21"/>
              </w:rPr>
              <w:t>容积率</w:t>
            </w:r>
          </w:p>
        </w:tc>
        <w:tc>
          <w:tcPr>
            <w:tcW w:w="825" w:type="dxa"/>
            <w:vAlign w:val="center"/>
          </w:tcPr>
          <w:p>
            <w:pPr>
              <w:spacing w:line="360" w:lineRule="auto"/>
              <w:jc w:val="center"/>
              <w:rPr>
                <w:color w:val="000000"/>
                <w:szCs w:val="21"/>
              </w:rPr>
            </w:pPr>
            <w:r>
              <w:rPr>
                <w:color w:val="000000"/>
                <w:szCs w:val="21"/>
              </w:rPr>
              <w:t>3.5</w:t>
            </w:r>
          </w:p>
        </w:tc>
        <w:tc>
          <w:tcPr>
            <w:tcW w:w="755" w:type="dxa"/>
            <w:vAlign w:val="center"/>
          </w:tcPr>
          <w:p>
            <w:pPr>
              <w:spacing w:line="360" w:lineRule="auto"/>
              <w:jc w:val="center"/>
              <w:rPr>
                <w:color w:val="000000"/>
                <w:szCs w:val="21"/>
              </w:rPr>
            </w:pPr>
            <w:r>
              <w:rPr>
                <w:color w:val="000000"/>
                <w:szCs w:val="21"/>
              </w:rPr>
              <w:t>3.6</w:t>
            </w:r>
          </w:p>
        </w:tc>
        <w:tc>
          <w:tcPr>
            <w:tcW w:w="755" w:type="dxa"/>
            <w:vAlign w:val="center"/>
          </w:tcPr>
          <w:p>
            <w:pPr>
              <w:spacing w:line="360" w:lineRule="auto"/>
              <w:jc w:val="center"/>
              <w:rPr>
                <w:color w:val="000000"/>
                <w:szCs w:val="21"/>
              </w:rPr>
            </w:pPr>
            <w:r>
              <w:rPr>
                <w:color w:val="000000"/>
                <w:szCs w:val="21"/>
              </w:rPr>
              <w:t>3.7</w:t>
            </w:r>
          </w:p>
        </w:tc>
        <w:tc>
          <w:tcPr>
            <w:tcW w:w="756" w:type="dxa"/>
            <w:vAlign w:val="center"/>
          </w:tcPr>
          <w:p>
            <w:pPr>
              <w:spacing w:line="360" w:lineRule="auto"/>
              <w:jc w:val="center"/>
              <w:rPr>
                <w:color w:val="000000"/>
                <w:szCs w:val="21"/>
              </w:rPr>
            </w:pPr>
            <w:r>
              <w:rPr>
                <w:color w:val="000000"/>
                <w:szCs w:val="21"/>
              </w:rPr>
              <w:t>3.8</w:t>
            </w:r>
          </w:p>
        </w:tc>
        <w:tc>
          <w:tcPr>
            <w:tcW w:w="756" w:type="dxa"/>
            <w:vAlign w:val="center"/>
          </w:tcPr>
          <w:p>
            <w:pPr>
              <w:spacing w:line="360" w:lineRule="auto"/>
              <w:jc w:val="center"/>
              <w:rPr>
                <w:color w:val="000000"/>
                <w:szCs w:val="21"/>
              </w:rPr>
            </w:pPr>
            <w:r>
              <w:rPr>
                <w:color w:val="000000"/>
                <w:szCs w:val="21"/>
              </w:rPr>
              <w:t>3.9</w:t>
            </w:r>
          </w:p>
        </w:tc>
        <w:tc>
          <w:tcPr>
            <w:tcW w:w="756" w:type="dxa"/>
            <w:vAlign w:val="center"/>
          </w:tcPr>
          <w:p>
            <w:pPr>
              <w:spacing w:line="360" w:lineRule="auto"/>
              <w:jc w:val="center"/>
              <w:rPr>
                <w:color w:val="000000"/>
                <w:szCs w:val="21"/>
              </w:rPr>
            </w:pPr>
            <w:r>
              <w:rPr>
                <w:color w:val="000000"/>
                <w:szCs w:val="21"/>
              </w:rPr>
              <w:t>4</w:t>
            </w:r>
          </w:p>
        </w:tc>
        <w:tc>
          <w:tcPr>
            <w:tcW w:w="756" w:type="dxa"/>
            <w:vAlign w:val="center"/>
          </w:tcPr>
          <w:p>
            <w:pPr>
              <w:spacing w:line="360" w:lineRule="auto"/>
              <w:jc w:val="center"/>
              <w:rPr>
                <w:color w:val="000000"/>
                <w:szCs w:val="21"/>
              </w:rPr>
            </w:pPr>
          </w:p>
        </w:tc>
        <w:tc>
          <w:tcPr>
            <w:tcW w:w="756" w:type="dxa"/>
            <w:vAlign w:val="center"/>
          </w:tcPr>
          <w:p>
            <w:pPr>
              <w:spacing w:line="360" w:lineRule="auto"/>
              <w:jc w:val="center"/>
              <w:rPr>
                <w:color w:val="000000"/>
                <w:szCs w:val="21"/>
              </w:rPr>
            </w:pPr>
          </w:p>
        </w:tc>
        <w:tc>
          <w:tcPr>
            <w:tcW w:w="756" w:type="dxa"/>
            <w:vAlign w:val="center"/>
          </w:tcPr>
          <w:p>
            <w:pPr>
              <w:spacing w:line="360" w:lineRule="auto"/>
              <w:jc w:val="center"/>
              <w:rPr>
                <w:color w:val="000000"/>
                <w:szCs w:val="21"/>
              </w:rPr>
            </w:pPr>
          </w:p>
        </w:tc>
        <w:tc>
          <w:tcPr>
            <w:tcW w:w="900" w:type="dxa"/>
            <w:vAlign w:val="center"/>
          </w:tcPr>
          <w:p>
            <w:pPr>
              <w:spacing w:line="360" w:lineRule="auto"/>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055" w:type="dxa"/>
            <w:vAlign w:val="center"/>
          </w:tcPr>
          <w:p>
            <w:pPr>
              <w:widowControl/>
              <w:spacing w:line="360" w:lineRule="auto"/>
              <w:jc w:val="center"/>
              <w:rPr>
                <w:color w:val="000000"/>
                <w:kern w:val="0"/>
                <w:szCs w:val="21"/>
              </w:rPr>
            </w:pPr>
            <w:r>
              <w:rPr>
                <w:color w:val="000000"/>
                <w:kern w:val="0"/>
                <w:szCs w:val="21"/>
              </w:rPr>
              <w:t>比值</w:t>
            </w:r>
          </w:p>
        </w:tc>
        <w:tc>
          <w:tcPr>
            <w:tcW w:w="825" w:type="dxa"/>
            <w:vAlign w:val="center"/>
          </w:tcPr>
          <w:p>
            <w:pPr>
              <w:spacing w:line="360" w:lineRule="auto"/>
              <w:jc w:val="center"/>
              <w:rPr>
                <w:color w:val="000000"/>
                <w:szCs w:val="21"/>
              </w:rPr>
            </w:pPr>
            <w:r>
              <w:rPr>
                <w:color w:val="000000"/>
                <w:szCs w:val="21"/>
              </w:rPr>
              <w:t xml:space="preserve">1.605 </w:t>
            </w:r>
          </w:p>
        </w:tc>
        <w:tc>
          <w:tcPr>
            <w:tcW w:w="755" w:type="dxa"/>
            <w:vAlign w:val="center"/>
          </w:tcPr>
          <w:p>
            <w:pPr>
              <w:spacing w:line="360" w:lineRule="auto"/>
              <w:jc w:val="center"/>
              <w:rPr>
                <w:color w:val="000000"/>
                <w:szCs w:val="21"/>
              </w:rPr>
            </w:pPr>
            <w:r>
              <w:rPr>
                <w:color w:val="000000"/>
                <w:szCs w:val="21"/>
              </w:rPr>
              <w:t xml:space="preserve">1.620 </w:t>
            </w:r>
          </w:p>
        </w:tc>
        <w:tc>
          <w:tcPr>
            <w:tcW w:w="755" w:type="dxa"/>
            <w:vAlign w:val="center"/>
          </w:tcPr>
          <w:p>
            <w:pPr>
              <w:spacing w:line="360" w:lineRule="auto"/>
              <w:jc w:val="center"/>
              <w:rPr>
                <w:color w:val="000000"/>
                <w:szCs w:val="21"/>
              </w:rPr>
            </w:pPr>
            <w:r>
              <w:rPr>
                <w:color w:val="000000"/>
                <w:szCs w:val="21"/>
              </w:rPr>
              <w:t xml:space="preserve">1.634 </w:t>
            </w:r>
          </w:p>
        </w:tc>
        <w:tc>
          <w:tcPr>
            <w:tcW w:w="756" w:type="dxa"/>
            <w:vAlign w:val="center"/>
          </w:tcPr>
          <w:p>
            <w:pPr>
              <w:spacing w:line="360" w:lineRule="auto"/>
              <w:jc w:val="center"/>
              <w:rPr>
                <w:color w:val="000000"/>
                <w:szCs w:val="21"/>
              </w:rPr>
            </w:pPr>
            <w:r>
              <w:rPr>
                <w:color w:val="000000"/>
                <w:szCs w:val="21"/>
              </w:rPr>
              <w:t xml:space="preserve">1.647 </w:t>
            </w:r>
          </w:p>
        </w:tc>
        <w:tc>
          <w:tcPr>
            <w:tcW w:w="756" w:type="dxa"/>
            <w:vAlign w:val="center"/>
          </w:tcPr>
          <w:p>
            <w:pPr>
              <w:spacing w:line="360" w:lineRule="auto"/>
              <w:jc w:val="center"/>
              <w:rPr>
                <w:color w:val="000000"/>
                <w:szCs w:val="21"/>
              </w:rPr>
            </w:pPr>
            <w:r>
              <w:rPr>
                <w:color w:val="000000"/>
                <w:szCs w:val="21"/>
              </w:rPr>
              <w:t xml:space="preserve">1.660 </w:t>
            </w:r>
          </w:p>
        </w:tc>
        <w:tc>
          <w:tcPr>
            <w:tcW w:w="756" w:type="dxa"/>
            <w:vAlign w:val="center"/>
          </w:tcPr>
          <w:p>
            <w:pPr>
              <w:spacing w:line="360" w:lineRule="auto"/>
              <w:jc w:val="center"/>
              <w:rPr>
                <w:color w:val="000000"/>
                <w:szCs w:val="21"/>
              </w:rPr>
            </w:pPr>
            <w:r>
              <w:rPr>
                <w:color w:val="000000"/>
                <w:szCs w:val="21"/>
              </w:rPr>
              <w:t xml:space="preserve">1.672 </w:t>
            </w:r>
          </w:p>
        </w:tc>
        <w:tc>
          <w:tcPr>
            <w:tcW w:w="756" w:type="dxa"/>
            <w:vAlign w:val="center"/>
          </w:tcPr>
          <w:p>
            <w:pPr>
              <w:spacing w:line="360" w:lineRule="auto"/>
              <w:jc w:val="center"/>
              <w:rPr>
                <w:color w:val="000000"/>
                <w:szCs w:val="21"/>
              </w:rPr>
            </w:pPr>
          </w:p>
        </w:tc>
        <w:tc>
          <w:tcPr>
            <w:tcW w:w="756" w:type="dxa"/>
            <w:vAlign w:val="center"/>
          </w:tcPr>
          <w:p>
            <w:pPr>
              <w:spacing w:line="360" w:lineRule="auto"/>
              <w:jc w:val="center"/>
              <w:rPr>
                <w:color w:val="000000"/>
                <w:szCs w:val="21"/>
              </w:rPr>
            </w:pPr>
          </w:p>
        </w:tc>
        <w:tc>
          <w:tcPr>
            <w:tcW w:w="756" w:type="dxa"/>
            <w:vAlign w:val="center"/>
          </w:tcPr>
          <w:p>
            <w:pPr>
              <w:spacing w:line="360" w:lineRule="auto"/>
              <w:jc w:val="center"/>
              <w:rPr>
                <w:color w:val="000000"/>
                <w:szCs w:val="21"/>
              </w:rPr>
            </w:pPr>
          </w:p>
        </w:tc>
        <w:tc>
          <w:tcPr>
            <w:tcW w:w="900" w:type="dxa"/>
            <w:vAlign w:val="center"/>
          </w:tcPr>
          <w:p>
            <w:pPr>
              <w:spacing w:line="360" w:lineRule="auto"/>
              <w:jc w:val="center"/>
              <w:rPr>
                <w:color w:val="000000"/>
                <w:szCs w:val="21"/>
              </w:rPr>
            </w:pPr>
          </w:p>
        </w:tc>
      </w:tr>
    </w:tbl>
    <w:p>
      <w:pPr>
        <w:tabs>
          <w:tab w:val="right" w:pos="9298"/>
        </w:tabs>
        <w:adjustRightInd w:val="0"/>
        <w:snapToGrid w:val="0"/>
        <w:spacing w:beforeLines="50" w:line="360" w:lineRule="auto"/>
        <w:ind w:firstLine="480" w:firstLineChars="200"/>
        <w:rPr>
          <w:sz w:val="24"/>
        </w:rPr>
      </w:pPr>
      <w:r>
        <w:rPr>
          <w:sz w:val="24"/>
        </w:rPr>
        <w:t>（四）宗地形状与面积修正(Ks)</w:t>
      </w:r>
    </w:p>
    <w:p>
      <w:pPr>
        <w:pStyle w:val="131"/>
        <w:spacing w:beforeLines="50" w:afterLines="50"/>
        <w:ind w:firstLine="0" w:firstLineChars="0"/>
        <w:rPr>
          <w:rFonts w:ascii="Times New Roman" w:hAnsi="Times New Roman"/>
          <w:sz w:val="24"/>
        </w:rPr>
      </w:pPr>
      <w:r>
        <w:rPr>
          <w:rFonts w:ascii="Times New Roman" w:hAnsi="Times New Roman"/>
          <w:sz w:val="24"/>
        </w:rPr>
        <w:t>表4-6-2</w:t>
      </w:r>
      <w:r>
        <w:rPr>
          <w:rFonts w:hint="eastAsia" w:ascii="Times New Roman" w:hAnsi="Times New Roman"/>
          <w:sz w:val="24"/>
        </w:rPr>
        <w:t>3公共管理与公共服务用地</w:t>
      </w:r>
      <w:r>
        <w:rPr>
          <w:rFonts w:ascii="Times New Roman" w:hAnsi="Times New Roman"/>
          <w:sz w:val="24"/>
        </w:rPr>
        <w:t>宗地形状与面积修正系数表</w:t>
      </w:r>
    </w:p>
    <w:tbl>
      <w:tblP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291"/>
        <w:gridCol w:w="1676"/>
        <w:gridCol w:w="1724"/>
        <w:gridCol w:w="1574"/>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5" w:hRule="atLeast"/>
          <w:jc w:val="center"/>
        </w:trPr>
        <w:tc>
          <w:tcPr>
            <w:tcW w:w="1102" w:type="dxa"/>
            <w:vAlign w:val="center"/>
          </w:tcPr>
          <w:p>
            <w:pPr>
              <w:spacing w:line="300" w:lineRule="exact"/>
              <w:ind w:left="-105" w:leftChars="-50" w:right="-105" w:rightChars="-50"/>
              <w:jc w:val="center"/>
              <w:rPr>
                <w:lang w:val="zh-CN"/>
              </w:rPr>
            </w:pPr>
            <w:r>
              <w:rPr>
                <w:lang w:val="zh-CN"/>
              </w:rPr>
              <w:t>指标标准</w:t>
            </w:r>
          </w:p>
        </w:tc>
        <w:tc>
          <w:tcPr>
            <w:tcW w:w="1291" w:type="dxa"/>
            <w:vAlign w:val="center"/>
          </w:tcPr>
          <w:p>
            <w:pPr>
              <w:spacing w:line="300" w:lineRule="exact"/>
              <w:ind w:left="-105" w:leftChars="-50" w:right="-105" w:rightChars="-50"/>
              <w:jc w:val="center"/>
              <w:rPr>
                <w:lang w:val="zh-CN"/>
              </w:rPr>
            </w:pPr>
            <w:r>
              <w:rPr>
                <w:lang w:val="zh-CN"/>
              </w:rPr>
              <w:t>≥2600m</w:t>
            </w:r>
            <w:r>
              <w:rPr>
                <w:vertAlign w:val="superscript"/>
                <w:lang w:val="zh-CN"/>
              </w:rPr>
              <w:t>2</w:t>
            </w:r>
          </w:p>
        </w:tc>
        <w:tc>
          <w:tcPr>
            <w:tcW w:w="1676" w:type="dxa"/>
            <w:vAlign w:val="center"/>
          </w:tcPr>
          <w:p>
            <w:pPr>
              <w:spacing w:line="300" w:lineRule="exact"/>
              <w:ind w:left="-105" w:leftChars="-50" w:right="-105" w:rightChars="-50"/>
              <w:jc w:val="center"/>
              <w:rPr>
                <w:lang w:val="zh-CN"/>
              </w:rPr>
            </w:pPr>
            <w:r>
              <w:rPr>
                <w:lang w:val="zh-CN"/>
              </w:rPr>
              <w:t>（1800，2600）m</w:t>
            </w:r>
            <w:r>
              <w:rPr>
                <w:vertAlign w:val="superscript"/>
                <w:lang w:val="zh-CN"/>
              </w:rPr>
              <w:t>2</w:t>
            </w:r>
          </w:p>
        </w:tc>
        <w:tc>
          <w:tcPr>
            <w:tcW w:w="1724" w:type="dxa"/>
            <w:vAlign w:val="center"/>
          </w:tcPr>
          <w:p>
            <w:pPr>
              <w:spacing w:line="300" w:lineRule="exact"/>
              <w:ind w:left="-105" w:leftChars="-50" w:right="-105" w:rightChars="-50"/>
              <w:jc w:val="center"/>
              <w:rPr>
                <w:lang w:val="zh-CN"/>
              </w:rPr>
            </w:pPr>
            <w:r>
              <w:rPr>
                <w:lang w:val="zh-CN"/>
              </w:rPr>
              <w:t>（1200，1800）m</w:t>
            </w:r>
            <w:r>
              <w:rPr>
                <w:vertAlign w:val="superscript"/>
                <w:lang w:val="zh-CN"/>
              </w:rPr>
              <w:t>2</w:t>
            </w:r>
          </w:p>
        </w:tc>
        <w:tc>
          <w:tcPr>
            <w:tcW w:w="1574" w:type="dxa"/>
            <w:vAlign w:val="center"/>
          </w:tcPr>
          <w:p>
            <w:pPr>
              <w:spacing w:line="300" w:lineRule="exact"/>
              <w:ind w:left="-105" w:leftChars="-50" w:right="-105" w:rightChars="-50"/>
              <w:jc w:val="center"/>
              <w:rPr>
                <w:lang w:val="zh-CN"/>
              </w:rPr>
            </w:pPr>
            <w:r>
              <w:rPr>
                <w:lang w:val="zh-CN"/>
              </w:rPr>
              <w:t>（600，1200）m</w:t>
            </w:r>
            <w:r>
              <w:rPr>
                <w:vertAlign w:val="superscript"/>
                <w:lang w:val="zh-CN"/>
              </w:rPr>
              <w:t>2</w:t>
            </w:r>
          </w:p>
        </w:tc>
        <w:tc>
          <w:tcPr>
            <w:tcW w:w="1155" w:type="dxa"/>
            <w:vAlign w:val="center"/>
          </w:tcPr>
          <w:p>
            <w:pPr>
              <w:spacing w:line="300" w:lineRule="exact"/>
              <w:ind w:left="-105" w:leftChars="-50" w:right="-105" w:rightChars="-50"/>
              <w:jc w:val="center"/>
              <w:rPr>
                <w:lang w:val="zh-CN"/>
              </w:rPr>
            </w:pPr>
            <w:r>
              <w:rPr>
                <w:lang w:val="zh-CN"/>
              </w:rPr>
              <w:t>≤600m</w:t>
            </w:r>
            <w:r>
              <w:rPr>
                <w:vertAlign w:val="superscript"/>
                <w:lang w:val="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5" w:hRule="atLeast"/>
          <w:jc w:val="center"/>
        </w:trPr>
        <w:tc>
          <w:tcPr>
            <w:tcW w:w="1102" w:type="dxa"/>
            <w:vAlign w:val="center"/>
          </w:tcPr>
          <w:p>
            <w:pPr>
              <w:spacing w:line="300" w:lineRule="exact"/>
              <w:ind w:left="-105" w:leftChars="-50" w:right="-105" w:rightChars="-50"/>
              <w:jc w:val="center"/>
              <w:rPr>
                <w:lang w:val="zh-CN"/>
              </w:rPr>
            </w:pPr>
            <w:r>
              <w:rPr>
                <w:lang w:val="zh-CN"/>
              </w:rPr>
              <w:t>修正系数</w:t>
            </w:r>
          </w:p>
        </w:tc>
        <w:tc>
          <w:tcPr>
            <w:tcW w:w="1291" w:type="dxa"/>
            <w:vAlign w:val="center"/>
          </w:tcPr>
          <w:p>
            <w:pPr>
              <w:spacing w:line="300" w:lineRule="exact"/>
              <w:ind w:left="-105" w:leftChars="-50" w:right="-105" w:rightChars="-50"/>
              <w:jc w:val="center"/>
              <w:rPr>
                <w:lang w:val="zh-CN"/>
              </w:rPr>
            </w:pPr>
            <w:r>
              <w:rPr>
                <w:lang w:val="zh-CN"/>
              </w:rPr>
              <w:t>1.05</w:t>
            </w:r>
          </w:p>
        </w:tc>
        <w:tc>
          <w:tcPr>
            <w:tcW w:w="1676" w:type="dxa"/>
            <w:vAlign w:val="center"/>
          </w:tcPr>
          <w:p>
            <w:pPr>
              <w:spacing w:line="300" w:lineRule="exact"/>
              <w:ind w:left="-105" w:leftChars="-50" w:right="-105" w:rightChars="-50"/>
              <w:jc w:val="center"/>
              <w:rPr>
                <w:lang w:val="zh-CN"/>
              </w:rPr>
            </w:pPr>
            <w:r>
              <w:rPr>
                <w:lang w:val="zh-CN"/>
              </w:rPr>
              <w:t>1.03</w:t>
            </w:r>
          </w:p>
        </w:tc>
        <w:tc>
          <w:tcPr>
            <w:tcW w:w="1724" w:type="dxa"/>
            <w:vAlign w:val="center"/>
          </w:tcPr>
          <w:p>
            <w:pPr>
              <w:spacing w:line="300" w:lineRule="exact"/>
              <w:ind w:left="-105" w:leftChars="-50" w:right="-105" w:rightChars="-50"/>
              <w:jc w:val="center"/>
              <w:rPr>
                <w:lang w:val="zh-CN"/>
              </w:rPr>
            </w:pPr>
            <w:r>
              <w:rPr>
                <w:lang w:val="zh-CN"/>
              </w:rPr>
              <w:t>1</w:t>
            </w:r>
          </w:p>
        </w:tc>
        <w:tc>
          <w:tcPr>
            <w:tcW w:w="1574" w:type="dxa"/>
            <w:vAlign w:val="center"/>
          </w:tcPr>
          <w:p>
            <w:pPr>
              <w:spacing w:line="300" w:lineRule="exact"/>
              <w:ind w:left="-105" w:leftChars="-50" w:right="-105" w:rightChars="-50"/>
              <w:jc w:val="center"/>
              <w:rPr>
                <w:lang w:val="zh-CN"/>
              </w:rPr>
            </w:pPr>
            <w:r>
              <w:rPr>
                <w:lang w:val="zh-CN"/>
              </w:rPr>
              <w:t>0.97</w:t>
            </w:r>
          </w:p>
        </w:tc>
        <w:tc>
          <w:tcPr>
            <w:tcW w:w="1155" w:type="dxa"/>
            <w:vAlign w:val="center"/>
          </w:tcPr>
          <w:p>
            <w:pPr>
              <w:spacing w:line="300" w:lineRule="exact"/>
              <w:ind w:left="-105" w:leftChars="-50" w:right="-105" w:rightChars="-50"/>
              <w:jc w:val="center"/>
              <w:rPr>
                <w:lang w:val="zh-CN"/>
              </w:rPr>
            </w:pPr>
            <w:r>
              <w:rPr>
                <w:lang w:val="zh-CN"/>
              </w:rPr>
              <w:t>0.95</w:t>
            </w:r>
          </w:p>
        </w:tc>
      </w:tr>
    </w:tbl>
    <w:p>
      <w:pPr>
        <w:tabs>
          <w:tab w:val="right" w:pos="9298"/>
        </w:tabs>
        <w:adjustRightInd w:val="0"/>
        <w:snapToGrid w:val="0"/>
        <w:spacing w:beforeLines="50" w:line="360" w:lineRule="auto"/>
        <w:ind w:firstLine="480" w:firstLineChars="200"/>
        <w:rPr>
          <w:sz w:val="24"/>
        </w:rPr>
      </w:pPr>
      <w:r>
        <w:rPr>
          <w:sz w:val="24"/>
        </w:rPr>
        <w:t>（五）宗地位置偏离度修正系数(Kp)</w:t>
      </w:r>
    </w:p>
    <w:p>
      <w:pPr>
        <w:pStyle w:val="131"/>
        <w:spacing w:beforeLines="50" w:afterLines="50"/>
        <w:ind w:firstLine="0" w:firstLineChars="0"/>
        <w:rPr>
          <w:rFonts w:ascii="Times New Roman" w:hAnsi="Times New Roman"/>
          <w:sz w:val="24"/>
        </w:rPr>
      </w:pPr>
      <w:r>
        <w:rPr>
          <w:rFonts w:ascii="Times New Roman" w:hAnsi="Times New Roman"/>
          <w:sz w:val="24"/>
        </w:rPr>
        <w:t>表4-6-2</w:t>
      </w:r>
      <w:r>
        <w:rPr>
          <w:rFonts w:hint="eastAsia" w:ascii="Times New Roman" w:hAnsi="Times New Roman"/>
          <w:sz w:val="24"/>
        </w:rPr>
        <w:t>4</w:t>
      </w:r>
      <w:r>
        <w:rPr>
          <w:rFonts w:ascii="Times New Roman" w:hAnsi="Times New Roman"/>
          <w:sz w:val="24"/>
        </w:rPr>
        <w:t xml:space="preserve"> </w:t>
      </w:r>
      <w:r>
        <w:rPr>
          <w:rFonts w:hint="eastAsia" w:ascii="Times New Roman" w:hAnsi="Times New Roman"/>
          <w:sz w:val="24"/>
        </w:rPr>
        <w:t>公共管理与公共服务用地</w:t>
      </w:r>
      <w:r>
        <w:rPr>
          <w:rFonts w:ascii="Times New Roman" w:hAnsi="Times New Roman"/>
          <w:sz w:val="24"/>
        </w:rPr>
        <w:t>宗地位置偏离度修正系数表</w:t>
      </w:r>
    </w:p>
    <w:tbl>
      <w:tblPr>
        <w:tblW w:w="8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535"/>
        <w:gridCol w:w="1535"/>
        <w:gridCol w:w="1535"/>
        <w:gridCol w:w="1535"/>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6" w:hRule="atLeast"/>
          <w:jc w:val="center"/>
        </w:trPr>
        <w:tc>
          <w:tcPr>
            <w:tcW w:w="1349" w:type="dxa"/>
            <w:vAlign w:val="center"/>
          </w:tcPr>
          <w:p>
            <w:pPr>
              <w:spacing w:line="300" w:lineRule="exact"/>
              <w:ind w:left="-105" w:leftChars="-50" w:right="-105" w:rightChars="-50"/>
              <w:jc w:val="center"/>
            </w:pPr>
            <w:r>
              <w:t>指标标准</w:t>
            </w:r>
          </w:p>
        </w:tc>
        <w:tc>
          <w:tcPr>
            <w:tcW w:w="1535" w:type="dxa"/>
            <w:vAlign w:val="center"/>
          </w:tcPr>
          <w:p>
            <w:pPr>
              <w:spacing w:line="300" w:lineRule="exact"/>
              <w:ind w:left="-105" w:leftChars="-50" w:right="-105" w:rightChars="-50"/>
              <w:jc w:val="center"/>
            </w:pPr>
            <w:r>
              <w:t>&lt;0.2</w:t>
            </w:r>
          </w:p>
        </w:tc>
        <w:tc>
          <w:tcPr>
            <w:tcW w:w="1535" w:type="dxa"/>
            <w:vAlign w:val="center"/>
          </w:tcPr>
          <w:p>
            <w:pPr>
              <w:spacing w:line="300" w:lineRule="exact"/>
              <w:ind w:left="-105" w:leftChars="-50" w:right="-105" w:rightChars="-50"/>
              <w:jc w:val="center"/>
            </w:pPr>
            <w:r>
              <w:t>0.2-0.4</w:t>
            </w:r>
          </w:p>
        </w:tc>
        <w:tc>
          <w:tcPr>
            <w:tcW w:w="1535" w:type="dxa"/>
            <w:vAlign w:val="center"/>
          </w:tcPr>
          <w:p>
            <w:pPr>
              <w:spacing w:line="300" w:lineRule="exact"/>
              <w:ind w:left="-105" w:leftChars="-50" w:right="-105" w:rightChars="-50"/>
              <w:jc w:val="center"/>
            </w:pPr>
            <w:r>
              <w:t>0.4-0.6</w:t>
            </w:r>
          </w:p>
        </w:tc>
        <w:tc>
          <w:tcPr>
            <w:tcW w:w="1535" w:type="dxa"/>
            <w:vAlign w:val="center"/>
          </w:tcPr>
          <w:p>
            <w:pPr>
              <w:spacing w:line="300" w:lineRule="exact"/>
              <w:ind w:left="-105" w:leftChars="-50" w:right="-105" w:rightChars="-50"/>
              <w:jc w:val="center"/>
            </w:pPr>
            <w:r>
              <w:t>0.6-0.8</w:t>
            </w:r>
          </w:p>
        </w:tc>
        <w:tc>
          <w:tcPr>
            <w:tcW w:w="1384" w:type="dxa"/>
            <w:vAlign w:val="center"/>
          </w:tcPr>
          <w:p>
            <w:pPr>
              <w:spacing w:line="300" w:lineRule="exact"/>
              <w:ind w:left="-105" w:leftChars="-50" w:right="-105" w:rightChars="-50"/>
              <w:jc w:val="center"/>
            </w:pPr>
            <w:r>
              <w:t>&gt;0.8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6" w:hRule="atLeast"/>
          <w:jc w:val="center"/>
        </w:trPr>
        <w:tc>
          <w:tcPr>
            <w:tcW w:w="1349" w:type="dxa"/>
            <w:vAlign w:val="center"/>
          </w:tcPr>
          <w:p>
            <w:pPr>
              <w:spacing w:line="300" w:lineRule="exact"/>
              <w:ind w:left="-105" w:leftChars="-50" w:right="-105" w:rightChars="-50"/>
              <w:jc w:val="center"/>
            </w:pPr>
            <w:r>
              <w:t>修正系数</w:t>
            </w:r>
          </w:p>
        </w:tc>
        <w:tc>
          <w:tcPr>
            <w:tcW w:w="1535" w:type="dxa"/>
            <w:vAlign w:val="center"/>
          </w:tcPr>
          <w:p>
            <w:pPr>
              <w:spacing w:line="300" w:lineRule="exact"/>
              <w:ind w:left="-105" w:leftChars="-50" w:right="-105" w:rightChars="-50"/>
              <w:jc w:val="center"/>
            </w:pPr>
            <w:r>
              <w:t>1.05</w:t>
            </w:r>
          </w:p>
        </w:tc>
        <w:tc>
          <w:tcPr>
            <w:tcW w:w="1535" w:type="dxa"/>
            <w:vAlign w:val="center"/>
          </w:tcPr>
          <w:p>
            <w:pPr>
              <w:spacing w:line="300" w:lineRule="exact"/>
              <w:ind w:left="-105" w:leftChars="-50" w:right="-105" w:rightChars="-50"/>
              <w:jc w:val="center"/>
            </w:pPr>
            <w:r>
              <w:t>1.03</w:t>
            </w:r>
          </w:p>
        </w:tc>
        <w:tc>
          <w:tcPr>
            <w:tcW w:w="1535" w:type="dxa"/>
            <w:vAlign w:val="center"/>
          </w:tcPr>
          <w:p>
            <w:pPr>
              <w:spacing w:line="300" w:lineRule="exact"/>
              <w:ind w:left="-105" w:leftChars="-50" w:right="-105" w:rightChars="-50"/>
              <w:jc w:val="center"/>
            </w:pPr>
            <w:r>
              <w:t>1.00</w:t>
            </w:r>
          </w:p>
        </w:tc>
        <w:tc>
          <w:tcPr>
            <w:tcW w:w="1535" w:type="dxa"/>
            <w:vAlign w:val="center"/>
          </w:tcPr>
          <w:p>
            <w:pPr>
              <w:spacing w:line="300" w:lineRule="exact"/>
              <w:ind w:left="-105" w:leftChars="-50" w:right="-105" w:rightChars="-50"/>
              <w:jc w:val="center"/>
            </w:pPr>
            <w:r>
              <w:t>0.98</w:t>
            </w:r>
          </w:p>
        </w:tc>
        <w:tc>
          <w:tcPr>
            <w:tcW w:w="1384" w:type="dxa"/>
            <w:vAlign w:val="center"/>
          </w:tcPr>
          <w:p>
            <w:pPr>
              <w:spacing w:line="300" w:lineRule="exact"/>
              <w:ind w:left="-105" w:leftChars="-50" w:right="-105" w:rightChars="-50"/>
              <w:jc w:val="center"/>
            </w:pPr>
            <w:r>
              <w:t>0.94</w:t>
            </w:r>
          </w:p>
        </w:tc>
      </w:tr>
    </w:tbl>
    <w:p>
      <w:pPr>
        <w:spacing w:line="360" w:lineRule="auto"/>
        <w:jc w:val="center"/>
        <w:textAlignment w:val="baseline"/>
        <w:outlineLvl w:val="1"/>
        <w:rPr>
          <w:rFonts w:eastAsia="黑体"/>
          <w:sz w:val="32"/>
          <w:szCs w:val="32"/>
        </w:rPr>
      </w:pPr>
      <w:r>
        <w:rPr>
          <w:rFonts w:eastAsia="黑体"/>
          <w:sz w:val="32"/>
        </w:rPr>
        <w:br w:type="page"/>
      </w:r>
      <w:bookmarkStart w:id="864" w:name="_Toc29955"/>
      <w:bookmarkStart w:id="865" w:name="_Toc469296518"/>
      <w:bookmarkStart w:id="866" w:name="_Toc362244287"/>
      <w:bookmarkStart w:id="867" w:name="_Toc15373"/>
      <w:bookmarkStart w:id="868" w:name="_Toc470721368"/>
      <w:bookmarkStart w:id="869" w:name="_Toc25484"/>
      <w:bookmarkStart w:id="870" w:name="_Toc3242"/>
      <w:bookmarkStart w:id="871" w:name="_Toc467846900"/>
      <w:r>
        <w:rPr>
          <w:rFonts w:eastAsia="黑体"/>
          <w:sz w:val="32"/>
        </w:rPr>
        <w:t>第七章  宗地地价修正体系的应用</w:t>
      </w:r>
      <w:bookmarkEnd w:id="864"/>
      <w:bookmarkEnd w:id="865"/>
      <w:bookmarkEnd w:id="866"/>
      <w:bookmarkEnd w:id="867"/>
      <w:bookmarkEnd w:id="868"/>
      <w:bookmarkEnd w:id="869"/>
      <w:bookmarkEnd w:id="870"/>
      <w:bookmarkEnd w:id="871"/>
    </w:p>
    <w:p>
      <w:pPr>
        <w:spacing w:line="600" w:lineRule="exact"/>
        <w:ind w:firstLine="560" w:firstLineChars="200"/>
        <w:outlineLvl w:val="2"/>
        <w:rPr>
          <w:rFonts w:eastAsia="黑体"/>
          <w:sz w:val="28"/>
          <w:szCs w:val="28"/>
        </w:rPr>
      </w:pPr>
      <w:bookmarkStart w:id="872" w:name="_Toc1209"/>
      <w:bookmarkStart w:id="873" w:name="_Toc470721369"/>
      <w:bookmarkStart w:id="874" w:name="_Toc467846901"/>
      <w:bookmarkStart w:id="875" w:name="_Toc19584"/>
      <w:bookmarkStart w:id="876" w:name="_Toc469296519"/>
      <w:r>
        <w:rPr>
          <w:rFonts w:eastAsia="黑体"/>
          <w:sz w:val="28"/>
          <w:szCs w:val="28"/>
        </w:rPr>
        <w:t>一、基准地价系数修正法评估宗地地价</w:t>
      </w:r>
      <w:bookmarkEnd w:id="872"/>
      <w:bookmarkEnd w:id="873"/>
      <w:bookmarkEnd w:id="874"/>
      <w:bookmarkEnd w:id="875"/>
      <w:bookmarkEnd w:id="876"/>
    </w:p>
    <w:p>
      <w:pPr>
        <w:spacing w:line="460" w:lineRule="exact"/>
        <w:ind w:firstLine="480" w:firstLineChars="200"/>
        <w:jc w:val="left"/>
        <w:rPr>
          <w:sz w:val="24"/>
        </w:rPr>
      </w:pPr>
      <w:r>
        <w:rPr>
          <w:sz w:val="24"/>
        </w:rPr>
        <w:t>基准地价系数修正法，是利用城镇基准地价和宗地地价修正体系等评估成果，按照替代原则，就待估宗地的区域条件、个别条件和特殊因素与其所处区域的平均条件相比较，并对照修正系数表，选取相应的修正系数对基准地价进行修正，从而求取待估宗地在估价期日价格的方法。其主要流程如下：</w:t>
      </w:r>
    </w:p>
    <w:p>
      <w:pPr>
        <w:spacing w:line="460" w:lineRule="exact"/>
        <w:ind w:firstLine="482" w:firstLineChars="200"/>
        <w:jc w:val="left"/>
        <w:rPr>
          <w:b/>
          <w:bCs/>
          <w:sz w:val="24"/>
        </w:rPr>
      </w:pPr>
      <w:r>
        <w:rPr>
          <w:b/>
          <w:bCs/>
          <w:sz w:val="24"/>
        </w:rPr>
        <w:t>（一） 收集、整理土地级别调整与基准地价更新成果资料</w:t>
      </w:r>
    </w:p>
    <w:p>
      <w:pPr>
        <w:spacing w:line="460" w:lineRule="exact"/>
        <w:ind w:firstLine="480" w:firstLineChars="200"/>
        <w:jc w:val="left"/>
        <w:rPr>
          <w:sz w:val="24"/>
        </w:rPr>
      </w:pPr>
      <w:r>
        <w:rPr>
          <w:sz w:val="24"/>
        </w:rPr>
        <w:t>资料主要包括：土地级别图（表）、基准地价图（表）、宗地地价修正系数表和相应的因素条件说明表。</w:t>
      </w:r>
    </w:p>
    <w:p>
      <w:pPr>
        <w:spacing w:line="460" w:lineRule="exact"/>
        <w:ind w:firstLine="482" w:firstLineChars="200"/>
        <w:jc w:val="left"/>
        <w:rPr>
          <w:b/>
          <w:bCs/>
          <w:sz w:val="24"/>
        </w:rPr>
      </w:pPr>
      <w:r>
        <w:rPr>
          <w:b/>
          <w:bCs/>
          <w:sz w:val="24"/>
        </w:rPr>
        <w:t>（二）确定待估宗地所处的土地级别</w:t>
      </w:r>
    </w:p>
    <w:p>
      <w:pPr>
        <w:spacing w:line="460" w:lineRule="exact"/>
        <w:ind w:firstLine="480" w:firstLineChars="200"/>
        <w:jc w:val="left"/>
        <w:rPr>
          <w:sz w:val="24"/>
        </w:rPr>
      </w:pPr>
      <w:r>
        <w:rPr>
          <w:sz w:val="24"/>
        </w:rPr>
        <w:t>确定待估宗地所在的土地级别，得到该级别所对应的基准地价，选择相应的宗地地价修正系数表和因素条件说明表。</w:t>
      </w:r>
    </w:p>
    <w:p>
      <w:pPr>
        <w:spacing w:line="460" w:lineRule="exact"/>
        <w:ind w:firstLine="482" w:firstLineChars="200"/>
        <w:jc w:val="left"/>
        <w:rPr>
          <w:b/>
          <w:bCs/>
          <w:sz w:val="24"/>
        </w:rPr>
      </w:pPr>
      <w:r>
        <w:rPr>
          <w:b/>
          <w:bCs/>
          <w:sz w:val="24"/>
        </w:rPr>
        <w:t>（三）调查宗地地价影响因素的指标条件</w:t>
      </w:r>
    </w:p>
    <w:p>
      <w:pPr>
        <w:spacing w:line="460" w:lineRule="exact"/>
        <w:ind w:firstLine="480" w:firstLineChars="200"/>
        <w:jc w:val="left"/>
        <w:rPr>
          <w:sz w:val="24"/>
        </w:rPr>
      </w:pPr>
      <w:r>
        <w:rPr>
          <w:sz w:val="24"/>
        </w:rPr>
        <w:t>通过实地调查和图上量算，获取影响宗地地价的区位因素指标及包括容积率水平、使用年期、宗地面积和形状等在内的个别因素指标。</w:t>
      </w:r>
    </w:p>
    <w:p>
      <w:pPr>
        <w:spacing w:line="460" w:lineRule="exact"/>
        <w:ind w:firstLine="482" w:firstLineChars="200"/>
        <w:jc w:val="left"/>
        <w:rPr>
          <w:b/>
          <w:bCs/>
          <w:sz w:val="24"/>
        </w:rPr>
      </w:pPr>
      <w:r>
        <w:rPr>
          <w:b/>
          <w:bCs/>
          <w:sz w:val="24"/>
        </w:rPr>
        <w:t>（四）确定修正系数</w:t>
      </w:r>
    </w:p>
    <w:p>
      <w:pPr>
        <w:spacing w:line="460" w:lineRule="exact"/>
        <w:ind w:firstLine="480" w:firstLineChars="200"/>
        <w:jc w:val="left"/>
        <w:rPr>
          <w:sz w:val="24"/>
        </w:rPr>
      </w:pPr>
      <w:r>
        <w:rPr>
          <w:sz w:val="24"/>
        </w:rPr>
        <w:t>将宗地的区域因素指标条件与相应的修正因素条件说明表进行比较，确定待估宗地对应各项修正因子的优劣状况，再查找修正系数表确定宗地各项修正因子应修正的比率，即区域因素修正系数。将宗地的个别因素指标条件与宗地地价个别因素修正系数的条件描述进行比较，确定个别因素修正系数。对于商服用地，调查宗地的临街状况，确定特殊因素修正系数。</w:t>
      </w:r>
    </w:p>
    <w:p>
      <w:pPr>
        <w:spacing w:line="460" w:lineRule="exact"/>
        <w:ind w:firstLine="482" w:firstLineChars="200"/>
        <w:rPr>
          <w:b/>
          <w:bCs/>
          <w:sz w:val="24"/>
        </w:rPr>
      </w:pPr>
      <w:r>
        <w:rPr>
          <w:b/>
          <w:bCs/>
          <w:sz w:val="24"/>
        </w:rPr>
        <w:t>（五）计算宗地地价</w:t>
      </w:r>
    </w:p>
    <w:p>
      <w:pPr>
        <w:spacing w:line="460" w:lineRule="exact"/>
        <w:ind w:firstLine="480" w:firstLineChars="200"/>
        <w:rPr>
          <w:sz w:val="24"/>
        </w:rPr>
      </w:pPr>
      <w:r>
        <w:rPr>
          <w:sz w:val="24"/>
        </w:rPr>
        <w:t xml:space="preserve">各类宗地地价的计算公式如下： </w:t>
      </w:r>
    </w:p>
    <w:p>
      <w:pPr>
        <w:autoSpaceDE w:val="0"/>
        <w:autoSpaceDN w:val="0"/>
        <w:adjustRightInd w:val="0"/>
        <w:ind w:firstLine="480" w:firstLineChars="200"/>
        <w:rPr>
          <w:rFonts w:eastAsia="仿宋"/>
          <w:sz w:val="24"/>
          <w:szCs w:val="24"/>
        </w:rPr>
      </w:pPr>
      <w:r>
        <w:rPr>
          <w:sz w:val="24"/>
        </w:rPr>
        <w:t>临路部分：</w:t>
      </w:r>
      <w:r>
        <w:rPr>
          <w:sz w:val="24"/>
          <w:szCs w:val="24"/>
        </w:rPr>
        <w:t xml:space="preserve"> </w:t>
      </w:r>
      <w:r>
        <w:rPr>
          <w:rFonts w:eastAsia="仿宋"/>
          <w:sz w:val="24"/>
          <w:szCs w:val="24"/>
        </w:rPr>
        <w:t>P</w:t>
      </w:r>
      <w:r>
        <w:rPr>
          <w:rFonts w:eastAsia="仿宋"/>
          <w:sz w:val="24"/>
          <w:szCs w:val="24"/>
          <w:vertAlign w:val="subscript"/>
        </w:rPr>
        <w:t>商</w:t>
      </w:r>
      <w:r>
        <w:rPr>
          <w:rFonts w:eastAsia="仿宋"/>
          <w:sz w:val="24"/>
          <w:szCs w:val="24"/>
        </w:rPr>
        <w:t>=（P</w:t>
      </w:r>
      <w:r>
        <w:rPr>
          <w:rFonts w:eastAsia="仿宋"/>
          <w:spacing w:val="6"/>
          <w:sz w:val="24"/>
          <w:szCs w:val="24"/>
          <w:vertAlign w:val="subscript"/>
        </w:rPr>
        <w:t>楼面路线价</w:t>
      </w:r>
      <w:r>
        <w:rPr>
          <w:rFonts w:eastAsia="仿宋"/>
          <w:spacing w:val="6"/>
          <w:sz w:val="24"/>
          <w:szCs w:val="24"/>
        </w:rPr>
        <w:t>×V</w:t>
      </w:r>
      <w:r>
        <w:rPr>
          <w:rFonts w:eastAsia="仿宋"/>
          <w:sz w:val="24"/>
          <w:szCs w:val="24"/>
        </w:rPr>
        <w:t>）</w:t>
      </w:r>
      <w:r>
        <w:rPr>
          <w:rFonts w:eastAsia="仿宋"/>
          <w:spacing w:val="6"/>
          <w:sz w:val="24"/>
          <w:szCs w:val="24"/>
        </w:rPr>
        <w:t>×（1+</w:t>
      </w:r>
      <w:r>
        <w:rPr>
          <w:sz w:val="24"/>
        </w:rPr>
        <w:t>∑K</w:t>
      </w:r>
      <w:r>
        <w:rPr>
          <w:sz w:val="24"/>
          <w:vertAlign w:val="subscript"/>
        </w:rPr>
        <w:t>i</w:t>
      </w:r>
      <w:r>
        <w:rPr>
          <w:sz w:val="24"/>
        </w:rPr>
        <w:t>）</w:t>
      </w:r>
      <w:r>
        <w:rPr>
          <w:rFonts w:eastAsia="仿宋"/>
          <w:spacing w:val="6"/>
          <w:sz w:val="24"/>
          <w:szCs w:val="24"/>
        </w:rPr>
        <w:t>×K</w:t>
      </w:r>
      <w:r>
        <w:rPr>
          <w:rFonts w:eastAsia="仿宋"/>
          <w:spacing w:val="6"/>
          <w:sz w:val="24"/>
          <w:szCs w:val="24"/>
          <w:vertAlign w:val="subscript"/>
        </w:rPr>
        <w:t>n</w:t>
      </w:r>
      <w:r>
        <w:rPr>
          <w:rFonts w:eastAsia="仿宋"/>
          <w:spacing w:val="6"/>
          <w:sz w:val="24"/>
          <w:szCs w:val="24"/>
        </w:rPr>
        <w:t>×K</w:t>
      </w:r>
      <w:r>
        <w:rPr>
          <w:rFonts w:eastAsia="仿宋"/>
          <w:spacing w:val="6"/>
          <w:sz w:val="24"/>
          <w:szCs w:val="24"/>
          <w:vertAlign w:val="subscript"/>
        </w:rPr>
        <w:t>t</w:t>
      </w:r>
      <w:r>
        <w:rPr>
          <w:rFonts w:eastAsia="仿宋"/>
          <w:spacing w:val="6"/>
          <w:sz w:val="24"/>
          <w:szCs w:val="24"/>
        </w:rPr>
        <w:t>×K</w:t>
      </w:r>
      <w:r>
        <w:rPr>
          <w:rFonts w:eastAsia="仿宋"/>
          <w:spacing w:val="6"/>
          <w:sz w:val="24"/>
          <w:szCs w:val="24"/>
          <w:vertAlign w:val="subscript"/>
        </w:rPr>
        <w:t>d</w:t>
      </w:r>
      <w:r>
        <w:rPr>
          <w:rFonts w:eastAsia="仿宋"/>
          <w:spacing w:val="6"/>
          <w:sz w:val="24"/>
          <w:szCs w:val="24"/>
        </w:rPr>
        <w:t>×K</w:t>
      </w:r>
      <w:r>
        <w:rPr>
          <w:rFonts w:eastAsia="仿宋"/>
          <w:spacing w:val="6"/>
          <w:sz w:val="24"/>
          <w:szCs w:val="24"/>
          <w:vertAlign w:val="subscript"/>
        </w:rPr>
        <w:t>p</w:t>
      </w:r>
      <w:r>
        <w:rPr>
          <w:rFonts w:eastAsia="仿宋"/>
          <w:spacing w:val="6"/>
          <w:sz w:val="24"/>
          <w:szCs w:val="24"/>
        </w:rPr>
        <w:t>×K</w:t>
      </w:r>
      <w:r>
        <w:rPr>
          <w:rFonts w:eastAsia="仿宋"/>
          <w:spacing w:val="6"/>
          <w:sz w:val="24"/>
          <w:szCs w:val="24"/>
          <w:vertAlign w:val="subscript"/>
        </w:rPr>
        <w:t>c</w:t>
      </w:r>
      <w:r>
        <w:rPr>
          <w:rFonts w:eastAsia="仿宋"/>
          <w:spacing w:val="6"/>
          <w:sz w:val="24"/>
          <w:szCs w:val="24"/>
        </w:rPr>
        <w:t>×K</w:t>
      </w:r>
      <w:r>
        <w:rPr>
          <w:rFonts w:eastAsia="仿宋"/>
          <w:spacing w:val="6"/>
          <w:sz w:val="24"/>
          <w:szCs w:val="24"/>
          <w:vertAlign w:val="subscript"/>
        </w:rPr>
        <w:t>m</w:t>
      </w:r>
      <w:r>
        <w:rPr>
          <w:rFonts w:eastAsia="仿宋"/>
          <w:spacing w:val="6"/>
          <w:sz w:val="24"/>
          <w:szCs w:val="24"/>
        </w:rPr>
        <w:t>-K</w:t>
      </w:r>
      <w:r>
        <w:rPr>
          <w:rFonts w:eastAsia="仿宋"/>
          <w:spacing w:val="6"/>
          <w:sz w:val="24"/>
          <w:szCs w:val="24"/>
          <w:vertAlign w:val="subscript"/>
        </w:rPr>
        <w:t>f</w:t>
      </w:r>
    </w:p>
    <w:p>
      <w:pPr>
        <w:adjustRightInd w:val="0"/>
        <w:snapToGrid w:val="0"/>
        <w:ind w:firstLine="480" w:firstLineChars="200"/>
        <w:rPr>
          <w:rFonts w:eastAsia="仿宋"/>
          <w:sz w:val="24"/>
          <w:szCs w:val="24"/>
        </w:rPr>
      </w:pPr>
      <w:r>
        <w:rPr>
          <w:sz w:val="24"/>
        </w:rPr>
        <w:t>不临路部分：</w:t>
      </w:r>
      <w:r>
        <w:rPr>
          <w:rFonts w:eastAsia="仿宋"/>
          <w:sz w:val="24"/>
          <w:szCs w:val="24"/>
        </w:rPr>
        <w:t>P</w:t>
      </w:r>
      <w:r>
        <w:rPr>
          <w:rFonts w:eastAsia="仿宋"/>
          <w:sz w:val="24"/>
          <w:szCs w:val="24"/>
          <w:vertAlign w:val="subscript"/>
        </w:rPr>
        <w:t>商</w:t>
      </w:r>
      <w:r>
        <w:rPr>
          <w:rFonts w:eastAsia="仿宋"/>
          <w:sz w:val="24"/>
          <w:szCs w:val="24"/>
        </w:rPr>
        <w:t>=（P</w:t>
      </w:r>
      <w:r>
        <w:rPr>
          <w:rFonts w:eastAsia="仿宋"/>
          <w:sz w:val="24"/>
          <w:szCs w:val="24"/>
          <w:vertAlign w:val="subscript"/>
        </w:rPr>
        <w:t>均质区域楼面地价</w:t>
      </w:r>
      <w:r>
        <w:rPr>
          <w:rFonts w:eastAsia="仿宋"/>
          <w:spacing w:val="6"/>
          <w:sz w:val="24"/>
          <w:szCs w:val="24"/>
        </w:rPr>
        <w:t>×V</w:t>
      </w:r>
      <w:r>
        <w:rPr>
          <w:rFonts w:eastAsia="仿宋"/>
          <w:sz w:val="24"/>
          <w:szCs w:val="24"/>
        </w:rPr>
        <w:t>）</w:t>
      </w:r>
      <w:r>
        <w:rPr>
          <w:rFonts w:eastAsia="仿宋"/>
          <w:spacing w:val="6"/>
          <w:sz w:val="24"/>
          <w:szCs w:val="24"/>
        </w:rPr>
        <w:t>×（1+</w:t>
      </w:r>
      <w:r>
        <w:rPr>
          <w:sz w:val="24"/>
        </w:rPr>
        <w:t>∑K</w:t>
      </w:r>
      <w:r>
        <w:rPr>
          <w:sz w:val="24"/>
          <w:vertAlign w:val="subscript"/>
        </w:rPr>
        <w:t>i</w:t>
      </w:r>
      <w:r>
        <w:rPr>
          <w:sz w:val="24"/>
        </w:rPr>
        <w:t>）</w:t>
      </w:r>
      <w:r>
        <w:rPr>
          <w:rFonts w:eastAsia="仿宋"/>
          <w:spacing w:val="6"/>
          <w:sz w:val="24"/>
          <w:szCs w:val="24"/>
        </w:rPr>
        <w:t>×K</w:t>
      </w:r>
      <w:r>
        <w:rPr>
          <w:rFonts w:eastAsia="仿宋"/>
          <w:spacing w:val="6"/>
          <w:sz w:val="24"/>
          <w:szCs w:val="24"/>
          <w:vertAlign w:val="subscript"/>
        </w:rPr>
        <w:t>n</w:t>
      </w:r>
      <w:r>
        <w:rPr>
          <w:rFonts w:eastAsia="仿宋"/>
          <w:spacing w:val="6"/>
          <w:sz w:val="24"/>
          <w:szCs w:val="24"/>
        </w:rPr>
        <w:t>×K</w:t>
      </w:r>
      <w:r>
        <w:rPr>
          <w:rFonts w:eastAsia="仿宋"/>
          <w:spacing w:val="6"/>
          <w:sz w:val="24"/>
          <w:szCs w:val="24"/>
          <w:vertAlign w:val="subscript"/>
        </w:rPr>
        <w:t>t</w:t>
      </w:r>
      <w:r>
        <w:rPr>
          <w:rFonts w:eastAsia="仿宋"/>
          <w:spacing w:val="6"/>
          <w:sz w:val="24"/>
          <w:szCs w:val="24"/>
        </w:rPr>
        <w:t>×K</w:t>
      </w:r>
      <w:r>
        <w:rPr>
          <w:rFonts w:eastAsia="仿宋"/>
          <w:spacing w:val="6"/>
          <w:sz w:val="24"/>
          <w:szCs w:val="24"/>
          <w:vertAlign w:val="subscript"/>
        </w:rPr>
        <w:t>p</w:t>
      </w:r>
      <w:r>
        <w:rPr>
          <w:rFonts w:eastAsia="仿宋"/>
          <w:spacing w:val="6"/>
          <w:sz w:val="24"/>
          <w:szCs w:val="24"/>
        </w:rPr>
        <w:t>×K</w:t>
      </w:r>
      <w:r>
        <w:rPr>
          <w:rFonts w:eastAsia="仿宋"/>
          <w:spacing w:val="6"/>
          <w:sz w:val="24"/>
          <w:szCs w:val="24"/>
          <w:vertAlign w:val="subscript"/>
        </w:rPr>
        <w:t>s</w:t>
      </w:r>
      <w:r>
        <w:rPr>
          <w:rFonts w:eastAsia="仿宋"/>
          <w:spacing w:val="6"/>
          <w:sz w:val="24"/>
          <w:szCs w:val="24"/>
        </w:rPr>
        <w:t>×K-K</w:t>
      </w:r>
      <w:r>
        <w:rPr>
          <w:rFonts w:eastAsia="仿宋"/>
          <w:spacing w:val="6"/>
          <w:sz w:val="24"/>
          <w:szCs w:val="24"/>
          <w:vertAlign w:val="subscript"/>
        </w:rPr>
        <w:t>f m</w:t>
      </w:r>
    </w:p>
    <w:p>
      <w:pPr>
        <w:adjustRightInd w:val="0"/>
        <w:snapToGrid w:val="0"/>
        <w:ind w:firstLine="480" w:firstLineChars="200"/>
        <w:rPr>
          <w:rFonts w:eastAsia="仿宋"/>
          <w:sz w:val="24"/>
          <w:szCs w:val="24"/>
        </w:rPr>
      </w:pPr>
      <w:r>
        <w:rPr>
          <w:sz w:val="24"/>
          <w:szCs w:val="24"/>
        </w:rPr>
        <w:t>P</w:t>
      </w:r>
      <w:r>
        <w:rPr>
          <w:sz w:val="24"/>
          <w:szCs w:val="24"/>
          <w:vertAlign w:val="subscript"/>
        </w:rPr>
        <w:t>住</w:t>
      </w:r>
      <w:r>
        <w:rPr>
          <w:sz w:val="24"/>
          <w:szCs w:val="24"/>
        </w:rPr>
        <w:t>=</w:t>
      </w:r>
      <w:r>
        <w:rPr>
          <w:rFonts w:eastAsia="仿宋"/>
          <w:sz w:val="24"/>
          <w:szCs w:val="24"/>
        </w:rPr>
        <w:t>（P</w:t>
      </w:r>
      <w:r>
        <w:rPr>
          <w:rFonts w:eastAsia="仿宋"/>
          <w:sz w:val="24"/>
          <w:szCs w:val="24"/>
          <w:vertAlign w:val="subscript"/>
        </w:rPr>
        <w:t>均质区域楼面地价</w:t>
      </w:r>
      <w:r>
        <w:rPr>
          <w:rFonts w:eastAsia="仿宋"/>
          <w:spacing w:val="6"/>
          <w:sz w:val="24"/>
          <w:szCs w:val="24"/>
        </w:rPr>
        <w:t>×V</w:t>
      </w:r>
      <w:r>
        <w:rPr>
          <w:rFonts w:eastAsia="仿宋"/>
          <w:sz w:val="24"/>
          <w:szCs w:val="24"/>
        </w:rPr>
        <w:t>）</w:t>
      </w:r>
      <w:r>
        <w:rPr>
          <w:rFonts w:eastAsia="仿宋"/>
          <w:spacing w:val="6"/>
          <w:sz w:val="24"/>
          <w:szCs w:val="24"/>
        </w:rPr>
        <w:t>×（1+</w:t>
      </w:r>
      <w:r>
        <w:rPr>
          <w:sz w:val="24"/>
        </w:rPr>
        <w:t>∑K</w:t>
      </w:r>
      <w:r>
        <w:rPr>
          <w:sz w:val="24"/>
          <w:vertAlign w:val="subscript"/>
        </w:rPr>
        <w:t>i</w:t>
      </w:r>
      <w:r>
        <w:rPr>
          <w:sz w:val="24"/>
        </w:rPr>
        <w:t>）</w:t>
      </w:r>
      <w:r>
        <w:rPr>
          <w:rFonts w:eastAsia="仿宋"/>
          <w:spacing w:val="6"/>
          <w:sz w:val="24"/>
          <w:szCs w:val="24"/>
        </w:rPr>
        <w:t>×K</w:t>
      </w:r>
      <w:r>
        <w:rPr>
          <w:rFonts w:eastAsia="仿宋"/>
          <w:spacing w:val="6"/>
          <w:sz w:val="24"/>
          <w:szCs w:val="24"/>
          <w:vertAlign w:val="subscript"/>
        </w:rPr>
        <w:t>n</w:t>
      </w:r>
      <w:r>
        <w:rPr>
          <w:rFonts w:eastAsia="仿宋"/>
          <w:spacing w:val="6"/>
          <w:sz w:val="24"/>
          <w:szCs w:val="24"/>
        </w:rPr>
        <w:t>×K</w:t>
      </w:r>
      <w:r>
        <w:rPr>
          <w:rFonts w:eastAsia="仿宋"/>
          <w:spacing w:val="6"/>
          <w:sz w:val="24"/>
          <w:szCs w:val="24"/>
          <w:vertAlign w:val="subscript"/>
        </w:rPr>
        <w:t>t</w:t>
      </w:r>
      <w:r>
        <w:rPr>
          <w:rFonts w:eastAsia="仿宋"/>
          <w:spacing w:val="6"/>
          <w:sz w:val="24"/>
          <w:szCs w:val="24"/>
        </w:rPr>
        <w:t>×K</w:t>
      </w:r>
      <w:r>
        <w:rPr>
          <w:rFonts w:eastAsia="仿宋"/>
          <w:spacing w:val="6"/>
          <w:sz w:val="24"/>
          <w:szCs w:val="24"/>
          <w:vertAlign w:val="subscript"/>
        </w:rPr>
        <w:t>p</w:t>
      </w:r>
      <w:r>
        <w:rPr>
          <w:rFonts w:eastAsia="仿宋"/>
          <w:spacing w:val="6"/>
          <w:sz w:val="24"/>
          <w:szCs w:val="24"/>
        </w:rPr>
        <w:t>×K</w:t>
      </w:r>
      <w:r>
        <w:rPr>
          <w:rFonts w:eastAsia="仿宋"/>
          <w:spacing w:val="6"/>
          <w:sz w:val="24"/>
          <w:szCs w:val="24"/>
          <w:vertAlign w:val="subscript"/>
        </w:rPr>
        <w:t>s</w:t>
      </w:r>
      <w:r>
        <w:rPr>
          <w:rFonts w:eastAsia="仿宋"/>
          <w:spacing w:val="6"/>
          <w:sz w:val="24"/>
          <w:szCs w:val="24"/>
        </w:rPr>
        <w:t>×K</w:t>
      </w:r>
      <w:r>
        <w:rPr>
          <w:rFonts w:eastAsia="仿宋"/>
          <w:spacing w:val="6"/>
          <w:sz w:val="24"/>
          <w:szCs w:val="24"/>
          <w:vertAlign w:val="subscript"/>
        </w:rPr>
        <w:t>m</w:t>
      </w:r>
      <w:r>
        <w:rPr>
          <w:rFonts w:eastAsia="仿宋"/>
          <w:sz w:val="24"/>
          <w:szCs w:val="24"/>
        </w:rPr>
        <w:t xml:space="preserve"> </w:t>
      </w:r>
      <w:r>
        <w:rPr>
          <w:rFonts w:eastAsia="仿宋"/>
          <w:spacing w:val="6"/>
          <w:sz w:val="24"/>
          <w:szCs w:val="24"/>
        </w:rPr>
        <w:t>-K</w:t>
      </w:r>
      <w:r>
        <w:rPr>
          <w:rFonts w:eastAsia="仿宋"/>
          <w:spacing w:val="6"/>
          <w:sz w:val="24"/>
          <w:szCs w:val="24"/>
          <w:vertAlign w:val="subscript"/>
        </w:rPr>
        <w:t>f</w:t>
      </w:r>
    </w:p>
    <w:p>
      <w:pPr>
        <w:adjustRightInd w:val="0"/>
        <w:snapToGrid w:val="0"/>
        <w:ind w:firstLine="480" w:firstLineChars="200"/>
        <w:rPr>
          <w:rFonts w:eastAsia="仿宋"/>
          <w:sz w:val="24"/>
          <w:szCs w:val="24"/>
        </w:rPr>
      </w:pPr>
      <w:r>
        <w:rPr>
          <w:rFonts w:eastAsia="仿宋"/>
          <w:sz w:val="24"/>
          <w:szCs w:val="24"/>
        </w:rPr>
        <w:t>P</w:t>
      </w:r>
      <w:r>
        <w:rPr>
          <w:rFonts w:eastAsia="仿宋"/>
          <w:sz w:val="24"/>
          <w:szCs w:val="24"/>
          <w:vertAlign w:val="subscript"/>
        </w:rPr>
        <w:t>工</w:t>
      </w:r>
      <w:r>
        <w:rPr>
          <w:rFonts w:eastAsia="仿宋"/>
          <w:sz w:val="24"/>
          <w:szCs w:val="24"/>
        </w:rPr>
        <w:t>=P</w:t>
      </w:r>
      <w:r>
        <w:rPr>
          <w:rFonts w:eastAsia="仿宋"/>
          <w:sz w:val="24"/>
          <w:szCs w:val="24"/>
          <w:vertAlign w:val="subscript"/>
        </w:rPr>
        <w:t>o</w:t>
      </w:r>
      <w:r>
        <w:rPr>
          <w:rFonts w:eastAsia="仿宋"/>
          <w:sz w:val="24"/>
          <w:szCs w:val="24"/>
        </w:rPr>
        <w:t>×（1+∑K</w:t>
      </w:r>
      <w:r>
        <w:rPr>
          <w:rFonts w:eastAsia="仿宋"/>
          <w:sz w:val="24"/>
          <w:szCs w:val="24"/>
          <w:vertAlign w:val="subscript"/>
        </w:rPr>
        <w:t>i</w:t>
      </w:r>
      <w:r>
        <w:rPr>
          <w:rFonts w:eastAsia="仿宋"/>
          <w:sz w:val="24"/>
          <w:szCs w:val="24"/>
        </w:rPr>
        <w:t>）×K</w:t>
      </w:r>
      <w:r>
        <w:rPr>
          <w:rFonts w:eastAsia="仿宋"/>
          <w:sz w:val="24"/>
          <w:szCs w:val="24"/>
          <w:vertAlign w:val="subscript"/>
        </w:rPr>
        <w:t>n</w:t>
      </w:r>
      <w:r>
        <w:rPr>
          <w:rFonts w:eastAsia="仿宋"/>
          <w:sz w:val="24"/>
          <w:szCs w:val="24"/>
        </w:rPr>
        <w:t>×K</w:t>
      </w:r>
      <w:r>
        <w:rPr>
          <w:rFonts w:eastAsia="仿宋"/>
          <w:sz w:val="24"/>
          <w:szCs w:val="24"/>
          <w:vertAlign w:val="subscript"/>
        </w:rPr>
        <w:t>t</w:t>
      </w:r>
      <w:r>
        <w:rPr>
          <w:rFonts w:eastAsia="仿宋"/>
          <w:sz w:val="24"/>
          <w:szCs w:val="24"/>
        </w:rPr>
        <w:t>×K</w:t>
      </w:r>
      <w:r>
        <w:rPr>
          <w:rFonts w:eastAsia="仿宋"/>
          <w:sz w:val="24"/>
          <w:szCs w:val="24"/>
          <w:vertAlign w:val="subscript"/>
        </w:rPr>
        <w:t>p</w:t>
      </w:r>
      <w:r>
        <w:rPr>
          <w:rFonts w:eastAsia="仿宋"/>
          <w:sz w:val="24"/>
          <w:szCs w:val="24"/>
        </w:rPr>
        <w:t>×K</w:t>
      </w:r>
      <w:r>
        <w:rPr>
          <w:rFonts w:eastAsia="仿宋"/>
          <w:sz w:val="24"/>
          <w:szCs w:val="24"/>
          <w:vertAlign w:val="subscript"/>
        </w:rPr>
        <w:t>s</w:t>
      </w:r>
      <w:r>
        <w:rPr>
          <w:rFonts w:eastAsia="仿宋"/>
          <w:spacing w:val="6"/>
          <w:sz w:val="24"/>
          <w:szCs w:val="24"/>
        </w:rPr>
        <w:t>-K</w:t>
      </w:r>
      <w:r>
        <w:rPr>
          <w:rFonts w:eastAsia="仿宋"/>
          <w:spacing w:val="6"/>
          <w:sz w:val="24"/>
          <w:szCs w:val="24"/>
          <w:vertAlign w:val="subscript"/>
        </w:rPr>
        <w:t>f</w:t>
      </w:r>
    </w:p>
    <w:p>
      <w:pPr>
        <w:spacing w:line="300" w:lineRule="auto"/>
        <w:ind w:left="600" w:hanging="600" w:hangingChars="250"/>
        <w:rPr>
          <w:sz w:val="24"/>
        </w:rPr>
      </w:pPr>
      <w:r>
        <w:rPr>
          <w:sz w:val="24"/>
        </w:rPr>
        <w:t>式中：P</w:t>
      </w:r>
      <w:r>
        <w:rPr>
          <w:rFonts w:eastAsia="仿宋"/>
          <w:sz w:val="24"/>
          <w:szCs w:val="24"/>
          <w:vertAlign w:val="subscript"/>
        </w:rPr>
        <w:t>楼面路线价</w:t>
      </w:r>
      <w:r>
        <w:rPr>
          <w:sz w:val="24"/>
        </w:rPr>
        <w:t>——对应用途路线价的楼面基准地价（路线价/设定容积率*容积率换算系数）</w:t>
      </w:r>
    </w:p>
    <w:p>
      <w:pPr>
        <w:spacing w:line="300" w:lineRule="auto"/>
        <w:ind w:firstLine="480" w:firstLineChars="200"/>
        <w:rPr>
          <w:sz w:val="24"/>
        </w:rPr>
      </w:pPr>
      <w:r>
        <w:rPr>
          <w:sz w:val="24"/>
        </w:rPr>
        <w:t>P</w:t>
      </w:r>
      <w:r>
        <w:rPr>
          <w:rFonts w:eastAsia="仿宋"/>
          <w:sz w:val="24"/>
          <w:szCs w:val="24"/>
          <w:vertAlign w:val="subscript"/>
        </w:rPr>
        <w:t>均质区域楼面地价</w:t>
      </w:r>
      <w:r>
        <w:rPr>
          <w:sz w:val="24"/>
        </w:rPr>
        <w:t>——对应用途均质区域的楼面基准地价（均值区域价/设定容积率*容积率换算系数）</w:t>
      </w:r>
    </w:p>
    <w:p>
      <w:pPr>
        <w:spacing w:line="300" w:lineRule="auto"/>
        <w:ind w:firstLine="480" w:firstLineChars="200"/>
        <w:rPr>
          <w:sz w:val="24"/>
        </w:rPr>
      </w:pPr>
      <w:r>
        <w:rPr>
          <w:rFonts w:eastAsia="仿宋"/>
          <w:sz w:val="24"/>
          <w:szCs w:val="24"/>
        </w:rPr>
        <w:t>P</w:t>
      </w:r>
      <w:r>
        <w:rPr>
          <w:rFonts w:eastAsia="仿宋"/>
          <w:sz w:val="24"/>
          <w:szCs w:val="24"/>
          <w:vertAlign w:val="subscript"/>
        </w:rPr>
        <w:t>o</w:t>
      </w:r>
      <w:r>
        <w:rPr>
          <w:sz w:val="24"/>
        </w:rPr>
        <w:t>——工矿仓储用地级别基准地价</w:t>
      </w:r>
    </w:p>
    <w:p>
      <w:pPr>
        <w:spacing w:line="300" w:lineRule="auto"/>
        <w:ind w:firstLine="480" w:firstLineChars="200"/>
        <w:jc w:val="left"/>
        <w:rPr>
          <w:sz w:val="24"/>
        </w:rPr>
      </w:pPr>
      <w:r>
        <w:rPr>
          <w:sz w:val="24"/>
        </w:rPr>
        <w:t>∑K</w:t>
      </w:r>
      <w:r>
        <w:rPr>
          <w:sz w:val="24"/>
          <w:vertAlign w:val="subscript"/>
        </w:rPr>
        <w:t>i</w:t>
      </w:r>
      <w:r>
        <w:rPr>
          <w:sz w:val="24"/>
        </w:rPr>
        <w:t>——宗地区域因素修正系数表中各因素修正值之和</w:t>
      </w:r>
    </w:p>
    <w:p>
      <w:pPr>
        <w:spacing w:line="300" w:lineRule="auto"/>
        <w:ind w:firstLine="480" w:firstLineChars="200"/>
        <w:jc w:val="left"/>
        <w:rPr>
          <w:sz w:val="24"/>
        </w:rPr>
      </w:pPr>
      <w:r>
        <w:rPr>
          <w:sz w:val="24"/>
        </w:rPr>
        <w:t>K</w:t>
      </w:r>
      <w:r>
        <w:rPr>
          <w:sz w:val="24"/>
          <w:vertAlign w:val="subscript"/>
        </w:rPr>
        <w:t>n</w:t>
      </w:r>
      <w:r>
        <w:rPr>
          <w:sz w:val="24"/>
        </w:rPr>
        <w:t>——年期修正系数</w:t>
      </w:r>
    </w:p>
    <w:p>
      <w:pPr>
        <w:spacing w:line="300" w:lineRule="auto"/>
        <w:ind w:firstLine="480" w:firstLineChars="200"/>
        <w:jc w:val="left"/>
        <w:rPr>
          <w:sz w:val="24"/>
        </w:rPr>
      </w:pPr>
      <w:r>
        <w:rPr>
          <w:sz w:val="24"/>
        </w:rPr>
        <w:t>V——容积率</w:t>
      </w:r>
    </w:p>
    <w:p>
      <w:pPr>
        <w:spacing w:line="300" w:lineRule="auto"/>
        <w:ind w:firstLine="480" w:firstLineChars="200"/>
        <w:jc w:val="left"/>
        <w:rPr>
          <w:sz w:val="24"/>
          <w:lang/>
        </w:rPr>
      </w:pPr>
      <w:r>
        <w:rPr>
          <w:sz w:val="24"/>
          <w:lang/>
        </w:rPr>
        <w:t>K</w:t>
      </w:r>
      <w:r>
        <w:rPr>
          <w:sz w:val="24"/>
          <w:vertAlign w:val="subscript"/>
          <w:lang/>
        </w:rPr>
        <w:t>t</w:t>
      </w:r>
      <w:r>
        <w:rPr>
          <w:sz w:val="24"/>
          <w:lang/>
        </w:rPr>
        <w:t>——估价期日修正系数</w:t>
      </w:r>
    </w:p>
    <w:p>
      <w:pPr>
        <w:spacing w:line="300" w:lineRule="auto"/>
        <w:ind w:firstLine="480" w:firstLineChars="200"/>
        <w:jc w:val="left"/>
        <w:rPr>
          <w:sz w:val="24"/>
          <w:lang/>
        </w:rPr>
      </w:pPr>
      <w:r>
        <w:rPr>
          <w:sz w:val="24"/>
          <w:lang/>
        </w:rPr>
        <w:t>K</w:t>
      </w:r>
      <w:r>
        <w:rPr>
          <w:sz w:val="24"/>
          <w:vertAlign w:val="subscript"/>
          <w:lang/>
        </w:rPr>
        <w:t>d</w:t>
      </w:r>
      <w:r>
        <w:rPr>
          <w:sz w:val="24"/>
          <w:lang/>
        </w:rPr>
        <w:t>——土地深度修正系数</w:t>
      </w:r>
    </w:p>
    <w:p>
      <w:pPr>
        <w:spacing w:line="300" w:lineRule="auto"/>
        <w:ind w:firstLine="480" w:firstLineChars="200"/>
        <w:jc w:val="left"/>
        <w:rPr>
          <w:sz w:val="24"/>
          <w:lang/>
        </w:rPr>
      </w:pPr>
      <w:r>
        <w:rPr>
          <w:sz w:val="24"/>
          <w:lang/>
        </w:rPr>
        <w:t>K</w:t>
      </w:r>
      <w:r>
        <w:rPr>
          <w:sz w:val="24"/>
          <w:vertAlign w:val="subscript"/>
          <w:lang/>
        </w:rPr>
        <w:t>p</w:t>
      </w:r>
      <w:r>
        <w:rPr>
          <w:sz w:val="24"/>
          <w:lang/>
        </w:rPr>
        <w:t>——宗地位置偏离度修正系数</w:t>
      </w:r>
    </w:p>
    <w:p>
      <w:pPr>
        <w:spacing w:line="300" w:lineRule="auto"/>
        <w:ind w:firstLine="480" w:firstLineChars="200"/>
        <w:jc w:val="left"/>
        <w:rPr>
          <w:sz w:val="24"/>
          <w:lang/>
        </w:rPr>
      </w:pPr>
      <w:r>
        <w:rPr>
          <w:sz w:val="24"/>
          <w:lang/>
        </w:rPr>
        <w:t>K</w:t>
      </w:r>
      <w:r>
        <w:rPr>
          <w:sz w:val="24"/>
          <w:vertAlign w:val="subscript"/>
          <w:lang/>
        </w:rPr>
        <w:t>c</w:t>
      </w:r>
      <w:r>
        <w:rPr>
          <w:sz w:val="24"/>
          <w:lang/>
        </w:rPr>
        <w:t>——街角地修正系数</w:t>
      </w:r>
    </w:p>
    <w:p>
      <w:pPr>
        <w:spacing w:line="300" w:lineRule="auto"/>
        <w:ind w:firstLine="480" w:firstLineChars="200"/>
        <w:jc w:val="left"/>
        <w:rPr>
          <w:sz w:val="24"/>
          <w:lang/>
        </w:rPr>
      </w:pPr>
      <w:r>
        <w:rPr>
          <w:sz w:val="24"/>
          <w:lang/>
        </w:rPr>
        <w:t>K</w:t>
      </w:r>
      <w:r>
        <w:rPr>
          <w:sz w:val="24"/>
          <w:vertAlign w:val="subscript"/>
          <w:lang/>
        </w:rPr>
        <w:t>m</w:t>
      </w:r>
      <w:r>
        <w:rPr>
          <w:sz w:val="24"/>
          <w:lang/>
        </w:rPr>
        <w:t>——轨道交通站点修正系数</w:t>
      </w:r>
    </w:p>
    <w:p>
      <w:pPr>
        <w:spacing w:line="300" w:lineRule="auto"/>
        <w:ind w:firstLine="480" w:firstLineChars="200"/>
        <w:jc w:val="left"/>
        <w:rPr>
          <w:sz w:val="24"/>
          <w:lang/>
        </w:rPr>
      </w:pPr>
      <w:r>
        <w:rPr>
          <w:sz w:val="24"/>
          <w:lang/>
        </w:rPr>
        <w:t>K</w:t>
      </w:r>
      <w:r>
        <w:rPr>
          <w:sz w:val="24"/>
          <w:vertAlign w:val="subscript"/>
          <w:lang/>
        </w:rPr>
        <w:t>f</w:t>
      </w:r>
      <w:r>
        <w:rPr>
          <w:sz w:val="24"/>
          <w:lang/>
        </w:rPr>
        <w:t>——开发程度修正数</w:t>
      </w:r>
    </w:p>
    <w:p>
      <w:pPr>
        <w:spacing w:line="300" w:lineRule="auto"/>
        <w:ind w:firstLine="480" w:firstLineChars="200"/>
        <w:jc w:val="left"/>
        <w:rPr>
          <w:sz w:val="24"/>
          <w:lang/>
        </w:rPr>
      </w:pPr>
      <w:r>
        <w:rPr>
          <w:sz w:val="24"/>
          <w:lang/>
        </w:rPr>
        <w:t>K</w:t>
      </w:r>
      <w:r>
        <w:rPr>
          <w:sz w:val="24"/>
          <w:vertAlign w:val="subscript"/>
          <w:lang/>
        </w:rPr>
        <w:t>s</w:t>
      </w:r>
      <w:r>
        <w:rPr>
          <w:sz w:val="24"/>
          <w:lang/>
        </w:rPr>
        <w:t>——宗地形状与面积修正数</w:t>
      </w:r>
    </w:p>
    <w:p>
      <w:pPr>
        <w:spacing w:line="600" w:lineRule="exact"/>
        <w:ind w:firstLine="560" w:firstLineChars="200"/>
        <w:outlineLvl w:val="2"/>
        <w:rPr>
          <w:rFonts w:eastAsia="黑体"/>
          <w:sz w:val="28"/>
          <w:szCs w:val="28"/>
        </w:rPr>
      </w:pPr>
      <w:bookmarkStart w:id="877" w:name="_Toc30093"/>
      <w:bookmarkStart w:id="878" w:name="_Toc30289"/>
      <w:bookmarkStart w:id="879" w:name="_Toc470721370"/>
      <w:bookmarkStart w:id="880" w:name="_Toc469296520"/>
      <w:bookmarkStart w:id="881" w:name="_Toc467846902"/>
      <w:r>
        <w:rPr>
          <w:rFonts w:eastAsia="黑体"/>
          <w:sz w:val="28"/>
          <w:szCs w:val="28"/>
        </w:rPr>
        <w:t>二、市场比较法评估宗地地价</w:t>
      </w:r>
      <w:bookmarkEnd w:id="877"/>
      <w:bookmarkEnd w:id="878"/>
      <w:bookmarkEnd w:id="879"/>
      <w:bookmarkEnd w:id="880"/>
      <w:bookmarkEnd w:id="881"/>
    </w:p>
    <w:p>
      <w:pPr>
        <w:spacing w:line="460" w:lineRule="exact"/>
        <w:ind w:firstLine="480" w:firstLineChars="200"/>
        <w:jc w:val="left"/>
        <w:rPr>
          <w:sz w:val="24"/>
        </w:rPr>
      </w:pPr>
      <w:r>
        <w:rPr>
          <w:sz w:val="24"/>
        </w:rPr>
        <w:t>基于宗地地价修正体系的市场比较法，采用了专家选取影响土地级别的区域因素、宗地地价修正因素体系，并通过专家给予区域因素影响大小的权重；在因素条件指数的确定后，区域因素采用了规程要求的计算和量化方法，修正体系则是通过大量的市场交易资料统计分析并结合专家的经验判定而得，具有较强的科学性、合理性及实用性，克服了传统方法流程实现的不规范和主观性干扰，将使评估的结果更科学、更客观、更合理。</w:t>
      </w:r>
    </w:p>
    <w:p>
      <w:pPr>
        <w:spacing w:line="460" w:lineRule="exact"/>
        <w:ind w:firstLine="480" w:firstLineChars="200"/>
        <w:jc w:val="left"/>
        <w:rPr>
          <w:sz w:val="24"/>
        </w:rPr>
      </w:pPr>
      <w:r>
        <w:rPr>
          <w:sz w:val="24"/>
        </w:rPr>
        <w:t>与基准地价系数修正法不同的是市场比较法的地价修正基准不是基准地价而是市场交易案例价格。</w:t>
      </w:r>
    </w:p>
    <w:p>
      <w:pPr>
        <w:spacing w:line="460" w:lineRule="exact"/>
        <w:ind w:firstLine="480" w:firstLineChars="200"/>
        <w:jc w:val="left"/>
        <w:rPr>
          <w:sz w:val="24"/>
        </w:rPr>
      </w:pPr>
      <w:r>
        <w:rPr>
          <w:sz w:val="24"/>
        </w:rPr>
        <w:t>基于宗地地价修正体系的市场比较法主要流程如下：</w:t>
      </w:r>
    </w:p>
    <w:p>
      <w:pPr>
        <w:spacing w:line="460" w:lineRule="exact"/>
        <w:ind w:firstLine="480" w:firstLineChars="200"/>
        <w:rPr>
          <w:b/>
          <w:bCs/>
          <w:sz w:val="24"/>
        </w:rPr>
      </w:pPr>
      <w:r>
        <w:rPr>
          <w:sz w:val="24"/>
        </w:rPr>
        <w:t>1、待估宗地地价影响因素的分析和比较案例选取</w:t>
      </w:r>
    </w:p>
    <w:p>
      <w:pPr>
        <w:spacing w:line="460" w:lineRule="exact"/>
        <w:ind w:firstLine="480" w:firstLineChars="200"/>
        <w:jc w:val="left"/>
        <w:rPr>
          <w:sz w:val="24"/>
        </w:rPr>
      </w:pPr>
      <w:r>
        <w:rPr>
          <w:sz w:val="24"/>
        </w:rPr>
        <w:t>对待估宗地交易情况、交易日期、区域因素、个别因素进行分析，并根据市场比较法原理选取情况类似的比较交易案例。</w:t>
      </w:r>
    </w:p>
    <w:p>
      <w:pPr>
        <w:spacing w:line="460" w:lineRule="exact"/>
        <w:ind w:firstLine="480" w:firstLineChars="200"/>
        <w:rPr>
          <w:b/>
          <w:bCs/>
          <w:sz w:val="24"/>
        </w:rPr>
      </w:pPr>
      <w:r>
        <w:rPr>
          <w:sz w:val="24"/>
        </w:rPr>
        <w:t>2、因素比较系数确定</w:t>
      </w:r>
    </w:p>
    <w:p>
      <w:pPr>
        <w:spacing w:line="460" w:lineRule="exact"/>
        <w:ind w:firstLine="480" w:firstLineChars="200"/>
        <w:jc w:val="left"/>
        <w:rPr>
          <w:sz w:val="24"/>
        </w:rPr>
      </w:pPr>
      <w:r>
        <w:rPr>
          <w:sz w:val="24"/>
        </w:rPr>
        <w:t>交易期日价格比较系数确定。指标可以从宗地地价修正体系中的交易期日修正系数中获取，建立比较案例土地在其成交日期的与待估宗地估价期日的价格比较系数。</w:t>
      </w:r>
    </w:p>
    <w:p>
      <w:pPr>
        <w:spacing w:line="460" w:lineRule="exact"/>
        <w:ind w:firstLine="480" w:firstLineChars="200"/>
        <w:jc w:val="left"/>
        <w:rPr>
          <w:sz w:val="24"/>
        </w:rPr>
      </w:pPr>
      <w:r>
        <w:rPr>
          <w:sz w:val="24"/>
        </w:rPr>
        <w:t>区域因素比较系数确定。将待估宗地与比较案例土地的区域条件分别与宗地地价区域因素修正系数的条件指标相匹配，并获取相应的修正系数，通过如下公式计算。</w:t>
      </w:r>
    </w:p>
    <w:p>
      <w:pPr>
        <w:spacing w:line="460" w:lineRule="exact"/>
        <w:ind w:firstLine="480" w:firstLineChars="200"/>
        <w:jc w:val="left"/>
        <w:rPr>
          <w:sz w:val="24"/>
        </w:rPr>
      </w:pPr>
      <w:r>
        <w:rPr>
          <w:sz w:val="24"/>
        </w:rPr>
        <w:t>D</w:t>
      </w:r>
      <w:r>
        <w:rPr>
          <w:sz w:val="24"/>
          <w:vertAlign w:val="subscript"/>
        </w:rPr>
        <w:t>i</w:t>
      </w:r>
      <w:r>
        <w:rPr>
          <w:sz w:val="24"/>
        </w:rPr>
        <w:t xml:space="preserve">=1±K </w:t>
      </w:r>
    </w:p>
    <w:p>
      <w:pPr>
        <w:spacing w:line="460" w:lineRule="exact"/>
        <w:ind w:firstLine="480" w:firstLineChars="200"/>
        <w:jc w:val="left"/>
        <w:rPr>
          <w:sz w:val="24"/>
        </w:rPr>
      </w:pPr>
      <w:r>
        <w:rPr>
          <w:sz w:val="24"/>
        </w:rPr>
        <w:t>式中</w:t>
      </w:r>
      <w:r>
        <w:rPr>
          <w:sz w:val="24"/>
          <w:lang/>
        </w:rPr>
        <w:t>：D</w:t>
      </w:r>
      <w:r>
        <w:rPr>
          <w:sz w:val="24"/>
          <w:vertAlign w:val="subscript"/>
          <w:lang/>
        </w:rPr>
        <w:t>i</w:t>
      </w:r>
      <w:r>
        <w:rPr>
          <w:sz w:val="24"/>
          <w:lang/>
        </w:rPr>
        <w:t>—待估宗地或比较案例第</w:t>
      </w:r>
      <w:r>
        <w:rPr>
          <w:sz w:val="24"/>
        </w:rPr>
        <w:t>i个区位因素的比较系数</w:t>
      </w:r>
    </w:p>
    <w:p>
      <w:pPr>
        <w:spacing w:line="460" w:lineRule="exact"/>
        <w:ind w:left="598" w:leftChars="285" w:firstLine="480" w:firstLineChars="200"/>
        <w:jc w:val="left"/>
        <w:rPr>
          <w:sz w:val="24"/>
        </w:rPr>
      </w:pPr>
      <w:r>
        <w:rPr>
          <w:sz w:val="24"/>
        </w:rPr>
        <w:t>K—待估宗地或比较案例第i个区位因素的对应的宗地价修正系</w:t>
      </w:r>
    </w:p>
    <w:p>
      <w:pPr>
        <w:spacing w:line="460" w:lineRule="exact"/>
        <w:ind w:firstLine="480" w:firstLineChars="200"/>
        <w:jc w:val="left"/>
        <w:rPr>
          <w:sz w:val="24"/>
        </w:rPr>
      </w:pPr>
      <w:r>
        <w:rPr>
          <w:sz w:val="24"/>
        </w:rPr>
        <w:t>数</w:t>
      </w:r>
    </w:p>
    <w:p>
      <w:pPr>
        <w:spacing w:line="460" w:lineRule="exact"/>
        <w:ind w:left="19" w:leftChars="9" w:firstLine="480" w:firstLineChars="200"/>
        <w:jc w:val="left"/>
        <w:rPr>
          <w:sz w:val="24"/>
        </w:rPr>
      </w:pPr>
      <w:r>
        <w:rPr>
          <w:sz w:val="24"/>
        </w:rPr>
        <w:t>个别因素比较系数确定。将影响待估宗地与比较案例土地的个别因素和特殊因素，分别与宗地地价的个别因素正系数的条件指标相区配，并获取相应的修正系数，作为待估宗地与比较案例土地的个别因素比较系数。</w:t>
      </w:r>
    </w:p>
    <w:p>
      <w:pPr>
        <w:spacing w:line="460" w:lineRule="exact"/>
        <w:ind w:firstLine="480" w:firstLineChars="200"/>
        <w:rPr>
          <w:b/>
          <w:bCs/>
          <w:sz w:val="24"/>
        </w:rPr>
      </w:pPr>
      <w:r>
        <w:rPr>
          <w:sz w:val="24"/>
        </w:rPr>
        <w:t>3、待估宗地地价计算</w:t>
      </w:r>
    </w:p>
    <w:p>
      <w:pPr>
        <w:spacing w:line="460" w:lineRule="exact"/>
        <w:ind w:left="19" w:leftChars="9" w:firstLine="480" w:firstLineChars="200"/>
        <w:jc w:val="left"/>
        <w:rPr>
          <w:sz w:val="24"/>
        </w:rPr>
      </w:pPr>
      <w:r>
        <w:rPr>
          <w:sz w:val="24"/>
        </w:rPr>
        <w:t>按照市场比较法的计算公式</w:t>
      </w:r>
    </w:p>
    <w:p>
      <w:pPr>
        <w:spacing w:line="460" w:lineRule="exact"/>
        <w:ind w:left="19" w:leftChars="9" w:firstLine="480" w:firstLineChars="200"/>
        <w:jc w:val="left"/>
        <w:rPr>
          <w:sz w:val="24"/>
          <w:lang/>
        </w:rPr>
      </w:pPr>
      <w:r>
        <w:rPr>
          <w:sz w:val="24"/>
          <w:lang/>
        </w:rPr>
        <w:t>P</w:t>
      </w:r>
      <w:r>
        <w:rPr>
          <w:sz w:val="24"/>
          <w:vertAlign w:val="subscript"/>
          <w:lang/>
        </w:rPr>
        <w:t>D</w:t>
      </w:r>
      <w:r>
        <w:rPr>
          <w:sz w:val="24"/>
          <w:lang/>
        </w:rPr>
        <w:t>=P</w:t>
      </w:r>
      <w:r>
        <w:rPr>
          <w:sz w:val="24"/>
          <w:vertAlign w:val="subscript"/>
          <w:lang/>
        </w:rPr>
        <w:t>B</w:t>
      </w:r>
      <w:r>
        <w:rPr>
          <w:sz w:val="24"/>
          <w:lang/>
        </w:rPr>
        <w:t xml:space="preserve">×A×B×D×E </w:t>
      </w:r>
    </w:p>
    <w:p>
      <w:pPr>
        <w:spacing w:line="460" w:lineRule="exact"/>
        <w:ind w:left="19" w:leftChars="9" w:firstLine="480" w:firstLineChars="200"/>
        <w:jc w:val="left"/>
        <w:rPr>
          <w:sz w:val="24"/>
          <w:lang/>
        </w:rPr>
      </w:pPr>
      <w:r>
        <w:rPr>
          <w:sz w:val="24"/>
          <w:lang/>
        </w:rPr>
        <w:t>式中：P</w:t>
      </w:r>
      <w:r>
        <w:rPr>
          <w:sz w:val="24"/>
          <w:vertAlign w:val="subscript"/>
          <w:lang/>
        </w:rPr>
        <w:t>D</w:t>
      </w:r>
      <w:r>
        <w:rPr>
          <w:sz w:val="24"/>
          <w:lang/>
        </w:rPr>
        <w:t>——待估宗地价格；</w:t>
      </w:r>
    </w:p>
    <w:p>
      <w:pPr>
        <w:spacing w:line="460" w:lineRule="exact"/>
        <w:ind w:left="19" w:leftChars="9" w:firstLine="480" w:firstLineChars="200"/>
        <w:jc w:val="left"/>
        <w:rPr>
          <w:sz w:val="24"/>
        </w:rPr>
      </w:pPr>
      <w:r>
        <w:rPr>
          <w:sz w:val="24"/>
        </w:rPr>
        <w:t>P</w:t>
      </w:r>
      <w:r>
        <w:rPr>
          <w:sz w:val="24"/>
          <w:vertAlign w:val="subscript"/>
        </w:rPr>
        <w:t>B</w:t>
      </w:r>
      <w:r>
        <w:rPr>
          <w:sz w:val="24"/>
        </w:rPr>
        <w:t>——比较案例宗地价格；</w:t>
      </w:r>
    </w:p>
    <w:p>
      <w:pPr>
        <w:tabs>
          <w:tab w:val="left" w:pos="5055"/>
        </w:tabs>
        <w:ind w:left="-27" w:leftChars="-13" w:firstLine="560" w:firstLineChars="200"/>
        <w:jc w:val="center"/>
        <w:rPr>
          <w:color w:val="000000"/>
          <w:sz w:val="28"/>
          <w:szCs w:val="28"/>
        </w:rPr>
      </w:pPr>
      <w:r>
        <w:rPr>
          <w:rFonts w:ascii="Times New Roman" w:hAnsi="Times New Roman" w:eastAsia="宋体" w:cs="Times New Roman"/>
          <w:color w:val="000000"/>
          <w:kern w:val="2"/>
          <w:position w:val="-26"/>
          <w:sz w:val="28"/>
          <w:szCs w:val="28"/>
          <w:lang w:val="en-US" w:eastAsia="zh-CN" w:bidi="ar-SA"/>
        </w:rPr>
        <w:object>
          <v:shape id="Picture 36" type="#_x0000_t75" style="height:33pt;width:148.5pt;rotation:0f;" o:ole="t" fillcolor="#FFFFFF" filled="f" o:preferrelative="t" stroked="f" coordorigin="0,0" coordsize="21600,21600">
            <v:fill on="f" color2="#FFFFFF" focus="0%"/>
            <v:imagedata gain="65536f" blacklevel="0f" gamma="0" o:title="" r:id="rId149"/>
            <o:lock v:ext="edit" position="f" selection="f" grouping="f" rotation="f" cropping="f" text="f" aspectratio="t"/>
            <w10:wrap type="none"/>
            <w10:anchorlock/>
          </v:shape>
          <o:OLEObject Type="Embed" ProgID="" ShapeID="Picture 36" DrawAspect="Content" ObjectID="_334" r:id="rId148"/>
        </w:object>
      </w:r>
    </w:p>
    <w:p>
      <w:pPr>
        <w:ind w:left="-27" w:leftChars="-13" w:firstLine="560" w:firstLineChars="200"/>
        <w:jc w:val="center"/>
        <w:rPr>
          <w:color w:val="000000"/>
          <w:sz w:val="28"/>
          <w:szCs w:val="28"/>
        </w:rPr>
      </w:pPr>
      <w:r>
        <w:rPr>
          <w:rFonts w:ascii="Times New Roman" w:hAnsi="Times New Roman" w:eastAsia="宋体" w:cs="Times New Roman"/>
          <w:color w:val="000000"/>
          <w:kern w:val="2"/>
          <w:position w:val="-26"/>
          <w:sz w:val="28"/>
          <w:szCs w:val="28"/>
          <w:lang w:val="en-US" w:eastAsia="zh-CN" w:bidi="ar-SA"/>
        </w:rPr>
        <w:object>
          <v:shape id="Picture 37" type="#_x0000_t75" style="height:33pt;width:175.5pt;rotation:0f;" o:ole="t" fillcolor="#FFFFFF" filled="f" o:preferrelative="t" stroked="f" coordorigin="0,0" coordsize="21600,21600">
            <v:fill on="f" color2="#FFFFFF" focus="0%"/>
            <v:imagedata gain="65536f" blacklevel="0f" gamma="0" o:title="" r:id="rId151"/>
            <o:lock v:ext="edit" position="f" selection="f" grouping="f" rotation="f" cropping="f" text="f" aspectratio="t"/>
            <w10:wrap type="none"/>
            <w10:anchorlock/>
          </v:shape>
          <o:OLEObject Type="Embed" ProgID="" ShapeID="Picture 37" DrawAspect="Content" ObjectID="_335" r:id="rId150"/>
        </w:object>
      </w:r>
    </w:p>
    <w:p>
      <w:pPr>
        <w:ind w:left="-27" w:leftChars="-13" w:firstLine="560" w:firstLineChars="200"/>
        <w:jc w:val="center"/>
        <w:rPr>
          <w:color w:val="000000"/>
          <w:sz w:val="28"/>
          <w:szCs w:val="28"/>
        </w:rPr>
      </w:pPr>
      <w:r>
        <w:rPr>
          <w:rFonts w:ascii="Times New Roman" w:hAnsi="Times New Roman" w:eastAsia="宋体" w:cs="Times New Roman"/>
          <w:color w:val="000000"/>
          <w:kern w:val="2"/>
          <w:position w:val="-26"/>
          <w:sz w:val="28"/>
          <w:szCs w:val="28"/>
          <w:lang w:val="en-US" w:eastAsia="zh-CN" w:bidi="ar-SA"/>
        </w:rPr>
        <w:object>
          <v:shape id="Picture 38" type="#_x0000_t75" style="height:33pt;width:198pt;rotation:0f;" o:ole="t" fillcolor="#FFFFFF" filled="f" o:preferrelative="t" stroked="f" coordorigin="0,0" coordsize="21600,21600">
            <v:fill on="f" color2="#FFFFFF" focus="0%"/>
            <v:imagedata gain="65536f" blacklevel="0f" gamma="0" o:title="" r:id="rId153"/>
            <o:lock v:ext="edit" position="f" selection="f" grouping="f" rotation="f" cropping="f" text="f" aspectratio="t"/>
            <w10:wrap type="none"/>
            <w10:anchorlock/>
          </v:shape>
          <o:OLEObject Type="Embed" ProgID="" ShapeID="Picture 38" DrawAspect="Content" ObjectID="_336" r:id="rId152"/>
        </w:object>
      </w:r>
    </w:p>
    <w:p>
      <w:pPr>
        <w:ind w:left="-27" w:leftChars="-13" w:firstLine="560" w:firstLineChars="200"/>
        <w:jc w:val="center"/>
        <w:rPr>
          <w:color w:val="000000"/>
          <w:sz w:val="28"/>
          <w:szCs w:val="28"/>
        </w:rPr>
      </w:pPr>
      <w:r>
        <w:rPr>
          <w:rFonts w:ascii="Times New Roman" w:hAnsi="Times New Roman" w:eastAsia="宋体" w:cs="Times New Roman"/>
          <w:color w:val="000000"/>
          <w:kern w:val="2"/>
          <w:position w:val="-26"/>
          <w:sz w:val="28"/>
          <w:szCs w:val="28"/>
          <w:lang w:val="en-US" w:eastAsia="zh-CN" w:bidi="ar-SA"/>
        </w:rPr>
        <w:object>
          <v:shape id="Picture 39" type="#_x0000_t75" style="height:33pt;width:198pt;rotation:0f;" o:ole="t" fillcolor="#FFFFFF" filled="f" o:preferrelative="t" stroked="f" coordorigin="0,0" coordsize="21600,21600">
            <v:fill on="f" color2="#FFFFFF" focus="0%"/>
            <v:imagedata gain="65536f" blacklevel="0f" gamma="0" o:title="" r:id="rId155"/>
            <o:lock v:ext="edit" position="f" selection="f" grouping="f" rotation="f" cropping="f" text="f" aspectratio="t"/>
            <w10:wrap type="none"/>
            <w10:anchorlock/>
          </v:shape>
          <o:OLEObject Type="Embed" ProgID="" ShapeID="Picture 39" DrawAspect="Content" ObjectID="_337" r:id="rId154"/>
        </w:object>
      </w:r>
    </w:p>
    <w:p>
      <w:pPr>
        <w:widowControl/>
        <w:ind w:firstLine="720" w:firstLineChars="200"/>
        <w:jc w:val="left"/>
        <w:rPr>
          <w:rFonts w:eastAsia="黑体"/>
          <w:smallCaps/>
          <w:sz w:val="36"/>
          <w:szCs w:val="36"/>
        </w:rPr>
      </w:pPr>
      <w:r>
        <w:rPr>
          <w:rFonts w:eastAsia="黑体"/>
          <w:sz w:val="36"/>
          <w:szCs w:val="36"/>
        </w:rPr>
        <w:br w:type="page"/>
      </w:r>
    </w:p>
    <w:p>
      <w:pPr>
        <w:pStyle w:val="35"/>
        <w:tabs>
          <w:tab w:val="right" w:leader="dot" w:pos="8845"/>
        </w:tabs>
        <w:spacing w:line="360" w:lineRule="auto"/>
        <w:ind w:left="0"/>
        <w:jc w:val="center"/>
        <w:outlineLvl w:val="0"/>
        <w:rPr>
          <w:rFonts w:eastAsia="黑体"/>
          <w:sz w:val="36"/>
          <w:szCs w:val="36"/>
        </w:rPr>
      </w:pPr>
      <w:bookmarkStart w:id="882" w:name="_Toc467846904"/>
      <w:bookmarkStart w:id="883" w:name="_Toc12157"/>
      <w:bookmarkStart w:id="884" w:name="_Toc22031"/>
      <w:bookmarkStart w:id="885" w:name="_Toc18344"/>
      <w:bookmarkStart w:id="886" w:name="_Toc470721371"/>
      <w:bookmarkStart w:id="887" w:name="_Toc469296521"/>
      <w:bookmarkStart w:id="888" w:name="_Toc6445"/>
      <w:r>
        <w:rPr>
          <w:rFonts w:eastAsia="黑体"/>
          <w:sz w:val="36"/>
          <w:szCs w:val="36"/>
        </w:rPr>
        <w:t>第五篇  乡镇基准地价更新</w:t>
      </w:r>
      <w:bookmarkEnd w:id="882"/>
      <w:bookmarkEnd w:id="883"/>
      <w:bookmarkEnd w:id="884"/>
      <w:bookmarkEnd w:id="885"/>
      <w:bookmarkEnd w:id="886"/>
      <w:bookmarkEnd w:id="887"/>
      <w:bookmarkEnd w:id="888"/>
    </w:p>
    <w:p>
      <w:pPr>
        <w:spacing w:line="360" w:lineRule="auto"/>
        <w:jc w:val="center"/>
        <w:textAlignment w:val="baseline"/>
        <w:outlineLvl w:val="1"/>
        <w:rPr>
          <w:rFonts w:eastAsia="黑体"/>
          <w:sz w:val="28"/>
          <w:szCs w:val="28"/>
        </w:rPr>
      </w:pPr>
      <w:bookmarkStart w:id="889" w:name="_Toc1659"/>
      <w:bookmarkStart w:id="890" w:name="_Toc470721372"/>
      <w:bookmarkStart w:id="891" w:name="_Toc8747"/>
      <w:bookmarkStart w:id="892" w:name="_Toc12396"/>
      <w:bookmarkStart w:id="893" w:name="_Toc467846905"/>
      <w:bookmarkStart w:id="894" w:name="_Toc469296522"/>
      <w:bookmarkStart w:id="895" w:name="_Toc5039"/>
      <w:bookmarkStart w:id="896" w:name="_Toc21911"/>
      <w:r>
        <w:rPr>
          <w:rFonts w:eastAsia="黑体"/>
          <w:sz w:val="32"/>
          <w:szCs w:val="22"/>
        </w:rPr>
        <w:t>第一章 乡镇情况简介</w:t>
      </w:r>
      <w:bookmarkEnd w:id="889"/>
      <w:bookmarkEnd w:id="890"/>
      <w:bookmarkEnd w:id="891"/>
      <w:bookmarkEnd w:id="892"/>
      <w:bookmarkEnd w:id="893"/>
      <w:bookmarkEnd w:id="894"/>
      <w:bookmarkEnd w:id="895"/>
      <w:bookmarkEnd w:id="896"/>
    </w:p>
    <w:p>
      <w:pPr>
        <w:spacing w:line="460" w:lineRule="exact"/>
        <w:ind w:firstLine="480" w:firstLineChars="200"/>
        <w:rPr>
          <w:sz w:val="24"/>
          <w:szCs w:val="22"/>
        </w:rPr>
      </w:pPr>
      <w:r>
        <w:rPr>
          <w:sz w:val="24"/>
          <w:szCs w:val="22"/>
        </w:rPr>
        <w:t>1、榔梨街道办事处</w:t>
      </w:r>
    </w:p>
    <w:p>
      <w:pPr>
        <w:spacing w:line="460" w:lineRule="exact"/>
        <w:ind w:firstLine="480" w:firstLineChars="200"/>
        <w:rPr>
          <w:sz w:val="24"/>
          <w:szCs w:val="22"/>
        </w:rPr>
      </w:pPr>
      <w:r>
        <w:rPr>
          <w:sz w:val="24"/>
          <w:szCs w:val="22"/>
        </w:rPr>
        <w:t>榔梨街道位于长沙县的中部，距长沙市市区8公里，距黄花国际机场8公里，距长沙经济技术开发区8公里。京珠高速、319国道纵横西北，机场高速穿镇而过，黄兴大道将她与国家级长沙经济技术开发区紧密相连，区位优势十分明显，交通十分便利。全街道总面积34.8平方公里，辖4个建制村，5个社区。</w:t>
      </w:r>
    </w:p>
    <w:p>
      <w:pPr>
        <w:spacing w:line="460" w:lineRule="exact"/>
        <w:ind w:firstLine="480" w:firstLineChars="200"/>
        <w:rPr>
          <w:sz w:val="24"/>
          <w:szCs w:val="22"/>
        </w:rPr>
      </w:pPr>
      <w:r>
        <w:rPr>
          <w:sz w:val="24"/>
          <w:szCs w:val="22"/>
        </w:rPr>
        <w:t>2、长龙街道办事处</w:t>
      </w:r>
    </w:p>
    <w:p>
      <w:pPr>
        <w:spacing w:line="460" w:lineRule="exact"/>
        <w:ind w:firstLine="480" w:firstLineChars="200"/>
        <w:rPr>
          <w:sz w:val="24"/>
          <w:szCs w:val="22"/>
        </w:rPr>
      </w:pPr>
      <w:r>
        <w:rPr>
          <w:sz w:val="24"/>
          <w:szCs w:val="22"/>
        </w:rPr>
        <w:t>长龙街道办事处是2012年经省民政厅批复(湘民行发〔2012〕25号)从黄花镇析置出来的一个新街道，毗邻经开区，无缝对接县城，覆盖星沙产业基地，行政区划范围包括原黄花镇茶塘村、长龙村、湘峰村三个整村和华湘村在长永高速以北的区域，总面积29平方公里，共涉及112个村民小组，目前人口1.03万人，产业工人近万人，总规划人口6万人。目前办事处下辖茶塘村、长龙村、湘峰村三个建制村和龙井社区、龙湘社区两个城市社区，办事处驻地开元东路幸福家园内。</w:t>
      </w:r>
    </w:p>
    <w:p>
      <w:pPr>
        <w:spacing w:line="460" w:lineRule="exact"/>
        <w:ind w:firstLine="480" w:firstLineChars="200"/>
        <w:rPr>
          <w:sz w:val="24"/>
          <w:szCs w:val="22"/>
        </w:rPr>
      </w:pPr>
      <w:r>
        <w:rPr>
          <w:sz w:val="24"/>
          <w:szCs w:val="22"/>
        </w:rPr>
        <w:t>3、黄兴镇</w:t>
      </w:r>
    </w:p>
    <w:p>
      <w:pPr>
        <w:spacing w:line="460" w:lineRule="exact"/>
        <w:ind w:firstLine="480" w:firstLineChars="200"/>
        <w:rPr>
          <w:sz w:val="24"/>
          <w:szCs w:val="22"/>
        </w:rPr>
      </w:pPr>
      <w:r>
        <w:rPr>
          <w:sz w:val="24"/>
          <w:szCs w:val="22"/>
        </w:rPr>
        <w:t>黄兴镇位于长沙县南部，地处东经113°04´～113°14´、北纬28°03´～28°11´之间，东接江背镇，南抵浏阳市，西邻长沙市雨花区，北靠榔梨镇和黄花镇。</w:t>
      </w:r>
    </w:p>
    <w:p>
      <w:pPr>
        <w:spacing w:line="460" w:lineRule="exact"/>
        <w:ind w:firstLine="480" w:firstLineChars="200"/>
        <w:rPr>
          <w:sz w:val="24"/>
          <w:szCs w:val="22"/>
        </w:rPr>
      </w:pPr>
      <w:r>
        <w:rPr>
          <w:sz w:val="24"/>
          <w:szCs w:val="22"/>
        </w:rPr>
        <w:t>2015年，根据长沙县乡镇区划调整方案，黄兴镇和</w:t>
      </w:r>
      <w:r>
        <w:fldChar w:fldCharType="begin"/>
      </w:r>
      <w:r>
        <w:instrText xml:space="preserve"> HYPERLINK "https://baike.baidu.com/item/%E5%B9%B2%E6%9D%89%E9%95%87" \t "https://baike.baidu.com/item/_blank" </w:instrText>
      </w:r>
      <w:r>
        <w:fldChar w:fldCharType="separate"/>
      </w:r>
      <w:r>
        <w:rPr>
          <w:sz w:val="24"/>
          <w:szCs w:val="22"/>
        </w:rPr>
        <w:t>干杉镇</w:t>
      </w:r>
      <w:r>
        <w:rPr>
          <w:sz w:val="24"/>
          <w:szCs w:val="22"/>
        </w:rPr>
        <w:fldChar w:fldCharType="end"/>
      </w:r>
      <w:r>
        <w:rPr>
          <w:sz w:val="24"/>
          <w:szCs w:val="22"/>
        </w:rPr>
        <w:t>成建制合并设立黄兴镇。行政区划调整后，全镇总面积为151.33平方公里，总人口8.19万人，辖14个建制村和4个社区。</w:t>
      </w:r>
    </w:p>
    <w:p>
      <w:pPr>
        <w:spacing w:line="460" w:lineRule="exact"/>
        <w:ind w:firstLine="480" w:firstLineChars="200"/>
        <w:rPr>
          <w:sz w:val="24"/>
          <w:szCs w:val="22"/>
        </w:rPr>
      </w:pPr>
      <w:r>
        <w:rPr>
          <w:sz w:val="24"/>
          <w:szCs w:val="22"/>
        </w:rPr>
        <w:t>4、黄花镇</w:t>
      </w:r>
    </w:p>
    <w:p>
      <w:pPr>
        <w:spacing w:line="460" w:lineRule="exact"/>
        <w:ind w:firstLine="480" w:firstLineChars="200"/>
        <w:rPr>
          <w:sz w:val="24"/>
          <w:szCs w:val="22"/>
        </w:rPr>
      </w:pPr>
      <w:r>
        <w:rPr>
          <w:sz w:val="24"/>
          <w:szCs w:val="22"/>
        </w:rPr>
        <w:t>黄花镇位于省会</w:t>
      </w:r>
      <w:r>
        <w:fldChar w:fldCharType="begin"/>
      </w:r>
      <w:r>
        <w:instrText xml:space="preserve"> HYPERLINK "http://baike.baidu.com/subview/7127/11314672.htm" \t "_blank" </w:instrText>
      </w:r>
      <w:r>
        <w:fldChar w:fldCharType="separate"/>
      </w:r>
      <w:r>
        <w:rPr>
          <w:sz w:val="24"/>
          <w:szCs w:val="22"/>
        </w:rPr>
        <w:t>长沙</w:t>
      </w:r>
      <w:r>
        <w:rPr>
          <w:sz w:val="24"/>
          <w:szCs w:val="22"/>
        </w:rPr>
        <w:fldChar w:fldCharType="end"/>
      </w:r>
      <w:r>
        <w:rPr>
          <w:sz w:val="24"/>
          <w:szCs w:val="22"/>
        </w:rPr>
        <w:t>东部，土地总面积169.66平方公里。西连县城星沙，北长龙街道，东毗春华、浏阳永安，是长沙县乡镇中人口第一、经济总量第二的大镇，全镇总面积141平方公里，总人口7.53万人，辖13个村、4个居委会，是长沙市“大东城”战略和长沙县临空经济区建设的核心区域。黄花国际机场坐落镇域腹地。在141平方公里的土地上，黄兴大道、机场高速、人民东路、S207等多条交通要道交错布局，七大板块竞相发展，空港城雄峙东南，松雅湖绽绿西北，农业区风情旖旎，工业区整洁壮观，经济实力与人民生活共同发展。</w:t>
      </w:r>
    </w:p>
    <w:p>
      <w:pPr>
        <w:spacing w:line="460" w:lineRule="exact"/>
        <w:ind w:firstLine="480" w:firstLineChars="200"/>
        <w:rPr>
          <w:sz w:val="24"/>
          <w:szCs w:val="22"/>
        </w:rPr>
      </w:pPr>
      <w:r>
        <w:rPr>
          <w:sz w:val="24"/>
          <w:szCs w:val="22"/>
        </w:rPr>
        <w:t>5、空港城片区</w:t>
      </w:r>
    </w:p>
    <w:p>
      <w:pPr>
        <w:spacing w:line="460" w:lineRule="exact"/>
        <w:ind w:firstLine="480" w:firstLineChars="200"/>
        <w:rPr>
          <w:sz w:val="24"/>
          <w:szCs w:val="22"/>
        </w:rPr>
      </w:pPr>
      <w:r>
        <w:rPr>
          <w:sz w:val="24"/>
          <w:szCs w:val="22"/>
        </w:rPr>
        <w:t>“空港城”规划区域是目前国内少有的集空港、高铁、城铁、高速交织的复合交通枢纽地带，城际铁路经“空港城”直达机场，周边长永高速、机场高速、长株高速和长沙市三环从北、南、西三面环绕，定位于“省门第一路”的城市快速路——人民路东延线横贯其中，完善的交通设施将其与长沙主城区多点连接，实现了园区与城区的快速通达。随着航空、高铁时代的到来，空港将成为全球化进程中获取核心竞争力的战略性资源，在当前全球化、区域化、数字化和以时间效率价值为基础的新型高速经济发展模式下具备无限机遇。</w:t>
      </w:r>
    </w:p>
    <w:p>
      <w:pPr>
        <w:spacing w:line="460" w:lineRule="exact"/>
        <w:ind w:firstLine="480" w:firstLineChars="200"/>
        <w:rPr>
          <w:sz w:val="24"/>
          <w:szCs w:val="22"/>
        </w:rPr>
      </w:pPr>
      <w:r>
        <w:rPr>
          <w:sz w:val="24"/>
          <w:szCs w:val="22"/>
        </w:rPr>
        <w:t>6、安沙镇</w:t>
      </w:r>
    </w:p>
    <w:p>
      <w:pPr>
        <w:spacing w:line="460" w:lineRule="exact"/>
        <w:ind w:firstLine="480" w:firstLineChars="200"/>
        <w:rPr>
          <w:sz w:val="24"/>
          <w:szCs w:val="22"/>
        </w:rPr>
      </w:pPr>
      <w:r>
        <w:rPr>
          <w:sz w:val="24"/>
          <w:szCs w:val="22"/>
        </w:rPr>
        <w:t>安沙镇位于湖南省中北部，土地总面积159.45平方公里，总人口5.57万人。其东连路口镇和果园镇，南邻黄花镇和星沙镇，西靠开福区和北山镇，北接汨罗市和青山铺镇。本镇辖：安沙、毛塘、梅塘、水塘垸、三合等5个社区，</w:t>
      </w:r>
      <w:r>
        <w:fldChar w:fldCharType="begin"/>
      </w:r>
      <w:r>
        <w:instrText xml:space="preserve"> HYPERLINK "http://baike.baidu.com/subview/12740116/13212685.htm" \t "_blank" </w:instrText>
      </w:r>
      <w:r>
        <w:fldChar w:fldCharType="separate"/>
      </w:r>
      <w:r>
        <w:rPr>
          <w:sz w:val="24"/>
          <w:szCs w:val="22"/>
        </w:rPr>
        <w:t>唐田新村</w:t>
      </w:r>
      <w:r>
        <w:rPr>
          <w:sz w:val="24"/>
          <w:szCs w:val="22"/>
        </w:rPr>
        <w:fldChar w:fldCharType="end"/>
      </w:r>
      <w:r>
        <w:rPr>
          <w:sz w:val="24"/>
          <w:szCs w:val="22"/>
        </w:rPr>
        <w:t>、万家铺村、油铺村、花桥村、鼎功桥村、新华村、龙华岭村、</w:t>
      </w:r>
      <w:r>
        <w:fldChar w:fldCharType="begin"/>
      </w:r>
      <w:r>
        <w:instrText xml:space="preserve"> HYPERLINK "http://baike.baidu.com/subview/12740150/13212734.htm" \t "_blank" </w:instrText>
      </w:r>
      <w:r>
        <w:fldChar w:fldCharType="separate"/>
      </w:r>
      <w:r>
        <w:rPr>
          <w:sz w:val="24"/>
          <w:szCs w:val="22"/>
        </w:rPr>
        <w:t>谭坊</w:t>
      </w:r>
      <w:r>
        <w:rPr>
          <w:sz w:val="24"/>
          <w:szCs w:val="22"/>
        </w:rPr>
        <w:fldChar w:fldCharType="end"/>
      </w:r>
      <w:r>
        <w:rPr>
          <w:sz w:val="24"/>
          <w:szCs w:val="22"/>
        </w:rPr>
        <w:t>村、</w:t>
      </w:r>
      <w:r>
        <w:fldChar w:fldCharType="begin"/>
      </w:r>
      <w:r>
        <w:instrText xml:space="preserve"> HYPERLINK "http://baike.baidu.com/subview/80750/10779397.htm" \t "_blank" </w:instrText>
      </w:r>
      <w:r>
        <w:fldChar w:fldCharType="separate"/>
      </w:r>
      <w:r>
        <w:rPr>
          <w:sz w:val="24"/>
          <w:szCs w:val="22"/>
        </w:rPr>
        <w:t>五龙山</w:t>
      </w:r>
      <w:r>
        <w:rPr>
          <w:sz w:val="24"/>
          <w:szCs w:val="22"/>
        </w:rPr>
        <w:fldChar w:fldCharType="end"/>
      </w:r>
      <w:r>
        <w:rPr>
          <w:sz w:val="24"/>
          <w:szCs w:val="22"/>
        </w:rPr>
        <w:t>村、黄桥村、和平村等11个建制村。</w:t>
      </w:r>
    </w:p>
    <w:p>
      <w:pPr>
        <w:spacing w:line="460" w:lineRule="exact"/>
        <w:ind w:firstLine="480" w:firstLineChars="200"/>
        <w:rPr>
          <w:sz w:val="24"/>
          <w:szCs w:val="22"/>
        </w:rPr>
      </w:pPr>
      <w:r>
        <w:rPr>
          <w:sz w:val="24"/>
          <w:szCs w:val="22"/>
        </w:rPr>
        <w:t>原</w:t>
      </w:r>
      <w:r>
        <w:fldChar w:fldCharType="begin"/>
      </w:r>
      <w:r>
        <w:instrText xml:space="preserve"> HYPERLINK "http://baike.baidu.com/subview/17491/15364119.htm" \t "_blank" </w:instrText>
      </w:r>
      <w:r>
        <w:fldChar w:fldCharType="separate"/>
      </w:r>
      <w:r>
        <w:rPr>
          <w:sz w:val="24"/>
          <w:szCs w:val="22"/>
        </w:rPr>
        <w:t>国务院</w:t>
      </w:r>
      <w:r>
        <w:rPr>
          <w:sz w:val="24"/>
          <w:szCs w:val="22"/>
        </w:rPr>
        <w:fldChar w:fldCharType="end"/>
      </w:r>
      <w:r>
        <w:rPr>
          <w:sz w:val="24"/>
          <w:szCs w:val="22"/>
        </w:rPr>
        <w:t>总理</w:t>
      </w:r>
      <w:r>
        <w:fldChar w:fldCharType="begin"/>
      </w:r>
      <w:r>
        <w:instrText xml:space="preserve"> HYPERLINK "http://baike.baidu.com/subview/1841/1841.htm" \t "_blank" </w:instrText>
      </w:r>
      <w:r>
        <w:fldChar w:fldCharType="separate"/>
      </w:r>
      <w:r>
        <w:rPr>
          <w:sz w:val="24"/>
          <w:szCs w:val="22"/>
        </w:rPr>
        <w:t>朱镕基</w:t>
      </w:r>
      <w:r>
        <w:rPr>
          <w:sz w:val="24"/>
          <w:szCs w:val="22"/>
        </w:rPr>
        <w:fldChar w:fldCharType="end"/>
      </w:r>
      <w:r>
        <w:rPr>
          <w:sz w:val="24"/>
          <w:szCs w:val="22"/>
        </w:rPr>
        <w:t>同志出生于安沙镇</w:t>
      </w:r>
      <w:r>
        <w:fldChar w:fldCharType="begin"/>
      </w:r>
      <w:r>
        <w:instrText xml:space="preserve"> HYPERLINK "http://baike.baidu.com/subview/1884791/15148354.htm" \t "_blank" </w:instrText>
      </w:r>
      <w:r>
        <w:fldChar w:fldCharType="separate"/>
      </w:r>
      <w:r>
        <w:rPr>
          <w:sz w:val="24"/>
          <w:szCs w:val="22"/>
        </w:rPr>
        <w:t>和平村</w:t>
      </w:r>
      <w:r>
        <w:rPr>
          <w:sz w:val="24"/>
          <w:szCs w:val="22"/>
        </w:rPr>
        <w:fldChar w:fldCharType="end"/>
      </w:r>
      <w:r>
        <w:rPr>
          <w:sz w:val="24"/>
          <w:szCs w:val="22"/>
        </w:rPr>
        <w:t>。安沙(毛塘)工业小区地处长沙市重点镇——</w:t>
      </w:r>
      <w:r>
        <w:fldChar w:fldCharType="begin"/>
      </w:r>
      <w:r>
        <w:instrText xml:space="preserve"> HYPERLINK "http://baike.baidu.com/subview/282231/5072552.htm" \t "_blank" </w:instrText>
      </w:r>
      <w:r>
        <w:fldChar w:fldCharType="separate"/>
      </w:r>
      <w:r>
        <w:rPr>
          <w:sz w:val="24"/>
          <w:szCs w:val="22"/>
        </w:rPr>
        <w:t>长沙县</w:t>
      </w:r>
      <w:r>
        <w:rPr>
          <w:sz w:val="24"/>
          <w:szCs w:val="22"/>
        </w:rPr>
        <w:fldChar w:fldCharType="end"/>
      </w:r>
      <w:r>
        <w:rPr>
          <w:sz w:val="24"/>
          <w:szCs w:val="22"/>
        </w:rPr>
        <w:t>安沙镇毛塘铺地段，系长沙县200平方公里经济核心区重点发展区域，是长沙县“1+6+3”发展战略六组团之一，园内安沙物流中心已列入湖南省“十一·五”规划重点发展项目。小区自2003年6月组建以来，三年时间开发土地2000多亩，20多家单位入驻小区投资兴业，是一块开发建设的</w:t>
      </w:r>
      <w:r>
        <w:fldChar w:fldCharType="begin"/>
      </w:r>
      <w:r>
        <w:instrText xml:space="preserve"> HYPERLINK "http://baike.baidu.com/subview/497476/9060805.htm" \t "_blank" </w:instrText>
      </w:r>
      <w:r>
        <w:fldChar w:fldCharType="separate"/>
      </w:r>
      <w:r>
        <w:rPr>
          <w:sz w:val="24"/>
          <w:szCs w:val="22"/>
        </w:rPr>
        <w:t>黄金宝</w:t>
      </w:r>
      <w:r>
        <w:rPr>
          <w:sz w:val="24"/>
          <w:szCs w:val="22"/>
        </w:rPr>
        <w:fldChar w:fldCharType="end"/>
      </w:r>
      <w:r>
        <w:rPr>
          <w:sz w:val="24"/>
          <w:szCs w:val="22"/>
        </w:rPr>
        <w:t>地，不久的将来，安沙毛塘工业小区将建设成为县城</w:t>
      </w:r>
      <w:r>
        <w:fldChar w:fldCharType="begin"/>
      </w:r>
      <w:r>
        <w:instrText xml:space="preserve"> HYPERLINK "http://baike.baidu.com/subview/1779193/1779193.htm" \t "_blank" </w:instrText>
      </w:r>
      <w:r>
        <w:fldChar w:fldCharType="separate"/>
      </w:r>
      <w:r>
        <w:rPr>
          <w:sz w:val="24"/>
          <w:szCs w:val="22"/>
        </w:rPr>
        <w:t>星沙</w:t>
      </w:r>
      <w:r>
        <w:rPr>
          <w:sz w:val="24"/>
          <w:szCs w:val="22"/>
        </w:rPr>
        <w:fldChar w:fldCharType="end"/>
      </w:r>
      <w:r>
        <w:rPr>
          <w:sz w:val="24"/>
          <w:szCs w:val="22"/>
        </w:rPr>
        <w:t>的城北区。</w:t>
      </w:r>
    </w:p>
    <w:p>
      <w:pPr>
        <w:spacing w:line="460" w:lineRule="exact"/>
        <w:ind w:firstLine="480" w:firstLineChars="200"/>
        <w:rPr>
          <w:sz w:val="24"/>
          <w:szCs w:val="22"/>
        </w:rPr>
      </w:pPr>
      <w:r>
        <w:rPr>
          <w:sz w:val="24"/>
          <w:szCs w:val="22"/>
        </w:rPr>
        <w:t>7、春华镇</w:t>
      </w:r>
    </w:p>
    <w:p>
      <w:pPr>
        <w:spacing w:line="460" w:lineRule="exact"/>
        <w:ind w:firstLine="480" w:firstLineChars="200"/>
        <w:rPr>
          <w:sz w:val="24"/>
          <w:szCs w:val="22"/>
        </w:rPr>
      </w:pPr>
      <w:r>
        <w:rPr>
          <w:sz w:val="24"/>
          <w:szCs w:val="22"/>
        </w:rPr>
        <w:t>春华镇位于</w:t>
      </w:r>
      <w:r>
        <w:fldChar w:fldCharType="begin"/>
      </w:r>
      <w:r>
        <w:instrText xml:space="preserve"> HYPERLINK "http://baike.baidu.com/subview/8581/19556679.htm" \t "_blank" </w:instrText>
      </w:r>
      <w:r>
        <w:fldChar w:fldCharType="separate"/>
      </w:r>
      <w:r>
        <w:rPr>
          <w:sz w:val="24"/>
          <w:szCs w:val="22"/>
        </w:rPr>
        <w:t>湖南</w:t>
      </w:r>
      <w:r>
        <w:rPr>
          <w:sz w:val="24"/>
          <w:szCs w:val="22"/>
        </w:rPr>
        <w:fldChar w:fldCharType="end"/>
      </w:r>
      <w:r>
        <w:rPr>
          <w:sz w:val="24"/>
          <w:szCs w:val="22"/>
        </w:rPr>
        <w:t>省会长沙东北部30公里处，土地总面积132平方公里。其东连浏阳市永安镇和沙市镇，南邻黄花镇，西靠果园镇，北接路口镇。辖九木村、百熙村、武塘村、大鱼塘村、龙王庙村、春华山村、花园新村、石塘铺村等8个建制村，金鼎山社区1个社区，有4.5万人。有县城主干道开元大道相连，</w:t>
      </w:r>
      <w:r>
        <w:fldChar w:fldCharType="begin"/>
      </w:r>
      <w:r>
        <w:instrText xml:space="preserve"> HYPERLINK "http://baike.baidu.com/view/157814.htm" \t "_blank" </w:instrText>
      </w:r>
      <w:r>
        <w:fldChar w:fldCharType="separate"/>
      </w:r>
      <w:r>
        <w:rPr>
          <w:sz w:val="24"/>
          <w:szCs w:val="22"/>
        </w:rPr>
        <w:t>319国道</w:t>
      </w:r>
      <w:r>
        <w:rPr>
          <w:sz w:val="24"/>
          <w:szCs w:val="22"/>
        </w:rPr>
        <w:fldChar w:fldCharType="end"/>
      </w:r>
      <w:r>
        <w:rPr>
          <w:sz w:val="24"/>
          <w:szCs w:val="22"/>
        </w:rPr>
        <w:t>和省道S207线贯穿全境。</w:t>
      </w:r>
    </w:p>
    <w:p>
      <w:pPr>
        <w:spacing w:line="460" w:lineRule="exact"/>
        <w:ind w:firstLine="480" w:firstLineChars="200"/>
        <w:rPr>
          <w:sz w:val="24"/>
          <w:szCs w:val="22"/>
        </w:rPr>
      </w:pPr>
      <w:r>
        <w:rPr>
          <w:sz w:val="24"/>
          <w:szCs w:val="22"/>
        </w:rPr>
        <w:t>春华镇是国家级生态镇、省现代农业示范区重点镇、市安全生产示范镇、县城乡一体化试点参照镇和城乡结合部整治镇、2014年7月春华镇被授予长沙市经济社会发展“十快”乡镇。</w:t>
      </w:r>
    </w:p>
    <w:p>
      <w:pPr>
        <w:spacing w:line="460" w:lineRule="exact"/>
        <w:ind w:firstLine="480" w:firstLineChars="200"/>
        <w:rPr>
          <w:sz w:val="24"/>
          <w:szCs w:val="22"/>
        </w:rPr>
      </w:pPr>
      <w:r>
        <w:rPr>
          <w:sz w:val="24"/>
          <w:szCs w:val="22"/>
        </w:rPr>
        <w:t>8、江背镇</w:t>
      </w:r>
    </w:p>
    <w:p>
      <w:pPr>
        <w:spacing w:line="460" w:lineRule="exact"/>
        <w:ind w:firstLine="480" w:firstLineChars="200"/>
        <w:rPr>
          <w:sz w:val="24"/>
          <w:szCs w:val="22"/>
        </w:rPr>
      </w:pPr>
      <w:r>
        <w:rPr>
          <w:sz w:val="24"/>
          <w:szCs w:val="22"/>
        </w:rPr>
        <w:t>江背镇位于长沙县东部，是老一辈无产阶级革命家徐特立、熊瑾玎等同志的故乡，地处长沙、株洲、浏阳金三角地带，距省会长沙市和铁路枢纽株洲市各30公里，离黄花国际机场仅10公里，浏阳河穿境而过，S103省道横贯东西，水、陆、空交通极为便利，具有独特的政治人文优势和区位交通优势。土地总面积172.53平方公里，本镇下辖4个社区，9个行政村。</w:t>
      </w:r>
    </w:p>
    <w:p>
      <w:pPr>
        <w:spacing w:line="460" w:lineRule="exact"/>
        <w:ind w:firstLine="480" w:firstLineChars="200"/>
        <w:rPr>
          <w:sz w:val="24"/>
          <w:szCs w:val="22"/>
        </w:rPr>
      </w:pPr>
      <w:r>
        <w:rPr>
          <w:sz w:val="24"/>
          <w:szCs w:val="22"/>
        </w:rPr>
        <w:t>9、北山镇</w:t>
      </w:r>
    </w:p>
    <w:p>
      <w:pPr>
        <w:spacing w:line="460" w:lineRule="exact"/>
        <w:ind w:firstLine="480" w:firstLineChars="200"/>
        <w:rPr>
          <w:sz w:val="24"/>
          <w:szCs w:val="22"/>
        </w:rPr>
      </w:pPr>
      <w:r>
        <w:rPr>
          <w:sz w:val="24"/>
          <w:szCs w:val="22"/>
        </w:rPr>
        <w:t>北山镇位于长沙县西北部，长沙市北部，长沙、望城、汩罗三县交界处，镇政府所在地南距长沙市三环线仅9.5公里，南距市区伍家岭仅20公里，东南距长沙县城星沙15公里，土地总面积144.88平方公里。1949年属太平、青山、青云乡，1956年为蒿塘乡，1958年为北山公社，1961年析北山、石常、牌楼公社，1983年置北山乡。辖：蒿塘、荣合桥、新桥3个社区；新云、新中、福高、牌楼、明月、狮山、北山、福安等8个村委会。</w:t>
      </w:r>
    </w:p>
    <w:p>
      <w:pPr>
        <w:spacing w:line="460" w:lineRule="exact"/>
        <w:ind w:firstLine="480" w:firstLineChars="200"/>
        <w:rPr>
          <w:sz w:val="24"/>
          <w:szCs w:val="22"/>
        </w:rPr>
      </w:pPr>
      <w:r>
        <w:rPr>
          <w:sz w:val="24"/>
          <w:szCs w:val="22"/>
        </w:rPr>
        <w:t>10、果园镇</w:t>
      </w:r>
    </w:p>
    <w:p>
      <w:pPr>
        <w:spacing w:line="460" w:lineRule="exact"/>
        <w:ind w:firstLine="480" w:firstLineChars="200"/>
        <w:rPr>
          <w:sz w:val="24"/>
          <w:szCs w:val="22"/>
        </w:rPr>
      </w:pPr>
      <w:r>
        <w:rPr>
          <w:sz w:val="24"/>
          <w:szCs w:val="22"/>
        </w:rPr>
        <w:t>果园镇位于长沙县北部，东接</w:t>
      </w:r>
      <w:r>
        <w:fldChar w:fldCharType="begin"/>
      </w:r>
      <w:r>
        <w:instrText xml:space="preserve"> HYPERLINK "http://baike.baidu.com/view/1980555.htm" \t "_blank" </w:instrText>
      </w:r>
      <w:r>
        <w:fldChar w:fldCharType="separate"/>
      </w:r>
      <w:r>
        <w:rPr>
          <w:sz w:val="24"/>
          <w:szCs w:val="22"/>
        </w:rPr>
        <w:t>春华镇</w:t>
      </w:r>
      <w:r>
        <w:rPr>
          <w:sz w:val="24"/>
          <w:szCs w:val="22"/>
        </w:rPr>
        <w:fldChar w:fldCharType="end"/>
      </w:r>
      <w:r>
        <w:rPr>
          <w:sz w:val="24"/>
          <w:szCs w:val="22"/>
        </w:rPr>
        <w:t>，西界</w:t>
      </w:r>
      <w:r>
        <w:fldChar w:fldCharType="begin"/>
      </w:r>
      <w:r>
        <w:instrText xml:space="preserve"> HYPERLINK "http://baike.baidu.com/view/1460652.htm" \t "_blank" </w:instrText>
      </w:r>
      <w:r>
        <w:fldChar w:fldCharType="separate"/>
      </w:r>
      <w:r>
        <w:rPr>
          <w:sz w:val="24"/>
          <w:szCs w:val="22"/>
        </w:rPr>
        <w:t>安沙镇</w:t>
      </w:r>
      <w:r>
        <w:rPr>
          <w:sz w:val="24"/>
          <w:szCs w:val="22"/>
        </w:rPr>
        <w:fldChar w:fldCharType="end"/>
      </w:r>
      <w:r>
        <w:rPr>
          <w:sz w:val="24"/>
          <w:szCs w:val="22"/>
        </w:rPr>
        <w:t>，南抵</w:t>
      </w:r>
      <w:r>
        <w:fldChar w:fldCharType="begin"/>
      </w:r>
      <w:r>
        <w:instrText xml:space="preserve"> HYPERLINK "http://baike.baidu.com/view/741591.htm" \t "_blank" </w:instrText>
      </w:r>
      <w:r>
        <w:fldChar w:fldCharType="separate"/>
      </w:r>
      <w:r>
        <w:rPr>
          <w:sz w:val="24"/>
          <w:szCs w:val="22"/>
        </w:rPr>
        <w:t>黄花镇</w:t>
      </w:r>
      <w:r>
        <w:rPr>
          <w:sz w:val="24"/>
          <w:szCs w:val="22"/>
        </w:rPr>
        <w:fldChar w:fldCharType="end"/>
      </w:r>
      <w:r>
        <w:rPr>
          <w:sz w:val="24"/>
          <w:szCs w:val="22"/>
        </w:rPr>
        <w:t>，北连</w:t>
      </w:r>
      <w:r>
        <w:fldChar w:fldCharType="begin"/>
      </w:r>
      <w:r>
        <w:instrText xml:space="preserve"> HYPERLINK "http://baike.baidu.com/view/772589.htm" \t "_blank" </w:instrText>
      </w:r>
      <w:r>
        <w:fldChar w:fldCharType="separate"/>
      </w:r>
      <w:r>
        <w:rPr>
          <w:sz w:val="24"/>
          <w:szCs w:val="22"/>
        </w:rPr>
        <w:t>路口镇</w:t>
      </w:r>
      <w:r>
        <w:rPr>
          <w:sz w:val="24"/>
          <w:szCs w:val="22"/>
        </w:rPr>
        <w:fldChar w:fldCharType="end"/>
      </w:r>
      <w:r>
        <w:rPr>
          <w:sz w:val="24"/>
          <w:szCs w:val="22"/>
        </w:rPr>
        <w:t>，土地总面积68.65平方公里，距县城22公里，距长沙市30公里。南北长12.5公里，东西长10.5公里。下辖3个社区，4个建制村，处在长沙县“一心三片”中的经济核心区的东北部，可分别依托东西向和南北向的宋水线、瞿麻线与107国道和S207（黄金大道）相连接。为发展工贸型小城镇具备了有利条件。</w:t>
      </w:r>
    </w:p>
    <w:p>
      <w:pPr>
        <w:spacing w:line="460" w:lineRule="exact"/>
        <w:ind w:firstLine="420" w:firstLineChars="200"/>
        <w:rPr>
          <w:sz w:val="24"/>
          <w:szCs w:val="22"/>
        </w:rPr>
      </w:pPr>
      <w:r>
        <w:fldChar w:fldCharType="begin"/>
      </w:r>
      <w:r>
        <w:instrText xml:space="preserve"> HYPERLINK "http://baike.baidu.com/subview/485658/20344741.htm" \t "_blank" </w:instrText>
      </w:r>
      <w:r>
        <w:fldChar w:fldCharType="separate"/>
      </w:r>
      <w:r>
        <w:rPr>
          <w:sz w:val="24"/>
          <w:szCs w:val="22"/>
        </w:rPr>
        <w:t>果园镇</w:t>
      </w:r>
      <w:r>
        <w:rPr>
          <w:sz w:val="24"/>
          <w:szCs w:val="22"/>
        </w:rPr>
        <w:fldChar w:fldCharType="end"/>
      </w:r>
      <w:r>
        <w:rPr>
          <w:sz w:val="24"/>
          <w:szCs w:val="22"/>
        </w:rPr>
        <w:t>亦被誉</w:t>
      </w:r>
      <w:r>
        <w:fldChar w:fldCharType="begin"/>
      </w:r>
      <w:r>
        <w:instrText xml:space="preserve"> HYPERLINK "http://baike.baidu.com/view/167251.htm" \t "_blank" </w:instrText>
      </w:r>
      <w:r>
        <w:fldChar w:fldCharType="separate"/>
      </w:r>
      <w:r>
        <w:rPr>
          <w:sz w:val="24"/>
          <w:szCs w:val="22"/>
        </w:rPr>
        <w:t>称</w:t>
      </w:r>
      <w:r>
        <w:rPr>
          <w:sz w:val="24"/>
          <w:szCs w:val="22"/>
        </w:rPr>
        <w:fldChar w:fldCharType="end"/>
      </w:r>
      <w:r>
        <w:rPr>
          <w:sz w:val="24"/>
          <w:szCs w:val="22"/>
        </w:rPr>
        <w:t>为名人之乡”、“文化之乡”、“水资源之乡”和“汽车之乡”。并率先成为长沙市政府首批“原生态建设乡镇”、“田汉文化艺术产业发展基地”、“长沙工程机械制造配套产业基地”、“长沙市经济技术开发区企业生活后勤基地”。</w:t>
      </w:r>
    </w:p>
    <w:p>
      <w:pPr>
        <w:spacing w:line="460" w:lineRule="exact"/>
        <w:ind w:firstLine="480" w:firstLineChars="200"/>
        <w:rPr>
          <w:sz w:val="24"/>
          <w:szCs w:val="22"/>
        </w:rPr>
      </w:pPr>
      <w:r>
        <w:rPr>
          <w:sz w:val="24"/>
          <w:szCs w:val="22"/>
        </w:rPr>
        <w:t>11、路口镇 </w:t>
      </w:r>
    </w:p>
    <w:p>
      <w:pPr>
        <w:spacing w:line="460" w:lineRule="exact"/>
        <w:ind w:firstLine="480" w:firstLineChars="200"/>
        <w:rPr>
          <w:sz w:val="24"/>
          <w:szCs w:val="22"/>
        </w:rPr>
      </w:pPr>
      <w:r>
        <w:rPr>
          <w:sz w:val="24"/>
          <w:szCs w:val="22"/>
        </w:rPr>
        <w:t>路口镇位于长沙县北部偏东，由原麻林乡和路口乡合并而成，土地总面积89平方公里，人口2.94万人，辖5个行政村和2个社区，有242个村民小组，7400多户居民。其东邻高桥镇和浏阳市，南连春华镇和果园镇，西靠安沙镇，北接青山铺镇和福临镇。</w:t>
      </w:r>
    </w:p>
    <w:p>
      <w:pPr>
        <w:spacing w:line="460" w:lineRule="exact"/>
        <w:ind w:firstLine="480" w:firstLineChars="200"/>
        <w:rPr>
          <w:sz w:val="24"/>
          <w:szCs w:val="22"/>
        </w:rPr>
      </w:pPr>
      <w:r>
        <w:rPr>
          <w:sz w:val="24"/>
          <w:szCs w:val="22"/>
        </w:rPr>
        <w:t>全镇已初步形成双轴（黄兴大道北延线，S207）、二带（麻林河、金井河风光带）、两心（麻林集镇、路口集镇）、三区（东菜西粮中部果）的战略格局。路口镇将以美丽的自然风光集聚人气；以高效的现代农业创建特色；以便利的交通优势发展产业；以独特的麻林温泉打造名片；以高雅的雕塑艺术提升品位。全镇干群将以谦逊好学、热情服务、勤廉务实、团结进取的精神风貌，致力于打造四个路口（美丽路口、商贸路口、温泉路口、艺术路口），努力实现北部崛起看路口、城乡一体创特色的战略目标。 </w:t>
      </w:r>
    </w:p>
    <w:p>
      <w:pPr>
        <w:spacing w:line="460" w:lineRule="exact"/>
        <w:ind w:firstLine="480" w:firstLineChars="200"/>
        <w:rPr>
          <w:sz w:val="24"/>
          <w:szCs w:val="22"/>
        </w:rPr>
      </w:pPr>
      <w:r>
        <w:rPr>
          <w:sz w:val="24"/>
          <w:szCs w:val="22"/>
        </w:rPr>
        <w:t>12、青山铺镇</w:t>
      </w:r>
    </w:p>
    <w:p>
      <w:pPr>
        <w:spacing w:line="460" w:lineRule="exact"/>
        <w:ind w:firstLine="480" w:firstLineChars="200"/>
        <w:rPr>
          <w:sz w:val="24"/>
          <w:szCs w:val="22"/>
        </w:rPr>
      </w:pPr>
      <w:r>
        <w:rPr>
          <w:sz w:val="24"/>
          <w:szCs w:val="22"/>
        </w:rPr>
        <w:t>青山铺镇位于长沙县西北部，长沙县、</w:t>
      </w:r>
      <w:r>
        <w:fldChar w:fldCharType="begin"/>
      </w:r>
      <w:r>
        <w:instrText xml:space="preserve"> HYPERLINK "http://baike.baidu.com/view/589276.htm" \t "_blank" </w:instrText>
      </w:r>
      <w:r>
        <w:fldChar w:fldCharType="separate"/>
      </w:r>
      <w:r>
        <w:rPr>
          <w:sz w:val="24"/>
          <w:szCs w:val="22"/>
        </w:rPr>
        <w:t>汨罗市</w:t>
      </w:r>
      <w:r>
        <w:rPr>
          <w:sz w:val="24"/>
          <w:szCs w:val="22"/>
        </w:rPr>
        <w:fldChar w:fldCharType="end"/>
      </w:r>
      <w:r>
        <w:rPr>
          <w:sz w:val="24"/>
          <w:szCs w:val="22"/>
        </w:rPr>
        <w:t>二县交汇处。土地总面积47.58平方公里。总人口1.98万人。其北面和东面连接福林镇，南邻路口镇和安沙镇，西靠汨罗市。本镇下辖4个村， 1个社区（广福村、洪河村、天华村、赛头村和青山铺社区）；政府驻广福路88号。</w:t>
      </w:r>
    </w:p>
    <w:p>
      <w:pPr>
        <w:spacing w:line="460" w:lineRule="exact"/>
        <w:ind w:firstLine="480" w:firstLineChars="200"/>
        <w:rPr>
          <w:sz w:val="24"/>
          <w:szCs w:val="22"/>
        </w:rPr>
      </w:pPr>
      <w:r>
        <w:rPr>
          <w:sz w:val="24"/>
          <w:szCs w:val="22"/>
        </w:rPr>
        <w:t>13、金井镇</w:t>
      </w:r>
    </w:p>
    <w:p>
      <w:pPr>
        <w:spacing w:line="460" w:lineRule="exact"/>
        <w:ind w:firstLine="480" w:firstLineChars="200"/>
        <w:rPr>
          <w:sz w:val="24"/>
          <w:szCs w:val="22"/>
        </w:rPr>
      </w:pPr>
      <w:r>
        <w:rPr>
          <w:sz w:val="24"/>
          <w:szCs w:val="22"/>
        </w:rPr>
        <w:t>本镇位于长沙县北部，土地总面积144.54平方公里，其南邻高桥镇，西靠开慧镇，北接岳阳市平江县。素有“小长沙”美称。是原国家建设部小城镇建设试点镇，现湖南省、长沙市重点镇。距黄花国际机场40公里，京珠高速、107国道傍镇而行，特别是省道207线修通后，金井到县城、省城不过40分钟车程，已成功融入</w:t>
      </w:r>
      <w:r>
        <w:fldChar w:fldCharType="begin"/>
      </w:r>
      <w:r>
        <w:instrText xml:space="preserve"> HYPERLINK "http://baike.baidu.com/subview/282231/5072552.htm" \t "_blank" </w:instrText>
      </w:r>
      <w:r>
        <w:fldChar w:fldCharType="separate"/>
      </w:r>
      <w:r>
        <w:rPr>
          <w:sz w:val="24"/>
          <w:szCs w:val="22"/>
        </w:rPr>
        <w:t>长沙县</w:t>
      </w:r>
      <w:r>
        <w:rPr>
          <w:sz w:val="24"/>
          <w:szCs w:val="22"/>
        </w:rPr>
        <w:fldChar w:fldCharType="end"/>
      </w:r>
      <w:r>
        <w:rPr>
          <w:sz w:val="24"/>
          <w:szCs w:val="22"/>
        </w:rPr>
        <w:t>、长沙市 “半小时经济圈”。</w:t>
      </w:r>
    </w:p>
    <w:p>
      <w:pPr>
        <w:spacing w:line="460" w:lineRule="exact"/>
        <w:ind w:firstLine="480" w:firstLineChars="200"/>
        <w:rPr>
          <w:sz w:val="24"/>
          <w:szCs w:val="22"/>
        </w:rPr>
      </w:pPr>
      <w:r>
        <w:rPr>
          <w:sz w:val="24"/>
          <w:szCs w:val="22"/>
        </w:rPr>
        <w:t>2015年，根据长沙县乡镇区划调整方案，金井镇和</w:t>
      </w:r>
      <w:r>
        <w:fldChar w:fldCharType="begin"/>
      </w:r>
      <w:r>
        <w:instrText xml:space="preserve"> HYPERLINK "http://baike.baidu.com/subview/240130/5952581.htm" \t "_blank" </w:instrText>
      </w:r>
      <w:r>
        <w:fldChar w:fldCharType="separate"/>
      </w:r>
      <w:r>
        <w:rPr>
          <w:sz w:val="24"/>
          <w:szCs w:val="22"/>
        </w:rPr>
        <w:t>双江镇</w:t>
      </w:r>
      <w:r>
        <w:rPr>
          <w:sz w:val="24"/>
          <w:szCs w:val="22"/>
        </w:rPr>
        <w:fldChar w:fldCharType="end"/>
      </w:r>
      <w:r>
        <w:rPr>
          <w:sz w:val="24"/>
          <w:szCs w:val="22"/>
        </w:rPr>
        <w:t>成建制合并设立金井镇，行政区划调整后，金井镇辖农裕村、团山村、龙华山村、石井村、双江社区、金井社区、金龙村、沙田村、惠农村、蒲塘村、观佳村、王梓园村、新沙村、湘丰村12个行政村、2个社区，总面积220.1平方公里，总人口6.6万人，镇人民政府驻金井社区（原金井镇人民政府驻地）。</w:t>
      </w:r>
    </w:p>
    <w:p>
      <w:pPr>
        <w:spacing w:line="460" w:lineRule="exact"/>
        <w:ind w:firstLine="480" w:firstLineChars="200"/>
        <w:rPr>
          <w:sz w:val="24"/>
          <w:szCs w:val="22"/>
        </w:rPr>
      </w:pPr>
      <w:r>
        <w:rPr>
          <w:sz w:val="24"/>
          <w:szCs w:val="22"/>
        </w:rPr>
        <w:t>14、双江片区</w:t>
      </w:r>
    </w:p>
    <w:p>
      <w:pPr>
        <w:spacing w:line="460" w:lineRule="exact"/>
        <w:ind w:firstLine="480" w:firstLineChars="200"/>
        <w:rPr>
          <w:sz w:val="24"/>
          <w:szCs w:val="22"/>
        </w:rPr>
      </w:pPr>
      <w:r>
        <w:rPr>
          <w:sz w:val="24"/>
          <w:szCs w:val="22"/>
        </w:rPr>
        <w:t>双江片区位于长沙县北部边关，座落于长沙、平江、浏阳三县（市）交界的龙华山下，镇域东南与浏阳市社港、龙伏、两镇毗邻，东北与平江县三阳、瓮江两镇（乡）接壤，西南、西北均与本县金井镇相连。双江无任何外境域水流入，为捞刀河发源地之一。</w:t>
      </w:r>
    </w:p>
    <w:p>
      <w:pPr>
        <w:spacing w:line="460" w:lineRule="exact"/>
        <w:ind w:firstLine="480" w:firstLineChars="200"/>
        <w:rPr>
          <w:sz w:val="24"/>
          <w:szCs w:val="22"/>
        </w:rPr>
      </w:pPr>
      <w:r>
        <w:rPr>
          <w:sz w:val="24"/>
          <w:szCs w:val="22"/>
        </w:rPr>
        <w:t>15、开慧镇</w:t>
      </w:r>
    </w:p>
    <w:p>
      <w:pPr>
        <w:spacing w:line="460" w:lineRule="exact"/>
        <w:ind w:firstLine="480" w:firstLineChars="200"/>
        <w:rPr>
          <w:sz w:val="24"/>
          <w:szCs w:val="22"/>
        </w:rPr>
      </w:pPr>
      <w:r>
        <w:rPr>
          <w:sz w:val="24"/>
          <w:szCs w:val="22"/>
        </w:rPr>
        <w:t>开慧镇位于长沙县西北部，其东邻金井镇、南连福临镇、西靠汨罗市、北接平江县。2015年，根据长沙县乡镇区划调整方案，开慧镇和</w:t>
      </w:r>
      <w:r>
        <w:fldChar w:fldCharType="begin"/>
      </w:r>
      <w:r>
        <w:instrText xml:space="preserve"> HYPERLINK "http://baike.baidu.com/subview/114077/10726638.htm" \t "_blank" </w:instrText>
      </w:r>
      <w:r>
        <w:fldChar w:fldCharType="separate"/>
      </w:r>
      <w:r>
        <w:rPr>
          <w:sz w:val="24"/>
          <w:szCs w:val="22"/>
        </w:rPr>
        <w:t>白沙镇</w:t>
      </w:r>
      <w:r>
        <w:rPr>
          <w:sz w:val="24"/>
          <w:szCs w:val="22"/>
        </w:rPr>
        <w:fldChar w:fldCharType="end"/>
      </w:r>
      <w:r>
        <w:rPr>
          <w:sz w:val="24"/>
          <w:szCs w:val="22"/>
        </w:rPr>
        <w:t>成建制合并设立开慧镇；行政区划调整后，开慧镇辖开慧、葛家山、枫林市、飘峰山、白沙、石燕、上华、锡福8个建制村，板仓、李家山2个社区，总面积123.82平方公里，总人口4.36万人，镇人民政府驻开慧。</w:t>
      </w:r>
      <w:r>
        <w:rPr>
          <w:sz w:val="24"/>
          <w:szCs w:val="22"/>
        </w:rPr>
        <w:tab/>
      </w:r>
    </w:p>
    <w:p>
      <w:pPr>
        <w:spacing w:line="460" w:lineRule="exact"/>
        <w:ind w:firstLine="480" w:firstLineChars="200"/>
        <w:rPr>
          <w:sz w:val="24"/>
          <w:szCs w:val="22"/>
        </w:rPr>
      </w:pPr>
      <w:r>
        <w:rPr>
          <w:sz w:val="24"/>
          <w:szCs w:val="22"/>
        </w:rPr>
        <w:t>16、白沙片区</w:t>
      </w:r>
    </w:p>
    <w:p>
      <w:pPr>
        <w:spacing w:line="460" w:lineRule="exact"/>
        <w:ind w:firstLine="480" w:firstLineChars="200"/>
        <w:rPr>
          <w:sz w:val="24"/>
          <w:szCs w:val="22"/>
        </w:rPr>
      </w:pPr>
      <w:r>
        <w:rPr>
          <w:sz w:val="24"/>
          <w:szCs w:val="22"/>
        </w:rPr>
        <w:t>白沙片区位于</w:t>
      </w:r>
      <w:r>
        <w:fldChar w:fldCharType="begin"/>
      </w:r>
      <w:r>
        <w:instrText xml:space="preserve"> HYPERLINK "https://baike.baidu.com/item/%E9%95%BF%E6%B2%99%E5%8E%BF" \t "_blank" </w:instrText>
      </w:r>
      <w:r>
        <w:fldChar w:fldCharType="separate"/>
      </w:r>
      <w:r>
        <w:rPr>
          <w:sz w:val="24"/>
          <w:szCs w:val="22"/>
        </w:rPr>
        <w:t>长沙县</w:t>
      </w:r>
      <w:r>
        <w:rPr>
          <w:sz w:val="24"/>
          <w:szCs w:val="22"/>
        </w:rPr>
        <w:fldChar w:fldCharType="end"/>
      </w:r>
      <w:r>
        <w:rPr>
          <w:sz w:val="24"/>
          <w:szCs w:val="22"/>
        </w:rPr>
        <w:t>北部，与平江县向家镇毗邻，其中耕地面积18855亩，水域面积2672亩，山林面积3259.7公顷。已硬化县乡公路（金开线、高白线、福南线、上桃线）28公里，有村级公路154公里。片区以粮食种植和生猪养殖为主导产业，以发展茶叶、</w:t>
      </w:r>
      <w:r>
        <w:fldChar w:fldCharType="begin"/>
      </w:r>
      <w:r>
        <w:instrText xml:space="preserve"> HYPERLINK "https://baike.baidu.com/item/%E6%A5%A0%E7%AB%B9" \t "_blank" </w:instrText>
      </w:r>
      <w:r>
        <w:fldChar w:fldCharType="separate"/>
      </w:r>
      <w:r>
        <w:rPr>
          <w:sz w:val="24"/>
          <w:szCs w:val="22"/>
        </w:rPr>
        <w:t>楠竹</w:t>
      </w:r>
      <w:r>
        <w:rPr>
          <w:sz w:val="24"/>
          <w:szCs w:val="22"/>
        </w:rPr>
        <w:fldChar w:fldCharType="end"/>
      </w:r>
      <w:r>
        <w:rPr>
          <w:sz w:val="24"/>
          <w:szCs w:val="22"/>
        </w:rPr>
        <w:t>、</w:t>
      </w:r>
      <w:r>
        <w:fldChar w:fldCharType="begin"/>
      </w:r>
      <w:r>
        <w:instrText xml:space="preserve"> HYPERLINK "https://baike.baidu.com/item/%E6%B2%B9%E8%8C%B6" \t "_blank" </w:instrText>
      </w:r>
      <w:r>
        <w:fldChar w:fldCharType="separate"/>
      </w:r>
      <w:r>
        <w:rPr>
          <w:sz w:val="24"/>
          <w:szCs w:val="22"/>
        </w:rPr>
        <w:t>油茶</w:t>
      </w:r>
      <w:r>
        <w:rPr>
          <w:sz w:val="24"/>
          <w:szCs w:val="22"/>
        </w:rPr>
        <w:fldChar w:fldCharType="end"/>
      </w:r>
      <w:r>
        <w:rPr>
          <w:sz w:val="24"/>
          <w:szCs w:val="22"/>
        </w:rPr>
        <w:t>、特种红薯、小水果为特色农业。</w:t>
      </w:r>
    </w:p>
    <w:p>
      <w:pPr>
        <w:spacing w:line="460" w:lineRule="exact"/>
        <w:ind w:firstLine="480" w:firstLineChars="200"/>
        <w:rPr>
          <w:sz w:val="24"/>
          <w:szCs w:val="22"/>
        </w:rPr>
      </w:pPr>
      <w:r>
        <w:rPr>
          <w:sz w:val="24"/>
          <w:szCs w:val="22"/>
        </w:rPr>
        <w:t>2015年，根据长沙县乡镇区划调整方案，开慧镇和白沙镇成建制合并设立开慧镇。</w:t>
      </w:r>
    </w:p>
    <w:p>
      <w:pPr>
        <w:spacing w:line="460" w:lineRule="exact"/>
        <w:ind w:firstLine="480" w:firstLineChars="200"/>
        <w:rPr>
          <w:sz w:val="24"/>
          <w:szCs w:val="22"/>
        </w:rPr>
      </w:pPr>
      <w:r>
        <w:rPr>
          <w:sz w:val="24"/>
          <w:szCs w:val="22"/>
        </w:rPr>
        <w:t>17、福临镇</w:t>
      </w:r>
    </w:p>
    <w:p>
      <w:pPr>
        <w:spacing w:line="460" w:lineRule="exact"/>
        <w:ind w:firstLine="480" w:firstLineChars="200"/>
        <w:rPr>
          <w:sz w:val="24"/>
          <w:szCs w:val="22"/>
        </w:rPr>
      </w:pPr>
      <w:r>
        <w:rPr>
          <w:sz w:val="24"/>
          <w:szCs w:val="22"/>
        </w:rPr>
        <w:t>福临镇位于位于长沙县北部，东抵高桥，西接汨罗，北连开慧，南接青山铺，距县城星沙40公里。土地总面积82.26平方公里，总人口为30576人。本镇下辖6个建制村和1个社区，镇域经济以种养业为主，是县委、县政府确定的农业发展重点乡镇之一。镇内影珠山主峰海拔509.4米，是长沙县的最高点，山上风景秀丽，气候宜人，是集历史文化、自然景观于一体的旅游、休闲胜地。</w:t>
      </w:r>
    </w:p>
    <w:p>
      <w:pPr>
        <w:spacing w:line="460" w:lineRule="exact"/>
        <w:ind w:firstLine="480" w:firstLineChars="200"/>
        <w:rPr>
          <w:sz w:val="24"/>
          <w:szCs w:val="22"/>
        </w:rPr>
      </w:pPr>
      <w:r>
        <w:rPr>
          <w:sz w:val="24"/>
          <w:szCs w:val="22"/>
        </w:rPr>
        <w:t>18、高桥镇</w:t>
      </w:r>
    </w:p>
    <w:p>
      <w:pPr>
        <w:spacing w:line="460" w:lineRule="exact"/>
        <w:ind w:firstLine="480" w:firstLineChars="200"/>
        <w:rPr>
          <w:sz w:val="24"/>
          <w:szCs w:val="22"/>
        </w:rPr>
      </w:pPr>
      <w:r>
        <w:rPr>
          <w:sz w:val="24"/>
          <w:szCs w:val="22"/>
        </w:rPr>
        <w:t>高桥镇位于县境东部，距县府48公里，面积111.54平方公里，北与金井接壤，南与路口相邻，东与浏阳毗邻，西与福临、白沙交界，镇域面积103.5平方公里。辖白石源村、维汉村、百录村、范林村、金桥村5个建制村和高桥锦绣社区，总人口2.96万人。乡镇企业有印刷、皮革、电机、农机等。农业主产水稻、</w:t>
      </w:r>
      <w:r>
        <w:fldChar w:fldCharType="begin"/>
      </w:r>
      <w:r>
        <w:instrText xml:space="preserve"> HYPERLINK "http://baike.baidu.com/view/1126823.htm" \t "_blank" </w:instrText>
      </w:r>
      <w:r>
        <w:fldChar w:fldCharType="separate"/>
      </w:r>
      <w:r>
        <w:rPr>
          <w:sz w:val="24"/>
          <w:szCs w:val="22"/>
        </w:rPr>
        <w:t>生猪</w:t>
      </w:r>
      <w:r>
        <w:rPr>
          <w:sz w:val="24"/>
          <w:szCs w:val="22"/>
        </w:rPr>
        <w:fldChar w:fldCharType="end"/>
      </w:r>
      <w:r>
        <w:rPr>
          <w:sz w:val="24"/>
          <w:szCs w:val="22"/>
        </w:rPr>
        <w:t>、</w:t>
      </w:r>
      <w:r>
        <w:fldChar w:fldCharType="begin"/>
      </w:r>
      <w:r>
        <w:instrText xml:space="preserve"> HYPERLINK "http://baike.baidu.com/view/701425.htm" \t "_blank" </w:instrText>
      </w:r>
      <w:r>
        <w:fldChar w:fldCharType="separate"/>
      </w:r>
      <w:r>
        <w:rPr>
          <w:sz w:val="24"/>
          <w:szCs w:val="22"/>
        </w:rPr>
        <w:t>楠竹</w:t>
      </w:r>
      <w:r>
        <w:rPr>
          <w:sz w:val="24"/>
          <w:szCs w:val="22"/>
        </w:rPr>
        <w:fldChar w:fldCharType="end"/>
      </w:r>
      <w:r>
        <w:rPr>
          <w:sz w:val="24"/>
          <w:szCs w:val="22"/>
        </w:rPr>
        <w:t>、</w:t>
      </w:r>
      <w:r>
        <w:fldChar w:fldCharType="begin"/>
      </w:r>
      <w:r>
        <w:instrText xml:space="preserve"> HYPERLINK "http://baike.baidu.com/view/3217.htm" \t "_blank" </w:instrText>
      </w:r>
      <w:r>
        <w:fldChar w:fldCharType="separate"/>
      </w:r>
      <w:r>
        <w:rPr>
          <w:sz w:val="24"/>
          <w:szCs w:val="22"/>
        </w:rPr>
        <w:t>茶叶</w:t>
      </w:r>
      <w:r>
        <w:rPr>
          <w:sz w:val="24"/>
          <w:szCs w:val="22"/>
        </w:rPr>
        <w:fldChar w:fldCharType="end"/>
      </w:r>
      <w:r>
        <w:rPr>
          <w:sz w:val="24"/>
          <w:szCs w:val="22"/>
        </w:rPr>
        <w:t>。红茶有近百年生产历史，精制“</w:t>
      </w:r>
      <w:r>
        <w:fldChar w:fldCharType="begin"/>
      </w:r>
      <w:r>
        <w:instrText xml:space="preserve"> HYPERLINK "http://baike.baidu.com/view/66592.htm" \t "_blank" </w:instrText>
      </w:r>
      <w:r>
        <w:fldChar w:fldCharType="separate"/>
      </w:r>
      <w:r>
        <w:rPr>
          <w:sz w:val="24"/>
          <w:szCs w:val="22"/>
        </w:rPr>
        <w:t>高桥银峰</w:t>
      </w:r>
      <w:r>
        <w:rPr>
          <w:sz w:val="24"/>
          <w:szCs w:val="22"/>
        </w:rPr>
        <w:fldChar w:fldCharType="end"/>
      </w:r>
      <w:r>
        <w:rPr>
          <w:sz w:val="24"/>
          <w:szCs w:val="22"/>
        </w:rPr>
        <w:t>”、“</w:t>
      </w:r>
      <w:r>
        <w:fldChar w:fldCharType="begin"/>
      </w:r>
      <w:r>
        <w:instrText xml:space="preserve"> HYPERLINK "http://baike.baidu.com/subview/81850/81850.htm" \t "_blank" </w:instrText>
      </w:r>
      <w:r>
        <w:fldChar w:fldCharType="separate"/>
      </w:r>
      <w:r>
        <w:rPr>
          <w:sz w:val="24"/>
          <w:szCs w:val="22"/>
        </w:rPr>
        <w:t>湘波绿</w:t>
      </w:r>
      <w:r>
        <w:rPr>
          <w:sz w:val="24"/>
          <w:szCs w:val="22"/>
        </w:rPr>
        <w:fldChar w:fldCharType="end"/>
      </w:r>
      <w:r>
        <w:rPr>
          <w:sz w:val="24"/>
          <w:szCs w:val="22"/>
        </w:rPr>
        <w:t>”列全国名茶。</w:t>
      </w:r>
    </w:p>
    <w:p>
      <w:pPr>
        <w:spacing w:beforeLines="50" w:afterLines="50" w:line="460" w:lineRule="exact"/>
        <w:jc w:val="center"/>
        <w:outlineLvl w:val="1"/>
        <w:rPr>
          <w:rFonts w:eastAsia="黑体"/>
          <w:sz w:val="32"/>
          <w:szCs w:val="22"/>
        </w:rPr>
      </w:pPr>
      <w:bookmarkStart w:id="897" w:name="_Toc470721373"/>
      <w:bookmarkStart w:id="898" w:name="_Toc469296523"/>
      <w:bookmarkStart w:id="899" w:name="_Toc467846906"/>
      <w:r>
        <w:rPr>
          <w:rFonts w:eastAsia="黑体"/>
          <w:sz w:val="32"/>
          <w:szCs w:val="22"/>
        </w:rPr>
        <w:br w:type="page"/>
      </w:r>
      <w:bookmarkStart w:id="900" w:name="_Toc9220"/>
      <w:bookmarkStart w:id="901" w:name="_Toc11488"/>
      <w:bookmarkStart w:id="902" w:name="_Toc9973"/>
      <w:bookmarkStart w:id="903" w:name="_Toc15352"/>
      <w:r>
        <w:rPr>
          <w:rFonts w:eastAsia="黑体"/>
          <w:sz w:val="32"/>
          <w:szCs w:val="22"/>
        </w:rPr>
        <w:t>第二章</w:t>
      </w:r>
      <w:bookmarkEnd w:id="897"/>
      <w:bookmarkEnd w:id="898"/>
      <w:bookmarkEnd w:id="899"/>
      <w:r>
        <w:rPr>
          <w:rFonts w:eastAsia="黑体"/>
          <w:sz w:val="32"/>
          <w:szCs w:val="22"/>
        </w:rPr>
        <w:t xml:space="preserve"> 乡镇分等</w:t>
      </w:r>
      <w:bookmarkEnd w:id="900"/>
      <w:bookmarkEnd w:id="901"/>
      <w:bookmarkEnd w:id="902"/>
      <w:bookmarkEnd w:id="903"/>
    </w:p>
    <w:p>
      <w:pPr>
        <w:spacing w:line="600" w:lineRule="exact"/>
        <w:ind w:firstLine="560" w:firstLineChars="200"/>
        <w:outlineLvl w:val="2"/>
        <w:rPr>
          <w:rFonts w:eastAsia="黑体"/>
          <w:sz w:val="28"/>
          <w:szCs w:val="28"/>
        </w:rPr>
      </w:pPr>
      <w:bookmarkStart w:id="904" w:name="_Toc8357"/>
      <w:bookmarkStart w:id="905" w:name="_Toc525807071"/>
      <w:bookmarkStart w:id="906" w:name="_Toc16755"/>
      <w:bookmarkStart w:id="907" w:name="_Toc467846907"/>
      <w:bookmarkStart w:id="908" w:name="_Toc470721374"/>
      <w:bookmarkStart w:id="909" w:name="_Toc469296524"/>
      <w:r>
        <w:rPr>
          <w:rFonts w:eastAsia="黑体"/>
          <w:sz w:val="28"/>
          <w:szCs w:val="28"/>
        </w:rPr>
        <w:t>一、技术路线和技术方法</w:t>
      </w:r>
      <w:bookmarkEnd w:id="904"/>
      <w:bookmarkEnd w:id="905"/>
      <w:bookmarkEnd w:id="906"/>
    </w:p>
    <w:p>
      <w:pPr>
        <w:spacing w:line="460" w:lineRule="exact"/>
        <w:ind w:firstLine="480" w:firstLineChars="200"/>
        <w:rPr>
          <w:sz w:val="24"/>
        </w:rPr>
      </w:pPr>
      <w:r>
        <w:rPr>
          <w:sz w:val="24"/>
        </w:rPr>
        <w:t>根据《城镇土地分等定级规程》有关规定及长沙县实际情况，长沙县各乡镇土地分等采用“以多因素综合评定法为主，以市场资料分析法等进行验证”的技术途径。在分等的基础上，采用与城区区同样的方法对各乡镇进行级别划分和估价，遵循以等控级、以级控价的原则，对长沙县各乡镇进行分等和基准地价评估。</w:t>
      </w:r>
    </w:p>
    <w:p>
      <w:pPr>
        <w:spacing w:line="460" w:lineRule="exact"/>
        <w:ind w:firstLine="480" w:firstLineChars="200"/>
        <w:rPr>
          <w:sz w:val="24"/>
        </w:rPr>
      </w:pPr>
      <w:r>
        <w:rPr>
          <w:sz w:val="24"/>
        </w:rPr>
        <w:t>分等具体技术程序为：</w:t>
      </w:r>
    </w:p>
    <w:p>
      <w:pPr>
        <w:spacing w:line="360" w:lineRule="auto"/>
        <w:ind w:firstLine="480" w:firstLineChars="200"/>
        <w:rPr>
          <w:sz w:val="24"/>
        </w:rPr>
      </w:pPr>
      <w:r>
        <w:rPr>
          <w:sz w:val="24"/>
        </w:rPr>
        <w:t>1、建立乡镇土地分等指标体系；</w:t>
      </w:r>
    </w:p>
    <w:p>
      <w:pPr>
        <w:spacing w:line="360" w:lineRule="auto"/>
        <w:ind w:firstLine="480" w:firstLineChars="200"/>
        <w:rPr>
          <w:sz w:val="24"/>
        </w:rPr>
      </w:pPr>
      <w:r>
        <w:rPr>
          <w:sz w:val="24"/>
        </w:rPr>
        <w:t>2、确定因素及指标权重；</w:t>
      </w:r>
    </w:p>
    <w:p>
      <w:pPr>
        <w:spacing w:line="360" w:lineRule="auto"/>
        <w:ind w:firstLine="480" w:firstLineChars="200"/>
        <w:rPr>
          <w:sz w:val="24"/>
        </w:rPr>
      </w:pPr>
      <w:r>
        <w:rPr>
          <w:sz w:val="24"/>
        </w:rPr>
        <w:t>3、计算各乡镇的总分值；</w:t>
      </w:r>
    </w:p>
    <w:p>
      <w:pPr>
        <w:spacing w:line="360" w:lineRule="auto"/>
        <w:ind w:firstLine="480" w:firstLineChars="200"/>
        <w:rPr>
          <w:sz w:val="24"/>
        </w:rPr>
      </w:pPr>
      <w:r>
        <w:rPr>
          <w:sz w:val="24"/>
        </w:rPr>
        <w:t>4、初步划分土地等；</w:t>
      </w:r>
    </w:p>
    <w:p>
      <w:pPr>
        <w:spacing w:line="360" w:lineRule="auto"/>
        <w:ind w:firstLine="480" w:firstLineChars="200"/>
        <w:rPr>
          <w:sz w:val="24"/>
        </w:rPr>
      </w:pPr>
      <w:r>
        <w:rPr>
          <w:sz w:val="24"/>
        </w:rPr>
        <w:t>5、验证、调整并确定分等结果；</w:t>
      </w:r>
    </w:p>
    <w:p>
      <w:pPr>
        <w:spacing w:line="360" w:lineRule="auto"/>
        <w:ind w:firstLine="480" w:firstLineChars="200"/>
        <w:rPr>
          <w:sz w:val="24"/>
        </w:rPr>
      </w:pPr>
      <w:r>
        <w:rPr>
          <w:sz w:val="24"/>
        </w:rPr>
        <w:t>6、分等成果整理。</w:t>
      </w:r>
    </w:p>
    <w:p>
      <w:pPr>
        <w:spacing w:line="460" w:lineRule="exact"/>
        <w:ind w:firstLine="480" w:firstLineChars="200"/>
        <w:rPr>
          <w:sz w:val="24"/>
        </w:rPr>
      </w:pPr>
      <w:r>
        <w:rPr>
          <w:sz w:val="24"/>
        </w:rPr>
        <w:t>在确定技术路线的基础上，选取城镇人口规模、城镇人口密度、交通等级、城镇人均铺装道路面积、国内生产总值、地方财政收入、固定资产投资、社会消费品零售总额和人均年末银行储蓄存款余额等因素，运用层次分析法确定各因素权重，计算得到长沙县各乡镇综合分值。</w:t>
      </w:r>
    </w:p>
    <w:p>
      <w:pPr>
        <w:spacing w:line="600" w:lineRule="exact"/>
        <w:ind w:firstLine="560" w:firstLineChars="200"/>
        <w:outlineLvl w:val="2"/>
        <w:rPr>
          <w:rFonts w:eastAsia="黑体"/>
          <w:sz w:val="28"/>
          <w:szCs w:val="28"/>
        </w:rPr>
      </w:pPr>
      <w:bookmarkStart w:id="910" w:name="_Toc32538"/>
      <w:bookmarkStart w:id="911" w:name="_Toc525807072"/>
      <w:bookmarkStart w:id="912" w:name="_Toc4420"/>
      <w:r>
        <w:rPr>
          <w:rFonts w:eastAsia="黑体"/>
          <w:sz w:val="28"/>
          <w:szCs w:val="28"/>
        </w:rPr>
        <w:t>二、分等因素选取及权重的确定</w:t>
      </w:r>
      <w:bookmarkEnd w:id="910"/>
      <w:bookmarkEnd w:id="911"/>
      <w:bookmarkEnd w:id="912"/>
    </w:p>
    <w:p>
      <w:pPr>
        <w:spacing w:line="360" w:lineRule="auto"/>
        <w:ind w:firstLine="480" w:firstLineChars="200"/>
        <w:rPr>
          <w:sz w:val="24"/>
        </w:rPr>
      </w:pPr>
      <w:r>
        <w:rPr>
          <w:sz w:val="24"/>
        </w:rPr>
        <w:t>1、 因素选取原则</w:t>
      </w:r>
    </w:p>
    <w:p>
      <w:pPr>
        <w:spacing w:line="460" w:lineRule="exact"/>
        <w:ind w:firstLine="480" w:firstLineChars="200"/>
        <w:rPr>
          <w:sz w:val="24"/>
        </w:rPr>
      </w:pPr>
      <w:r>
        <w:rPr>
          <w:sz w:val="24"/>
        </w:rPr>
        <w:t>影响乡镇土地质量的因素多，因素选择的合理与否直接关系到乡镇分等成果的准确与否。在进行分等因素的选择时，主要遵循了以下原则：</w:t>
      </w:r>
    </w:p>
    <w:p>
      <w:pPr>
        <w:spacing w:line="360" w:lineRule="auto"/>
        <w:ind w:firstLine="480" w:firstLineChars="200"/>
        <w:rPr>
          <w:sz w:val="24"/>
          <w:lang w:val="zh-CN"/>
        </w:rPr>
      </w:pPr>
      <w:r>
        <w:rPr>
          <w:sz w:val="24"/>
          <w:lang w:val="zh-CN"/>
        </w:rPr>
        <w:t>（1）综合分析原则  影响乡镇等别的因素十分复杂，涉及自然、经济、社会等诸多方面。因此、在选取比较因素的过程中，应遵循综合分析原则，全面选择影响等别的因素。</w:t>
      </w:r>
    </w:p>
    <w:p>
      <w:pPr>
        <w:spacing w:line="360" w:lineRule="auto"/>
        <w:ind w:firstLine="480" w:firstLineChars="200"/>
        <w:rPr>
          <w:sz w:val="24"/>
          <w:lang w:val="zh-CN"/>
        </w:rPr>
      </w:pPr>
      <w:r>
        <w:rPr>
          <w:sz w:val="24"/>
          <w:lang w:val="zh-CN"/>
        </w:rPr>
        <w:t>（2）主导因素原则  影响乡镇土地分等的因素很多，如果在分等过程中对所有因素都加以考虑，进行分析评价，则会大大加重资料收集和数据处理的工作量和难度，同时也难以反映影响乡镇土地等主要因素的主导作用，进而影响到乡镇分等的准确性。因此，应选择对土地等有较大影响的因素指标，舍去一些次要的因素。</w:t>
      </w:r>
    </w:p>
    <w:p>
      <w:pPr>
        <w:spacing w:line="360" w:lineRule="auto"/>
        <w:ind w:firstLine="480" w:firstLineChars="200"/>
        <w:rPr>
          <w:sz w:val="24"/>
          <w:lang w:val="zh-CN"/>
        </w:rPr>
      </w:pPr>
      <w:r>
        <w:rPr>
          <w:sz w:val="24"/>
          <w:lang w:val="zh-CN"/>
        </w:rPr>
        <w:t>（3）地域分异原则  充分考虑乡镇的宏观地理位置，与区域经济发展水平保持相对一致。</w:t>
      </w:r>
    </w:p>
    <w:p>
      <w:pPr>
        <w:spacing w:line="360" w:lineRule="auto"/>
        <w:ind w:firstLine="480" w:firstLineChars="200"/>
        <w:rPr>
          <w:sz w:val="24"/>
          <w:lang w:val="zh-CN"/>
        </w:rPr>
      </w:pPr>
      <w:r>
        <w:rPr>
          <w:sz w:val="24"/>
          <w:lang w:val="zh-CN"/>
        </w:rPr>
        <w:t>（4）资料易得原则  除遵循上述三条原则外，要求指标易于获得，或可通过统计资料获得，或可通过调查的方式取得，或易于通过量化处理获得。</w:t>
      </w:r>
    </w:p>
    <w:p>
      <w:pPr>
        <w:spacing w:line="360" w:lineRule="auto"/>
        <w:ind w:firstLine="480" w:firstLineChars="200"/>
        <w:rPr>
          <w:sz w:val="24"/>
          <w:lang w:val="zh-CN"/>
        </w:rPr>
      </w:pPr>
      <w:r>
        <w:rPr>
          <w:sz w:val="24"/>
          <w:lang w:val="zh-CN"/>
        </w:rPr>
        <w:t>（5）土地收益差异原则 城镇土地等级的划分应符合区域的土地收益分布规律。</w:t>
      </w:r>
    </w:p>
    <w:p>
      <w:pPr>
        <w:spacing w:line="360" w:lineRule="auto"/>
        <w:ind w:firstLine="480" w:firstLineChars="200"/>
        <w:rPr>
          <w:sz w:val="24"/>
          <w:lang w:val="zh-CN"/>
        </w:rPr>
      </w:pPr>
      <w:r>
        <w:rPr>
          <w:sz w:val="24"/>
          <w:lang w:val="zh-CN"/>
        </w:rPr>
        <w:t>（6）定性与定量分析相结合原则 城镇土地分等应尽量把定性的、经验性的分析进行量化，在确定城镇土地等级的初步方案时以定量分析为主，在进行城镇土地等级的调整时以定性和定量分析相结合。</w:t>
      </w:r>
    </w:p>
    <w:p>
      <w:pPr>
        <w:spacing w:line="360" w:lineRule="auto"/>
        <w:ind w:firstLine="480" w:firstLineChars="200"/>
        <w:rPr>
          <w:sz w:val="24"/>
        </w:rPr>
      </w:pPr>
      <w:r>
        <w:rPr>
          <w:sz w:val="24"/>
        </w:rPr>
        <w:t>2、因素选取</w:t>
      </w:r>
    </w:p>
    <w:p>
      <w:pPr>
        <w:spacing w:line="460" w:lineRule="exact"/>
        <w:ind w:firstLine="480" w:firstLineChars="200"/>
        <w:rPr>
          <w:sz w:val="24"/>
        </w:rPr>
      </w:pPr>
      <w:r>
        <w:rPr>
          <w:sz w:val="24"/>
        </w:rPr>
        <w:t>根据以上原则分析了长沙县乡镇分等影响因素，确定了各因素所包含指标，选取土地总面积、城镇建成区面积、城镇交通条件、距中心城市距离、总人口、非农人口、学校、医院数量、国内生产总值、社会固定资产投资总额、财政收入、人均年收入共十二个指标，并对各指标并进行了量化，形成了乡镇分等因素比较分析表。</w:t>
      </w:r>
    </w:p>
    <w:p>
      <w:pPr>
        <w:spacing w:line="360" w:lineRule="auto"/>
        <w:ind w:firstLine="480" w:firstLineChars="200"/>
        <w:rPr>
          <w:sz w:val="24"/>
        </w:rPr>
      </w:pPr>
      <w:r>
        <w:rPr>
          <w:sz w:val="24"/>
        </w:rPr>
        <w:t>3、因素、因子权重确定</w:t>
      </w:r>
    </w:p>
    <w:p>
      <w:pPr>
        <w:spacing w:line="360" w:lineRule="auto"/>
        <w:ind w:firstLine="480" w:firstLineChars="200"/>
        <w:rPr>
          <w:sz w:val="24"/>
          <w:lang w:val="zh-CN"/>
        </w:rPr>
      </w:pPr>
      <w:r>
        <w:rPr>
          <w:sz w:val="24"/>
          <w:lang w:val="zh-CN"/>
        </w:rPr>
        <w:t>（1）原始数据标准化处理</w:t>
      </w:r>
    </w:p>
    <w:p>
      <w:pPr>
        <w:spacing w:line="360" w:lineRule="auto"/>
        <w:ind w:firstLine="480" w:firstLineChars="200"/>
        <w:rPr>
          <w:sz w:val="24"/>
        </w:rPr>
      </w:pPr>
      <w:r>
        <w:rPr>
          <w:sz w:val="24"/>
        </w:rPr>
        <w:t xml:space="preserve">为使数据间具有可比性，需消除单位和量纲，选用极差标准化方法来处理原始数据，其计算公式如下（正向指标使用1式计算，逆向指标使用2式计算）： </w:t>
      </w:r>
    </w:p>
    <w:p>
      <w:pPr>
        <w:spacing w:line="360" w:lineRule="auto"/>
        <w:ind w:firstLine="420" w:firstLineChars="200"/>
        <w:rPr>
          <w:sz w:val="24"/>
        </w:rPr>
      </w:pPr>
      <w:r>
        <w:rPr>
          <w:rFonts w:ascii="Times New Roman" w:hAnsi="Times New Roman" w:eastAsia="宋体" w:cs="Times New Roman"/>
          <w:bCs/>
          <w:kern w:val="2"/>
          <w:sz w:val="21"/>
          <w:szCs w:val="21"/>
          <w:lang w:val="en-US" w:eastAsia="zh-CN" w:bidi="ar-SA"/>
        </w:rPr>
        <w:pict>
          <v:group id="Group 441" o:spid="_x0000_s1364" style="position:absolute;left:0;margin-left:27pt;margin-top:8.15pt;height:41.8pt;width:360pt;mso-wrap-distance-bottom:0pt;mso-wrap-distance-left:9pt;mso-wrap-distance-right:9pt;mso-wrap-distance-top:0pt;rotation:0f;z-index:251728896;" coordorigin="0,0" coordsize="7200,930">
            <o:lock v:ext="edit" position="f" selection="f" grouping="f" rotation="f" cropping="f" text="f"/>
            <v:group id="Group 442" o:spid="_x0000_s1365" style="position:absolute;left:0;top:0;height:930;width:3150;rotation:0f;" coordorigin="0,0" coordsize="3150,930">
              <o:lock v:ext="edit" position="f" selection="f" grouping="f" rotation="f" cropping="f" text="f"/>
              <v:shape id="Picture 443" type="#_x0000_t75" style="position:absolute;left:0;top:0;height:930;width:1965;rotation:0f;" o:ole="t" fillcolor="#FFFFFF" filled="f" o:preferrelative="t" stroked="f" coordorigin="0,0" coordsize="21600,21600">
                <v:fill on="f" color2="#FFFFFF" focus="0%"/>
                <v:imagedata gain="65536f" blacklevel="0f" gamma="0" o:title="" r:id="rId158"/>
                <o:lock v:ext="edit" position="f" selection="f" grouping="f" rotation="f" cropping="f" text="f" aspectratio="t"/>
              </v:shape>
              <v:shape id="Quad Arrow 444" o:spid="_x0000_s1367" type="#_x0000_t202" style="position:absolute;left:2070;top:210;height:468;width:1080;rotation:0f;" o:ole="f" fillcolor="#FFFFFF" filled="f" o:preferrelative="t" stroked="f" coordorigin="0,0" coordsize="21600,21600">
                <v:fill on="f" color2="#FFFFFF" focus="0%"/>
                <v:imagedata gain="65536f" blacklevel="0f" gamma="0"/>
                <o:lock v:ext="edit" position="f" selection="f" grouping="f" rotation="f" cropping="f" text="f" aspectratio="f"/>
                <v:textbox>
                  <w:txbxContent>
                    <w:p>
                      <w:r>
                        <w:rPr>
                          <w:rFonts w:hint="eastAsia"/>
                        </w:rPr>
                        <w:t>（1式）</w:t>
                      </w:r>
                    </w:p>
                  </w:txbxContent>
                </v:textbox>
              </v:shape>
            </v:group>
            <v:group id="Group 445" o:spid="_x0000_s1368" style="position:absolute;left:3975;top:0;height:930;width:3225;rotation:0f;" coordorigin="0,0" coordsize="3225,930">
              <o:lock v:ext="edit" position="f" selection="f" grouping="f" rotation="f" cropping="f" text="f"/>
              <v:shape id="Picture 446" type="#_x0000_t75" style="position:absolute;left:0;top:0;height:930;width:1966;rotation:0f;" o:ole="t" fillcolor="#FFFFFF" filled="f" o:preferrelative="t" stroked="f" coordorigin="0,0" coordsize="21600,21600">
                <v:fill on="f" color2="#FFFFFF" focus="0%"/>
                <v:imagedata gain="65536f" blacklevel="0f" gamma="0" o:title="" r:id="rId159"/>
                <o:lock v:ext="edit" position="f" selection="f" grouping="f" rotation="f" cropping="f" text="f" aspectratio="t"/>
              </v:shape>
              <v:shape id="Quad Arrow 447" o:spid="_x0000_s1370" type="#_x0000_t202" style="position:absolute;left:2145;top:210;height:468;width:1080;rotation:0f;" o:ole="f" fillcolor="#FFFFFF" filled="f" o:preferrelative="t" stroked="f" coordorigin="0,0" coordsize="21600,21600">
                <v:fill on="f" color2="#FFFFFF" focus="0%"/>
                <v:imagedata gain="65536f" blacklevel="0f" gamma="0"/>
                <o:lock v:ext="edit" position="f" selection="f" grouping="f" rotation="f" cropping="f" text="f" aspectratio="f"/>
                <v:textbox>
                  <w:txbxContent>
                    <w:p>
                      <w:r>
                        <w:rPr>
                          <w:rFonts w:hint="eastAsia"/>
                        </w:rPr>
                        <w:t>（2式）</w:t>
                      </w:r>
                    </w:p>
                  </w:txbxContent>
                </v:textbox>
              </v:shape>
            </v:group>
            <w10:wrap type="square"/>
          </v:group>
          <o:OLEObject Type="Embed" ProgID="" ShapeID="Picture 443" DrawAspect="Content" ObjectID="_340" r:id="rId156"/>
          <o:OLEObject Type="Embed" ProgID="" ShapeID="Picture 446" DrawAspect="Content" ObjectID="_343" r:id="rId157"/>
        </w:pic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r>
        <w:rPr>
          <w:sz w:val="24"/>
        </w:rPr>
        <w:t xml:space="preserve">其中, </w:t>
      </w:r>
      <w:r>
        <w:rPr>
          <w:rFonts w:ascii="Times New Roman" w:hAnsi="Times New Roman" w:eastAsia="宋体" w:cs="Times New Roman"/>
          <w:kern w:val="2"/>
          <w:position w:val="-6"/>
          <w:sz w:val="24"/>
          <w:lang w:val="en-US" w:eastAsia="zh-CN" w:bidi="ar-SA"/>
        </w:rPr>
        <w:object>
          <v:shape id="Picture 40" type="#_x0000_t75" style="height:14.25pt;width:9.75pt;rotation:0f;" o:ole="t" fillcolor="#FFFFFF" filled="f" o:preferrelative="t" stroked="f" coordorigin="0,0" coordsize="21600,21600">
            <v:fill on="f" color2="#FFFFFF" focus="0%"/>
            <v:imagedata gain="65536f" blacklevel="0f" gamma="0" o:title="" r:id="rId161"/>
            <o:lock v:ext="edit" position="f" selection="f" grouping="f" rotation="f" cropping="f" text="f" aspectratio="t"/>
            <w10:wrap type="none"/>
            <w10:anchorlock/>
          </v:shape>
          <o:OLEObject Type="Embed" ProgID="" ShapeID="Picture 40" DrawAspect="Content" ObjectID="_345" r:id="rId160"/>
        </w:object>
      </w:r>
      <w:r>
        <w:rPr>
          <w:sz w:val="24"/>
        </w:rPr>
        <w:t>：指标标准化数值；</w:t>
      </w:r>
    </w:p>
    <w:p>
      <w:pPr>
        <w:spacing w:line="360" w:lineRule="auto"/>
        <w:ind w:left="420" w:firstLine="480" w:firstLineChars="200"/>
        <w:rPr>
          <w:sz w:val="24"/>
        </w:rPr>
      </w:pPr>
      <w:r>
        <w:rPr>
          <w:rFonts w:ascii="Times New Roman" w:hAnsi="Times New Roman" w:eastAsia="宋体" w:cs="Times New Roman"/>
          <w:kern w:val="2"/>
          <w:position w:val="-6"/>
          <w:sz w:val="24"/>
          <w:lang w:val="en-US" w:eastAsia="zh-CN" w:bidi="ar-SA"/>
        </w:rPr>
        <w:object>
          <v:shape id="Picture 41" type="#_x0000_t75" style="height:11.25pt;width:9.75pt;rotation:0f;" o:ole="t" fillcolor="#FFFFFF" filled="f" o:preferrelative="t" stroked="f" coordorigin="0,0" coordsize="21600,21600">
            <v:fill on="f" color2="#FFFFFF" focus="0%"/>
            <v:imagedata gain="65536f" blacklevel="0f" gamma="0" o:title="" r:id="rId163"/>
            <o:lock v:ext="edit" position="f" selection="f" grouping="f" rotation="f" cropping="f" text="f" aspectratio="t"/>
            <w10:wrap type="none"/>
            <w10:anchorlock/>
          </v:shape>
          <o:OLEObject Type="Embed" ProgID="" ShapeID="Picture 41" DrawAspect="Content" ObjectID="_346" r:id="rId162"/>
        </w:object>
      </w:r>
      <w:r>
        <w:rPr>
          <w:sz w:val="24"/>
        </w:rPr>
        <w:t>：指标现状值；</w:t>
      </w:r>
    </w:p>
    <w:p>
      <w:pPr>
        <w:spacing w:line="360" w:lineRule="auto"/>
        <w:ind w:firstLine="480" w:firstLineChars="200"/>
        <w:rPr>
          <w:sz w:val="24"/>
        </w:rPr>
      </w:pPr>
      <w:r>
        <w:rPr>
          <w:rFonts w:ascii="Times New Roman" w:hAnsi="Times New Roman" w:eastAsia="宋体" w:cs="Times New Roman"/>
          <w:kern w:val="2"/>
          <w:position w:val="-10"/>
          <w:sz w:val="24"/>
          <w:vertAlign w:val="subscript"/>
          <w:lang w:val="en-US" w:eastAsia="zh-CN" w:bidi="ar-SA"/>
        </w:rPr>
        <w:object>
          <v:shape id="Picture 42" type="#_x0000_t75" style="height:17.25pt;width:21pt;rotation:0f;" o:ole="t" fillcolor="#FFFFFF" filled="f" o:preferrelative="t" stroked="f" coordorigin="0,0" coordsize="21600,21600">
            <v:fill on="f" color2="#FFFFFF" focus="0%"/>
            <v:imagedata gain="65536f" blacklevel="0f" gamma="0" o:title="" r:id="rId165"/>
            <o:lock v:ext="edit" position="f" selection="f" grouping="f" rotation="f" cropping="f" text="f" aspectratio="t"/>
            <w10:wrap type="none"/>
            <w10:anchorlock/>
          </v:shape>
          <o:OLEObject Type="Embed" ProgID="" ShapeID="Picture 42" DrawAspect="Content" ObjectID="_347" r:id="rId164"/>
        </w:object>
      </w:r>
      <w:r>
        <w:rPr>
          <w:sz w:val="24"/>
        </w:rPr>
        <w:t>：指标值的最小值</w:t>
      </w:r>
    </w:p>
    <w:p>
      <w:pPr>
        <w:widowControl/>
        <w:ind w:firstLine="480" w:firstLineChars="200"/>
        <w:jc w:val="left"/>
        <w:rPr>
          <w:sz w:val="24"/>
        </w:rPr>
      </w:pPr>
      <w:r>
        <w:rPr>
          <w:rFonts w:ascii="Times New Roman" w:hAnsi="Times New Roman" w:eastAsia="宋体" w:cs="Times New Roman"/>
          <w:kern w:val="2"/>
          <w:position w:val="-12"/>
          <w:sz w:val="24"/>
          <w:vertAlign w:val="subscript"/>
          <w:lang w:val="en-US" w:eastAsia="zh-CN" w:bidi="ar-SA"/>
        </w:rPr>
        <w:object>
          <v:shape id="Picture 43" type="#_x0000_t75" style="height:18pt;width:21.75pt;rotation:0f;" o:ole="t" fillcolor="#FFFFFF" filled="f" o:preferrelative="t" stroked="f" coordorigin="0,0" coordsize="21600,21600">
            <v:fill on="f" color2="#FFFFFF" focus="0%"/>
            <v:imagedata gain="65536f" blacklevel="0f" gamma="0" o:title="" r:id="rId167"/>
            <o:lock v:ext="edit" position="f" selection="f" grouping="f" rotation="f" cropping="f" text="f" aspectratio="t"/>
            <w10:wrap type="none"/>
            <w10:anchorlock/>
          </v:shape>
          <o:OLEObject Type="Embed" ProgID="" ShapeID="Picture 43" DrawAspect="Content" ObjectID="_348" r:id="rId166"/>
        </w:object>
      </w:r>
      <w:r>
        <w:rPr>
          <w:sz w:val="24"/>
        </w:rPr>
        <w:t>：指标值的最大值。</w:t>
      </w:r>
    </w:p>
    <w:p>
      <w:pPr>
        <w:spacing w:line="360" w:lineRule="auto"/>
        <w:ind w:firstLine="480" w:firstLineChars="200"/>
        <w:rPr>
          <w:sz w:val="24"/>
          <w:lang w:val="zh-CN"/>
        </w:rPr>
      </w:pPr>
      <w:r>
        <w:rPr>
          <w:sz w:val="24"/>
          <w:lang w:val="zh-CN"/>
        </w:rPr>
        <w:t>（2）建立影响因素递阶层次结构</w:t>
      </w:r>
    </w:p>
    <w:p>
      <w:pPr>
        <w:spacing w:line="460" w:lineRule="exact"/>
        <w:ind w:firstLine="480" w:firstLineChars="200"/>
        <w:rPr>
          <w:sz w:val="24"/>
        </w:rPr>
      </w:pPr>
      <w:r>
        <w:rPr>
          <w:sz w:val="24"/>
        </w:rPr>
        <w:t>按照因素的相互关联影响以及隶属关系将因素按不同层次聚集组合，形成一个多层次的分析结构模型。</w:t>
      </w:r>
    </w:p>
    <w:p>
      <w:pPr>
        <w:spacing w:line="360" w:lineRule="auto"/>
        <w:ind w:firstLine="480" w:firstLineChars="200"/>
        <w:rPr>
          <w:sz w:val="24"/>
          <w:lang w:val="zh-CN"/>
        </w:rPr>
      </w:pPr>
      <w:r>
        <w:rPr>
          <w:sz w:val="24"/>
          <w:lang w:val="zh-CN"/>
        </w:rPr>
        <w:t>（3）构造两两比较判断矩阵计算权重值</w:t>
      </w:r>
    </w:p>
    <w:p>
      <w:pPr>
        <w:spacing w:line="360" w:lineRule="auto"/>
        <w:ind w:firstLine="480" w:firstLineChars="200"/>
        <w:rPr>
          <w:sz w:val="24"/>
        </w:rPr>
      </w:pPr>
      <w:r>
        <w:rPr>
          <w:sz w:val="24"/>
        </w:rPr>
        <w:t>每次取两个因子x</w:t>
      </w:r>
      <w:r>
        <w:rPr>
          <w:sz w:val="24"/>
          <w:vertAlign w:val="subscript"/>
        </w:rPr>
        <w:t>i</w:t>
      </w:r>
      <w:r>
        <w:rPr>
          <w:sz w:val="24"/>
        </w:rPr>
        <w:t>和x</w:t>
      </w:r>
      <w:r>
        <w:rPr>
          <w:sz w:val="24"/>
          <w:vertAlign w:val="subscript"/>
        </w:rPr>
        <w:t>j</w:t>
      </w:r>
      <w:r>
        <w:rPr>
          <w:sz w:val="24"/>
        </w:rPr>
        <w:t>，以a</w:t>
      </w:r>
      <w:r>
        <w:rPr>
          <w:sz w:val="24"/>
          <w:vertAlign w:val="subscript"/>
        </w:rPr>
        <w:t>ij</w:t>
      </w:r>
      <w:r>
        <w:rPr>
          <w:sz w:val="24"/>
        </w:rPr>
        <w:t>表示x</w:t>
      </w:r>
      <w:r>
        <w:rPr>
          <w:sz w:val="24"/>
          <w:vertAlign w:val="subscript"/>
        </w:rPr>
        <w:t>i</w:t>
      </w:r>
      <w:r>
        <w:rPr>
          <w:sz w:val="24"/>
        </w:rPr>
        <w:t>和x</w:t>
      </w:r>
      <w:r>
        <w:rPr>
          <w:sz w:val="24"/>
          <w:vertAlign w:val="subscript"/>
        </w:rPr>
        <w:t>j</w:t>
      </w:r>
      <w:r>
        <w:rPr>
          <w:sz w:val="24"/>
        </w:rPr>
        <w:t>对Z的影响大小之比，全部比较结果用矩阵A=(a</w:t>
      </w:r>
      <w:r>
        <w:rPr>
          <w:sz w:val="24"/>
          <w:vertAlign w:val="subscript"/>
        </w:rPr>
        <w:t>ij</w:t>
      </w:r>
      <w:r>
        <w:rPr>
          <w:sz w:val="24"/>
        </w:rPr>
        <w:t>)n×n表示，称A为Z-X之间的成对比较判断矩阵（简称判断矩阵）。容易看出，若x</w:t>
      </w:r>
      <w:r>
        <w:rPr>
          <w:sz w:val="24"/>
          <w:vertAlign w:val="subscript"/>
        </w:rPr>
        <w:t>i</w:t>
      </w:r>
      <w:r>
        <w:rPr>
          <w:sz w:val="24"/>
        </w:rPr>
        <w:t>与x</w:t>
      </w:r>
      <w:r>
        <w:rPr>
          <w:sz w:val="24"/>
          <w:vertAlign w:val="subscript"/>
        </w:rPr>
        <w:t>j</w:t>
      </w:r>
      <w:r>
        <w:rPr>
          <w:sz w:val="24"/>
        </w:rPr>
        <w:t>对Z的影响之比为a</w:t>
      </w:r>
      <w:r>
        <w:rPr>
          <w:sz w:val="24"/>
          <w:vertAlign w:val="subscript"/>
        </w:rPr>
        <w:t>ij</w:t>
      </w:r>
      <w:r>
        <w:rPr>
          <w:sz w:val="24"/>
        </w:rPr>
        <w:t>，则x</w:t>
      </w:r>
      <w:r>
        <w:rPr>
          <w:sz w:val="24"/>
          <w:vertAlign w:val="subscript"/>
        </w:rPr>
        <w:t>j</w:t>
      </w:r>
      <w:r>
        <w:rPr>
          <w:sz w:val="24"/>
        </w:rPr>
        <w:t>与x</w:t>
      </w:r>
      <w:r>
        <w:rPr>
          <w:sz w:val="24"/>
          <w:vertAlign w:val="subscript"/>
        </w:rPr>
        <w:t>i</w:t>
      </w:r>
      <w:r>
        <w:rPr>
          <w:sz w:val="24"/>
        </w:rPr>
        <w:t xml:space="preserve">对Z的影响之比应为  </w:t>
      </w:r>
      <w:r>
        <w:rPr>
          <w:rFonts w:ascii="Times New Roman" w:hAnsi="Times New Roman" w:eastAsia="宋体" w:cs="Times New Roman"/>
          <w:kern w:val="2"/>
          <w:sz w:val="24"/>
          <w:lang w:val="en-US" w:eastAsia="zh-CN" w:bidi="ar-SA"/>
        </w:rPr>
        <w:object>
          <v:shape id="Picture 44" type="#_x0000_t75" style="height:35.25pt;width:44.25pt;rotation:0f;" o:ole="t" fillcolor="#FFFFFF" filled="f" o:preferrelative="t" stroked="f" coordorigin="0,0" coordsize="21600,21600">
            <v:fill on="f" color2="#FFFFFF" focus="0%"/>
            <v:imagedata gain="65536f" blacklevel="0f" gamma="0" o:title="" r:id="rId169"/>
            <o:lock v:ext="edit" position="f" selection="f" grouping="f" rotation="f" cropping="f" text="f" aspectratio="t"/>
            <w10:wrap type="none"/>
            <w10:anchorlock/>
          </v:shape>
          <o:OLEObject Type="Embed" ProgID="" ShapeID="Picture 44" DrawAspect="Content" ObjectID="_349" r:id="rId168"/>
        </w:object>
      </w:r>
      <w:r>
        <w:rPr>
          <w:sz w:val="24"/>
        </w:rPr>
        <w:t xml:space="preserve">。 </w:t>
      </w:r>
    </w:p>
    <w:p>
      <w:pPr>
        <w:spacing w:line="360" w:lineRule="auto"/>
        <w:ind w:firstLine="480" w:firstLineChars="200"/>
        <w:rPr>
          <w:sz w:val="24"/>
        </w:rPr>
      </w:pPr>
      <w:r>
        <w:rPr>
          <w:sz w:val="24"/>
        </w:rPr>
        <w:t>若矩阵</w:t>
      </w:r>
      <w:r>
        <w:rPr>
          <w:rFonts w:ascii="Times New Roman" w:hAnsi="Times New Roman" w:eastAsia="宋体" w:cs="Times New Roman"/>
          <w:kern w:val="2"/>
          <w:sz w:val="24"/>
          <w:lang w:val="en-US" w:eastAsia="zh-CN" w:bidi="ar-SA"/>
        </w:rPr>
        <w:object>
          <v:shape id="Picture 45" type="#_x0000_t75" style="height:18.75pt;width:57pt;rotation:0f;" o:ole="t" fillcolor="#FFFFFF" filled="f" o:preferrelative="t" stroked="f" coordorigin="0,0" coordsize="21600,21600">
            <v:fill on="f" color2="#FFFFFF" focus="0%"/>
            <v:imagedata gain="65536f" blacklevel="0f" gamma="0" o:title="" r:id="rId171"/>
            <o:lock v:ext="edit" position="f" selection="f" grouping="f" rotation="f" cropping="f" text="f" aspectratio="t"/>
            <w10:wrap type="none"/>
            <w10:anchorlock/>
          </v:shape>
          <o:OLEObject Type="Embed" ProgID="" ShapeID="Picture 45" DrawAspect="Content" ObjectID="_350" r:id="rId170"/>
        </w:object>
      </w:r>
      <w:r>
        <w:rPr>
          <w:sz w:val="24"/>
        </w:rPr>
        <w:t>满足</w:t>
      </w:r>
    </w:p>
    <w:p>
      <w:pPr>
        <w:spacing w:line="360" w:lineRule="auto"/>
        <w:ind w:firstLine="480" w:firstLineChars="200"/>
        <w:rPr>
          <w:sz w:val="24"/>
        </w:rPr>
      </w:pPr>
      <w:r>
        <w:rPr>
          <w:sz w:val="24"/>
        </w:rPr>
        <w:t>①</w:t>
      </w:r>
      <w:r>
        <w:rPr>
          <w:rFonts w:ascii="Times New Roman" w:hAnsi="Times New Roman" w:eastAsia="宋体" w:cs="Times New Roman"/>
          <w:kern w:val="2"/>
          <w:sz w:val="24"/>
          <w:lang w:val="en-US" w:eastAsia="zh-CN" w:bidi="ar-SA"/>
        </w:rPr>
        <w:object>
          <v:shape id="Picture 46" type="#_x0000_t75" style="height:18.75pt;width:33.75pt;rotation:0f;" o:ole="t" fillcolor="#FFFFFF" filled="f" o:preferrelative="t" stroked="f" coordorigin="0,0" coordsize="21600,21600">
            <v:fill on="f" color2="#FFFFFF" focus="0%"/>
            <v:imagedata gain="65536f" blacklevel="0f" gamma="0" o:title="" r:id="rId173"/>
            <o:lock v:ext="edit" position="f" selection="f" grouping="f" rotation="f" cropping="f" text="f" aspectratio="t"/>
            <w10:wrap type="none"/>
            <w10:anchorlock/>
          </v:shape>
          <o:OLEObject Type="Embed" ProgID="" ShapeID="Picture 46" DrawAspect="Content" ObjectID="_351" r:id="rId172"/>
        </w:object>
      </w:r>
      <w:r>
        <w:rPr>
          <w:sz w:val="24"/>
        </w:rPr>
        <w:t>，</w:t>
      </w:r>
    </w:p>
    <w:p>
      <w:pPr>
        <w:spacing w:line="360" w:lineRule="auto"/>
        <w:ind w:firstLine="480" w:firstLineChars="200"/>
        <w:rPr>
          <w:sz w:val="24"/>
        </w:rPr>
      </w:pPr>
      <w:r>
        <w:rPr>
          <w:sz w:val="24"/>
        </w:rPr>
        <w:t>②</w:t>
      </w:r>
      <w:r>
        <w:rPr>
          <w:rFonts w:ascii="Times New Roman" w:hAnsi="Times New Roman" w:eastAsia="宋体" w:cs="Times New Roman"/>
          <w:kern w:val="2"/>
          <w:sz w:val="24"/>
          <w:lang w:val="en-US" w:eastAsia="zh-CN" w:bidi="ar-SA"/>
        </w:rPr>
        <w:object>
          <v:shape id="Picture 47" type="#_x0000_t75" style="height:35.25pt;width:44.25pt;rotation:0f;" o:ole="t" fillcolor="#FFFFFF" filled="f" o:preferrelative="t" stroked="f" coordorigin="0,0" coordsize="21600,21600">
            <v:fill on="f" color2="#FFFFFF" focus="0%"/>
            <v:imagedata gain="65536f" blacklevel="0f" gamma="0" o:title="" r:id="rId175"/>
            <o:lock v:ext="edit" position="f" selection="f" grouping="f" rotation="f" cropping="f" text="f" aspectratio="t"/>
            <w10:wrap type="none"/>
            <w10:anchorlock/>
          </v:shape>
          <o:OLEObject Type="Embed" ProgID="" ShapeID="Picture 47" DrawAspect="Content" ObjectID="_352" r:id="rId174"/>
        </w:object>
      </w:r>
      <w:r>
        <w:rPr>
          <w:sz w:val="24"/>
        </w:rPr>
        <w:t>（</w:t>
      </w:r>
      <w:r>
        <w:rPr>
          <w:rFonts w:ascii="Times New Roman" w:hAnsi="Times New Roman" w:eastAsia="宋体" w:cs="Times New Roman"/>
          <w:kern w:val="2"/>
          <w:sz w:val="24"/>
          <w:lang w:val="en-US" w:eastAsia="zh-CN" w:bidi="ar-SA"/>
        </w:rPr>
        <w:object>
          <v:shape id="Picture 48" type="#_x0000_t75" style="height:15.75pt;width:69pt;rotation:0f;" o:ole="t" fillcolor="#FFFFFF" filled="f" o:preferrelative="t" stroked="f" coordorigin="0,0" coordsize="21600,21600">
            <v:fill on="f" color2="#FFFFFF" focus="0%"/>
            <v:imagedata gain="65536f" blacklevel="0f" gamma="0" o:title="" r:id="rId177"/>
            <o:lock v:ext="edit" position="f" selection="f" grouping="f" rotation="f" cropping="f" text="f" aspectratio="t"/>
            <w10:wrap type="none"/>
            <w10:anchorlock/>
          </v:shape>
          <o:OLEObject Type="Embed" ProgID="" ShapeID="Picture 48" DrawAspect="Content" ObjectID="_353" r:id="rId176"/>
        </w:object>
      </w:r>
      <w:r>
        <w:rPr>
          <w:sz w:val="24"/>
        </w:rPr>
        <w:t>）</w:t>
      </w:r>
    </w:p>
    <w:p>
      <w:pPr>
        <w:spacing w:line="360" w:lineRule="auto"/>
        <w:ind w:firstLine="480" w:firstLineChars="200"/>
        <w:rPr>
          <w:sz w:val="24"/>
        </w:rPr>
      </w:pPr>
      <w:r>
        <w:rPr>
          <w:sz w:val="24"/>
        </w:rPr>
        <w:t>则称之为正互反矩阵。还需要对得到的矩阵做一致性检验方法如下：</w:t>
      </w:r>
    </w:p>
    <w:p>
      <w:pPr>
        <w:spacing w:line="360" w:lineRule="auto"/>
        <w:ind w:firstLine="480" w:firstLineChars="200"/>
        <w:rPr>
          <w:sz w:val="24"/>
        </w:rPr>
      </w:pPr>
      <w:r>
        <w:rPr>
          <w:sz w:val="24"/>
        </w:rPr>
        <w:t>①计算一致性指标CI</w:t>
      </w:r>
    </w:p>
    <w:p>
      <w:pPr>
        <w:spacing w:line="360" w:lineRule="auto"/>
        <w:ind w:firstLine="480" w:firstLineChars="200"/>
        <w:rPr>
          <w:sz w:val="24"/>
        </w:rPr>
      </w:pPr>
      <w:r>
        <w:rPr>
          <w:rFonts w:ascii="Times New Roman" w:hAnsi="Times New Roman" w:eastAsia="宋体" w:cs="Times New Roman"/>
          <w:kern w:val="2"/>
          <w:sz w:val="24"/>
          <w:lang w:val="en-US" w:eastAsia="zh-CN" w:bidi="ar-SA"/>
        </w:rPr>
        <w:object>
          <v:shape id="Picture 49" type="#_x0000_t75" style="height:30.75pt;width:69pt;rotation:0f;" o:ole="t" fillcolor="#FFFFFF" filled="f" o:preferrelative="t" stroked="f" coordorigin="0,0" coordsize="21600,21600">
            <v:fill on="f" color2="#FFFFFF" focus="0%"/>
            <v:imagedata gain="65536f" blacklevel="0f" gamma="0" o:title="" r:id="rId179"/>
            <o:lock v:ext="edit" position="f" selection="f" grouping="f" rotation="f" cropping="f" text="f" aspectratio="t"/>
            <w10:wrap type="none"/>
            <w10:anchorlock/>
          </v:shape>
          <o:OLEObject Type="Embed" ProgID="" ShapeID="Picture 49" DrawAspect="Content" ObjectID="_354" r:id="rId178"/>
        </w:object>
      </w:r>
    </w:p>
    <w:p>
      <w:pPr>
        <w:spacing w:line="360" w:lineRule="auto"/>
        <w:ind w:firstLine="480" w:firstLineChars="200"/>
        <w:rPr>
          <w:sz w:val="24"/>
        </w:rPr>
      </w:pPr>
      <w:r>
        <w:rPr>
          <w:sz w:val="24"/>
        </w:rPr>
        <w:t>②查找相应的平均随机一致性指标</w:t>
      </w:r>
      <w:r>
        <w:rPr>
          <w:rFonts w:ascii="Times New Roman" w:hAnsi="Times New Roman" w:eastAsia="宋体" w:cs="Times New Roman"/>
          <w:kern w:val="2"/>
          <w:sz w:val="24"/>
          <w:lang w:val="en-US" w:eastAsia="zh-CN" w:bidi="ar-SA"/>
        </w:rPr>
        <w:object>
          <v:shape id="Picture 50" type="#_x0000_t75" style="height:12pt;width:17.25pt;rotation:0f;" o:ole="t" fillcolor="#FFFFFF" filled="f" o:preferrelative="t" stroked="f" coordorigin="0,0" coordsize="21600,21600">
            <v:fill on="f" color2="#FFFFFF" focus="0%"/>
            <v:imagedata gain="65536f" blacklevel="0f" gamma="0" o:title="" r:id="rId181"/>
            <o:lock v:ext="edit" position="f" selection="f" grouping="f" rotation="f" cropping="f" text="f" aspectratio="t"/>
            <w10:wrap type="none"/>
            <w10:anchorlock/>
          </v:shape>
          <o:OLEObject Type="Embed" ProgID="" ShapeID="Picture 50" DrawAspect="Content" ObjectID="_355" r:id="rId180"/>
        </w:object>
      </w:r>
    </w:p>
    <w:p>
      <w:pPr>
        <w:spacing w:line="360" w:lineRule="auto"/>
        <w:ind w:firstLine="480" w:firstLineChars="200"/>
        <w:rPr>
          <w:sz w:val="24"/>
        </w:rPr>
      </w:pPr>
      <w:r>
        <w:rPr>
          <w:sz w:val="24"/>
        </w:rPr>
        <w:t>③计算一致性比例CR</w:t>
      </w:r>
    </w:p>
    <w:p>
      <w:pPr>
        <w:spacing w:line="360" w:lineRule="auto"/>
        <w:ind w:firstLine="480" w:firstLineChars="200"/>
        <w:rPr>
          <w:sz w:val="24"/>
        </w:rPr>
      </w:pPr>
      <w:r>
        <w:rPr>
          <w:rFonts w:ascii="Times New Roman" w:hAnsi="Times New Roman" w:eastAsia="宋体" w:cs="Times New Roman"/>
          <w:kern w:val="2"/>
          <w:sz w:val="24"/>
          <w:lang w:val="en-US" w:eastAsia="zh-CN" w:bidi="ar-SA"/>
        </w:rPr>
        <w:object>
          <v:shape id="Picture 51" type="#_x0000_t75" style="height:30.75pt;width:47.25pt;rotation:0f;" o:ole="t" fillcolor="#FFFFFF" filled="f" o:preferrelative="t" stroked="f" coordorigin="0,0" coordsize="21600,21600">
            <v:fill on="f" color2="#FFFFFF" focus="0%"/>
            <v:imagedata gain="65536f" blacklevel="0f" gamma="0" o:title="" r:id="rId183"/>
            <o:lock v:ext="edit" position="f" selection="f" grouping="f" rotation="f" cropping="f" text="f" aspectratio="t"/>
            <w10:wrap type="none"/>
            <w10:anchorlock/>
          </v:shape>
          <o:OLEObject Type="Embed" ProgID="" ShapeID="Picture 51" DrawAspect="Content" ObjectID="_356" r:id="rId182"/>
        </w:object>
      </w:r>
    </w:p>
    <w:p>
      <w:pPr>
        <w:spacing w:line="460" w:lineRule="exact"/>
        <w:ind w:firstLine="480" w:firstLineChars="200"/>
        <w:rPr>
          <w:sz w:val="24"/>
        </w:rPr>
      </w:pPr>
      <w:r>
        <w:rPr>
          <w:sz w:val="24"/>
        </w:rPr>
        <w:t>当CR&lt;0.10时，认为判断矩阵的一致性是可以接受的，否则应对判断矩阵作适当修正。</w:t>
      </w:r>
    </w:p>
    <w:p>
      <w:pPr>
        <w:spacing w:line="360" w:lineRule="auto"/>
        <w:ind w:firstLine="480" w:firstLineChars="200"/>
        <w:rPr>
          <w:sz w:val="24"/>
          <w:lang w:val="zh-CN"/>
        </w:rPr>
      </w:pPr>
      <w:r>
        <w:rPr>
          <w:sz w:val="24"/>
          <w:lang w:val="zh-CN"/>
        </w:rPr>
        <w:t>（4）采用加权求和法计算各乡镇地价影响因素综合分</w:t>
      </w:r>
    </w:p>
    <w:p>
      <w:pPr>
        <w:spacing w:line="460" w:lineRule="exact"/>
        <w:ind w:firstLine="480" w:firstLineChars="200"/>
        <w:rPr>
          <w:sz w:val="24"/>
        </w:rPr>
      </w:pPr>
      <w:r>
        <w:rPr>
          <w:sz w:val="24"/>
        </w:rPr>
        <w:t>各乡镇地价影响因素综合分是将各准则层指数值乘以各自的权重，进行加和求得，计算公式为：</w:t>
      </w:r>
    </w:p>
    <w:p>
      <w:pPr>
        <w:spacing w:line="360" w:lineRule="auto"/>
        <w:ind w:firstLine="480" w:firstLineChars="200"/>
        <w:rPr>
          <w:sz w:val="24"/>
        </w:rPr>
      </w:pPr>
      <w:r>
        <w:rPr>
          <w:rFonts w:ascii="Times New Roman" w:hAnsi="Times New Roman" w:eastAsia="宋体" w:cs="Times New Roman"/>
          <w:kern w:val="2"/>
          <w:sz w:val="24"/>
          <w:lang w:val="en-US" w:eastAsia="zh-CN" w:bidi="ar-SA"/>
        </w:rPr>
        <w:object>
          <v:shape id="Picture 52" type="#_x0000_t75" style="height:20.25pt;width:84.75pt;rotation:0f;" o:ole="t" fillcolor="#FFFFFF" filled="f" o:preferrelative="t" stroked="f" coordorigin="0,0" coordsize="21600,21600">
            <v:fill on="f" color2="#FFFFFF" focus="0%"/>
            <v:imagedata gain="65536f" blacklevel="0f" gamma="0" o:title="" r:id="rId185"/>
            <o:lock v:ext="edit" position="f" selection="f" grouping="f" rotation="f" cropping="f" text="f" aspectratio="t"/>
            <w10:wrap type="none"/>
            <w10:anchorlock/>
          </v:shape>
          <o:OLEObject Type="Embed" ProgID="" ShapeID="Picture 52" DrawAspect="Content" ObjectID="_357" r:id="rId184"/>
        </w:object>
      </w:r>
    </w:p>
    <w:p>
      <w:pPr>
        <w:spacing w:line="360" w:lineRule="auto"/>
        <w:ind w:firstLine="480" w:firstLineChars="200"/>
        <w:rPr>
          <w:sz w:val="24"/>
        </w:rPr>
      </w:pPr>
      <w:r>
        <w:rPr>
          <w:sz w:val="24"/>
        </w:rPr>
        <w:t>其中，ICL</w:t>
      </w:r>
      <w:r>
        <w:rPr>
          <w:sz w:val="24"/>
          <w:vertAlign w:val="subscript"/>
        </w:rPr>
        <w:t>i</w:t>
      </w:r>
      <w:r>
        <w:rPr>
          <w:sz w:val="24"/>
        </w:rPr>
        <w:t>：乡镇地价影响因素综合分；</w:t>
      </w:r>
    </w:p>
    <w:p>
      <w:pPr>
        <w:spacing w:line="360" w:lineRule="auto"/>
        <w:ind w:firstLine="480" w:firstLineChars="200"/>
        <w:rPr>
          <w:sz w:val="24"/>
        </w:rPr>
      </w:pPr>
      <w:r>
        <w:rPr>
          <w:sz w:val="24"/>
        </w:rPr>
        <w:t>U</w:t>
      </w:r>
      <w:r>
        <w:rPr>
          <w:sz w:val="24"/>
          <w:vertAlign w:val="subscript"/>
        </w:rPr>
        <w:t>i</w:t>
      </w:r>
      <w:r>
        <w:rPr>
          <w:sz w:val="24"/>
        </w:rPr>
        <w:t>：某一指标层指标数值；</w:t>
      </w:r>
    </w:p>
    <w:p>
      <w:pPr>
        <w:spacing w:line="360" w:lineRule="auto"/>
        <w:ind w:firstLine="480" w:firstLineChars="200"/>
        <w:rPr>
          <w:sz w:val="24"/>
        </w:rPr>
      </w:pPr>
      <w:r>
        <w:rPr>
          <w:sz w:val="24"/>
        </w:rPr>
        <w:t>W</w:t>
      </w:r>
      <w:r>
        <w:rPr>
          <w:sz w:val="24"/>
          <w:vertAlign w:val="subscript"/>
        </w:rPr>
        <w:t>i</w:t>
      </w:r>
      <w:r>
        <w:rPr>
          <w:sz w:val="24"/>
        </w:rPr>
        <w:t>：该指标层指标权重。</w:t>
      </w:r>
    </w:p>
    <w:p>
      <w:pPr>
        <w:pStyle w:val="131"/>
        <w:spacing w:beforeLines="50" w:afterLines="50"/>
        <w:ind w:firstLine="0" w:firstLineChars="0"/>
        <w:rPr>
          <w:rFonts w:ascii="Times New Roman" w:hAnsi="Times New Roman"/>
          <w:sz w:val="24"/>
        </w:rPr>
      </w:pPr>
      <w:r>
        <w:rPr>
          <w:rFonts w:ascii="Times New Roman" w:hAnsi="Times New Roman"/>
          <w:sz w:val="24"/>
        </w:rPr>
        <w:br w:type="page"/>
      </w:r>
      <w:r>
        <w:rPr>
          <w:rFonts w:ascii="Times New Roman" w:hAnsi="Times New Roman"/>
          <w:sz w:val="24"/>
          <w:szCs w:val="24"/>
        </w:rPr>
        <w:t>表5-2-1  长沙县乡镇分等因素因子权重表</w:t>
      </w:r>
    </w:p>
    <w:tbl>
      <w:tblPr>
        <w:tblW w:w="10631" w:type="dxa"/>
        <w:tblInd w:w="-8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6"/>
        <w:gridCol w:w="1238"/>
        <w:gridCol w:w="2212"/>
        <w:gridCol w:w="1369"/>
        <w:gridCol w:w="2438"/>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286" w:type="dxa"/>
            <w:vAlign w:val="center"/>
          </w:tcPr>
          <w:p>
            <w:pPr>
              <w:widowControl/>
              <w:spacing w:line="400" w:lineRule="exact"/>
              <w:jc w:val="center"/>
              <w:rPr>
                <w:bCs/>
                <w:kern w:val="0"/>
                <w:szCs w:val="21"/>
              </w:rPr>
            </w:pPr>
            <w:r>
              <w:rPr>
                <w:bCs/>
                <w:kern w:val="0"/>
                <w:szCs w:val="21"/>
              </w:rPr>
              <w:t>因素名称</w:t>
            </w:r>
          </w:p>
        </w:tc>
        <w:tc>
          <w:tcPr>
            <w:tcW w:w="1238" w:type="dxa"/>
            <w:vAlign w:val="center"/>
          </w:tcPr>
          <w:p>
            <w:pPr>
              <w:widowControl/>
              <w:spacing w:line="400" w:lineRule="exact"/>
              <w:jc w:val="center"/>
              <w:rPr>
                <w:bCs/>
                <w:kern w:val="0"/>
                <w:szCs w:val="21"/>
              </w:rPr>
            </w:pPr>
            <w:r>
              <w:rPr>
                <w:bCs/>
                <w:kern w:val="0"/>
                <w:szCs w:val="21"/>
              </w:rPr>
              <w:t>权重</w:t>
            </w:r>
          </w:p>
        </w:tc>
        <w:tc>
          <w:tcPr>
            <w:tcW w:w="2212" w:type="dxa"/>
            <w:vAlign w:val="center"/>
          </w:tcPr>
          <w:p>
            <w:pPr>
              <w:widowControl/>
              <w:spacing w:line="400" w:lineRule="exact"/>
              <w:jc w:val="center"/>
              <w:rPr>
                <w:bCs/>
                <w:kern w:val="0"/>
                <w:szCs w:val="21"/>
              </w:rPr>
            </w:pPr>
            <w:r>
              <w:rPr>
                <w:bCs/>
                <w:kern w:val="0"/>
                <w:szCs w:val="21"/>
              </w:rPr>
              <w:t>因子名称</w:t>
            </w:r>
          </w:p>
        </w:tc>
        <w:tc>
          <w:tcPr>
            <w:tcW w:w="1369" w:type="dxa"/>
            <w:vAlign w:val="center"/>
          </w:tcPr>
          <w:p>
            <w:pPr>
              <w:widowControl/>
              <w:spacing w:line="400" w:lineRule="exact"/>
              <w:jc w:val="center"/>
              <w:rPr>
                <w:bCs/>
                <w:kern w:val="0"/>
                <w:szCs w:val="21"/>
              </w:rPr>
            </w:pPr>
            <w:r>
              <w:rPr>
                <w:bCs/>
                <w:kern w:val="0"/>
                <w:szCs w:val="21"/>
              </w:rPr>
              <w:t>权重</w:t>
            </w:r>
          </w:p>
        </w:tc>
        <w:tc>
          <w:tcPr>
            <w:tcW w:w="2438" w:type="dxa"/>
            <w:vAlign w:val="center"/>
          </w:tcPr>
          <w:p>
            <w:pPr>
              <w:widowControl/>
              <w:spacing w:line="400" w:lineRule="exact"/>
              <w:jc w:val="center"/>
              <w:rPr>
                <w:bCs/>
                <w:kern w:val="0"/>
                <w:szCs w:val="21"/>
              </w:rPr>
            </w:pPr>
            <w:r>
              <w:rPr>
                <w:rFonts w:hint="eastAsia"/>
                <w:bCs/>
                <w:kern w:val="0"/>
                <w:szCs w:val="21"/>
              </w:rPr>
              <w:t>评价指标</w:t>
            </w:r>
          </w:p>
        </w:tc>
        <w:tc>
          <w:tcPr>
            <w:tcW w:w="1088" w:type="dxa"/>
            <w:vAlign w:val="center"/>
          </w:tcPr>
          <w:p>
            <w:pPr>
              <w:widowControl/>
              <w:spacing w:line="400" w:lineRule="exact"/>
              <w:jc w:val="center"/>
              <w:rPr>
                <w:bCs/>
                <w:kern w:val="0"/>
                <w:szCs w:val="21"/>
              </w:rPr>
            </w:pPr>
            <w:r>
              <w:rPr>
                <w:rFonts w:hint="eastAsia"/>
                <w:bCs/>
                <w:kern w:val="0"/>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286" w:type="dxa"/>
            <w:vAlign w:val="center"/>
          </w:tcPr>
          <w:p>
            <w:pPr>
              <w:adjustRightInd w:val="0"/>
              <w:snapToGrid w:val="0"/>
              <w:spacing w:line="400" w:lineRule="exact"/>
              <w:jc w:val="center"/>
              <w:rPr>
                <w:kern w:val="0"/>
                <w:szCs w:val="21"/>
              </w:rPr>
            </w:pPr>
            <w:r>
              <w:rPr>
                <w:rFonts w:hint="eastAsia"/>
                <w:color w:val="000000"/>
                <w:kern w:val="0"/>
                <w:szCs w:val="21"/>
              </w:rPr>
              <w:t>城镇区位</w:t>
            </w:r>
          </w:p>
        </w:tc>
        <w:tc>
          <w:tcPr>
            <w:tcW w:w="1238" w:type="dxa"/>
            <w:vAlign w:val="center"/>
          </w:tcPr>
          <w:p>
            <w:pPr>
              <w:widowControl/>
              <w:spacing w:line="400" w:lineRule="exact"/>
              <w:jc w:val="center"/>
              <w:textAlignment w:val="bottom"/>
              <w:rPr>
                <w:szCs w:val="21"/>
              </w:rPr>
            </w:pPr>
            <w:r>
              <w:rPr>
                <w:rFonts w:eastAsia="Tahoma"/>
                <w:color w:val="000000"/>
                <w:kern w:val="0"/>
                <w:szCs w:val="21"/>
                <w:lang/>
              </w:rPr>
              <w:t>0.2428</w:t>
            </w:r>
          </w:p>
        </w:tc>
        <w:tc>
          <w:tcPr>
            <w:tcW w:w="2212" w:type="dxa"/>
            <w:vAlign w:val="center"/>
          </w:tcPr>
          <w:p>
            <w:pPr>
              <w:adjustRightInd w:val="0"/>
              <w:snapToGrid w:val="0"/>
              <w:spacing w:line="400" w:lineRule="exact"/>
              <w:jc w:val="center"/>
              <w:rPr>
                <w:kern w:val="0"/>
                <w:szCs w:val="21"/>
              </w:rPr>
            </w:pPr>
            <w:r>
              <w:rPr>
                <w:rFonts w:hint="eastAsia"/>
                <w:color w:val="000000"/>
                <w:kern w:val="0"/>
                <w:szCs w:val="21"/>
              </w:rPr>
              <w:t>交通区位</w:t>
            </w:r>
          </w:p>
        </w:tc>
        <w:tc>
          <w:tcPr>
            <w:tcW w:w="1369" w:type="dxa"/>
            <w:vAlign w:val="center"/>
          </w:tcPr>
          <w:p>
            <w:pPr>
              <w:widowControl/>
              <w:spacing w:line="400" w:lineRule="exact"/>
              <w:jc w:val="center"/>
              <w:textAlignment w:val="bottom"/>
              <w:rPr>
                <w:kern w:val="0"/>
                <w:szCs w:val="21"/>
              </w:rPr>
            </w:pPr>
            <w:r>
              <w:rPr>
                <w:rFonts w:eastAsia="Tahoma"/>
                <w:color w:val="000000"/>
                <w:kern w:val="0"/>
                <w:szCs w:val="21"/>
                <w:lang/>
              </w:rPr>
              <w:t>0.2428</w:t>
            </w:r>
          </w:p>
        </w:tc>
        <w:tc>
          <w:tcPr>
            <w:tcW w:w="2438" w:type="dxa"/>
            <w:vAlign w:val="center"/>
          </w:tcPr>
          <w:p>
            <w:pPr>
              <w:adjustRightInd w:val="0"/>
              <w:snapToGrid w:val="0"/>
              <w:spacing w:line="400" w:lineRule="exact"/>
              <w:jc w:val="center"/>
              <w:rPr>
                <w:rFonts w:eastAsia="Tahoma"/>
                <w:color w:val="000000"/>
                <w:kern w:val="0"/>
                <w:szCs w:val="21"/>
                <w:lang/>
              </w:rPr>
            </w:pPr>
            <w:r>
              <w:rPr>
                <w:rFonts w:hint="eastAsia"/>
                <w:color w:val="000000"/>
                <w:kern w:val="0"/>
                <w:szCs w:val="21"/>
              </w:rPr>
              <w:t>城镇交通条件指数</w:t>
            </w:r>
          </w:p>
        </w:tc>
        <w:tc>
          <w:tcPr>
            <w:tcW w:w="108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0.2428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286" w:type="dxa"/>
            <w:vAlign w:val="center"/>
          </w:tcPr>
          <w:p>
            <w:pPr>
              <w:adjustRightInd w:val="0"/>
              <w:snapToGrid w:val="0"/>
              <w:spacing w:line="400" w:lineRule="exact"/>
              <w:jc w:val="center"/>
              <w:rPr>
                <w:kern w:val="0"/>
                <w:szCs w:val="21"/>
              </w:rPr>
            </w:pPr>
            <w:r>
              <w:rPr>
                <w:rFonts w:hint="eastAsia"/>
                <w:color w:val="000000"/>
                <w:kern w:val="0"/>
                <w:szCs w:val="21"/>
              </w:rPr>
              <w:t>城镇集聚规模</w:t>
            </w:r>
          </w:p>
        </w:tc>
        <w:tc>
          <w:tcPr>
            <w:tcW w:w="1238" w:type="dxa"/>
            <w:vAlign w:val="center"/>
          </w:tcPr>
          <w:p>
            <w:pPr>
              <w:widowControl/>
              <w:spacing w:line="400" w:lineRule="exact"/>
              <w:jc w:val="center"/>
              <w:textAlignment w:val="bottom"/>
              <w:rPr>
                <w:szCs w:val="21"/>
              </w:rPr>
            </w:pPr>
            <w:r>
              <w:rPr>
                <w:rFonts w:eastAsia="Tahoma"/>
                <w:color w:val="000000"/>
                <w:kern w:val="0"/>
                <w:szCs w:val="21"/>
                <w:lang/>
              </w:rPr>
              <w:t>0.2116</w:t>
            </w:r>
          </w:p>
        </w:tc>
        <w:tc>
          <w:tcPr>
            <w:tcW w:w="2212" w:type="dxa"/>
            <w:vAlign w:val="center"/>
          </w:tcPr>
          <w:p>
            <w:pPr>
              <w:adjustRightInd w:val="0"/>
              <w:snapToGrid w:val="0"/>
              <w:spacing w:line="400" w:lineRule="exact"/>
              <w:jc w:val="center"/>
              <w:rPr>
                <w:kern w:val="0"/>
                <w:szCs w:val="21"/>
              </w:rPr>
            </w:pPr>
            <w:r>
              <w:rPr>
                <w:rFonts w:hint="eastAsia"/>
                <w:color w:val="000000"/>
                <w:kern w:val="0"/>
                <w:szCs w:val="21"/>
              </w:rPr>
              <w:t>城镇人口规模</w:t>
            </w:r>
          </w:p>
        </w:tc>
        <w:tc>
          <w:tcPr>
            <w:tcW w:w="1369" w:type="dxa"/>
            <w:vAlign w:val="center"/>
          </w:tcPr>
          <w:p>
            <w:pPr>
              <w:widowControl/>
              <w:spacing w:line="400" w:lineRule="exact"/>
              <w:jc w:val="center"/>
              <w:textAlignment w:val="bottom"/>
              <w:rPr>
                <w:kern w:val="0"/>
                <w:szCs w:val="21"/>
              </w:rPr>
            </w:pPr>
            <w:r>
              <w:rPr>
                <w:rFonts w:eastAsia="Tahoma"/>
                <w:color w:val="000000"/>
                <w:kern w:val="0"/>
                <w:szCs w:val="21"/>
                <w:lang/>
              </w:rPr>
              <w:t>0.2116</w:t>
            </w:r>
          </w:p>
        </w:tc>
        <w:tc>
          <w:tcPr>
            <w:tcW w:w="2438" w:type="dxa"/>
            <w:vAlign w:val="center"/>
          </w:tcPr>
          <w:p>
            <w:pPr>
              <w:adjustRightInd w:val="0"/>
              <w:snapToGrid w:val="0"/>
              <w:spacing w:line="400" w:lineRule="exact"/>
              <w:jc w:val="center"/>
              <w:rPr>
                <w:rFonts w:eastAsia="Tahoma"/>
                <w:color w:val="000000"/>
                <w:kern w:val="0"/>
                <w:szCs w:val="21"/>
                <w:lang/>
              </w:rPr>
            </w:pPr>
            <w:r>
              <w:rPr>
                <w:rFonts w:hint="eastAsia"/>
                <w:color w:val="000000"/>
                <w:kern w:val="0"/>
                <w:szCs w:val="21"/>
              </w:rPr>
              <w:t>城镇人口规模</w:t>
            </w:r>
          </w:p>
        </w:tc>
        <w:tc>
          <w:tcPr>
            <w:tcW w:w="108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0.2116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2286" w:type="dxa"/>
            <w:vAlign w:val="center"/>
          </w:tcPr>
          <w:p>
            <w:pPr>
              <w:adjustRightInd w:val="0"/>
              <w:snapToGrid w:val="0"/>
              <w:spacing w:line="400" w:lineRule="exact"/>
              <w:jc w:val="center"/>
              <w:rPr>
                <w:kern w:val="0"/>
                <w:szCs w:val="21"/>
              </w:rPr>
            </w:pPr>
            <w:r>
              <w:rPr>
                <w:rFonts w:hint="eastAsia"/>
                <w:color w:val="000000"/>
                <w:kern w:val="0"/>
                <w:szCs w:val="21"/>
              </w:rPr>
              <w:t>城镇基础设施</w:t>
            </w:r>
          </w:p>
        </w:tc>
        <w:tc>
          <w:tcPr>
            <w:tcW w:w="1238" w:type="dxa"/>
            <w:vAlign w:val="center"/>
          </w:tcPr>
          <w:p>
            <w:pPr>
              <w:widowControl/>
              <w:spacing w:line="400" w:lineRule="exact"/>
              <w:jc w:val="center"/>
              <w:textAlignment w:val="bottom"/>
              <w:rPr>
                <w:szCs w:val="21"/>
              </w:rPr>
            </w:pPr>
            <w:r>
              <w:rPr>
                <w:rFonts w:eastAsia="Tahoma"/>
                <w:color w:val="000000"/>
                <w:kern w:val="0"/>
                <w:szCs w:val="21"/>
                <w:lang/>
              </w:rPr>
              <w:t>0.1425</w:t>
            </w:r>
          </w:p>
        </w:tc>
        <w:tc>
          <w:tcPr>
            <w:tcW w:w="2212" w:type="dxa"/>
            <w:vAlign w:val="center"/>
          </w:tcPr>
          <w:p>
            <w:pPr>
              <w:adjustRightInd w:val="0"/>
              <w:snapToGrid w:val="0"/>
              <w:spacing w:line="400" w:lineRule="exact"/>
              <w:jc w:val="center"/>
              <w:rPr>
                <w:kern w:val="0"/>
                <w:szCs w:val="21"/>
              </w:rPr>
            </w:pPr>
            <w:r>
              <w:rPr>
                <w:rFonts w:hint="eastAsia"/>
                <w:color w:val="000000"/>
                <w:kern w:val="0"/>
                <w:szCs w:val="21"/>
              </w:rPr>
              <w:t>道路状况</w:t>
            </w:r>
          </w:p>
        </w:tc>
        <w:tc>
          <w:tcPr>
            <w:tcW w:w="1369" w:type="dxa"/>
            <w:vAlign w:val="center"/>
          </w:tcPr>
          <w:p>
            <w:pPr>
              <w:widowControl/>
              <w:spacing w:line="400" w:lineRule="exact"/>
              <w:jc w:val="center"/>
              <w:textAlignment w:val="bottom"/>
              <w:rPr>
                <w:kern w:val="0"/>
                <w:szCs w:val="21"/>
              </w:rPr>
            </w:pPr>
            <w:r>
              <w:rPr>
                <w:rFonts w:eastAsia="Tahoma"/>
                <w:color w:val="000000"/>
                <w:kern w:val="0"/>
                <w:szCs w:val="21"/>
                <w:lang/>
              </w:rPr>
              <w:t>0.1425</w:t>
            </w:r>
          </w:p>
        </w:tc>
        <w:tc>
          <w:tcPr>
            <w:tcW w:w="2438" w:type="dxa"/>
            <w:vAlign w:val="center"/>
          </w:tcPr>
          <w:p>
            <w:pPr>
              <w:adjustRightInd w:val="0"/>
              <w:snapToGrid w:val="0"/>
              <w:spacing w:line="400" w:lineRule="exact"/>
              <w:jc w:val="center"/>
              <w:rPr>
                <w:rFonts w:eastAsia="Tahoma"/>
                <w:color w:val="000000"/>
                <w:kern w:val="0"/>
                <w:szCs w:val="21"/>
                <w:lang/>
              </w:rPr>
            </w:pPr>
            <w:r>
              <w:rPr>
                <w:rFonts w:hint="eastAsia"/>
                <w:color w:val="000000"/>
                <w:kern w:val="0"/>
                <w:szCs w:val="21"/>
              </w:rPr>
              <w:t>城镇人均铺装道路面积</w:t>
            </w:r>
          </w:p>
        </w:tc>
        <w:tc>
          <w:tcPr>
            <w:tcW w:w="108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0.1425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286" w:type="dxa"/>
            <w:vMerge w:val="restart"/>
            <w:vAlign w:val="center"/>
          </w:tcPr>
          <w:p>
            <w:pPr>
              <w:adjustRightInd w:val="0"/>
              <w:snapToGrid w:val="0"/>
              <w:spacing w:line="400" w:lineRule="exact"/>
              <w:jc w:val="center"/>
              <w:rPr>
                <w:bCs/>
                <w:kern w:val="0"/>
                <w:szCs w:val="21"/>
              </w:rPr>
            </w:pPr>
            <w:r>
              <w:rPr>
                <w:rFonts w:hint="eastAsia"/>
                <w:color w:val="000000"/>
                <w:kern w:val="0"/>
                <w:szCs w:val="21"/>
              </w:rPr>
              <w:t>区域经济发展水平</w:t>
            </w:r>
          </w:p>
        </w:tc>
        <w:tc>
          <w:tcPr>
            <w:tcW w:w="1238" w:type="dxa"/>
            <w:vMerge w:val="restart"/>
            <w:vAlign w:val="center"/>
          </w:tcPr>
          <w:p>
            <w:pPr>
              <w:widowControl/>
              <w:spacing w:line="400" w:lineRule="exact"/>
              <w:jc w:val="center"/>
              <w:textAlignment w:val="bottom"/>
              <w:rPr>
                <w:szCs w:val="21"/>
              </w:rPr>
            </w:pPr>
            <w:r>
              <w:rPr>
                <w:rFonts w:eastAsia="Tahoma"/>
                <w:color w:val="000000"/>
                <w:kern w:val="0"/>
                <w:szCs w:val="21"/>
                <w:lang/>
              </w:rPr>
              <w:t>0.3284</w:t>
            </w:r>
          </w:p>
        </w:tc>
        <w:tc>
          <w:tcPr>
            <w:tcW w:w="2212" w:type="dxa"/>
            <w:vAlign w:val="center"/>
          </w:tcPr>
          <w:p>
            <w:pPr>
              <w:spacing w:line="400" w:lineRule="exact"/>
              <w:jc w:val="center"/>
              <w:rPr>
                <w:bCs/>
                <w:szCs w:val="21"/>
              </w:rPr>
            </w:pPr>
            <w:r>
              <w:rPr>
                <w:bCs/>
                <w:szCs w:val="21"/>
              </w:rPr>
              <w:t>国内生产总值</w:t>
            </w:r>
          </w:p>
        </w:tc>
        <w:tc>
          <w:tcPr>
            <w:tcW w:w="1369" w:type="dxa"/>
            <w:vAlign w:val="center"/>
          </w:tcPr>
          <w:p>
            <w:pPr>
              <w:widowControl/>
              <w:spacing w:line="400" w:lineRule="exact"/>
              <w:jc w:val="center"/>
              <w:textAlignment w:val="bottom"/>
              <w:rPr>
                <w:szCs w:val="21"/>
              </w:rPr>
            </w:pPr>
            <w:r>
              <w:rPr>
                <w:rFonts w:eastAsia="Tahoma"/>
                <w:color w:val="000000"/>
                <w:kern w:val="0"/>
                <w:szCs w:val="21"/>
                <w:lang/>
              </w:rPr>
              <w:t>0.0895</w:t>
            </w:r>
          </w:p>
        </w:tc>
        <w:tc>
          <w:tcPr>
            <w:tcW w:w="2438" w:type="dxa"/>
            <w:vAlign w:val="center"/>
          </w:tcPr>
          <w:p>
            <w:pPr>
              <w:widowControl/>
              <w:spacing w:line="400" w:lineRule="exact"/>
              <w:jc w:val="center"/>
              <w:textAlignment w:val="bottom"/>
              <w:rPr>
                <w:rFonts w:eastAsia="Tahoma"/>
                <w:color w:val="000000"/>
                <w:kern w:val="0"/>
                <w:szCs w:val="21"/>
                <w:lang/>
              </w:rPr>
            </w:pPr>
            <w:r>
              <w:rPr>
                <w:rFonts w:hint="eastAsia"/>
                <w:color w:val="000000"/>
                <w:kern w:val="0"/>
                <w:szCs w:val="21"/>
              </w:rPr>
              <w:t>国内生产总值综合指数</w:t>
            </w:r>
          </w:p>
        </w:tc>
        <w:tc>
          <w:tcPr>
            <w:tcW w:w="108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0.0895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286" w:type="dxa"/>
            <w:vMerge w:val="continue"/>
            <w:vAlign w:val="center"/>
          </w:tcPr>
          <w:p>
            <w:pPr>
              <w:widowControl/>
              <w:spacing w:line="400" w:lineRule="exact"/>
              <w:jc w:val="center"/>
              <w:rPr>
                <w:bCs/>
                <w:kern w:val="0"/>
                <w:szCs w:val="21"/>
              </w:rPr>
            </w:pPr>
          </w:p>
        </w:tc>
        <w:tc>
          <w:tcPr>
            <w:tcW w:w="1238" w:type="dxa"/>
            <w:vMerge w:val="continue"/>
            <w:vAlign w:val="center"/>
          </w:tcPr>
          <w:p>
            <w:pPr>
              <w:widowControl/>
              <w:spacing w:line="400" w:lineRule="exact"/>
              <w:jc w:val="center"/>
              <w:rPr>
                <w:bCs/>
                <w:kern w:val="0"/>
                <w:szCs w:val="21"/>
              </w:rPr>
            </w:pPr>
          </w:p>
        </w:tc>
        <w:tc>
          <w:tcPr>
            <w:tcW w:w="2212" w:type="dxa"/>
            <w:vAlign w:val="center"/>
          </w:tcPr>
          <w:p>
            <w:pPr>
              <w:spacing w:line="400" w:lineRule="exact"/>
              <w:jc w:val="center"/>
              <w:rPr>
                <w:bCs/>
                <w:szCs w:val="21"/>
              </w:rPr>
            </w:pPr>
            <w:r>
              <w:rPr>
                <w:bCs/>
                <w:szCs w:val="21"/>
              </w:rPr>
              <w:t>财政</w:t>
            </w:r>
            <w:r>
              <w:rPr>
                <w:rFonts w:hint="eastAsia"/>
                <w:bCs/>
                <w:szCs w:val="21"/>
              </w:rPr>
              <w:t>状况</w:t>
            </w:r>
          </w:p>
        </w:tc>
        <w:tc>
          <w:tcPr>
            <w:tcW w:w="1369" w:type="dxa"/>
            <w:vAlign w:val="center"/>
          </w:tcPr>
          <w:p>
            <w:pPr>
              <w:widowControl/>
              <w:spacing w:line="400" w:lineRule="exact"/>
              <w:jc w:val="center"/>
              <w:textAlignment w:val="bottom"/>
              <w:rPr>
                <w:szCs w:val="21"/>
              </w:rPr>
            </w:pPr>
            <w:r>
              <w:rPr>
                <w:rFonts w:eastAsia="Tahoma"/>
                <w:color w:val="000000"/>
                <w:kern w:val="0"/>
                <w:szCs w:val="21"/>
                <w:lang/>
              </w:rPr>
              <w:t>0.0806</w:t>
            </w:r>
          </w:p>
        </w:tc>
        <w:tc>
          <w:tcPr>
            <w:tcW w:w="2438" w:type="dxa"/>
            <w:vAlign w:val="center"/>
          </w:tcPr>
          <w:p>
            <w:pPr>
              <w:widowControl/>
              <w:spacing w:line="400" w:lineRule="exact"/>
              <w:jc w:val="center"/>
              <w:textAlignment w:val="bottom"/>
              <w:rPr>
                <w:rFonts w:eastAsia="Tahoma"/>
                <w:color w:val="000000"/>
                <w:kern w:val="0"/>
                <w:szCs w:val="21"/>
                <w:lang/>
              </w:rPr>
            </w:pPr>
            <w:r>
              <w:rPr>
                <w:rFonts w:hint="eastAsia"/>
                <w:color w:val="000000"/>
                <w:kern w:val="0"/>
                <w:szCs w:val="21"/>
              </w:rPr>
              <w:t>地方财政收入综合指数</w:t>
            </w:r>
          </w:p>
        </w:tc>
        <w:tc>
          <w:tcPr>
            <w:tcW w:w="108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0.0806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286" w:type="dxa"/>
            <w:vMerge w:val="continue"/>
            <w:vAlign w:val="center"/>
          </w:tcPr>
          <w:p>
            <w:pPr>
              <w:widowControl/>
              <w:spacing w:line="400" w:lineRule="exact"/>
              <w:jc w:val="center"/>
              <w:rPr>
                <w:bCs/>
                <w:kern w:val="0"/>
                <w:szCs w:val="21"/>
              </w:rPr>
            </w:pPr>
          </w:p>
        </w:tc>
        <w:tc>
          <w:tcPr>
            <w:tcW w:w="1238" w:type="dxa"/>
            <w:vMerge w:val="continue"/>
            <w:vAlign w:val="center"/>
          </w:tcPr>
          <w:p>
            <w:pPr>
              <w:widowControl/>
              <w:spacing w:line="400" w:lineRule="exact"/>
              <w:jc w:val="center"/>
              <w:rPr>
                <w:bCs/>
                <w:kern w:val="0"/>
                <w:szCs w:val="21"/>
              </w:rPr>
            </w:pPr>
          </w:p>
        </w:tc>
        <w:tc>
          <w:tcPr>
            <w:tcW w:w="2212" w:type="dxa"/>
            <w:vAlign w:val="center"/>
          </w:tcPr>
          <w:p>
            <w:pPr>
              <w:spacing w:line="400" w:lineRule="exact"/>
              <w:jc w:val="center"/>
              <w:rPr>
                <w:bCs/>
                <w:szCs w:val="21"/>
              </w:rPr>
            </w:pPr>
            <w:r>
              <w:rPr>
                <w:bCs/>
                <w:szCs w:val="21"/>
              </w:rPr>
              <w:t>固定资产投资</w:t>
            </w:r>
            <w:r>
              <w:rPr>
                <w:rFonts w:hint="eastAsia"/>
                <w:bCs/>
                <w:szCs w:val="21"/>
              </w:rPr>
              <w:t>状况</w:t>
            </w:r>
          </w:p>
        </w:tc>
        <w:tc>
          <w:tcPr>
            <w:tcW w:w="1369" w:type="dxa"/>
            <w:vAlign w:val="center"/>
          </w:tcPr>
          <w:p>
            <w:pPr>
              <w:widowControl/>
              <w:spacing w:line="400" w:lineRule="exact"/>
              <w:jc w:val="center"/>
              <w:textAlignment w:val="bottom"/>
              <w:rPr>
                <w:szCs w:val="21"/>
              </w:rPr>
            </w:pPr>
            <w:r>
              <w:rPr>
                <w:rFonts w:eastAsia="Tahoma"/>
                <w:color w:val="000000"/>
                <w:kern w:val="0"/>
                <w:szCs w:val="21"/>
                <w:lang/>
              </w:rPr>
              <w:t>0.085</w:t>
            </w:r>
            <w:r>
              <w:rPr>
                <w:rFonts w:hint="eastAsia" w:eastAsia="Tahoma"/>
                <w:color w:val="000000"/>
                <w:kern w:val="0"/>
                <w:szCs w:val="21"/>
                <w:lang/>
              </w:rPr>
              <w:t>0</w:t>
            </w:r>
          </w:p>
        </w:tc>
        <w:tc>
          <w:tcPr>
            <w:tcW w:w="2438" w:type="dxa"/>
            <w:vAlign w:val="center"/>
          </w:tcPr>
          <w:p>
            <w:pPr>
              <w:widowControl/>
              <w:spacing w:line="400" w:lineRule="exact"/>
              <w:jc w:val="center"/>
              <w:textAlignment w:val="bottom"/>
              <w:rPr>
                <w:rFonts w:eastAsia="Tahoma"/>
                <w:color w:val="000000"/>
                <w:kern w:val="0"/>
                <w:szCs w:val="21"/>
                <w:lang/>
              </w:rPr>
            </w:pPr>
            <w:r>
              <w:rPr>
                <w:rFonts w:hint="eastAsia"/>
                <w:color w:val="000000"/>
                <w:kern w:val="0"/>
                <w:szCs w:val="21"/>
              </w:rPr>
              <w:t>全社会固定资产投资综合指数</w:t>
            </w:r>
          </w:p>
        </w:tc>
        <w:tc>
          <w:tcPr>
            <w:tcW w:w="108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0.085</w:t>
            </w:r>
            <w:r>
              <w:rPr>
                <w:rFonts w:hint="eastAsia" w:eastAsia="Tahoma"/>
                <w:color w:val="000000"/>
                <w:kern w:val="0"/>
                <w:szCs w:val="21"/>
                <w:lang/>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2286" w:type="dxa"/>
            <w:vMerge w:val="continue"/>
            <w:vAlign w:val="center"/>
          </w:tcPr>
          <w:p>
            <w:pPr>
              <w:widowControl/>
              <w:spacing w:line="400" w:lineRule="exact"/>
              <w:jc w:val="center"/>
              <w:rPr>
                <w:bCs/>
                <w:kern w:val="0"/>
                <w:szCs w:val="21"/>
              </w:rPr>
            </w:pPr>
          </w:p>
        </w:tc>
        <w:tc>
          <w:tcPr>
            <w:tcW w:w="1238" w:type="dxa"/>
            <w:vMerge w:val="continue"/>
            <w:vAlign w:val="center"/>
          </w:tcPr>
          <w:p>
            <w:pPr>
              <w:widowControl/>
              <w:spacing w:line="400" w:lineRule="exact"/>
              <w:jc w:val="center"/>
              <w:rPr>
                <w:bCs/>
                <w:kern w:val="0"/>
                <w:szCs w:val="21"/>
              </w:rPr>
            </w:pPr>
          </w:p>
        </w:tc>
        <w:tc>
          <w:tcPr>
            <w:tcW w:w="2212" w:type="dxa"/>
            <w:vAlign w:val="center"/>
          </w:tcPr>
          <w:p>
            <w:pPr>
              <w:spacing w:line="400" w:lineRule="exact"/>
              <w:jc w:val="center"/>
              <w:rPr>
                <w:bCs/>
                <w:szCs w:val="21"/>
              </w:rPr>
            </w:pPr>
            <w:r>
              <w:rPr>
                <w:rFonts w:hint="eastAsia"/>
                <w:bCs/>
                <w:szCs w:val="21"/>
              </w:rPr>
              <w:t>商业活动</w:t>
            </w:r>
          </w:p>
        </w:tc>
        <w:tc>
          <w:tcPr>
            <w:tcW w:w="1369" w:type="dxa"/>
            <w:vAlign w:val="center"/>
          </w:tcPr>
          <w:p>
            <w:pPr>
              <w:widowControl/>
              <w:spacing w:line="400" w:lineRule="exact"/>
              <w:jc w:val="center"/>
              <w:textAlignment w:val="bottom"/>
              <w:rPr>
                <w:szCs w:val="21"/>
              </w:rPr>
            </w:pPr>
            <w:r>
              <w:rPr>
                <w:rFonts w:eastAsia="Tahoma"/>
                <w:color w:val="000000"/>
                <w:kern w:val="0"/>
                <w:szCs w:val="21"/>
                <w:lang/>
              </w:rPr>
              <w:t>0.0733</w:t>
            </w:r>
          </w:p>
        </w:tc>
        <w:tc>
          <w:tcPr>
            <w:tcW w:w="2438" w:type="dxa"/>
            <w:vAlign w:val="center"/>
          </w:tcPr>
          <w:p>
            <w:pPr>
              <w:widowControl/>
              <w:spacing w:line="400" w:lineRule="exact"/>
              <w:jc w:val="center"/>
              <w:textAlignment w:val="bottom"/>
              <w:rPr>
                <w:color w:val="000000"/>
                <w:kern w:val="0"/>
                <w:szCs w:val="21"/>
                <w:lang/>
              </w:rPr>
            </w:pPr>
            <w:r>
              <w:rPr>
                <w:rFonts w:hint="eastAsia" w:eastAsia="Tahoma"/>
                <w:color w:val="000000"/>
                <w:kern w:val="0"/>
                <w:szCs w:val="21"/>
                <w:lang/>
              </w:rPr>
              <w:t>社会消费品零售总额</w:t>
            </w:r>
            <w:r>
              <w:rPr>
                <w:rFonts w:hint="eastAsia"/>
                <w:color w:val="000000"/>
                <w:kern w:val="0"/>
                <w:szCs w:val="21"/>
                <w:lang/>
              </w:rPr>
              <w:t>综合指数</w:t>
            </w:r>
          </w:p>
        </w:tc>
        <w:tc>
          <w:tcPr>
            <w:tcW w:w="108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0.0733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2286" w:type="dxa"/>
            <w:vAlign w:val="center"/>
          </w:tcPr>
          <w:p>
            <w:pPr>
              <w:adjustRightInd w:val="0"/>
              <w:snapToGrid w:val="0"/>
              <w:spacing w:line="400" w:lineRule="exact"/>
              <w:jc w:val="center"/>
              <w:rPr>
                <w:kern w:val="0"/>
                <w:szCs w:val="21"/>
              </w:rPr>
            </w:pPr>
            <w:r>
              <w:rPr>
                <w:rFonts w:hint="eastAsia"/>
                <w:color w:val="000000"/>
                <w:kern w:val="0"/>
                <w:szCs w:val="21"/>
              </w:rPr>
              <w:t>区域综合服务能力</w:t>
            </w:r>
          </w:p>
        </w:tc>
        <w:tc>
          <w:tcPr>
            <w:tcW w:w="1238" w:type="dxa"/>
            <w:vAlign w:val="center"/>
          </w:tcPr>
          <w:p>
            <w:pPr>
              <w:widowControl/>
              <w:spacing w:line="400" w:lineRule="exact"/>
              <w:jc w:val="center"/>
              <w:textAlignment w:val="bottom"/>
              <w:rPr>
                <w:kern w:val="0"/>
                <w:szCs w:val="21"/>
              </w:rPr>
            </w:pPr>
            <w:r>
              <w:rPr>
                <w:rFonts w:eastAsia="Tahoma"/>
                <w:color w:val="000000"/>
                <w:kern w:val="0"/>
                <w:szCs w:val="21"/>
                <w:lang/>
              </w:rPr>
              <w:t>0.0747</w:t>
            </w:r>
          </w:p>
        </w:tc>
        <w:tc>
          <w:tcPr>
            <w:tcW w:w="2212" w:type="dxa"/>
            <w:vAlign w:val="center"/>
          </w:tcPr>
          <w:p>
            <w:pPr>
              <w:widowControl/>
              <w:spacing w:line="400" w:lineRule="exact"/>
              <w:jc w:val="center"/>
              <w:rPr>
                <w:kern w:val="0"/>
                <w:szCs w:val="21"/>
              </w:rPr>
            </w:pPr>
            <w:r>
              <w:rPr>
                <w:rFonts w:hint="eastAsia"/>
                <w:color w:val="000000"/>
                <w:kern w:val="0"/>
                <w:szCs w:val="21"/>
              </w:rPr>
              <w:t>金融状况</w:t>
            </w:r>
          </w:p>
        </w:tc>
        <w:tc>
          <w:tcPr>
            <w:tcW w:w="1369" w:type="dxa"/>
            <w:vAlign w:val="center"/>
          </w:tcPr>
          <w:p>
            <w:pPr>
              <w:widowControl/>
              <w:spacing w:line="400" w:lineRule="exact"/>
              <w:jc w:val="center"/>
              <w:textAlignment w:val="bottom"/>
              <w:rPr>
                <w:kern w:val="0"/>
                <w:szCs w:val="21"/>
              </w:rPr>
            </w:pPr>
            <w:r>
              <w:rPr>
                <w:rFonts w:eastAsia="Tahoma"/>
                <w:color w:val="000000"/>
                <w:kern w:val="0"/>
                <w:szCs w:val="21"/>
                <w:lang/>
              </w:rPr>
              <w:t>0.0747</w:t>
            </w:r>
          </w:p>
        </w:tc>
        <w:tc>
          <w:tcPr>
            <w:tcW w:w="2438" w:type="dxa"/>
            <w:vAlign w:val="center"/>
          </w:tcPr>
          <w:p>
            <w:pPr>
              <w:widowControl/>
              <w:spacing w:line="400" w:lineRule="exact"/>
              <w:jc w:val="center"/>
              <w:textAlignment w:val="bottom"/>
              <w:rPr>
                <w:rFonts w:eastAsia="Tahoma"/>
                <w:color w:val="000000"/>
                <w:kern w:val="0"/>
                <w:szCs w:val="21"/>
                <w:lang/>
              </w:rPr>
            </w:pPr>
            <w:r>
              <w:rPr>
                <w:rFonts w:hint="eastAsia"/>
                <w:color w:val="000000"/>
                <w:kern w:val="0"/>
                <w:szCs w:val="21"/>
              </w:rPr>
              <w:t>人均年末银行储蓄存款余额</w:t>
            </w:r>
          </w:p>
        </w:tc>
        <w:tc>
          <w:tcPr>
            <w:tcW w:w="108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0.0747</w:t>
            </w:r>
          </w:p>
        </w:tc>
      </w:tr>
    </w:tbl>
    <w:p>
      <w:pPr>
        <w:spacing w:line="600" w:lineRule="exact"/>
        <w:ind w:firstLine="560" w:firstLineChars="200"/>
        <w:outlineLvl w:val="2"/>
        <w:rPr>
          <w:rFonts w:eastAsia="黑体"/>
          <w:sz w:val="28"/>
          <w:szCs w:val="28"/>
        </w:rPr>
      </w:pPr>
      <w:bookmarkStart w:id="913" w:name="_Toc32201"/>
      <w:bookmarkStart w:id="914" w:name="_Toc13325"/>
      <w:bookmarkStart w:id="915" w:name="_Toc525807073"/>
      <w:r>
        <w:rPr>
          <w:rFonts w:eastAsia="黑体"/>
          <w:sz w:val="28"/>
          <w:szCs w:val="28"/>
        </w:rPr>
        <w:t>三、乡镇分等结果</w:t>
      </w:r>
      <w:bookmarkEnd w:id="913"/>
      <w:bookmarkEnd w:id="914"/>
      <w:bookmarkEnd w:id="915"/>
    </w:p>
    <w:p>
      <w:pPr>
        <w:adjustRightInd w:val="0"/>
        <w:snapToGrid w:val="0"/>
        <w:spacing w:line="360" w:lineRule="auto"/>
        <w:ind w:firstLine="480" w:firstLineChars="200"/>
        <w:rPr>
          <w:sz w:val="24"/>
        </w:rPr>
      </w:pPr>
      <w:r>
        <w:rPr>
          <w:sz w:val="24"/>
        </w:rPr>
        <w:t>根据《城镇土地分等定级规程》有关规定及长沙县实际情况，长沙县各乡镇土地分等采用“以多因素综合评定法为主，以市场资料分析法等进行验证”的技术途径。在分等的基础上，采用与城区区同样的方法对各乡镇进行级别划分和估价，遵循以等控级、以级控价的原则，对长沙县各乡镇进行分等和基准地价评估。</w:t>
      </w:r>
    </w:p>
    <w:p>
      <w:pPr>
        <w:adjustRightInd w:val="0"/>
        <w:snapToGrid w:val="0"/>
        <w:spacing w:line="360" w:lineRule="auto"/>
        <w:ind w:firstLine="480" w:firstLineChars="200"/>
        <w:rPr>
          <w:sz w:val="24"/>
        </w:rPr>
      </w:pPr>
      <w:r>
        <w:rPr>
          <w:sz w:val="24"/>
        </w:rPr>
        <w:t>对长沙县18个乡镇相关资料进行整理，对所得资料各项指标值进行标准化处理，依据相应的权重计算出各个乡镇综合分值并划分出5个等别，如下。</w:t>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表5-2-2 长沙县乡镇分等结果表</w:t>
      </w:r>
    </w:p>
    <w:tbl>
      <w:tblPr>
        <w:tblW w:w="743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16"/>
        <w:gridCol w:w="52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5" w:hRule="atLeast"/>
          <w:jc w:val="center"/>
        </w:trPr>
        <w:tc>
          <w:tcPr>
            <w:tcW w:w="221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color w:val="000000"/>
                <w:kern w:val="0"/>
                <w:sz w:val="20"/>
              </w:rPr>
            </w:pPr>
            <w:r>
              <w:rPr>
                <w:b/>
                <w:color w:val="000000"/>
                <w:kern w:val="0"/>
                <w:sz w:val="20"/>
              </w:rPr>
              <w:t>等别</w:t>
            </w:r>
          </w:p>
        </w:tc>
        <w:tc>
          <w:tcPr>
            <w:tcW w:w="5216" w:type="dxa"/>
            <w:tcBorders>
              <w:top w:val="single" w:color="auto" w:sz="4" w:space="0"/>
              <w:left w:val="nil"/>
              <w:bottom w:val="single" w:color="auto" w:sz="4" w:space="0"/>
              <w:right w:val="single" w:color="auto" w:sz="4" w:space="0"/>
            </w:tcBorders>
            <w:vAlign w:val="center"/>
          </w:tcPr>
          <w:p>
            <w:pPr>
              <w:widowControl/>
              <w:adjustRightInd w:val="0"/>
              <w:snapToGrid w:val="0"/>
              <w:jc w:val="center"/>
              <w:rPr>
                <w:b/>
                <w:color w:val="000000"/>
                <w:kern w:val="0"/>
                <w:sz w:val="20"/>
              </w:rPr>
            </w:pPr>
            <w:r>
              <w:rPr>
                <w:b/>
                <w:color w:val="000000"/>
                <w:kern w:val="0"/>
                <w:sz w:val="20"/>
              </w:rPr>
              <w:t>乡镇名称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8" w:hRule="atLeast"/>
          <w:jc w:val="center"/>
        </w:trPr>
        <w:tc>
          <w:tcPr>
            <w:tcW w:w="2216"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与市区对接的重点区域</w:t>
            </w:r>
          </w:p>
        </w:tc>
        <w:tc>
          <w:tcPr>
            <w:tcW w:w="521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240" w:lineRule="exact"/>
              <w:jc w:val="center"/>
              <w:rPr>
                <w:bCs/>
                <w:kern w:val="0"/>
                <w:sz w:val="20"/>
              </w:rPr>
            </w:pPr>
            <w:r>
              <w:rPr>
                <w:bCs/>
                <w:kern w:val="0"/>
                <w:sz w:val="20"/>
              </w:rPr>
              <w:t>榔梨街道、黄兴镇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8" w:hRule="atLeast"/>
          <w:jc w:val="center"/>
        </w:trPr>
        <w:tc>
          <w:tcPr>
            <w:tcW w:w="2216"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一等建制镇（含街道）</w:t>
            </w:r>
          </w:p>
        </w:tc>
        <w:tc>
          <w:tcPr>
            <w:tcW w:w="521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240" w:lineRule="exact"/>
              <w:jc w:val="center"/>
              <w:rPr>
                <w:bCs/>
                <w:kern w:val="0"/>
                <w:sz w:val="20"/>
              </w:rPr>
            </w:pPr>
            <w:r>
              <w:rPr>
                <w:bCs/>
                <w:kern w:val="0"/>
                <w:sz w:val="20"/>
              </w:rPr>
              <w:t>长龙街道、黄花镇、空港城片区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5" w:hRule="atLeast"/>
          <w:jc w:val="center"/>
        </w:trPr>
        <w:tc>
          <w:tcPr>
            <w:tcW w:w="2216"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二等建制镇</w:t>
            </w:r>
          </w:p>
        </w:tc>
        <w:tc>
          <w:tcPr>
            <w:tcW w:w="5216"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240" w:lineRule="exact"/>
              <w:jc w:val="center"/>
              <w:rPr>
                <w:bCs/>
                <w:kern w:val="0"/>
                <w:sz w:val="20"/>
              </w:rPr>
            </w:pPr>
            <w:r>
              <w:rPr>
                <w:bCs/>
                <w:kern w:val="0"/>
                <w:sz w:val="20"/>
              </w:rPr>
              <w:t>安沙镇、春华镇、江背镇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5" w:hRule="atLeast"/>
          <w:jc w:val="center"/>
        </w:trPr>
        <w:tc>
          <w:tcPr>
            <w:tcW w:w="2216" w:type="dxa"/>
            <w:vMerge w:val="restart"/>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三等建制镇</w:t>
            </w:r>
          </w:p>
        </w:tc>
        <w:tc>
          <w:tcPr>
            <w:tcW w:w="5216" w:type="dxa"/>
            <w:vMerge w:val="restart"/>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ind w:firstLine="400" w:firstLineChars="200"/>
              <w:rPr>
                <w:bCs/>
                <w:kern w:val="0"/>
                <w:sz w:val="20"/>
              </w:rPr>
            </w:pPr>
            <w:r>
              <w:rPr>
                <w:bCs/>
                <w:kern w:val="0"/>
                <w:sz w:val="20"/>
              </w:rPr>
              <w:t>北山镇、果园镇、路口镇、青山铺镇、金井镇、</w:t>
            </w:r>
          </w:p>
          <w:p>
            <w:pPr>
              <w:widowControl/>
              <w:shd w:val="clear" w:color="auto" w:fill="FFFFFF"/>
              <w:spacing w:line="240" w:lineRule="exact"/>
              <w:ind w:firstLine="400" w:firstLineChars="200"/>
              <w:rPr>
                <w:bCs/>
                <w:kern w:val="0"/>
                <w:sz w:val="20"/>
              </w:rPr>
            </w:pPr>
            <w:r>
              <w:rPr>
                <w:bCs/>
                <w:kern w:val="0"/>
                <w:sz w:val="20"/>
              </w:rPr>
              <w:t>开慧镇、金井镇双江片区、开慧镇白沙片区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5" w:hRule="atLeast"/>
          <w:jc w:val="center"/>
        </w:trPr>
        <w:tc>
          <w:tcPr>
            <w:tcW w:w="221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p>
        </w:tc>
        <w:tc>
          <w:tcPr>
            <w:tcW w:w="521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221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p>
        </w:tc>
        <w:tc>
          <w:tcPr>
            <w:tcW w:w="521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5" w:hRule="atLeast"/>
          <w:jc w:val="center"/>
        </w:trPr>
        <w:tc>
          <w:tcPr>
            <w:tcW w:w="2216"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四等建制镇</w:t>
            </w:r>
          </w:p>
        </w:tc>
        <w:tc>
          <w:tcPr>
            <w:tcW w:w="5216"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福临镇、高桥镇</w:t>
            </w:r>
          </w:p>
        </w:tc>
      </w:tr>
    </w:tbl>
    <w:p>
      <w:pPr>
        <w:spacing w:beforeLines="50" w:afterLines="50" w:line="460" w:lineRule="exact"/>
        <w:jc w:val="center"/>
        <w:outlineLvl w:val="1"/>
        <w:rPr>
          <w:rFonts w:eastAsia="黑体"/>
          <w:sz w:val="28"/>
          <w:szCs w:val="28"/>
        </w:rPr>
      </w:pPr>
      <w:r>
        <w:rPr>
          <w:rFonts w:eastAsia="黑体"/>
          <w:sz w:val="28"/>
          <w:szCs w:val="28"/>
        </w:rPr>
        <w:br w:type="page"/>
      </w:r>
      <w:bookmarkStart w:id="916" w:name="_Toc751"/>
      <w:bookmarkStart w:id="917" w:name="_Toc14016"/>
      <w:bookmarkStart w:id="918" w:name="_Toc15286"/>
      <w:bookmarkStart w:id="919" w:name="_Toc14340"/>
      <w:r>
        <w:rPr>
          <w:rFonts w:eastAsia="黑体"/>
          <w:sz w:val="28"/>
          <w:szCs w:val="28"/>
        </w:rPr>
        <w:t xml:space="preserve">第三章 </w:t>
      </w:r>
      <w:bookmarkEnd w:id="907"/>
      <w:bookmarkEnd w:id="908"/>
      <w:bookmarkEnd w:id="909"/>
      <w:r>
        <w:rPr>
          <w:rFonts w:eastAsia="黑体"/>
          <w:sz w:val="28"/>
          <w:szCs w:val="28"/>
        </w:rPr>
        <w:t>乡镇土地级别调整</w:t>
      </w:r>
      <w:bookmarkEnd w:id="916"/>
      <w:bookmarkEnd w:id="917"/>
      <w:bookmarkEnd w:id="918"/>
      <w:bookmarkEnd w:id="919"/>
    </w:p>
    <w:p>
      <w:pPr>
        <w:adjustRightInd w:val="0"/>
        <w:snapToGrid w:val="0"/>
        <w:spacing w:line="360" w:lineRule="auto"/>
        <w:ind w:firstLine="480" w:firstLineChars="200"/>
        <w:rPr>
          <w:sz w:val="24"/>
          <w:szCs w:val="22"/>
        </w:rPr>
      </w:pPr>
      <w:bookmarkStart w:id="920" w:name="_Toc469296525"/>
      <w:bookmarkStart w:id="921" w:name="_Toc467846908"/>
      <w:bookmarkStart w:id="922" w:name="_Toc470721375"/>
      <w:r>
        <w:rPr>
          <w:sz w:val="24"/>
          <w:szCs w:val="22"/>
        </w:rPr>
        <w:t>土地定级是指在特定的目的下,对土地质量和使用效益及其在土地空间上的分布差异状况进行评定,并用等级序列表示其差异或优劣程度的过程。它是城镇地籍管理的重要组成部分,也是城镇基准地价评估的客观基础。按照《城镇土地分等定级规程》的要求：“为了使土地定级成果符合客观实际，保持级别成果的现实性，在影响土地质量的各种因素发生变化而造成土地质量变化之后，必须对土地进行重新评定，更新级别资料”。</w:t>
      </w:r>
    </w:p>
    <w:p>
      <w:pPr>
        <w:spacing w:line="600" w:lineRule="exact"/>
        <w:ind w:firstLine="560" w:firstLineChars="200"/>
        <w:outlineLvl w:val="2"/>
        <w:rPr>
          <w:rFonts w:eastAsia="黑体"/>
          <w:sz w:val="28"/>
          <w:szCs w:val="28"/>
        </w:rPr>
      </w:pPr>
      <w:bookmarkStart w:id="923" w:name="_Toc26313"/>
      <w:bookmarkStart w:id="924" w:name="_Toc9011"/>
      <w:bookmarkStart w:id="925" w:name="_Toc525807075"/>
      <w:bookmarkStart w:id="926" w:name="_Toc466018352"/>
      <w:r>
        <w:rPr>
          <w:rFonts w:eastAsia="黑体"/>
          <w:sz w:val="28"/>
          <w:szCs w:val="28"/>
        </w:rPr>
        <w:t>一、土地级别调整的要求</w:t>
      </w:r>
      <w:bookmarkEnd w:id="923"/>
      <w:bookmarkEnd w:id="924"/>
      <w:bookmarkEnd w:id="925"/>
      <w:bookmarkEnd w:id="926"/>
    </w:p>
    <w:p>
      <w:pPr>
        <w:adjustRightInd w:val="0"/>
        <w:snapToGrid w:val="0"/>
        <w:spacing w:line="360" w:lineRule="auto"/>
        <w:ind w:firstLine="480" w:firstLineChars="200"/>
        <w:rPr>
          <w:sz w:val="24"/>
          <w:szCs w:val="22"/>
        </w:rPr>
      </w:pPr>
      <w:r>
        <w:rPr>
          <w:sz w:val="24"/>
          <w:szCs w:val="22"/>
        </w:rPr>
        <w:t>土地级别调整的目的是为了测算级别基准地价，一是为了土地利用总体规划提供参考；二是为宗地评估提供依据。为达到上述目的，土地级别调整应满足下列要求：</w:t>
      </w:r>
    </w:p>
    <w:p>
      <w:pPr>
        <w:adjustRightInd w:val="0"/>
        <w:snapToGrid w:val="0"/>
        <w:spacing w:line="360" w:lineRule="auto"/>
        <w:ind w:firstLine="480" w:firstLineChars="200"/>
        <w:rPr>
          <w:sz w:val="24"/>
          <w:szCs w:val="22"/>
        </w:rPr>
      </w:pPr>
      <w:r>
        <w:rPr>
          <w:sz w:val="24"/>
          <w:szCs w:val="22"/>
        </w:rPr>
        <w:t>1、土地级别能反映土地区位条件变化趋势，与土地优劣的对应关系基本一致；</w:t>
      </w:r>
    </w:p>
    <w:p>
      <w:pPr>
        <w:adjustRightInd w:val="0"/>
        <w:snapToGrid w:val="0"/>
        <w:spacing w:line="360" w:lineRule="auto"/>
        <w:ind w:firstLine="480" w:firstLineChars="200"/>
        <w:rPr>
          <w:sz w:val="24"/>
          <w:szCs w:val="22"/>
        </w:rPr>
      </w:pPr>
      <w:r>
        <w:rPr>
          <w:sz w:val="24"/>
          <w:szCs w:val="22"/>
        </w:rPr>
        <w:t>2、划分的级别数量能满足宗地评估及应用的要求；</w:t>
      </w:r>
    </w:p>
    <w:p>
      <w:pPr>
        <w:adjustRightInd w:val="0"/>
        <w:snapToGrid w:val="0"/>
        <w:spacing w:line="360" w:lineRule="auto"/>
        <w:ind w:firstLine="480" w:firstLineChars="200"/>
        <w:rPr>
          <w:sz w:val="24"/>
          <w:szCs w:val="22"/>
        </w:rPr>
      </w:pPr>
      <w:r>
        <w:rPr>
          <w:sz w:val="24"/>
          <w:szCs w:val="22"/>
        </w:rPr>
        <w:t>3、级别内地价差距不能太大，上下修正幅度不宜太大；</w:t>
      </w:r>
    </w:p>
    <w:p>
      <w:pPr>
        <w:adjustRightInd w:val="0"/>
        <w:snapToGrid w:val="0"/>
        <w:spacing w:line="360" w:lineRule="auto"/>
        <w:ind w:firstLine="480" w:firstLineChars="200"/>
        <w:rPr>
          <w:sz w:val="24"/>
          <w:szCs w:val="22"/>
        </w:rPr>
      </w:pPr>
      <w:r>
        <w:rPr>
          <w:sz w:val="24"/>
          <w:szCs w:val="22"/>
        </w:rPr>
        <w:t>4、级之间渐变过渡，相邻单元之间土地级差不大；</w:t>
      </w:r>
    </w:p>
    <w:p>
      <w:pPr>
        <w:adjustRightInd w:val="0"/>
        <w:snapToGrid w:val="0"/>
        <w:spacing w:line="360" w:lineRule="auto"/>
        <w:ind w:firstLine="480" w:firstLineChars="200"/>
        <w:rPr>
          <w:sz w:val="24"/>
          <w:szCs w:val="22"/>
        </w:rPr>
      </w:pPr>
      <w:r>
        <w:rPr>
          <w:sz w:val="24"/>
          <w:szCs w:val="22"/>
        </w:rPr>
        <w:t>5、界线尽量采用自然界线和人工界线，保持自然地块及权属单位的完整性。</w:t>
      </w:r>
    </w:p>
    <w:p>
      <w:pPr>
        <w:tabs>
          <w:tab w:val="left" w:pos="2620"/>
        </w:tabs>
        <w:spacing w:beforeLines="50" w:afterLines="50" w:line="460" w:lineRule="exact"/>
        <w:ind w:firstLine="560" w:firstLineChars="200"/>
        <w:outlineLvl w:val="2"/>
        <w:rPr>
          <w:bCs/>
          <w:sz w:val="28"/>
          <w:szCs w:val="28"/>
        </w:rPr>
      </w:pPr>
      <w:bookmarkStart w:id="927" w:name="_Toc525807076"/>
      <w:bookmarkStart w:id="928" w:name="_Toc15530"/>
      <w:bookmarkStart w:id="929" w:name="_Toc7938"/>
      <w:bookmarkStart w:id="930" w:name="_Toc466018353"/>
      <w:r>
        <w:rPr>
          <w:rFonts w:eastAsia="黑体"/>
          <w:sz w:val="28"/>
          <w:szCs w:val="28"/>
        </w:rPr>
        <w:t>二、土地级别调整的原则</w:t>
      </w:r>
      <w:bookmarkEnd w:id="927"/>
      <w:bookmarkEnd w:id="928"/>
      <w:bookmarkEnd w:id="929"/>
      <w:bookmarkEnd w:id="930"/>
    </w:p>
    <w:p>
      <w:pPr>
        <w:adjustRightInd w:val="0"/>
        <w:snapToGrid w:val="0"/>
        <w:spacing w:line="360" w:lineRule="auto"/>
        <w:ind w:firstLine="480" w:firstLineChars="200"/>
        <w:rPr>
          <w:sz w:val="24"/>
          <w:szCs w:val="22"/>
        </w:rPr>
      </w:pPr>
      <w:r>
        <w:rPr>
          <w:sz w:val="24"/>
          <w:szCs w:val="22"/>
        </w:rPr>
        <w:t>1、综合分析原则</w:t>
      </w:r>
    </w:p>
    <w:p>
      <w:pPr>
        <w:adjustRightInd w:val="0"/>
        <w:snapToGrid w:val="0"/>
        <w:spacing w:line="360" w:lineRule="auto"/>
        <w:ind w:firstLine="480" w:firstLineChars="200"/>
        <w:rPr>
          <w:sz w:val="24"/>
          <w:szCs w:val="22"/>
        </w:rPr>
      </w:pPr>
      <w:r>
        <w:rPr>
          <w:sz w:val="24"/>
          <w:szCs w:val="22"/>
        </w:rPr>
        <w:t>城镇土地质量具有明显的动态性特征，其动态变化受土地自然属性和社会经济、技术条件等多因素的综合影响。因此，在土地级别调整中要全面考虑各因素的动态变化及对土地质量的影响，研究和分析各因素与土地级别变化之间的有机联系，藉此提高级别调整的准确性和可靠性。</w:t>
      </w:r>
    </w:p>
    <w:p>
      <w:pPr>
        <w:adjustRightInd w:val="0"/>
        <w:snapToGrid w:val="0"/>
        <w:spacing w:line="360" w:lineRule="auto"/>
        <w:ind w:firstLine="480" w:firstLineChars="200"/>
        <w:rPr>
          <w:sz w:val="24"/>
          <w:szCs w:val="22"/>
        </w:rPr>
      </w:pPr>
      <w:r>
        <w:rPr>
          <w:sz w:val="24"/>
          <w:szCs w:val="22"/>
        </w:rPr>
        <w:t>2、主导因素原则</w:t>
      </w:r>
    </w:p>
    <w:p>
      <w:pPr>
        <w:adjustRightInd w:val="0"/>
        <w:snapToGrid w:val="0"/>
        <w:spacing w:line="360" w:lineRule="auto"/>
        <w:ind w:firstLine="480" w:firstLineChars="200"/>
        <w:rPr>
          <w:sz w:val="24"/>
          <w:szCs w:val="22"/>
        </w:rPr>
      </w:pPr>
      <w:r>
        <w:rPr>
          <w:sz w:val="24"/>
          <w:szCs w:val="22"/>
        </w:rPr>
        <w:t>在影响土地质量的多因素中，往往存在着一个或数个主导因素对土地质量的变化起着决定性的作用。因此，在土地级别调整中要掌握影响土地质量变化的主导因素和关键因素，进而充分认识土地质量变化的空间规律，增强土地级别调整的科学性与便捷性。</w:t>
      </w:r>
    </w:p>
    <w:p>
      <w:pPr>
        <w:adjustRightInd w:val="0"/>
        <w:snapToGrid w:val="0"/>
        <w:spacing w:line="360" w:lineRule="auto"/>
        <w:ind w:firstLine="480" w:firstLineChars="200"/>
        <w:rPr>
          <w:sz w:val="24"/>
          <w:szCs w:val="22"/>
        </w:rPr>
      </w:pPr>
      <w:r>
        <w:rPr>
          <w:sz w:val="24"/>
          <w:szCs w:val="22"/>
        </w:rPr>
        <w:t>3、定性与定量相结合原则</w:t>
      </w:r>
    </w:p>
    <w:p>
      <w:pPr>
        <w:adjustRightInd w:val="0"/>
        <w:snapToGrid w:val="0"/>
        <w:spacing w:line="360" w:lineRule="auto"/>
        <w:ind w:firstLine="480" w:firstLineChars="200"/>
        <w:rPr>
          <w:sz w:val="24"/>
          <w:szCs w:val="22"/>
        </w:rPr>
      </w:pPr>
      <w:r>
        <w:rPr>
          <w:sz w:val="24"/>
          <w:szCs w:val="22"/>
        </w:rPr>
        <w:t>为了使土地级别调整结果与实际情况一致，在坚持综合分析和主导因素原则基础上，尽可能对定级因素进行量化。但由于定量定级所耗费的人力物力较多，且有些因素难以量化处理，因此，在基准地价评估中，有效地贯彻定性与定量相结合的原则，同时结合样点地价来检验修正正确定级别和区段。</w:t>
      </w:r>
    </w:p>
    <w:p>
      <w:pPr>
        <w:spacing w:line="600" w:lineRule="exact"/>
        <w:ind w:firstLine="560" w:firstLineChars="200"/>
        <w:outlineLvl w:val="2"/>
        <w:rPr>
          <w:rFonts w:eastAsia="黑体"/>
          <w:sz w:val="28"/>
          <w:szCs w:val="28"/>
        </w:rPr>
      </w:pPr>
      <w:bookmarkStart w:id="931" w:name="_Toc4750"/>
      <w:bookmarkStart w:id="932" w:name="_Toc525807077"/>
      <w:bookmarkStart w:id="933" w:name="_Toc466018354"/>
      <w:bookmarkStart w:id="934" w:name="_Toc7657"/>
      <w:r>
        <w:rPr>
          <w:rFonts w:eastAsia="黑体"/>
          <w:sz w:val="28"/>
          <w:szCs w:val="28"/>
        </w:rPr>
        <w:t>三、土地级别调整的基本思路</w:t>
      </w:r>
      <w:bookmarkEnd w:id="931"/>
      <w:bookmarkEnd w:id="932"/>
      <w:bookmarkEnd w:id="933"/>
      <w:bookmarkEnd w:id="934"/>
    </w:p>
    <w:p>
      <w:pPr>
        <w:adjustRightInd w:val="0"/>
        <w:snapToGrid w:val="0"/>
        <w:spacing w:line="360" w:lineRule="auto"/>
        <w:ind w:firstLine="480" w:firstLineChars="200"/>
        <w:rPr>
          <w:sz w:val="24"/>
          <w:szCs w:val="22"/>
        </w:rPr>
      </w:pPr>
      <w:r>
        <w:rPr>
          <w:sz w:val="24"/>
          <w:szCs w:val="22"/>
        </w:rPr>
        <w:t>为了充分利用原有资料，确保成果的连续性与稳定性，在分析原成果的基础上，确定土地级别调整的基本思路为“以价定级”法，具体方法为：在全面分析土地条件变化，在原有土地级别的基础上，划分均质地域，广泛征求意见，全面分析土地质量的变化，定量与定性相结合，对土地级别进行初步划分。然后以各均质区域的样点地价来检验、修正与确定土地级别，综合形成土地级别。</w:t>
      </w:r>
    </w:p>
    <w:p>
      <w:pPr>
        <w:spacing w:line="600" w:lineRule="exact"/>
        <w:ind w:firstLine="560" w:firstLineChars="200"/>
        <w:outlineLvl w:val="2"/>
        <w:rPr>
          <w:rFonts w:eastAsia="黑体"/>
          <w:sz w:val="28"/>
          <w:szCs w:val="28"/>
        </w:rPr>
      </w:pPr>
      <w:bookmarkStart w:id="935" w:name="_Toc525807078"/>
      <w:bookmarkStart w:id="936" w:name="_Toc466018355"/>
      <w:bookmarkStart w:id="937" w:name="_Toc17328"/>
      <w:bookmarkStart w:id="938" w:name="_Toc23547"/>
      <w:r>
        <w:rPr>
          <w:rFonts w:eastAsia="黑体"/>
          <w:sz w:val="28"/>
          <w:szCs w:val="28"/>
        </w:rPr>
        <w:t>四、土地级别调整过程</w:t>
      </w:r>
      <w:bookmarkEnd w:id="935"/>
      <w:bookmarkEnd w:id="936"/>
      <w:bookmarkEnd w:id="937"/>
      <w:bookmarkEnd w:id="938"/>
    </w:p>
    <w:p>
      <w:pPr>
        <w:adjustRightInd w:val="0"/>
        <w:snapToGrid w:val="0"/>
        <w:spacing w:line="360" w:lineRule="auto"/>
        <w:ind w:firstLine="480" w:firstLineChars="200"/>
        <w:rPr>
          <w:sz w:val="24"/>
          <w:szCs w:val="22"/>
        </w:rPr>
      </w:pPr>
      <w:r>
        <w:rPr>
          <w:sz w:val="24"/>
          <w:szCs w:val="22"/>
        </w:rPr>
        <w:t>1、资料收集</w:t>
      </w:r>
    </w:p>
    <w:p>
      <w:pPr>
        <w:adjustRightInd w:val="0"/>
        <w:snapToGrid w:val="0"/>
        <w:spacing w:line="360" w:lineRule="auto"/>
        <w:ind w:firstLine="480" w:firstLineChars="200"/>
        <w:rPr>
          <w:sz w:val="24"/>
          <w:szCs w:val="22"/>
        </w:rPr>
      </w:pPr>
      <w:r>
        <w:rPr>
          <w:sz w:val="24"/>
          <w:szCs w:val="22"/>
        </w:rPr>
        <w:t>土地级别变化主要是由于城市基础设施建设、重大项目开发、新区成片建设等因素的影响。为此，我们重点收集了近几年来三个乡镇道路建设、开发区建设及主要项目开发等方面的资料，并以其作为土地级别调整的基本依据。</w:t>
      </w:r>
    </w:p>
    <w:p>
      <w:pPr>
        <w:adjustRightInd w:val="0"/>
        <w:snapToGrid w:val="0"/>
        <w:spacing w:line="360" w:lineRule="auto"/>
        <w:ind w:firstLine="480" w:firstLineChars="200"/>
        <w:rPr>
          <w:sz w:val="24"/>
          <w:szCs w:val="22"/>
        </w:rPr>
      </w:pPr>
      <w:r>
        <w:rPr>
          <w:sz w:val="24"/>
          <w:szCs w:val="22"/>
        </w:rPr>
        <w:t>2、座谈</w:t>
      </w:r>
    </w:p>
    <w:p>
      <w:pPr>
        <w:adjustRightInd w:val="0"/>
        <w:snapToGrid w:val="0"/>
        <w:spacing w:line="360" w:lineRule="auto"/>
        <w:ind w:firstLine="480" w:firstLineChars="200"/>
        <w:rPr>
          <w:sz w:val="24"/>
          <w:szCs w:val="22"/>
        </w:rPr>
      </w:pPr>
      <w:r>
        <w:rPr>
          <w:sz w:val="24"/>
          <w:szCs w:val="22"/>
        </w:rPr>
        <w:t>在充分收集文字资料并作分析的基础上，邀请熟悉乡镇建设发展情况的专家、领导进行座谈，大致圈定2013年以来乡镇土地质量可能发生明显变化而须作级别调整的区域。</w:t>
      </w:r>
    </w:p>
    <w:p>
      <w:pPr>
        <w:adjustRightInd w:val="0"/>
        <w:snapToGrid w:val="0"/>
        <w:spacing w:line="360" w:lineRule="auto"/>
        <w:ind w:firstLine="480" w:firstLineChars="200"/>
        <w:rPr>
          <w:sz w:val="24"/>
          <w:szCs w:val="22"/>
        </w:rPr>
      </w:pPr>
      <w:r>
        <w:rPr>
          <w:sz w:val="24"/>
          <w:szCs w:val="22"/>
        </w:rPr>
        <w:t>3、实地踏勘</w:t>
      </w:r>
    </w:p>
    <w:p>
      <w:pPr>
        <w:adjustRightInd w:val="0"/>
        <w:snapToGrid w:val="0"/>
        <w:spacing w:line="360" w:lineRule="auto"/>
        <w:ind w:firstLine="480" w:firstLineChars="200"/>
        <w:rPr>
          <w:sz w:val="24"/>
          <w:szCs w:val="22"/>
        </w:rPr>
      </w:pPr>
      <w:r>
        <w:rPr>
          <w:sz w:val="24"/>
          <w:szCs w:val="22"/>
        </w:rPr>
        <w:t>深入拟调整区域调研，核实土地质量变化程度，结合地籍图查明调整范围边界。</w:t>
      </w:r>
    </w:p>
    <w:p>
      <w:pPr>
        <w:adjustRightInd w:val="0"/>
        <w:snapToGrid w:val="0"/>
        <w:spacing w:line="360" w:lineRule="auto"/>
        <w:ind w:firstLine="480" w:firstLineChars="200"/>
        <w:rPr>
          <w:sz w:val="24"/>
          <w:szCs w:val="22"/>
        </w:rPr>
      </w:pPr>
      <w:r>
        <w:rPr>
          <w:sz w:val="24"/>
          <w:szCs w:val="22"/>
        </w:rPr>
        <w:t>4、分析定案</w:t>
      </w:r>
    </w:p>
    <w:p>
      <w:pPr>
        <w:adjustRightInd w:val="0"/>
        <w:snapToGrid w:val="0"/>
        <w:spacing w:line="360" w:lineRule="auto"/>
        <w:ind w:firstLine="480" w:firstLineChars="200"/>
        <w:rPr>
          <w:sz w:val="24"/>
          <w:szCs w:val="22"/>
        </w:rPr>
      </w:pPr>
      <w:r>
        <w:rPr>
          <w:sz w:val="24"/>
          <w:szCs w:val="22"/>
        </w:rPr>
        <w:t>综合考虑上述三个阶段的调研成果，立足乡镇土地质量空间分布的整体格局及样点地价的分布规律，在全面权衡的基础上确定土地级别调整方案。</w:t>
      </w:r>
    </w:p>
    <w:p>
      <w:pPr>
        <w:adjustRightInd w:val="0"/>
        <w:snapToGrid w:val="0"/>
        <w:spacing w:line="360" w:lineRule="auto"/>
        <w:ind w:firstLine="480" w:firstLineChars="200"/>
        <w:rPr>
          <w:sz w:val="24"/>
          <w:szCs w:val="22"/>
        </w:rPr>
      </w:pPr>
      <w:r>
        <w:rPr>
          <w:sz w:val="24"/>
          <w:szCs w:val="22"/>
        </w:rPr>
        <w:t>5、专家论证</w:t>
      </w:r>
    </w:p>
    <w:p>
      <w:pPr>
        <w:adjustRightInd w:val="0"/>
        <w:snapToGrid w:val="0"/>
        <w:spacing w:line="360" w:lineRule="auto"/>
        <w:ind w:firstLine="480" w:firstLineChars="200"/>
        <w:rPr>
          <w:sz w:val="24"/>
          <w:szCs w:val="22"/>
        </w:rPr>
      </w:pPr>
      <w:r>
        <w:rPr>
          <w:sz w:val="24"/>
          <w:szCs w:val="22"/>
        </w:rPr>
        <w:t>土地级别调整方案确定后，召开成果更新领导小组成员及有关专业技术人员参加会议，审议土地级别调整方案。</w:t>
      </w:r>
    </w:p>
    <w:p>
      <w:pPr>
        <w:tabs>
          <w:tab w:val="left" w:pos="2620"/>
        </w:tabs>
        <w:spacing w:beforeLines="50" w:afterLines="50" w:line="460" w:lineRule="exact"/>
        <w:ind w:firstLine="560" w:firstLineChars="200"/>
        <w:outlineLvl w:val="2"/>
        <w:rPr>
          <w:bCs/>
          <w:sz w:val="28"/>
          <w:szCs w:val="28"/>
        </w:rPr>
      </w:pPr>
      <w:bookmarkStart w:id="939" w:name="_Toc466018356"/>
      <w:bookmarkStart w:id="940" w:name="_Toc2791"/>
      <w:bookmarkStart w:id="941" w:name="_Toc525807079"/>
      <w:bookmarkStart w:id="942" w:name="_Toc7428"/>
      <w:r>
        <w:rPr>
          <w:rFonts w:eastAsia="黑体"/>
          <w:sz w:val="28"/>
          <w:szCs w:val="28"/>
        </w:rPr>
        <w:t>五、土地级别调整</w:t>
      </w:r>
      <w:bookmarkEnd w:id="939"/>
      <w:r>
        <w:rPr>
          <w:rFonts w:eastAsia="黑体"/>
          <w:sz w:val="28"/>
          <w:szCs w:val="28"/>
        </w:rPr>
        <w:t>结果</w:t>
      </w:r>
      <w:bookmarkEnd w:id="940"/>
      <w:bookmarkEnd w:id="941"/>
      <w:bookmarkEnd w:id="942"/>
    </w:p>
    <w:p>
      <w:pPr>
        <w:shd w:val="clear" w:color="auto" w:fill="FFFFFF"/>
        <w:ind w:firstLine="480" w:firstLineChars="200"/>
        <w:jc w:val="center"/>
        <w:rPr>
          <w:sz w:val="24"/>
          <w:szCs w:val="22"/>
        </w:rPr>
      </w:pPr>
      <w:r>
        <w:rPr>
          <w:sz w:val="24"/>
          <w:szCs w:val="22"/>
        </w:rPr>
        <w:t>按照上述工作思路，最终确定了长沙县各乡镇的土地级别。（表5-3-1至5-3-5）。</w:t>
      </w:r>
    </w:p>
    <w:p>
      <w:pPr>
        <w:pStyle w:val="131"/>
        <w:spacing w:beforeLines="50" w:afterLines="50"/>
        <w:ind w:firstLine="0" w:firstLineChars="0"/>
        <w:rPr>
          <w:rFonts w:ascii="Times New Roman" w:hAnsi="Times New Roman"/>
          <w:sz w:val="24"/>
          <w:szCs w:val="24"/>
        </w:rPr>
      </w:pPr>
      <w:r>
        <w:rPr>
          <w:rFonts w:ascii="Times New Roman" w:hAnsi="Times New Roman"/>
          <w:sz w:val="24"/>
          <w:szCs w:val="22"/>
        </w:rPr>
        <w:br w:type="page"/>
      </w:r>
      <w:r>
        <w:rPr>
          <w:rFonts w:ascii="Times New Roman" w:hAnsi="Times New Roman"/>
          <w:sz w:val="24"/>
          <w:szCs w:val="24"/>
        </w:rPr>
        <w:t>表5-3-1长沙县与市区对接的重点区域级别描述</w:t>
      </w:r>
    </w:p>
    <w:tbl>
      <w:tblPr>
        <w:tblW w:w="88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21"/>
        <w:gridCol w:w="7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blHeader/>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ind w:firstLine="402" w:firstLineChars="200"/>
              <w:jc w:val="center"/>
              <w:rPr>
                <w:b/>
                <w:color w:val="000000"/>
                <w:kern w:val="0"/>
                <w:sz w:val="20"/>
              </w:rPr>
            </w:pPr>
            <w:r>
              <w:rPr>
                <w:b/>
                <w:color w:val="000000"/>
                <w:kern w:val="0"/>
                <w:sz w:val="20"/>
              </w:rPr>
              <w:t>乡镇</w:t>
            </w:r>
          </w:p>
          <w:p>
            <w:pPr>
              <w:widowControl/>
              <w:spacing w:line="240" w:lineRule="exact"/>
              <w:ind w:firstLine="402" w:firstLineChars="200"/>
              <w:jc w:val="center"/>
              <w:rPr>
                <w:b/>
                <w:color w:val="000000"/>
                <w:kern w:val="0"/>
                <w:sz w:val="20"/>
              </w:rPr>
            </w:pPr>
            <w:r>
              <w:rPr>
                <w:b/>
                <w:color w:val="000000"/>
                <w:kern w:val="0"/>
                <w:sz w:val="20"/>
              </w:rPr>
              <w:t>名称</w:t>
            </w:r>
          </w:p>
        </w:tc>
        <w:tc>
          <w:tcPr>
            <w:tcW w:w="92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级别</w:t>
            </w:r>
          </w:p>
        </w:tc>
        <w:tc>
          <w:tcPr>
            <w:tcW w:w="712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级别范围描述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restart"/>
            <w:tcBorders>
              <w:top w:val="single" w:color="auto" w:sz="4" w:space="0"/>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黄兴镇</w:t>
            </w:r>
          </w:p>
        </w:tc>
        <w:tc>
          <w:tcPr>
            <w:tcW w:w="92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12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西至浏阳河，北至浏阳河，东至螺塘湾西路—香樟东路—高塘坪路，南至黄江大道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92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12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ind w:firstLine="400" w:firstLineChars="200"/>
              <w:jc w:val="left"/>
              <w:rPr>
                <w:bCs/>
                <w:kern w:val="0"/>
                <w:sz w:val="20"/>
              </w:rPr>
            </w:pPr>
            <w:r>
              <w:rPr>
                <w:bCs/>
                <w:kern w:val="0"/>
                <w:sz w:val="20"/>
              </w:rPr>
              <w:t>区块1（西）：西至浏阳河，北至浏阳河，东至黄兴镇行政边界线—东六线，南至湘府东路（Ⅰ级区域除外）</w:t>
            </w:r>
          </w:p>
          <w:p>
            <w:pPr>
              <w:widowControl/>
              <w:shd w:val="clear" w:color="auto" w:fill="FFFFFF"/>
              <w:spacing w:line="240" w:lineRule="exact"/>
              <w:ind w:firstLine="400" w:firstLineChars="200"/>
              <w:jc w:val="left"/>
              <w:rPr>
                <w:bCs/>
                <w:kern w:val="0"/>
                <w:sz w:val="20"/>
              </w:rPr>
            </w:pPr>
            <w:r>
              <w:rPr>
                <w:bCs/>
                <w:kern w:val="0"/>
                <w:sz w:val="20"/>
              </w:rPr>
              <w:t>区块2（东）：西至明月路，北至劳动路，东至黄金大道，南至湘府东路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92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三级</w:t>
            </w:r>
          </w:p>
        </w:tc>
        <w:tc>
          <w:tcPr>
            <w:tcW w:w="712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基准地价更新范围内除一、二级外的其他区域（更新范围为乡镇土地利用总体规划线（2006—2020年））。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restart"/>
            <w:tcBorders>
              <w:left w:val="single" w:color="auto" w:sz="4" w:space="0"/>
              <w:right w:val="single" w:color="auto" w:sz="4" w:space="0"/>
            </w:tcBorders>
            <w:vAlign w:val="center"/>
          </w:tcPr>
          <w:p>
            <w:pPr>
              <w:shd w:val="clear" w:color="auto" w:fill="FFFFFF"/>
              <w:spacing w:line="240" w:lineRule="exact"/>
              <w:jc w:val="center"/>
              <w:rPr>
                <w:bCs/>
                <w:kern w:val="0"/>
                <w:sz w:val="20"/>
              </w:rPr>
            </w:pPr>
            <w:r>
              <w:rPr>
                <w:bCs/>
                <w:kern w:val="0"/>
                <w:sz w:val="20"/>
              </w:rPr>
              <w:t>榔梨街道办事处</w:t>
            </w:r>
          </w:p>
        </w:tc>
        <w:tc>
          <w:tcPr>
            <w:tcW w:w="92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12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ind w:left="105" w:leftChars="50"/>
              <w:jc w:val="left"/>
              <w:rPr>
                <w:bCs/>
                <w:kern w:val="0"/>
                <w:sz w:val="20"/>
              </w:rPr>
            </w:pPr>
            <w:r>
              <w:rPr>
                <w:bCs/>
                <w:kern w:val="0"/>
                <w:sz w:val="20"/>
              </w:rPr>
              <w:t>浏园路—秋江路—东六线—福中路—佳园路—黎江大道—黄兴大道—行政边界—浏园路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92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12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ind w:left="105" w:leftChars="50"/>
              <w:jc w:val="left"/>
              <w:rPr>
                <w:bCs/>
                <w:kern w:val="0"/>
                <w:sz w:val="20"/>
              </w:rPr>
            </w:pPr>
            <w:r>
              <w:rPr>
                <w:bCs/>
                <w:kern w:val="0"/>
                <w:sz w:val="20"/>
              </w:rPr>
              <w:t>浏园路—行政边界—东六线—东六线—劳动东路—东十一线—行政边界—浏园路（Ⅰ级区域除外）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92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三级</w:t>
            </w:r>
          </w:p>
        </w:tc>
        <w:tc>
          <w:tcPr>
            <w:tcW w:w="712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ind w:left="105" w:leftChars="50"/>
              <w:jc w:val="left"/>
              <w:rPr>
                <w:bCs/>
                <w:kern w:val="0"/>
                <w:sz w:val="20"/>
              </w:rPr>
            </w:pPr>
            <w:r>
              <w:rPr>
                <w:bCs/>
                <w:kern w:val="0"/>
                <w:sz w:val="20"/>
              </w:rPr>
              <w:t>基准地价更新范围内除一、二级外的其他区域（更新范围为乡镇土地利用总体规划线（2006-2020年））。</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表5-3-2长沙县一等建制镇镇和街道级别描述</w:t>
      </w:r>
    </w:p>
    <w:tbl>
      <w:tblPr>
        <w:tblW w:w="88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2"/>
        <w:gridCol w:w="7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93"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240" w:lineRule="exact"/>
              <w:ind w:firstLine="402" w:firstLineChars="200"/>
              <w:jc w:val="center"/>
              <w:rPr>
                <w:b/>
                <w:sz w:val="20"/>
              </w:rPr>
            </w:pPr>
            <w:r>
              <w:rPr>
                <w:b/>
                <w:sz w:val="20"/>
              </w:rPr>
              <w:t>乡镇</w:t>
            </w:r>
          </w:p>
          <w:p>
            <w:pPr>
              <w:shd w:val="clear" w:color="auto" w:fill="FFFFFF"/>
              <w:spacing w:line="240" w:lineRule="exact"/>
              <w:ind w:firstLine="402" w:firstLineChars="200"/>
              <w:jc w:val="center"/>
              <w:rPr>
                <w:b/>
                <w:sz w:val="20"/>
              </w:rPr>
            </w:pPr>
            <w:r>
              <w:rPr>
                <w:b/>
                <w:sz w:val="20"/>
              </w:rPr>
              <w:t>名称</w:t>
            </w:r>
          </w:p>
        </w:tc>
        <w:tc>
          <w:tcPr>
            <w:tcW w:w="822"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240" w:lineRule="exact"/>
              <w:jc w:val="center"/>
              <w:rPr>
                <w:b/>
                <w:sz w:val="20"/>
              </w:rPr>
            </w:pPr>
            <w:r>
              <w:rPr>
                <w:b/>
                <w:sz w:val="20"/>
              </w:rPr>
              <w:t>级别</w:t>
            </w:r>
          </w:p>
        </w:tc>
        <w:tc>
          <w:tcPr>
            <w:tcW w:w="7080"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240" w:lineRule="exact"/>
              <w:jc w:val="center"/>
              <w:rPr>
                <w:b/>
                <w:sz w:val="20"/>
              </w:rPr>
            </w:pPr>
            <w:r>
              <w:rPr>
                <w:b/>
                <w:sz w:val="20"/>
              </w:rPr>
              <w:t>级别范围描述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黄花镇</w:t>
            </w:r>
          </w:p>
        </w:tc>
        <w:tc>
          <w:tcPr>
            <w:tcW w:w="82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西至黄谷西路，北至黄谷北路，东至金湘路，南至远大路和黄春南路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蓝田大道—长永高速—黄金大道—漓湘路—龙峰大道—盼盼路—蓝田大道（Ⅰ级区域除外）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93"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三级</w:t>
            </w:r>
          </w:p>
        </w:tc>
        <w:tc>
          <w:tcPr>
            <w:tcW w:w="708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空港城</w:t>
            </w:r>
          </w:p>
        </w:tc>
        <w:tc>
          <w:tcPr>
            <w:tcW w:w="82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东至机场联络大道，南至机场高速，西至龙峰大道，北至思源路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ind w:firstLine="400" w:firstLineChars="200"/>
              <w:jc w:val="left"/>
              <w:rPr>
                <w:bCs/>
                <w:kern w:val="0"/>
                <w:sz w:val="20"/>
              </w:rPr>
            </w:pPr>
            <w:r>
              <w:rPr>
                <w:bCs/>
                <w:kern w:val="0"/>
                <w:sz w:val="20"/>
              </w:rPr>
              <w:t>区块1：漓湘路—机场联络大道—思源路—龙峰大道—机场高速—蓝田大道—远大路—龙峰大道—漓湘路</w:t>
            </w:r>
          </w:p>
          <w:p>
            <w:pPr>
              <w:widowControl/>
              <w:shd w:val="clear" w:color="auto" w:fill="FFFFFF"/>
              <w:spacing w:line="240" w:lineRule="exact"/>
              <w:ind w:firstLine="400" w:firstLineChars="200"/>
              <w:jc w:val="left"/>
              <w:rPr>
                <w:bCs/>
                <w:kern w:val="0"/>
                <w:sz w:val="20"/>
              </w:rPr>
            </w:pPr>
            <w:r>
              <w:rPr>
                <w:bCs/>
                <w:kern w:val="0"/>
                <w:sz w:val="20"/>
              </w:rPr>
              <w:t>区块2：东至机场联络大道，南至劳动路，西至龙峰大道，北至机场高速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993"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三级</w:t>
            </w:r>
          </w:p>
        </w:tc>
        <w:tc>
          <w:tcPr>
            <w:tcW w:w="708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基准地价更新范围内除一、二级外的其他区域（更新范围为乡镇土地利用总体规划线（2006—2020年））。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长龙街道办事处</w:t>
            </w:r>
          </w:p>
        </w:tc>
        <w:tc>
          <w:tcPr>
            <w:tcW w:w="82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龙峰北路—长永高速—绕城高速—长峰路—龙峰北路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Borders>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黄峰路—黄春路—长永高速—龙峰北路—长峰路—黄峰路</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表5-3-3长沙县二等建制镇级别描述</w:t>
      </w:r>
    </w:p>
    <w:tbl>
      <w:tblPr>
        <w:tblW w:w="88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873"/>
        <w:gridCol w:w="7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70" w:type="dxa"/>
            <w:tcBorders>
              <w:top w:val="single" w:color="auto" w:sz="4" w:space="0"/>
              <w:left w:val="single" w:color="auto" w:sz="4" w:space="0"/>
              <w:bottom w:val="single" w:color="auto" w:sz="4" w:space="0"/>
              <w:right w:val="single" w:color="auto" w:sz="4" w:space="0"/>
            </w:tcBorders>
            <w:vAlign w:val="center"/>
          </w:tcPr>
          <w:p>
            <w:pPr>
              <w:widowControl/>
              <w:spacing w:line="240" w:lineRule="exact"/>
              <w:ind w:firstLine="402" w:firstLineChars="200"/>
              <w:jc w:val="center"/>
              <w:rPr>
                <w:b/>
                <w:color w:val="000000"/>
                <w:kern w:val="0"/>
                <w:sz w:val="20"/>
              </w:rPr>
            </w:pPr>
            <w:r>
              <w:rPr>
                <w:b/>
                <w:color w:val="000000"/>
                <w:kern w:val="0"/>
                <w:sz w:val="20"/>
              </w:rPr>
              <w:t>乡镇</w:t>
            </w:r>
          </w:p>
          <w:p>
            <w:pPr>
              <w:widowControl/>
              <w:spacing w:line="240" w:lineRule="exact"/>
              <w:ind w:firstLine="402" w:firstLineChars="200"/>
              <w:jc w:val="center"/>
              <w:rPr>
                <w:b/>
                <w:color w:val="000000"/>
                <w:kern w:val="0"/>
                <w:sz w:val="20"/>
              </w:rPr>
            </w:pPr>
            <w:r>
              <w:rPr>
                <w:b/>
                <w:color w:val="000000"/>
                <w:kern w:val="0"/>
                <w:sz w:val="20"/>
              </w:rPr>
              <w:t>名称</w:t>
            </w:r>
          </w:p>
        </w:tc>
        <w:tc>
          <w:tcPr>
            <w:tcW w:w="87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级别</w:t>
            </w:r>
          </w:p>
        </w:tc>
        <w:tc>
          <w:tcPr>
            <w:tcW w:w="705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级别范围描述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Merge w:val="restart"/>
            <w:tcBorders>
              <w:top w:val="single" w:color="auto" w:sz="4" w:space="0"/>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江背镇</w:t>
            </w:r>
          </w:p>
        </w:tc>
        <w:tc>
          <w:tcPr>
            <w:tcW w:w="87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52" w:type="dxa"/>
            <w:tcBorders>
              <w:top w:val="single" w:color="auto" w:sz="4" w:space="0"/>
              <w:left w:val="single" w:color="auto" w:sz="4" w:space="0"/>
              <w:bottom w:val="single" w:color="auto" w:sz="4" w:space="0"/>
              <w:right w:val="single" w:color="auto" w:sz="4" w:space="0"/>
            </w:tcBorders>
            <w:vAlign w:val="center"/>
          </w:tcPr>
          <w:p>
            <w:pPr>
              <w:pStyle w:val="29"/>
              <w:widowControl/>
              <w:shd w:val="clear" w:color="auto" w:fill="FFFFFF"/>
              <w:spacing w:line="240" w:lineRule="exact"/>
              <w:ind w:firstLine="0" w:firstLineChars="0"/>
              <w:jc w:val="left"/>
              <w:rPr>
                <w:bCs/>
                <w:kern w:val="0"/>
                <w:sz w:val="20"/>
                <w:szCs w:val="20"/>
              </w:rPr>
            </w:pPr>
            <w:r>
              <w:rPr>
                <w:bCs/>
                <w:kern w:val="0"/>
                <w:sz w:val="20"/>
                <w:szCs w:val="20"/>
              </w:rPr>
              <w:t>S103两侧，西侧100m，东侧至规划路段（南抵黄江公路，北至江背镇国土所）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5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70"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安沙镇</w:t>
            </w:r>
          </w:p>
        </w:tc>
        <w:tc>
          <w:tcPr>
            <w:tcW w:w="87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5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rPr>
                <w:bCs/>
                <w:kern w:val="0"/>
                <w:sz w:val="20"/>
              </w:rPr>
            </w:pPr>
            <w:r>
              <w:rPr>
                <w:bCs/>
                <w:kern w:val="0"/>
                <w:sz w:val="20"/>
              </w:rPr>
              <w:t>107国道东侧150m，西侧50m（南抵安沙镇政府，北至长沙湘绣厂以北规划路段）；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5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春华镇</w:t>
            </w:r>
          </w:p>
        </w:tc>
        <w:tc>
          <w:tcPr>
            <w:tcW w:w="87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52" w:type="dxa"/>
            <w:tcBorders>
              <w:top w:val="single" w:color="auto" w:sz="4" w:space="0"/>
              <w:left w:val="single" w:color="auto" w:sz="4" w:space="0"/>
              <w:bottom w:val="single" w:color="auto" w:sz="4" w:space="0"/>
              <w:right w:val="single" w:color="auto" w:sz="4" w:space="0"/>
            </w:tcBorders>
            <w:vAlign w:val="top"/>
          </w:tcPr>
          <w:p>
            <w:pPr>
              <w:pStyle w:val="29"/>
              <w:widowControl/>
              <w:shd w:val="clear" w:color="auto" w:fill="FFFFFF"/>
              <w:spacing w:line="240" w:lineRule="exact"/>
              <w:ind w:firstLine="0" w:firstLineChars="0"/>
              <w:rPr>
                <w:bCs/>
                <w:kern w:val="0"/>
                <w:sz w:val="20"/>
                <w:szCs w:val="20"/>
              </w:rPr>
            </w:pPr>
            <w:r>
              <w:rPr>
                <w:bCs/>
                <w:kern w:val="0"/>
                <w:sz w:val="20"/>
                <w:szCs w:val="20"/>
              </w:rPr>
              <w:t>春华街东侧60m，西侧至镇区发展规划边界（包括长沙交通学院教学基地、万里木业有限公司）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52"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基准地价更新范围内除一级外的其他区域（更新范围为乡镇土地利用总体规划线（2006—2020年））。</w:t>
            </w:r>
          </w:p>
        </w:tc>
      </w:tr>
    </w:tbl>
    <w:p>
      <w:pPr>
        <w:pStyle w:val="131"/>
        <w:spacing w:beforeLines="50" w:afterLines="50"/>
        <w:ind w:firstLine="0" w:firstLineChars="0"/>
        <w:rPr>
          <w:rFonts w:ascii="Times New Roman" w:hAnsi="Times New Roman"/>
          <w:sz w:val="24"/>
          <w:szCs w:val="24"/>
        </w:rPr>
      </w:pPr>
      <w:r>
        <w:rPr>
          <w:rFonts w:ascii="Times New Roman" w:hAnsi="Times New Roman"/>
          <w:sz w:val="20"/>
        </w:rPr>
        <w:br w:type="page"/>
      </w:r>
      <w:r>
        <w:rPr>
          <w:rFonts w:ascii="Times New Roman" w:hAnsi="Times New Roman"/>
          <w:sz w:val="24"/>
          <w:szCs w:val="24"/>
        </w:rPr>
        <w:t>表5-3-4 长沙县三等建制镇级别描述</w:t>
      </w:r>
    </w:p>
    <w:tbl>
      <w:tblPr>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874"/>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6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ind w:firstLine="402" w:firstLineChars="200"/>
              <w:jc w:val="center"/>
              <w:rPr>
                <w:b/>
                <w:color w:val="000000"/>
                <w:kern w:val="0"/>
                <w:sz w:val="20"/>
              </w:rPr>
            </w:pPr>
            <w:r>
              <w:rPr>
                <w:b/>
                <w:color w:val="000000"/>
                <w:kern w:val="0"/>
                <w:sz w:val="20"/>
              </w:rPr>
              <w:t>乡镇</w:t>
            </w:r>
          </w:p>
          <w:p>
            <w:pPr>
              <w:widowControl/>
              <w:spacing w:line="240" w:lineRule="exact"/>
              <w:ind w:firstLine="402" w:firstLineChars="200"/>
              <w:jc w:val="center"/>
              <w:rPr>
                <w:b/>
                <w:color w:val="000000"/>
                <w:kern w:val="0"/>
                <w:sz w:val="20"/>
              </w:rPr>
            </w:pPr>
            <w:r>
              <w:rPr>
                <w:b/>
                <w:color w:val="000000"/>
                <w:kern w:val="0"/>
                <w:sz w:val="20"/>
              </w:rPr>
              <w:t>名称</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级别</w:t>
            </w:r>
          </w:p>
        </w:tc>
        <w:tc>
          <w:tcPr>
            <w:tcW w:w="708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级别范围描述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restart"/>
            <w:tcBorders>
              <w:top w:val="single" w:color="auto" w:sz="4" w:space="0"/>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北山镇</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金山大道—规划边界线—蒿塘西路以东规划路段，南至北山派出所以南规划路段；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jc w:val="lef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69" w:type="dxa"/>
            <w:vMerge w:val="restart"/>
            <w:tcBorders>
              <w:top w:val="single" w:color="auto" w:sz="4" w:space="0"/>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金井镇</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jc w:val="left"/>
              <w:rPr>
                <w:bCs/>
                <w:kern w:val="0"/>
                <w:sz w:val="20"/>
              </w:rPr>
            </w:pPr>
            <w:r>
              <w:rPr>
                <w:bCs/>
                <w:kern w:val="0"/>
                <w:sz w:val="20"/>
              </w:rPr>
              <w:t>金井大道—金林路—规划边界线—金凤福路—综合大市场以南50m—规划路段—金井大道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jc w:val="lef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开慧镇</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ind w:firstLine="400" w:firstLineChars="200"/>
              <w:jc w:val="left"/>
              <w:rPr>
                <w:bCs/>
                <w:kern w:val="0"/>
                <w:sz w:val="20"/>
              </w:rPr>
            </w:pPr>
            <w:r>
              <w:rPr>
                <w:bCs/>
                <w:kern w:val="0"/>
                <w:sz w:val="20"/>
              </w:rPr>
              <w:t>区块1（西）：骄阳西路两侧100m，东至开慧水库以西规划道路，南至规划边界线</w:t>
            </w:r>
          </w:p>
          <w:p>
            <w:pPr>
              <w:widowControl/>
              <w:shd w:val="clear" w:color="auto" w:fill="FFFFFF"/>
              <w:spacing w:line="240" w:lineRule="exact"/>
              <w:ind w:firstLine="400" w:firstLineChars="200"/>
              <w:jc w:val="left"/>
              <w:rPr>
                <w:bCs/>
                <w:kern w:val="0"/>
                <w:sz w:val="20"/>
              </w:rPr>
            </w:pPr>
            <w:r>
              <w:rPr>
                <w:bCs/>
                <w:kern w:val="0"/>
                <w:sz w:val="20"/>
              </w:rPr>
              <w:t>区块2（东）：北至葛家山小学以北规划路段，东至葛家山市场以东规划路段，南至骄阳西路以南规划路段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jc w:val="lef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69"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路口镇</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pStyle w:val="29"/>
              <w:widowControl/>
              <w:shd w:val="clear" w:color="auto" w:fill="FFFFFF"/>
              <w:spacing w:line="240" w:lineRule="exact"/>
              <w:ind w:firstLine="400"/>
              <w:jc w:val="left"/>
              <w:rPr>
                <w:bCs/>
                <w:kern w:val="0"/>
                <w:sz w:val="20"/>
                <w:szCs w:val="20"/>
              </w:rPr>
            </w:pPr>
            <w:r>
              <w:rPr>
                <w:bCs/>
                <w:kern w:val="0"/>
                <w:sz w:val="20"/>
                <w:szCs w:val="20"/>
              </w:rPr>
              <w:t>区块1：三惠路西段两侧100m（西至规划边界线，东至路口村村委会）</w:t>
            </w:r>
          </w:p>
          <w:p>
            <w:pPr>
              <w:pStyle w:val="29"/>
              <w:widowControl/>
              <w:shd w:val="clear" w:color="auto" w:fill="FFFFFF"/>
              <w:spacing w:line="240" w:lineRule="exact"/>
              <w:ind w:firstLine="400"/>
              <w:jc w:val="left"/>
              <w:rPr>
                <w:bCs/>
                <w:kern w:val="0"/>
                <w:sz w:val="20"/>
                <w:szCs w:val="20"/>
              </w:rPr>
            </w:pPr>
            <w:r>
              <w:rPr>
                <w:bCs/>
                <w:kern w:val="0"/>
                <w:sz w:val="20"/>
                <w:szCs w:val="20"/>
              </w:rPr>
              <w:t>区块2：西至振兴路以西规划路段，北至规划边界线，东至S207，南至税务局以北规划路段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jc w:val="lef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青山铺镇</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双衡公路两侧50m（起点为乡政府，终点为南到电信营业厅60m）。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69"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果园镇</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ind w:firstLine="400" w:firstLineChars="200"/>
              <w:jc w:val="left"/>
              <w:rPr>
                <w:bCs/>
                <w:kern w:val="0"/>
                <w:sz w:val="20"/>
              </w:rPr>
            </w:pPr>
            <w:r>
              <w:rPr>
                <w:bCs/>
                <w:kern w:val="0"/>
                <w:sz w:val="20"/>
              </w:rPr>
              <w:t>区块1：黄兴大道两侧100m，西至规划边界线，南至宋水线B段，东至宋水线A段</w:t>
            </w:r>
          </w:p>
          <w:p>
            <w:pPr>
              <w:widowControl/>
              <w:shd w:val="clear" w:color="auto" w:fill="FFFFFF"/>
              <w:spacing w:line="240" w:lineRule="exact"/>
              <w:ind w:firstLine="400" w:firstLineChars="200"/>
              <w:jc w:val="left"/>
              <w:rPr>
                <w:bCs/>
                <w:kern w:val="0"/>
                <w:sz w:val="20"/>
              </w:rPr>
            </w:pPr>
            <w:r>
              <w:rPr>
                <w:bCs/>
                <w:kern w:val="0"/>
                <w:sz w:val="20"/>
              </w:rPr>
              <w:t>区块2：北至规划边界线，东至规划边界线，南至长沙众华机械科技公司以南规划道路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right w:val="single" w:color="auto" w:sz="4" w:space="0"/>
            </w:tcBorders>
            <w:vAlign w:val="top"/>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jc w:val="lef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双江片区</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罗代路两侧规划路段（西至国土所以西，北至双江河以南规划路段，东至万佳惠超市以西规划路段，南至王洪文大酒店以南规划路段）。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69"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白沙片区</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白沙路两侧100m（北至白沙派出所，南至白沙卫生院以北规划路段）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bottom w:val="single" w:color="auto" w:sz="4" w:space="0"/>
              <w:right w:val="single" w:color="auto" w:sz="4" w:space="0"/>
            </w:tcBorders>
            <w:vAlign w:val="top"/>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基准地价更新范围内除一级外的其他区域（更新范围为乡镇土地利用总体规划线（2006—2020年））。</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表5-3-5长沙县四等建制镇级别描述</w:t>
      </w:r>
    </w:p>
    <w:tbl>
      <w:tblPr>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874"/>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6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ind w:firstLine="402" w:firstLineChars="200"/>
              <w:jc w:val="center"/>
              <w:rPr>
                <w:b/>
                <w:color w:val="000000"/>
                <w:kern w:val="0"/>
                <w:sz w:val="20"/>
              </w:rPr>
            </w:pPr>
            <w:r>
              <w:rPr>
                <w:b/>
                <w:color w:val="000000"/>
                <w:kern w:val="0"/>
                <w:sz w:val="20"/>
              </w:rPr>
              <w:t>乡镇</w:t>
            </w:r>
          </w:p>
          <w:p>
            <w:pPr>
              <w:widowControl/>
              <w:spacing w:line="240" w:lineRule="exact"/>
              <w:ind w:firstLine="402" w:firstLineChars="200"/>
              <w:jc w:val="center"/>
              <w:rPr>
                <w:b/>
                <w:color w:val="000000"/>
                <w:kern w:val="0"/>
                <w:sz w:val="20"/>
              </w:rPr>
            </w:pPr>
            <w:r>
              <w:rPr>
                <w:b/>
                <w:color w:val="000000"/>
                <w:kern w:val="0"/>
                <w:sz w:val="20"/>
              </w:rPr>
              <w:t>名称</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级别</w:t>
            </w:r>
          </w:p>
        </w:tc>
        <w:tc>
          <w:tcPr>
            <w:tcW w:w="708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级别范围描述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restart"/>
            <w:tcBorders>
              <w:top w:val="single" w:color="auto" w:sz="4" w:space="0"/>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福临镇</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福山路—白马路—福金路—福金路—规划边界线—福临大道以北规划路段—福山路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69"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高桥镇</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S207省道与茶香路南北两端交叉内部区域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基准地价更新范围内除一级外的其他区域（更新范围为乡镇土地利用总体规划线（2006—2020年））。</w:t>
            </w:r>
          </w:p>
        </w:tc>
      </w:tr>
    </w:tbl>
    <w:p>
      <w:pPr>
        <w:adjustRightInd w:val="0"/>
        <w:snapToGrid w:val="0"/>
        <w:spacing w:line="360" w:lineRule="auto"/>
        <w:ind w:firstLine="400" w:firstLineChars="200"/>
        <w:rPr>
          <w:sz w:val="20"/>
        </w:rPr>
      </w:pPr>
      <w:r>
        <w:rPr>
          <w:sz w:val="20"/>
        </w:rPr>
        <w:t>注：具体级别范围以基准地价图为准。</w:t>
      </w:r>
    </w:p>
    <w:p>
      <w:pPr>
        <w:spacing w:beforeLines="50" w:afterLines="50" w:line="460" w:lineRule="exact"/>
        <w:jc w:val="center"/>
        <w:outlineLvl w:val="1"/>
        <w:rPr>
          <w:rFonts w:eastAsia="黑体"/>
          <w:sz w:val="28"/>
          <w:szCs w:val="28"/>
        </w:rPr>
      </w:pPr>
      <w:r>
        <w:rPr>
          <w:rFonts w:eastAsia="黑体"/>
          <w:sz w:val="28"/>
          <w:szCs w:val="28"/>
        </w:rPr>
        <w:br w:type="page"/>
      </w:r>
      <w:bookmarkStart w:id="943" w:name="_Toc27550"/>
      <w:bookmarkStart w:id="944" w:name="_Toc1633"/>
      <w:bookmarkStart w:id="945" w:name="_Toc25173"/>
      <w:bookmarkStart w:id="946" w:name="_Toc17949"/>
      <w:r>
        <w:rPr>
          <w:rFonts w:eastAsia="黑体"/>
          <w:sz w:val="28"/>
          <w:szCs w:val="28"/>
        </w:rPr>
        <w:t xml:space="preserve">第四章 </w:t>
      </w:r>
      <w:bookmarkEnd w:id="920"/>
      <w:bookmarkEnd w:id="921"/>
      <w:bookmarkEnd w:id="922"/>
      <w:r>
        <w:rPr>
          <w:rFonts w:eastAsia="黑体"/>
          <w:sz w:val="28"/>
          <w:szCs w:val="28"/>
        </w:rPr>
        <w:t>乡镇基准地价评估</w:t>
      </w:r>
      <w:bookmarkEnd w:id="943"/>
      <w:bookmarkEnd w:id="944"/>
      <w:bookmarkEnd w:id="945"/>
      <w:bookmarkEnd w:id="946"/>
    </w:p>
    <w:p>
      <w:pPr>
        <w:tabs>
          <w:tab w:val="left" w:pos="2620"/>
        </w:tabs>
        <w:spacing w:beforeLines="50" w:afterLines="50" w:line="460" w:lineRule="exact"/>
        <w:ind w:firstLine="560" w:firstLineChars="200"/>
        <w:outlineLvl w:val="2"/>
        <w:rPr>
          <w:bCs/>
          <w:sz w:val="28"/>
          <w:szCs w:val="28"/>
        </w:rPr>
      </w:pPr>
      <w:bookmarkStart w:id="947" w:name="_Toc5076"/>
      <w:bookmarkStart w:id="948" w:name="_Toc11367"/>
      <w:bookmarkStart w:id="949" w:name="_Toc525807081"/>
      <w:r>
        <w:rPr>
          <w:rFonts w:eastAsia="黑体"/>
          <w:sz w:val="28"/>
          <w:szCs w:val="28"/>
        </w:rPr>
        <w:t>一、乡镇基准地价评估技术路线</w:t>
      </w:r>
      <w:bookmarkEnd w:id="947"/>
      <w:bookmarkEnd w:id="948"/>
      <w:bookmarkEnd w:id="949"/>
    </w:p>
    <w:p>
      <w:pPr>
        <w:spacing w:line="460" w:lineRule="exact"/>
        <w:ind w:firstLine="480" w:firstLineChars="200"/>
        <w:rPr>
          <w:sz w:val="24"/>
        </w:rPr>
      </w:pPr>
      <w:r>
        <w:rPr>
          <w:sz w:val="24"/>
        </w:rPr>
        <w:t>在乡镇土地分等的基础上，测算样点地价，并对样点进行总体同一性和精度检验，然后建立样点地价和乡镇分等的因素总分值数学关系模型，并对模型进行可靠性检验，利用数学模型计算各等别乡镇的基准地价。</w:t>
      </w:r>
    </w:p>
    <w:p>
      <w:pPr>
        <w:tabs>
          <w:tab w:val="left" w:pos="2620"/>
        </w:tabs>
        <w:spacing w:beforeLines="50" w:afterLines="50" w:line="460" w:lineRule="exact"/>
        <w:ind w:firstLine="560" w:firstLineChars="200"/>
        <w:outlineLvl w:val="2"/>
        <w:rPr>
          <w:bCs/>
          <w:sz w:val="28"/>
          <w:szCs w:val="28"/>
        </w:rPr>
      </w:pPr>
      <w:bookmarkStart w:id="950" w:name="_Toc13266"/>
      <w:bookmarkStart w:id="951" w:name="_Toc525807082"/>
      <w:bookmarkStart w:id="952" w:name="_Toc8762"/>
      <w:r>
        <w:rPr>
          <w:rFonts w:eastAsia="黑体"/>
          <w:sz w:val="28"/>
          <w:szCs w:val="28"/>
        </w:rPr>
        <w:t>二、乡镇基准地价内涵</w:t>
      </w:r>
      <w:bookmarkEnd w:id="950"/>
      <w:bookmarkEnd w:id="951"/>
      <w:bookmarkEnd w:id="952"/>
    </w:p>
    <w:p>
      <w:pPr>
        <w:spacing w:line="460" w:lineRule="exact"/>
        <w:ind w:firstLine="480" w:firstLineChars="200"/>
        <w:rPr>
          <w:sz w:val="24"/>
        </w:rPr>
      </w:pPr>
      <w:r>
        <w:rPr>
          <w:sz w:val="24"/>
        </w:rPr>
        <w:t>根据各乡镇外业调查样点和土地信息系统中的有关土地出让转让的宗地情况，依据《城镇土地分等定级规程》和《城镇土地估价规程》和土地管理法的有关规定，确定长沙县各乡镇基准地价内涵如下：</w:t>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表5-4-1 与市区对接的重点区域（黄兴镇、㮾梨街道）基准地价内涵</w:t>
      </w:r>
    </w:p>
    <w:tbl>
      <w:tblPr>
        <w:tblW w:w="93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1"/>
        <w:gridCol w:w="1034"/>
        <w:gridCol w:w="950"/>
        <w:gridCol w:w="892"/>
        <w:gridCol w:w="893"/>
        <w:gridCol w:w="892"/>
        <w:gridCol w:w="893"/>
        <w:gridCol w:w="892"/>
        <w:gridCol w:w="897"/>
        <w:gridCol w:w="12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级 别</w:t>
            </w:r>
          </w:p>
        </w:tc>
        <w:tc>
          <w:tcPr>
            <w:tcW w:w="10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土地权利</w:t>
            </w:r>
          </w:p>
        </w:tc>
        <w:tc>
          <w:tcPr>
            <w:tcW w:w="950" w:type="dxa"/>
            <w:vMerge w:val="restart"/>
            <w:tcBorders>
              <w:top w:val="single" w:color="auto" w:sz="4" w:space="0"/>
              <w:left w:val="nil"/>
              <w:right w:val="nil"/>
            </w:tcBorders>
            <w:vAlign w:val="center"/>
          </w:tcPr>
          <w:p>
            <w:pPr>
              <w:widowControl/>
              <w:spacing w:line="240" w:lineRule="exact"/>
              <w:jc w:val="center"/>
              <w:rPr>
                <w:b/>
                <w:color w:val="000000"/>
                <w:kern w:val="0"/>
                <w:sz w:val="20"/>
              </w:rPr>
            </w:pPr>
            <w:r>
              <w:rPr>
                <w:b/>
                <w:color w:val="000000"/>
                <w:kern w:val="0"/>
                <w:sz w:val="20"/>
              </w:rPr>
              <w:t>开发程度</w:t>
            </w:r>
          </w:p>
        </w:tc>
        <w:tc>
          <w:tcPr>
            <w:tcW w:w="178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商服</w:t>
            </w:r>
          </w:p>
        </w:tc>
        <w:tc>
          <w:tcPr>
            <w:tcW w:w="1785"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住宅</w:t>
            </w:r>
          </w:p>
        </w:tc>
        <w:tc>
          <w:tcPr>
            <w:tcW w:w="17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工矿仓储</w:t>
            </w:r>
          </w:p>
        </w:tc>
        <w:tc>
          <w:tcPr>
            <w:tcW w:w="1299" w:type="dxa"/>
            <w:tcBorders>
              <w:top w:val="single" w:color="auto" w:sz="4" w:space="0"/>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p>
        </w:tc>
        <w:tc>
          <w:tcPr>
            <w:tcW w:w="10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p>
        </w:tc>
        <w:tc>
          <w:tcPr>
            <w:tcW w:w="950" w:type="dxa"/>
            <w:vMerge w:val="continue"/>
            <w:tcBorders>
              <w:left w:val="nil"/>
              <w:bottom w:val="single" w:color="auto" w:sz="4" w:space="0"/>
              <w:right w:val="nil"/>
            </w:tcBorders>
            <w:vAlign w:val="center"/>
          </w:tcPr>
          <w:p>
            <w:pPr>
              <w:widowControl/>
              <w:spacing w:line="240" w:lineRule="exact"/>
              <w:jc w:val="center"/>
              <w:rPr>
                <w:b/>
                <w:color w:val="000000"/>
                <w:kern w:val="0"/>
                <w:sz w:val="20"/>
              </w:rPr>
            </w:pPr>
          </w:p>
        </w:tc>
        <w:tc>
          <w:tcPr>
            <w:tcW w:w="892" w:type="dxa"/>
            <w:tcBorders>
              <w:top w:val="nil"/>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使用年期</w:t>
            </w:r>
          </w:p>
        </w:tc>
        <w:tc>
          <w:tcPr>
            <w:tcW w:w="893"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892" w:type="dxa"/>
            <w:tcBorders>
              <w:top w:val="nil"/>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使用年期</w:t>
            </w:r>
          </w:p>
        </w:tc>
        <w:tc>
          <w:tcPr>
            <w:tcW w:w="893" w:type="dxa"/>
            <w:tcBorders>
              <w:top w:val="nil"/>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容积率</w:t>
            </w:r>
          </w:p>
        </w:tc>
        <w:tc>
          <w:tcPr>
            <w:tcW w:w="892" w:type="dxa"/>
            <w:tcBorders>
              <w:top w:val="nil"/>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使用年期</w:t>
            </w:r>
          </w:p>
        </w:tc>
        <w:tc>
          <w:tcPr>
            <w:tcW w:w="897" w:type="dxa"/>
            <w:tcBorders>
              <w:top w:val="nil"/>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容积率</w:t>
            </w:r>
          </w:p>
        </w:tc>
        <w:tc>
          <w:tcPr>
            <w:tcW w:w="1299" w:type="dxa"/>
            <w:tcBorders>
              <w:top w:val="nil"/>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期日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1" w:type="dxa"/>
            <w:tcBorders>
              <w:top w:val="nil"/>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一</w:t>
            </w:r>
          </w:p>
        </w:tc>
        <w:tc>
          <w:tcPr>
            <w:tcW w:w="1034"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出让土地使用权</w:t>
            </w:r>
          </w:p>
        </w:tc>
        <w:tc>
          <w:tcPr>
            <w:tcW w:w="950" w:type="dxa"/>
            <w:tcBorders>
              <w:top w:val="single" w:color="auto" w:sz="4" w:space="0"/>
              <w:left w:val="nil"/>
              <w:bottom w:val="single" w:color="auto" w:sz="4" w:space="0"/>
              <w:right w:val="nil"/>
            </w:tcBorders>
            <w:vAlign w:val="center"/>
          </w:tcPr>
          <w:p>
            <w:pPr>
              <w:widowControl/>
              <w:shd w:val="clear" w:color="auto" w:fill="FFFFFF"/>
              <w:spacing w:line="360" w:lineRule="auto"/>
              <w:jc w:val="center"/>
              <w:rPr>
                <w:bCs/>
                <w:kern w:val="0"/>
                <w:sz w:val="20"/>
              </w:rPr>
            </w:pPr>
            <w:r>
              <w:rPr>
                <w:bCs/>
                <w:kern w:val="0"/>
                <w:sz w:val="20"/>
              </w:rPr>
              <w:t>五通一平</w:t>
            </w:r>
          </w:p>
        </w:tc>
        <w:tc>
          <w:tcPr>
            <w:tcW w:w="892" w:type="dxa"/>
            <w:tcBorders>
              <w:top w:val="nil"/>
              <w:left w:val="single" w:color="auto" w:sz="4" w:space="0"/>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40年</w:t>
            </w:r>
          </w:p>
        </w:tc>
        <w:tc>
          <w:tcPr>
            <w:tcW w:w="893"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1.9</w:t>
            </w:r>
          </w:p>
        </w:tc>
        <w:tc>
          <w:tcPr>
            <w:tcW w:w="892"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70年</w:t>
            </w:r>
          </w:p>
        </w:tc>
        <w:tc>
          <w:tcPr>
            <w:tcW w:w="893"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1.9</w:t>
            </w:r>
          </w:p>
        </w:tc>
        <w:tc>
          <w:tcPr>
            <w:tcW w:w="892"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50年</w:t>
            </w:r>
          </w:p>
        </w:tc>
        <w:tc>
          <w:tcPr>
            <w:tcW w:w="897"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w:t>
            </w:r>
          </w:p>
        </w:tc>
        <w:tc>
          <w:tcPr>
            <w:tcW w:w="1299"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w:t>
            </w:r>
          </w:p>
        </w:tc>
        <w:tc>
          <w:tcPr>
            <w:tcW w:w="1034"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出让土地使用权</w:t>
            </w:r>
          </w:p>
        </w:tc>
        <w:tc>
          <w:tcPr>
            <w:tcW w:w="950" w:type="dxa"/>
            <w:tcBorders>
              <w:top w:val="single" w:color="auto" w:sz="4" w:space="0"/>
              <w:left w:val="nil"/>
              <w:bottom w:val="single" w:color="auto" w:sz="4" w:space="0"/>
              <w:right w:val="nil"/>
            </w:tcBorders>
            <w:vAlign w:val="center"/>
          </w:tcPr>
          <w:p>
            <w:pPr>
              <w:widowControl/>
              <w:shd w:val="clear" w:color="auto" w:fill="FFFFFF"/>
              <w:spacing w:line="360" w:lineRule="auto"/>
              <w:jc w:val="center"/>
              <w:rPr>
                <w:bCs/>
                <w:kern w:val="0"/>
                <w:sz w:val="20"/>
              </w:rPr>
            </w:pPr>
            <w:r>
              <w:rPr>
                <w:bCs/>
                <w:kern w:val="0"/>
                <w:sz w:val="20"/>
              </w:rPr>
              <w:t>五通一平</w:t>
            </w:r>
          </w:p>
        </w:tc>
        <w:tc>
          <w:tcPr>
            <w:tcW w:w="89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40年</w:t>
            </w:r>
          </w:p>
        </w:tc>
        <w:tc>
          <w:tcPr>
            <w:tcW w:w="893"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1.7</w:t>
            </w:r>
          </w:p>
        </w:tc>
        <w:tc>
          <w:tcPr>
            <w:tcW w:w="892"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70年</w:t>
            </w:r>
          </w:p>
        </w:tc>
        <w:tc>
          <w:tcPr>
            <w:tcW w:w="893"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1.7</w:t>
            </w:r>
          </w:p>
        </w:tc>
        <w:tc>
          <w:tcPr>
            <w:tcW w:w="892"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50年</w:t>
            </w:r>
          </w:p>
        </w:tc>
        <w:tc>
          <w:tcPr>
            <w:tcW w:w="897"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w:t>
            </w:r>
          </w:p>
        </w:tc>
        <w:tc>
          <w:tcPr>
            <w:tcW w:w="1299" w:type="dxa"/>
            <w:tcBorders>
              <w:top w:val="single" w:color="auto" w:sz="4" w:space="0"/>
              <w:left w:val="nil"/>
              <w:bottom w:val="single" w:color="auto" w:sz="4" w:space="0"/>
              <w:right w:val="single" w:color="auto" w:sz="4" w:space="0"/>
            </w:tcBorders>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三</w:t>
            </w:r>
          </w:p>
        </w:tc>
        <w:tc>
          <w:tcPr>
            <w:tcW w:w="1034"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出让土地使用权</w:t>
            </w:r>
          </w:p>
        </w:tc>
        <w:tc>
          <w:tcPr>
            <w:tcW w:w="950" w:type="dxa"/>
            <w:tcBorders>
              <w:top w:val="single" w:color="auto" w:sz="4" w:space="0"/>
              <w:left w:val="nil"/>
              <w:bottom w:val="single" w:color="auto" w:sz="4" w:space="0"/>
              <w:right w:val="nil"/>
            </w:tcBorders>
            <w:vAlign w:val="center"/>
          </w:tcPr>
          <w:p>
            <w:pPr>
              <w:widowControl/>
              <w:shd w:val="clear" w:color="auto" w:fill="FFFFFF"/>
              <w:spacing w:line="360" w:lineRule="auto"/>
              <w:jc w:val="center"/>
              <w:rPr>
                <w:bCs/>
                <w:kern w:val="0"/>
                <w:sz w:val="20"/>
              </w:rPr>
            </w:pPr>
            <w:r>
              <w:rPr>
                <w:bCs/>
                <w:kern w:val="0"/>
                <w:sz w:val="20"/>
              </w:rPr>
              <w:t>五通一平</w:t>
            </w:r>
          </w:p>
        </w:tc>
        <w:tc>
          <w:tcPr>
            <w:tcW w:w="89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40年</w:t>
            </w:r>
          </w:p>
        </w:tc>
        <w:tc>
          <w:tcPr>
            <w:tcW w:w="893"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1.5</w:t>
            </w:r>
          </w:p>
        </w:tc>
        <w:tc>
          <w:tcPr>
            <w:tcW w:w="892"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70年</w:t>
            </w:r>
          </w:p>
        </w:tc>
        <w:tc>
          <w:tcPr>
            <w:tcW w:w="893"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1.5</w:t>
            </w:r>
          </w:p>
        </w:tc>
        <w:tc>
          <w:tcPr>
            <w:tcW w:w="892"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50年</w:t>
            </w:r>
          </w:p>
        </w:tc>
        <w:tc>
          <w:tcPr>
            <w:tcW w:w="897"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w:t>
            </w:r>
          </w:p>
        </w:tc>
        <w:tc>
          <w:tcPr>
            <w:tcW w:w="1299" w:type="dxa"/>
            <w:tcBorders>
              <w:top w:val="single" w:color="auto" w:sz="4" w:space="0"/>
              <w:left w:val="nil"/>
              <w:bottom w:val="single" w:color="auto" w:sz="4" w:space="0"/>
              <w:right w:val="single" w:color="auto" w:sz="4" w:space="0"/>
            </w:tcBorders>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表5-4-2 一等建制镇（含街道）基准地价内涵</w:t>
      </w:r>
    </w:p>
    <w:tbl>
      <w:tblPr>
        <w:tblW w:w="93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2"/>
        <w:gridCol w:w="1018"/>
        <w:gridCol w:w="1000"/>
        <w:gridCol w:w="887"/>
        <w:gridCol w:w="887"/>
        <w:gridCol w:w="887"/>
        <w:gridCol w:w="887"/>
        <w:gridCol w:w="887"/>
        <w:gridCol w:w="889"/>
        <w:gridCol w:w="12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级 别</w:t>
            </w:r>
          </w:p>
        </w:tc>
        <w:tc>
          <w:tcPr>
            <w:tcW w:w="101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土地权利</w:t>
            </w:r>
          </w:p>
        </w:tc>
        <w:tc>
          <w:tcPr>
            <w:tcW w:w="1000" w:type="dxa"/>
            <w:vMerge w:val="restart"/>
            <w:tcBorders>
              <w:top w:val="single" w:color="auto" w:sz="4" w:space="0"/>
              <w:left w:val="nil"/>
              <w:right w:val="nil"/>
            </w:tcBorders>
            <w:vAlign w:val="center"/>
          </w:tcPr>
          <w:p>
            <w:pPr>
              <w:widowControl/>
              <w:jc w:val="center"/>
              <w:rPr>
                <w:b/>
                <w:color w:val="000000"/>
                <w:kern w:val="0"/>
                <w:sz w:val="20"/>
              </w:rPr>
            </w:pPr>
            <w:r>
              <w:rPr>
                <w:b/>
                <w:color w:val="000000"/>
                <w:kern w:val="0"/>
                <w:sz w:val="20"/>
              </w:rPr>
              <w:t>开发程度</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商服</w:t>
            </w:r>
          </w:p>
        </w:tc>
        <w:tc>
          <w:tcPr>
            <w:tcW w:w="1774" w:type="dxa"/>
            <w:gridSpan w:val="2"/>
            <w:tcBorders>
              <w:top w:val="single" w:color="auto" w:sz="4" w:space="0"/>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住宅</w:t>
            </w:r>
          </w:p>
        </w:tc>
        <w:tc>
          <w:tcPr>
            <w:tcW w:w="1776" w:type="dxa"/>
            <w:gridSpan w:val="2"/>
            <w:tcBorders>
              <w:top w:val="single" w:color="auto" w:sz="4" w:space="0"/>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工矿仓储</w:t>
            </w:r>
          </w:p>
        </w:tc>
        <w:tc>
          <w:tcPr>
            <w:tcW w:w="1299" w:type="dxa"/>
            <w:tcBorders>
              <w:top w:val="single" w:color="auto" w:sz="4" w:space="0"/>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p>
        </w:tc>
        <w:tc>
          <w:tcPr>
            <w:tcW w:w="10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p>
        </w:tc>
        <w:tc>
          <w:tcPr>
            <w:tcW w:w="1000" w:type="dxa"/>
            <w:vMerge w:val="continue"/>
            <w:tcBorders>
              <w:left w:val="nil"/>
              <w:bottom w:val="single" w:color="auto" w:sz="4" w:space="0"/>
              <w:right w:val="nil"/>
            </w:tcBorders>
            <w:vAlign w:val="center"/>
          </w:tcPr>
          <w:p>
            <w:pPr>
              <w:widowControl/>
              <w:jc w:val="center"/>
              <w:rPr>
                <w:b/>
                <w:color w:val="000000"/>
                <w:kern w:val="0"/>
                <w:sz w:val="20"/>
              </w:rPr>
            </w:pPr>
          </w:p>
        </w:tc>
        <w:tc>
          <w:tcPr>
            <w:tcW w:w="887" w:type="dxa"/>
            <w:tcBorders>
              <w:top w:val="nil"/>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使用年期</w:t>
            </w:r>
          </w:p>
        </w:tc>
        <w:tc>
          <w:tcPr>
            <w:tcW w:w="887"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887"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使用年期</w:t>
            </w:r>
          </w:p>
        </w:tc>
        <w:tc>
          <w:tcPr>
            <w:tcW w:w="887"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887"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使用年期</w:t>
            </w:r>
          </w:p>
        </w:tc>
        <w:tc>
          <w:tcPr>
            <w:tcW w:w="889"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1299"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期日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2" w:type="dxa"/>
            <w:tcBorders>
              <w:top w:val="nil"/>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一</w:t>
            </w:r>
          </w:p>
        </w:tc>
        <w:tc>
          <w:tcPr>
            <w:tcW w:w="1018"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出让土地</w:t>
            </w:r>
          </w:p>
          <w:p>
            <w:pPr>
              <w:widowControl/>
              <w:shd w:val="clear" w:color="auto" w:fill="FFFFFF"/>
              <w:spacing w:line="360" w:lineRule="auto"/>
              <w:jc w:val="center"/>
              <w:rPr>
                <w:bCs/>
                <w:kern w:val="0"/>
                <w:sz w:val="20"/>
              </w:rPr>
            </w:pPr>
            <w:r>
              <w:rPr>
                <w:bCs/>
                <w:kern w:val="0"/>
                <w:sz w:val="20"/>
              </w:rPr>
              <w:t>使用权</w:t>
            </w:r>
          </w:p>
        </w:tc>
        <w:tc>
          <w:tcPr>
            <w:tcW w:w="1000" w:type="dxa"/>
            <w:tcBorders>
              <w:top w:val="single" w:color="auto" w:sz="4" w:space="0"/>
              <w:left w:val="nil"/>
              <w:bottom w:val="single" w:color="auto" w:sz="4" w:space="0"/>
              <w:right w:val="nil"/>
            </w:tcBorders>
            <w:vAlign w:val="center"/>
          </w:tcPr>
          <w:p>
            <w:pPr>
              <w:widowControl/>
              <w:shd w:val="clear" w:color="auto" w:fill="FFFFFF"/>
              <w:spacing w:line="360" w:lineRule="auto"/>
              <w:jc w:val="center"/>
              <w:rPr>
                <w:bCs/>
                <w:kern w:val="0"/>
                <w:sz w:val="20"/>
              </w:rPr>
            </w:pPr>
            <w:r>
              <w:rPr>
                <w:bCs/>
                <w:kern w:val="0"/>
                <w:sz w:val="20"/>
              </w:rPr>
              <w:t>五通一平</w:t>
            </w:r>
          </w:p>
        </w:tc>
        <w:tc>
          <w:tcPr>
            <w:tcW w:w="887" w:type="dxa"/>
            <w:tcBorders>
              <w:top w:val="nil"/>
              <w:left w:val="single" w:color="auto" w:sz="4" w:space="0"/>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40年</w:t>
            </w:r>
          </w:p>
        </w:tc>
        <w:tc>
          <w:tcPr>
            <w:tcW w:w="887"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1.6</w:t>
            </w:r>
          </w:p>
        </w:tc>
        <w:tc>
          <w:tcPr>
            <w:tcW w:w="887"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70年</w:t>
            </w:r>
          </w:p>
        </w:tc>
        <w:tc>
          <w:tcPr>
            <w:tcW w:w="887"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1.6</w:t>
            </w:r>
          </w:p>
        </w:tc>
        <w:tc>
          <w:tcPr>
            <w:tcW w:w="887"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50年</w:t>
            </w:r>
          </w:p>
        </w:tc>
        <w:tc>
          <w:tcPr>
            <w:tcW w:w="889"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w:t>
            </w:r>
          </w:p>
        </w:tc>
        <w:tc>
          <w:tcPr>
            <w:tcW w:w="1299"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二</w:t>
            </w:r>
          </w:p>
        </w:tc>
        <w:tc>
          <w:tcPr>
            <w:tcW w:w="1018"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出让土地使用权</w:t>
            </w:r>
          </w:p>
        </w:tc>
        <w:tc>
          <w:tcPr>
            <w:tcW w:w="1000" w:type="dxa"/>
            <w:tcBorders>
              <w:top w:val="single" w:color="auto" w:sz="4" w:space="0"/>
              <w:left w:val="nil"/>
              <w:bottom w:val="single" w:color="auto" w:sz="4" w:space="0"/>
              <w:right w:val="nil"/>
            </w:tcBorders>
            <w:vAlign w:val="center"/>
          </w:tcPr>
          <w:p>
            <w:pPr>
              <w:widowControl/>
              <w:shd w:val="clear" w:color="auto" w:fill="FFFFFF"/>
              <w:spacing w:line="360" w:lineRule="auto"/>
              <w:jc w:val="center"/>
              <w:rPr>
                <w:bCs/>
                <w:kern w:val="0"/>
                <w:sz w:val="20"/>
              </w:rPr>
            </w:pPr>
            <w:r>
              <w:rPr>
                <w:bCs/>
                <w:kern w:val="0"/>
                <w:sz w:val="20"/>
              </w:rPr>
              <w:t>五通一平</w:t>
            </w:r>
          </w:p>
        </w:tc>
        <w:tc>
          <w:tcPr>
            <w:tcW w:w="887"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40年</w:t>
            </w:r>
          </w:p>
        </w:tc>
        <w:tc>
          <w:tcPr>
            <w:tcW w:w="887"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1.4</w:t>
            </w:r>
          </w:p>
        </w:tc>
        <w:tc>
          <w:tcPr>
            <w:tcW w:w="887"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70年</w:t>
            </w:r>
          </w:p>
        </w:tc>
        <w:tc>
          <w:tcPr>
            <w:tcW w:w="887"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1.4</w:t>
            </w:r>
          </w:p>
        </w:tc>
        <w:tc>
          <w:tcPr>
            <w:tcW w:w="887"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50年</w:t>
            </w:r>
          </w:p>
        </w:tc>
        <w:tc>
          <w:tcPr>
            <w:tcW w:w="889"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w:t>
            </w:r>
          </w:p>
        </w:tc>
        <w:tc>
          <w:tcPr>
            <w:tcW w:w="1299" w:type="dxa"/>
            <w:tcBorders>
              <w:top w:val="single" w:color="auto" w:sz="4" w:space="0"/>
              <w:left w:val="nil"/>
              <w:bottom w:val="single" w:color="auto" w:sz="4" w:space="0"/>
              <w:right w:val="single" w:color="auto" w:sz="4" w:space="0"/>
            </w:tcBorders>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三</w:t>
            </w:r>
          </w:p>
        </w:tc>
        <w:tc>
          <w:tcPr>
            <w:tcW w:w="1018"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出让土地使用权</w:t>
            </w:r>
          </w:p>
        </w:tc>
        <w:tc>
          <w:tcPr>
            <w:tcW w:w="1000" w:type="dxa"/>
            <w:tcBorders>
              <w:top w:val="single" w:color="auto" w:sz="4" w:space="0"/>
              <w:left w:val="nil"/>
              <w:bottom w:val="single" w:color="auto" w:sz="4" w:space="0"/>
              <w:right w:val="nil"/>
            </w:tcBorders>
            <w:vAlign w:val="center"/>
          </w:tcPr>
          <w:p>
            <w:pPr>
              <w:widowControl/>
              <w:shd w:val="clear" w:color="auto" w:fill="FFFFFF"/>
              <w:spacing w:line="360" w:lineRule="auto"/>
              <w:jc w:val="center"/>
              <w:rPr>
                <w:bCs/>
                <w:kern w:val="0"/>
                <w:sz w:val="20"/>
              </w:rPr>
            </w:pPr>
            <w:r>
              <w:rPr>
                <w:bCs/>
                <w:kern w:val="0"/>
                <w:sz w:val="20"/>
              </w:rPr>
              <w:t>五通一平</w:t>
            </w:r>
          </w:p>
        </w:tc>
        <w:tc>
          <w:tcPr>
            <w:tcW w:w="887"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40年</w:t>
            </w:r>
          </w:p>
        </w:tc>
        <w:tc>
          <w:tcPr>
            <w:tcW w:w="887"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1.2</w:t>
            </w:r>
          </w:p>
        </w:tc>
        <w:tc>
          <w:tcPr>
            <w:tcW w:w="887"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70年</w:t>
            </w:r>
          </w:p>
        </w:tc>
        <w:tc>
          <w:tcPr>
            <w:tcW w:w="887"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1.2</w:t>
            </w:r>
          </w:p>
        </w:tc>
        <w:tc>
          <w:tcPr>
            <w:tcW w:w="887"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50年</w:t>
            </w:r>
          </w:p>
        </w:tc>
        <w:tc>
          <w:tcPr>
            <w:tcW w:w="889"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w:t>
            </w:r>
          </w:p>
        </w:tc>
        <w:tc>
          <w:tcPr>
            <w:tcW w:w="1299" w:type="dxa"/>
            <w:tcBorders>
              <w:top w:val="single" w:color="auto" w:sz="4" w:space="0"/>
              <w:left w:val="nil"/>
              <w:bottom w:val="single" w:color="auto" w:sz="4" w:space="0"/>
              <w:right w:val="single" w:color="auto" w:sz="4" w:space="0"/>
            </w:tcBorders>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t>表5-4-3 二、三、四等建制镇基准地价内涵</w:t>
      </w:r>
    </w:p>
    <w:tbl>
      <w:tblPr>
        <w:tblW w:w="9274" w:type="dxa"/>
        <w:jc w:val="center"/>
        <w:tblInd w:w="-7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7"/>
        <w:gridCol w:w="1032"/>
        <w:gridCol w:w="1000"/>
        <w:gridCol w:w="899"/>
        <w:gridCol w:w="900"/>
        <w:gridCol w:w="899"/>
        <w:gridCol w:w="900"/>
        <w:gridCol w:w="899"/>
        <w:gridCol w:w="903"/>
        <w:gridCol w:w="1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7" w:hRule="atLeast"/>
          <w:jc w:val="center"/>
        </w:trPr>
        <w:tc>
          <w:tcPr>
            <w:tcW w:w="64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级 别</w:t>
            </w:r>
          </w:p>
        </w:tc>
        <w:tc>
          <w:tcPr>
            <w:tcW w:w="103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土地权利</w:t>
            </w:r>
          </w:p>
        </w:tc>
        <w:tc>
          <w:tcPr>
            <w:tcW w:w="1000" w:type="dxa"/>
            <w:vMerge w:val="restart"/>
            <w:tcBorders>
              <w:top w:val="single" w:color="auto" w:sz="4" w:space="0"/>
              <w:left w:val="nil"/>
              <w:right w:val="nil"/>
            </w:tcBorders>
            <w:vAlign w:val="center"/>
          </w:tcPr>
          <w:p>
            <w:pPr>
              <w:widowControl/>
              <w:jc w:val="center"/>
              <w:rPr>
                <w:b/>
                <w:color w:val="000000"/>
                <w:kern w:val="0"/>
                <w:sz w:val="20"/>
              </w:rPr>
            </w:pPr>
            <w:r>
              <w:rPr>
                <w:b/>
                <w:color w:val="000000"/>
                <w:kern w:val="0"/>
                <w:sz w:val="20"/>
              </w:rPr>
              <w:t>开发程度</w:t>
            </w:r>
          </w:p>
        </w:tc>
        <w:tc>
          <w:tcPr>
            <w:tcW w:w="179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商服</w:t>
            </w:r>
          </w:p>
        </w:tc>
        <w:tc>
          <w:tcPr>
            <w:tcW w:w="1799" w:type="dxa"/>
            <w:gridSpan w:val="2"/>
            <w:tcBorders>
              <w:top w:val="single" w:color="auto" w:sz="4" w:space="0"/>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住宅</w:t>
            </w:r>
          </w:p>
        </w:tc>
        <w:tc>
          <w:tcPr>
            <w:tcW w:w="1802" w:type="dxa"/>
            <w:gridSpan w:val="2"/>
            <w:tcBorders>
              <w:top w:val="single" w:color="auto" w:sz="4" w:space="0"/>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工矿仓储</w:t>
            </w:r>
          </w:p>
        </w:tc>
        <w:tc>
          <w:tcPr>
            <w:tcW w:w="1195" w:type="dxa"/>
            <w:tcBorders>
              <w:top w:val="single" w:color="auto" w:sz="4" w:space="0"/>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4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p>
        </w:tc>
        <w:tc>
          <w:tcPr>
            <w:tcW w:w="10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p>
        </w:tc>
        <w:tc>
          <w:tcPr>
            <w:tcW w:w="1000" w:type="dxa"/>
            <w:vMerge w:val="continue"/>
            <w:tcBorders>
              <w:left w:val="nil"/>
              <w:bottom w:val="single" w:color="auto" w:sz="4" w:space="0"/>
              <w:right w:val="nil"/>
            </w:tcBorders>
            <w:vAlign w:val="center"/>
          </w:tcPr>
          <w:p>
            <w:pPr>
              <w:widowControl/>
              <w:jc w:val="center"/>
              <w:rPr>
                <w:b/>
                <w:color w:val="000000"/>
                <w:kern w:val="0"/>
                <w:sz w:val="20"/>
              </w:rPr>
            </w:pPr>
          </w:p>
        </w:tc>
        <w:tc>
          <w:tcPr>
            <w:tcW w:w="899" w:type="dxa"/>
            <w:tcBorders>
              <w:top w:val="nil"/>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使用年期</w:t>
            </w:r>
          </w:p>
        </w:tc>
        <w:tc>
          <w:tcPr>
            <w:tcW w:w="900"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899"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使用年期</w:t>
            </w:r>
          </w:p>
        </w:tc>
        <w:tc>
          <w:tcPr>
            <w:tcW w:w="900"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899"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使用年期</w:t>
            </w:r>
          </w:p>
        </w:tc>
        <w:tc>
          <w:tcPr>
            <w:tcW w:w="903"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1195"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期日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47" w:type="dxa"/>
            <w:tcBorders>
              <w:top w:val="nil"/>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一</w:t>
            </w:r>
          </w:p>
        </w:tc>
        <w:tc>
          <w:tcPr>
            <w:tcW w:w="1032"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出让土地</w:t>
            </w:r>
          </w:p>
          <w:p>
            <w:pPr>
              <w:widowControl/>
              <w:shd w:val="clear" w:color="auto" w:fill="FFFFFF"/>
              <w:spacing w:line="360" w:lineRule="auto"/>
              <w:jc w:val="center"/>
              <w:rPr>
                <w:bCs/>
                <w:kern w:val="0"/>
                <w:sz w:val="20"/>
              </w:rPr>
            </w:pPr>
            <w:r>
              <w:rPr>
                <w:bCs/>
                <w:kern w:val="0"/>
                <w:sz w:val="20"/>
              </w:rPr>
              <w:t>使用权</w:t>
            </w:r>
          </w:p>
        </w:tc>
        <w:tc>
          <w:tcPr>
            <w:tcW w:w="1000" w:type="dxa"/>
            <w:tcBorders>
              <w:top w:val="single" w:color="auto" w:sz="4" w:space="0"/>
              <w:left w:val="nil"/>
              <w:bottom w:val="single" w:color="auto" w:sz="4" w:space="0"/>
              <w:right w:val="nil"/>
            </w:tcBorders>
            <w:vAlign w:val="center"/>
          </w:tcPr>
          <w:p>
            <w:pPr>
              <w:widowControl/>
              <w:shd w:val="clear" w:color="auto" w:fill="FFFFFF"/>
              <w:spacing w:line="360" w:lineRule="auto"/>
              <w:jc w:val="center"/>
              <w:rPr>
                <w:bCs/>
                <w:kern w:val="0"/>
                <w:sz w:val="20"/>
              </w:rPr>
            </w:pPr>
            <w:r>
              <w:rPr>
                <w:bCs/>
                <w:kern w:val="0"/>
                <w:sz w:val="20"/>
              </w:rPr>
              <w:t>五通一平</w:t>
            </w:r>
          </w:p>
        </w:tc>
        <w:tc>
          <w:tcPr>
            <w:tcW w:w="899" w:type="dxa"/>
            <w:tcBorders>
              <w:top w:val="nil"/>
              <w:left w:val="single" w:color="auto" w:sz="4" w:space="0"/>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40年</w:t>
            </w:r>
          </w:p>
        </w:tc>
        <w:tc>
          <w:tcPr>
            <w:tcW w:w="900"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1.5</w:t>
            </w:r>
          </w:p>
        </w:tc>
        <w:tc>
          <w:tcPr>
            <w:tcW w:w="899"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70年</w:t>
            </w:r>
          </w:p>
        </w:tc>
        <w:tc>
          <w:tcPr>
            <w:tcW w:w="900"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1.5</w:t>
            </w:r>
          </w:p>
        </w:tc>
        <w:tc>
          <w:tcPr>
            <w:tcW w:w="899"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50年</w:t>
            </w:r>
          </w:p>
        </w:tc>
        <w:tc>
          <w:tcPr>
            <w:tcW w:w="903" w:type="dxa"/>
            <w:tcBorders>
              <w:top w:val="nil"/>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w:t>
            </w:r>
          </w:p>
        </w:tc>
        <w:tc>
          <w:tcPr>
            <w:tcW w:w="1195"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47"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二</w:t>
            </w:r>
          </w:p>
        </w:tc>
        <w:tc>
          <w:tcPr>
            <w:tcW w:w="1032"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出让土地</w:t>
            </w:r>
          </w:p>
          <w:p>
            <w:pPr>
              <w:widowControl/>
              <w:shd w:val="clear" w:color="auto" w:fill="FFFFFF"/>
              <w:spacing w:line="360" w:lineRule="auto"/>
              <w:jc w:val="center"/>
              <w:rPr>
                <w:bCs/>
                <w:kern w:val="0"/>
                <w:sz w:val="20"/>
              </w:rPr>
            </w:pPr>
            <w:r>
              <w:rPr>
                <w:bCs/>
                <w:kern w:val="0"/>
                <w:sz w:val="20"/>
              </w:rPr>
              <w:t>使用权</w:t>
            </w:r>
          </w:p>
        </w:tc>
        <w:tc>
          <w:tcPr>
            <w:tcW w:w="1000" w:type="dxa"/>
            <w:tcBorders>
              <w:top w:val="single" w:color="auto" w:sz="4" w:space="0"/>
              <w:left w:val="nil"/>
              <w:bottom w:val="single" w:color="auto" w:sz="4" w:space="0"/>
              <w:right w:val="nil"/>
            </w:tcBorders>
            <w:vAlign w:val="center"/>
          </w:tcPr>
          <w:p>
            <w:pPr>
              <w:widowControl/>
              <w:shd w:val="clear" w:color="auto" w:fill="FFFFFF"/>
              <w:spacing w:line="360" w:lineRule="auto"/>
              <w:jc w:val="center"/>
              <w:rPr>
                <w:bCs/>
                <w:kern w:val="0"/>
                <w:sz w:val="20"/>
              </w:rPr>
            </w:pPr>
            <w:r>
              <w:rPr>
                <w:bCs/>
                <w:kern w:val="0"/>
                <w:sz w:val="20"/>
              </w:rPr>
              <w:t>五通一平</w:t>
            </w:r>
          </w:p>
        </w:tc>
        <w:tc>
          <w:tcPr>
            <w:tcW w:w="899"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40年</w:t>
            </w:r>
          </w:p>
        </w:tc>
        <w:tc>
          <w:tcPr>
            <w:tcW w:w="900"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1.2</w:t>
            </w:r>
          </w:p>
        </w:tc>
        <w:tc>
          <w:tcPr>
            <w:tcW w:w="899"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70年</w:t>
            </w:r>
          </w:p>
        </w:tc>
        <w:tc>
          <w:tcPr>
            <w:tcW w:w="900"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1.2</w:t>
            </w:r>
          </w:p>
        </w:tc>
        <w:tc>
          <w:tcPr>
            <w:tcW w:w="899"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50年</w:t>
            </w:r>
          </w:p>
        </w:tc>
        <w:tc>
          <w:tcPr>
            <w:tcW w:w="903" w:type="dxa"/>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jc w:val="center"/>
              <w:rPr>
                <w:bCs/>
                <w:kern w:val="0"/>
                <w:sz w:val="20"/>
              </w:rPr>
            </w:pPr>
            <w:r>
              <w:rPr>
                <w:bCs/>
                <w:kern w:val="0"/>
                <w:sz w:val="20"/>
              </w:rPr>
              <w:t>1</w:t>
            </w:r>
          </w:p>
        </w:tc>
        <w:tc>
          <w:tcPr>
            <w:tcW w:w="1195" w:type="dxa"/>
            <w:tcBorders>
              <w:top w:val="single" w:color="auto" w:sz="4" w:space="0"/>
              <w:left w:val="nil"/>
              <w:bottom w:val="single" w:color="auto" w:sz="4" w:space="0"/>
              <w:right w:val="single" w:color="auto" w:sz="4" w:space="0"/>
            </w:tcBorders>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表5-4-4  乡镇公共管理与公共服务用地基准地价内涵</w:t>
      </w:r>
    </w:p>
    <w:tbl>
      <w:tblPr>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138"/>
        <w:gridCol w:w="1248"/>
        <w:gridCol w:w="974"/>
        <w:gridCol w:w="1006"/>
        <w:gridCol w:w="960"/>
        <w:gridCol w:w="906"/>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901" w:type="dxa"/>
            <w:vMerge w:val="restart"/>
            <w:vAlign w:val="center"/>
          </w:tcPr>
          <w:p>
            <w:pPr>
              <w:widowControl/>
              <w:jc w:val="center"/>
              <w:rPr>
                <w:b/>
                <w:color w:val="000000"/>
                <w:kern w:val="0"/>
                <w:sz w:val="20"/>
              </w:rPr>
            </w:pPr>
            <w:r>
              <w:rPr>
                <w:b/>
                <w:color w:val="000000"/>
                <w:kern w:val="0"/>
                <w:sz w:val="20"/>
              </w:rPr>
              <w:t>级别</w:t>
            </w:r>
          </w:p>
        </w:tc>
        <w:tc>
          <w:tcPr>
            <w:tcW w:w="1138" w:type="dxa"/>
            <w:vMerge w:val="restart"/>
            <w:vAlign w:val="center"/>
          </w:tcPr>
          <w:p>
            <w:pPr>
              <w:widowControl/>
              <w:jc w:val="center"/>
              <w:rPr>
                <w:b/>
                <w:color w:val="000000"/>
                <w:kern w:val="0"/>
                <w:sz w:val="20"/>
              </w:rPr>
            </w:pPr>
            <w:r>
              <w:rPr>
                <w:b/>
                <w:color w:val="000000"/>
                <w:kern w:val="0"/>
                <w:sz w:val="20"/>
              </w:rPr>
              <w:t>土地权利</w:t>
            </w:r>
          </w:p>
        </w:tc>
        <w:tc>
          <w:tcPr>
            <w:tcW w:w="1248" w:type="dxa"/>
            <w:vMerge w:val="restart"/>
            <w:vAlign w:val="center"/>
          </w:tcPr>
          <w:p>
            <w:pPr>
              <w:widowControl/>
              <w:jc w:val="center"/>
              <w:rPr>
                <w:b/>
                <w:color w:val="000000"/>
                <w:kern w:val="0"/>
                <w:sz w:val="20"/>
              </w:rPr>
            </w:pPr>
            <w:r>
              <w:rPr>
                <w:b/>
                <w:color w:val="000000"/>
                <w:kern w:val="0"/>
                <w:sz w:val="20"/>
              </w:rPr>
              <w:t>开发程度</w:t>
            </w:r>
          </w:p>
        </w:tc>
        <w:tc>
          <w:tcPr>
            <w:tcW w:w="1980" w:type="dxa"/>
            <w:gridSpan w:val="2"/>
            <w:vAlign w:val="center"/>
          </w:tcPr>
          <w:p>
            <w:pPr>
              <w:widowControl/>
              <w:jc w:val="center"/>
              <w:rPr>
                <w:b/>
                <w:color w:val="000000"/>
                <w:kern w:val="0"/>
                <w:sz w:val="20"/>
              </w:rPr>
            </w:pPr>
            <w:r>
              <w:rPr>
                <w:b/>
                <w:color w:val="000000"/>
                <w:kern w:val="0"/>
                <w:sz w:val="20"/>
              </w:rPr>
              <w:t>一类用地</w:t>
            </w:r>
          </w:p>
        </w:tc>
        <w:tc>
          <w:tcPr>
            <w:tcW w:w="1866" w:type="dxa"/>
            <w:gridSpan w:val="2"/>
            <w:vAlign w:val="center"/>
          </w:tcPr>
          <w:p>
            <w:pPr>
              <w:widowControl/>
              <w:jc w:val="center"/>
              <w:rPr>
                <w:b/>
                <w:color w:val="000000"/>
                <w:kern w:val="0"/>
                <w:sz w:val="20"/>
              </w:rPr>
            </w:pPr>
            <w:r>
              <w:rPr>
                <w:b/>
                <w:color w:val="000000"/>
                <w:kern w:val="0"/>
                <w:sz w:val="20"/>
              </w:rPr>
              <w:t>二类用地</w:t>
            </w:r>
          </w:p>
        </w:tc>
        <w:tc>
          <w:tcPr>
            <w:tcW w:w="1395" w:type="dxa"/>
            <w:vMerge w:val="restart"/>
            <w:vAlign w:val="center"/>
          </w:tcPr>
          <w:p>
            <w:pPr>
              <w:widowControl/>
              <w:spacing w:line="360" w:lineRule="exact"/>
              <w:jc w:val="center"/>
              <w:rPr>
                <w:bCs/>
                <w:kern w:val="0"/>
                <w:szCs w:val="21"/>
              </w:rPr>
            </w:pPr>
            <w:r>
              <w:rPr>
                <w:b/>
                <w:color w:val="000000"/>
                <w:kern w:val="0"/>
                <w:sz w:val="20"/>
              </w:rPr>
              <w:t>基准日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901" w:type="dxa"/>
            <w:vMerge w:val="continue"/>
            <w:vAlign w:val="center"/>
          </w:tcPr>
          <w:p>
            <w:pPr>
              <w:widowControl/>
              <w:jc w:val="center"/>
              <w:rPr>
                <w:b/>
                <w:color w:val="000000"/>
                <w:kern w:val="0"/>
                <w:sz w:val="20"/>
              </w:rPr>
            </w:pPr>
          </w:p>
        </w:tc>
        <w:tc>
          <w:tcPr>
            <w:tcW w:w="1138" w:type="dxa"/>
            <w:vMerge w:val="continue"/>
            <w:vAlign w:val="center"/>
          </w:tcPr>
          <w:p>
            <w:pPr>
              <w:widowControl/>
              <w:jc w:val="center"/>
              <w:rPr>
                <w:b/>
                <w:color w:val="000000"/>
                <w:kern w:val="0"/>
                <w:sz w:val="20"/>
              </w:rPr>
            </w:pPr>
          </w:p>
        </w:tc>
        <w:tc>
          <w:tcPr>
            <w:tcW w:w="1248" w:type="dxa"/>
            <w:vMerge w:val="continue"/>
            <w:vAlign w:val="center"/>
          </w:tcPr>
          <w:p>
            <w:pPr>
              <w:widowControl/>
              <w:jc w:val="center"/>
              <w:rPr>
                <w:b/>
                <w:color w:val="000000"/>
                <w:kern w:val="0"/>
                <w:sz w:val="20"/>
              </w:rPr>
            </w:pPr>
          </w:p>
        </w:tc>
        <w:tc>
          <w:tcPr>
            <w:tcW w:w="974" w:type="dxa"/>
            <w:vAlign w:val="center"/>
          </w:tcPr>
          <w:p>
            <w:pPr>
              <w:widowControl/>
              <w:jc w:val="center"/>
              <w:rPr>
                <w:b/>
                <w:color w:val="000000"/>
                <w:kern w:val="0"/>
                <w:sz w:val="20"/>
              </w:rPr>
            </w:pPr>
            <w:r>
              <w:rPr>
                <w:b/>
                <w:color w:val="000000"/>
                <w:kern w:val="0"/>
                <w:sz w:val="20"/>
              </w:rPr>
              <w:t>年期</w:t>
            </w:r>
          </w:p>
        </w:tc>
        <w:tc>
          <w:tcPr>
            <w:tcW w:w="1006" w:type="dxa"/>
            <w:vAlign w:val="center"/>
          </w:tcPr>
          <w:p>
            <w:pPr>
              <w:widowControl/>
              <w:jc w:val="center"/>
              <w:rPr>
                <w:b/>
                <w:color w:val="000000"/>
                <w:kern w:val="0"/>
                <w:sz w:val="20"/>
              </w:rPr>
            </w:pPr>
            <w:r>
              <w:rPr>
                <w:b/>
                <w:color w:val="000000"/>
                <w:kern w:val="0"/>
                <w:sz w:val="20"/>
              </w:rPr>
              <w:t>容积率</w:t>
            </w:r>
          </w:p>
        </w:tc>
        <w:tc>
          <w:tcPr>
            <w:tcW w:w="960" w:type="dxa"/>
            <w:vAlign w:val="center"/>
          </w:tcPr>
          <w:p>
            <w:pPr>
              <w:widowControl/>
              <w:jc w:val="center"/>
              <w:rPr>
                <w:b/>
                <w:color w:val="000000"/>
                <w:kern w:val="0"/>
                <w:sz w:val="20"/>
              </w:rPr>
            </w:pPr>
            <w:r>
              <w:rPr>
                <w:b/>
                <w:color w:val="000000"/>
                <w:kern w:val="0"/>
                <w:sz w:val="20"/>
              </w:rPr>
              <w:t>年期</w:t>
            </w:r>
          </w:p>
        </w:tc>
        <w:tc>
          <w:tcPr>
            <w:tcW w:w="906" w:type="dxa"/>
            <w:vAlign w:val="center"/>
          </w:tcPr>
          <w:p>
            <w:pPr>
              <w:widowControl/>
              <w:jc w:val="center"/>
              <w:rPr>
                <w:b/>
                <w:color w:val="000000"/>
                <w:kern w:val="0"/>
                <w:sz w:val="20"/>
              </w:rPr>
            </w:pPr>
            <w:r>
              <w:rPr>
                <w:b/>
                <w:color w:val="000000"/>
                <w:kern w:val="0"/>
                <w:sz w:val="20"/>
              </w:rPr>
              <w:t>容积率</w:t>
            </w:r>
          </w:p>
        </w:tc>
        <w:tc>
          <w:tcPr>
            <w:tcW w:w="1395" w:type="dxa"/>
            <w:vMerge w:val="continue"/>
            <w:vAlign w:val="center"/>
          </w:tcPr>
          <w:p>
            <w:pPr>
              <w:widowControl/>
              <w:spacing w:line="360" w:lineRule="exact"/>
              <w:jc w:val="center"/>
              <w:rPr>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1" w:type="dxa"/>
            <w:vAlign w:val="center"/>
          </w:tcPr>
          <w:p>
            <w:pPr>
              <w:widowControl/>
              <w:shd w:val="clear" w:color="auto" w:fill="FFFFFF"/>
              <w:jc w:val="center"/>
              <w:rPr>
                <w:bCs/>
                <w:kern w:val="0"/>
                <w:sz w:val="20"/>
              </w:rPr>
            </w:pPr>
            <w:r>
              <w:rPr>
                <w:bCs/>
                <w:kern w:val="0"/>
                <w:sz w:val="20"/>
              </w:rPr>
              <w:t>Ⅰ</w:t>
            </w:r>
          </w:p>
        </w:tc>
        <w:tc>
          <w:tcPr>
            <w:tcW w:w="1138" w:type="dxa"/>
            <w:vAlign w:val="center"/>
          </w:tcPr>
          <w:p>
            <w:pPr>
              <w:widowControl/>
              <w:shd w:val="clear" w:color="auto" w:fill="FFFFFF"/>
              <w:jc w:val="center"/>
              <w:rPr>
                <w:bCs/>
                <w:kern w:val="0"/>
                <w:sz w:val="20"/>
              </w:rPr>
            </w:pPr>
            <w:r>
              <w:rPr>
                <w:bCs/>
                <w:kern w:val="0"/>
                <w:sz w:val="20"/>
              </w:rPr>
              <w:t>出让土地使用权</w:t>
            </w:r>
          </w:p>
        </w:tc>
        <w:tc>
          <w:tcPr>
            <w:tcW w:w="1248" w:type="dxa"/>
            <w:vAlign w:val="center"/>
          </w:tcPr>
          <w:p>
            <w:pPr>
              <w:widowControl/>
              <w:shd w:val="clear" w:color="auto" w:fill="FFFFFF"/>
              <w:jc w:val="center"/>
              <w:rPr>
                <w:bCs/>
                <w:kern w:val="0"/>
                <w:sz w:val="20"/>
              </w:rPr>
            </w:pPr>
            <w:r>
              <w:rPr>
                <w:bCs/>
                <w:kern w:val="0"/>
                <w:sz w:val="20"/>
              </w:rPr>
              <w:t>五通一平</w:t>
            </w:r>
          </w:p>
        </w:tc>
        <w:tc>
          <w:tcPr>
            <w:tcW w:w="974" w:type="dxa"/>
            <w:vAlign w:val="center"/>
          </w:tcPr>
          <w:p>
            <w:pPr>
              <w:widowControl/>
              <w:shd w:val="clear" w:color="auto" w:fill="FFFFFF"/>
              <w:jc w:val="center"/>
              <w:rPr>
                <w:bCs/>
                <w:kern w:val="0"/>
                <w:sz w:val="20"/>
              </w:rPr>
            </w:pPr>
            <w:r>
              <w:rPr>
                <w:bCs/>
                <w:kern w:val="0"/>
                <w:sz w:val="20"/>
              </w:rPr>
              <w:t>50年</w:t>
            </w:r>
          </w:p>
        </w:tc>
        <w:tc>
          <w:tcPr>
            <w:tcW w:w="1006" w:type="dxa"/>
            <w:vAlign w:val="center"/>
          </w:tcPr>
          <w:p>
            <w:pPr>
              <w:widowControl/>
              <w:shd w:val="clear" w:color="auto" w:fill="FFFFFF"/>
              <w:jc w:val="center"/>
              <w:rPr>
                <w:bCs/>
                <w:kern w:val="0"/>
                <w:sz w:val="20"/>
              </w:rPr>
            </w:pPr>
            <w:r>
              <w:rPr>
                <w:bCs/>
                <w:kern w:val="0"/>
                <w:sz w:val="20"/>
              </w:rPr>
              <w:t>1.4</w:t>
            </w:r>
          </w:p>
        </w:tc>
        <w:tc>
          <w:tcPr>
            <w:tcW w:w="960" w:type="dxa"/>
            <w:vAlign w:val="center"/>
          </w:tcPr>
          <w:p>
            <w:pPr>
              <w:widowControl/>
              <w:shd w:val="clear" w:color="auto" w:fill="FFFFFF"/>
              <w:jc w:val="center"/>
              <w:rPr>
                <w:bCs/>
                <w:kern w:val="0"/>
                <w:sz w:val="20"/>
              </w:rPr>
            </w:pPr>
            <w:r>
              <w:rPr>
                <w:bCs/>
                <w:kern w:val="0"/>
                <w:sz w:val="20"/>
              </w:rPr>
              <w:t>50年</w:t>
            </w:r>
          </w:p>
        </w:tc>
        <w:tc>
          <w:tcPr>
            <w:tcW w:w="906" w:type="dxa"/>
            <w:vAlign w:val="center"/>
          </w:tcPr>
          <w:p>
            <w:pPr>
              <w:widowControl/>
              <w:shd w:val="clear" w:color="auto" w:fill="FFFFFF"/>
              <w:jc w:val="center"/>
              <w:rPr>
                <w:bCs/>
                <w:kern w:val="0"/>
                <w:sz w:val="20"/>
              </w:rPr>
            </w:pPr>
            <w:r>
              <w:rPr>
                <w:bCs/>
                <w:kern w:val="0"/>
                <w:sz w:val="20"/>
              </w:rPr>
              <w:t>1</w:t>
            </w:r>
          </w:p>
        </w:tc>
        <w:tc>
          <w:tcPr>
            <w:tcW w:w="1395" w:type="dxa"/>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1" w:type="dxa"/>
            <w:vAlign w:val="center"/>
          </w:tcPr>
          <w:p>
            <w:pPr>
              <w:widowControl/>
              <w:shd w:val="clear" w:color="auto" w:fill="FFFFFF"/>
              <w:jc w:val="center"/>
              <w:rPr>
                <w:bCs/>
                <w:kern w:val="0"/>
                <w:sz w:val="20"/>
              </w:rPr>
            </w:pPr>
            <w:r>
              <w:rPr>
                <w:bCs/>
                <w:kern w:val="0"/>
                <w:sz w:val="20"/>
              </w:rPr>
              <w:t>Ⅱ</w:t>
            </w:r>
          </w:p>
        </w:tc>
        <w:tc>
          <w:tcPr>
            <w:tcW w:w="1138" w:type="dxa"/>
            <w:vAlign w:val="center"/>
          </w:tcPr>
          <w:p>
            <w:pPr>
              <w:widowControl/>
              <w:shd w:val="clear" w:color="auto" w:fill="FFFFFF"/>
              <w:jc w:val="center"/>
              <w:rPr>
                <w:bCs/>
                <w:kern w:val="0"/>
                <w:sz w:val="20"/>
              </w:rPr>
            </w:pPr>
            <w:r>
              <w:rPr>
                <w:bCs/>
                <w:kern w:val="0"/>
                <w:sz w:val="20"/>
              </w:rPr>
              <w:t>出让土地使用权</w:t>
            </w:r>
          </w:p>
        </w:tc>
        <w:tc>
          <w:tcPr>
            <w:tcW w:w="1248" w:type="dxa"/>
            <w:vAlign w:val="center"/>
          </w:tcPr>
          <w:p>
            <w:pPr>
              <w:widowControl/>
              <w:shd w:val="clear" w:color="auto" w:fill="FFFFFF"/>
              <w:jc w:val="center"/>
              <w:rPr>
                <w:bCs/>
                <w:kern w:val="0"/>
                <w:sz w:val="20"/>
              </w:rPr>
            </w:pPr>
            <w:r>
              <w:rPr>
                <w:bCs/>
                <w:kern w:val="0"/>
                <w:sz w:val="20"/>
              </w:rPr>
              <w:t>五通一平</w:t>
            </w:r>
          </w:p>
        </w:tc>
        <w:tc>
          <w:tcPr>
            <w:tcW w:w="974" w:type="dxa"/>
            <w:vAlign w:val="center"/>
          </w:tcPr>
          <w:p>
            <w:pPr>
              <w:widowControl/>
              <w:shd w:val="clear" w:color="auto" w:fill="FFFFFF"/>
              <w:jc w:val="center"/>
              <w:rPr>
                <w:bCs/>
                <w:kern w:val="0"/>
                <w:sz w:val="20"/>
              </w:rPr>
            </w:pPr>
            <w:r>
              <w:rPr>
                <w:bCs/>
                <w:kern w:val="0"/>
                <w:sz w:val="20"/>
              </w:rPr>
              <w:t>50年</w:t>
            </w:r>
          </w:p>
        </w:tc>
        <w:tc>
          <w:tcPr>
            <w:tcW w:w="1006" w:type="dxa"/>
            <w:vAlign w:val="center"/>
          </w:tcPr>
          <w:p>
            <w:pPr>
              <w:widowControl/>
              <w:shd w:val="clear" w:color="auto" w:fill="FFFFFF"/>
              <w:jc w:val="center"/>
              <w:rPr>
                <w:bCs/>
                <w:kern w:val="0"/>
                <w:sz w:val="20"/>
              </w:rPr>
            </w:pPr>
            <w:r>
              <w:rPr>
                <w:bCs/>
                <w:kern w:val="0"/>
                <w:sz w:val="20"/>
              </w:rPr>
              <w:t>1.4</w:t>
            </w:r>
          </w:p>
        </w:tc>
        <w:tc>
          <w:tcPr>
            <w:tcW w:w="960" w:type="dxa"/>
            <w:vAlign w:val="center"/>
          </w:tcPr>
          <w:p>
            <w:pPr>
              <w:widowControl/>
              <w:shd w:val="clear" w:color="auto" w:fill="FFFFFF"/>
              <w:jc w:val="center"/>
              <w:rPr>
                <w:bCs/>
                <w:kern w:val="0"/>
                <w:sz w:val="20"/>
              </w:rPr>
            </w:pPr>
            <w:r>
              <w:rPr>
                <w:bCs/>
                <w:kern w:val="0"/>
                <w:sz w:val="20"/>
              </w:rPr>
              <w:t>50年</w:t>
            </w:r>
          </w:p>
        </w:tc>
        <w:tc>
          <w:tcPr>
            <w:tcW w:w="906" w:type="dxa"/>
            <w:vAlign w:val="center"/>
          </w:tcPr>
          <w:p>
            <w:pPr>
              <w:widowControl/>
              <w:shd w:val="clear" w:color="auto" w:fill="FFFFFF"/>
              <w:jc w:val="center"/>
              <w:rPr>
                <w:bCs/>
                <w:kern w:val="0"/>
                <w:sz w:val="20"/>
              </w:rPr>
            </w:pPr>
            <w:r>
              <w:rPr>
                <w:bCs/>
                <w:kern w:val="0"/>
                <w:sz w:val="20"/>
              </w:rPr>
              <w:t>1</w:t>
            </w:r>
          </w:p>
        </w:tc>
        <w:tc>
          <w:tcPr>
            <w:tcW w:w="1395" w:type="dxa"/>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bl>
    <w:p>
      <w:pPr>
        <w:snapToGrid w:val="0"/>
        <w:spacing w:line="440" w:lineRule="exact"/>
        <w:jc w:val="center"/>
        <w:rPr>
          <w:b/>
          <w:bCs/>
          <w:color w:val="000000"/>
          <w:kern w:val="0"/>
          <w:sz w:val="24"/>
          <w:szCs w:val="22"/>
        </w:rPr>
      </w:pPr>
      <w:bookmarkStart w:id="953" w:name="_Toc25315"/>
      <w:r>
        <w:rPr>
          <w:b/>
          <w:bCs/>
          <w:color w:val="000000"/>
          <w:kern w:val="0"/>
          <w:sz w:val="24"/>
          <w:szCs w:val="22"/>
        </w:rPr>
        <w:t>表</w:t>
      </w:r>
      <w:r>
        <w:rPr>
          <w:rFonts w:hint="eastAsia"/>
          <w:b/>
          <w:bCs/>
          <w:color w:val="000000"/>
          <w:kern w:val="0"/>
          <w:sz w:val="24"/>
          <w:szCs w:val="22"/>
        </w:rPr>
        <w:t>5</w:t>
      </w:r>
      <w:r>
        <w:rPr>
          <w:b/>
          <w:bCs/>
          <w:color w:val="000000"/>
          <w:kern w:val="0"/>
          <w:sz w:val="24"/>
          <w:szCs w:val="22"/>
        </w:rPr>
        <w:t>-</w:t>
      </w:r>
      <w:r>
        <w:rPr>
          <w:rFonts w:hint="eastAsia"/>
          <w:b/>
          <w:bCs/>
          <w:color w:val="000000"/>
          <w:kern w:val="0"/>
          <w:sz w:val="24"/>
          <w:szCs w:val="22"/>
        </w:rPr>
        <w:t>4</w:t>
      </w:r>
      <w:r>
        <w:rPr>
          <w:b/>
          <w:bCs/>
          <w:color w:val="000000"/>
          <w:kern w:val="0"/>
          <w:sz w:val="24"/>
          <w:szCs w:val="22"/>
        </w:rPr>
        <w:t>-</w:t>
      </w:r>
      <w:r>
        <w:rPr>
          <w:rFonts w:hint="eastAsia"/>
          <w:b/>
          <w:bCs/>
          <w:color w:val="000000"/>
          <w:kern w:val="0"/>
          <w:sz w:val="24"/>
          <w:szCs w:val="22"/>
        </w:rPr>
        <w:t>5</w:t>
      </w:r>
      <w:r>
        <w:rPr>
          <w:b/>
          <w:bCs/>
          <w:color w:val="000000"/>
          <w:kern w:val="0"/>
          <w:sz w:val="24"/>
          <w:szCs w:val="22"/>
        </w:rPr>
        <w:t xml:space="preserve"> 长沙县乡镇</w:t>
      </w:r>
      <w:r>
        <w:rPr>
          <w:rFonts w:hint="eastAsia"/>
          <w:b/>
          <w:bCs/>
          <w:color w:val="000000"/>
          <w:kern w:val="0"/>
          <w:sz w:val="24"/>
          <w:szCs w:val="22"/>
        </w:rPr>
        <w:t>公共管理与公共服务用地</w:t>
      </w:r>
      <w:r>
        <w:rPr>
          <w:b/>
          <w:bCs/>
          <w:color w:val="000000"/>
          <w:kern w:val="0"/>
          <w:sz w:val="24"/>
          <w:szCs w:val="22"/>
        </w:rPr>
        <w:t>基准地价内涵</w:t>
      </w:r>
    </w:p>
    <w:tbl>
      <w:tblPr>
        <w:tblW w:w="912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9"/>
        <w:gridCol w:w="1815"/>
        <w:gridCol w:w="1700"/>
        <w:gridCol w:w="897"/>
        <w:gridCol w:w="992"/>
        <w:gridCol w:w="795"/>
        <w:gridCol w:w="1016"/>
        <w:gridCol w:w="1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99"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r>
              <w:rPr>
                <w:b/>
                <w:color w:val="000000"/>
                <w:kern w:val="0"/>
                <w:sz w:val="20"/>
              </w:rPr>
              <w:t>级别</w:t>
            </w:r>
          </w:p>
        </w:tc>
        <w:tc>
          <w:tcPr>
            <w:tcW w:w="181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r>
              <w:rPr>
                <w:b/>
                <w:color w:val="000000"/>
                <w:kern w:val="0"/>
                <w:sz w:val="20"/>
              </w:rPr>
              <w:t>土地权利</w:t>
            </w:r>
          </w:p>
        </w:tc>
        <w:tc>
          <w:tcPr>
            <w:tcW w:w="1700"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r>
              <w:rPr>
                <w:b/>
                <w:color w:val="000000"/>
                <w:kern w:val="0"/>
                <w:sz w:val="20"/>
              </w:rPr>
              <w:t>开发程度</w:t>
            </w:r>
          </w:p>
        </w:tc>
        <w:tc>
          <w:tcPr>
            <w:tcW w:w="1889" w:type="dxa"/>
            <w:gridSpan w:val="2"/>
            <w:tcBorders>
              <w:top w:val="single" w:color="auto" w:sz="4" w:space="0"/>
              <w:left w:val="nil"/>
              <w:bottom w:val="single" w:color="auto" w:sz="4" w:space="0"/>
              <w:right w:val="single" w:color="000000" w:sz="4" w:space="0"/>
            </w:tcBorders>
            <w:vAlign w:val="center"/>
          </w:tcPr>
          <w:p>
            <w:pPr>
              <w:widowControl/>
              <w:jc w:val="center"/>
              <w:rPr>
                <w:b/>
                <w:color w:val="000000"/>
                <w:kern w:val="0"/>
                <w:sz w:val="20"/>
              </w:rPr>
            </w:pPr>
            <w:r>
              <w:rPr>
                <w:b/>
                <w:color w:val="000000"/>
                <w:kern w:val="0"/>
                <w:sz w:val="20"/>
              </w:rPr>
              <w:t>一类项目用地</w:t>
            </w:r>
          </w:p>
        </w:tc>
        <w:tc>
          <w:tcPr>
            <w:tcW w:w="1811" w:type="dxa"/>
            <w:gridSpan w:val="2"/>
            <w:tcBorders>
              <w:top w:val="single" w:color="auto" w:sz="4" w:space="0"/>
              <w:left w:val="nil"/>
              <w:bottom w:val="single" w:color="auto" w:sz="4" w:space="0"/>
              <w:right w:val="single" w:color="000000" w:sz="4" w:space="0"/>
            </w:tcBorders>
            <w:vAlign w:val="center"/>
          </w:tcPr>
          <w:p>
            <w:pPr>
              <w:widowControl/>
              <w:jc w:val="center"/>
              <w:rPr>
                <w:b/>
                <w:color w:val="000000"/>
                <w:kern w:val="0"/>
                <w:sz w:val="20"/>
              </w:rPr>
            </w:pPr>
            <w:r>
              <w:rPr>
                <w:b/>
                <w:color w:val="000000"/>
                <w:kern w:val="0"/>
                <w:sz w:val="20"/>
              </w:rPr>
              <w:t>二类项目用地</w:t>
            </w:r>
          </w:p>
        </w:tc>
        <w:tc>
          <w:tcPr>
            <w:tcW w:w="1110"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r>
              <w:rPr>
                <w:b/>
                <w:color w:val="000000"/>
                <w:kern w:val="0"/>
                <w:sz w:val="20"/>
              </w:rPr>
              <w:t>基准日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1" w:hRule="atLeast"/>
        </w:trPr>
        <w:tc>
          <w:tcPr>
            <w:tcW w:w="799"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p>
        </w:tc>
        <w:tc>
          <w:tcPr>
            <w:tcW w:w="1815"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p>
        </w:tc>
        <w:tc>
          <w:tcPr>
            <w:tcW w:w="1700"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b/>
                <w:color w:val="000000"/>
                <w:kern w:val="0"/>
                <w:sz w:val="20"/>
              </w:rPr>
            </w:pPr>
          </w:p>
        </w:tc>
        <w:tc>
          <w:tcPr>
            <w:tcW w:w="897"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年期</w:t>
            </w:r>
          </w:p>
        </w:tc>
        <w:tc>
          <w:tcPr>
            <w:tcW w:w="992"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795"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年期</w:t>
            </w:r>
          </w:p>
        </w:tc>
        <w:tc>
          <w:tcPr>
            <w:tcW w:w="1016"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1110"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color w:val="000000"/>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6" w:hRule="atLeast"/>
        </w:trPr>
        <w:tc>
          <w:tcPr>
            <w:tcW w:w="799" w:type="dxa"/>
            <w:tcBorders>
              <w:top w:val="nil"/>
              <w:left w:val="single" w:color="auto" w:sz="4" w:space="0"/>
              <w:bottom w:val="single" w:color="auto" w:sz="4" w:space="0"/>
              <w:right w:val="single" w:color="auto" w:sz="4" w:space="0"/>
            </w:tcBorders>
            <w:vAlign w:val="center"/>
          </w:tcPr>
          <w:p>
            <w:pPr>
              <w:widowControl/>
              <w:jc w:val="center"/>
              <w:rPr>
                <w:color w:val="000000"/>
                <w:kern w:val="0"/>
                <w:sz w:val="20"/>
              </w:rPr>
            </w:pPr>
            <w:r>
              <w:rPr>
                <w:color w:val="000000"/>
                <w:kern w:val="0"/>
                <w:sz w:val="20"/>
              </w:rPr>
              <w:t>一</w:t>
            </w:r>
          </w:p>
        </w:tc>
        <w:tc>
          <w:tcPr>
            <w:tcW w:w="1815"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出让土地使用权</w:t>
            </w:r>
          </w:p>
        </w:tc>
        <w:tc>
          <w:tcPr>
            <w:tcW w:w="1700"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五通一平</w:t>
            </w:r>
          </w:p>
        </w:tc>
        <w:tc>
          <w:tcPr>
            <w:tcW w:w="897"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992"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1.6</w:t>
            </w:r>
          </w:p>
        </w:tc>
        <w:tc>
          <w:tcPr>
            <w:tcW w:w="795"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1016"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w:t>
            </w:r>
          </w:p>
        </w:tc>
        <w:tc>
          <w:tcPr>
            <w:tcW w:w="1110"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color w:val="000000"/>
                <w:kern w:val="0"/>
                <w:sz w:val="20"/>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6" w:hRule="atLeast"/>
        </w:trPr>
        <w:tc>
          <w:tcPr>
            <w:tcW w:w="799" w:type="dxa"/>
            <w:tcBorders>
              <w:top w:val="nil"/>
              <w:left w:val="single" w:color="auto" w:sz="4" w:space="0"/>
              <w:bottom w:val="single" w:color="auto" w:sz="4" w:space="0"/>
              <w:right w:val="single" w:color="auto" w:sz="4" w:space="0"/>
            </w:tcBorders>
            <w:vAlign w:val="center"/>
          </w:tcPr>
          <w:p>
            <w:pPr>
              <w:widowControl/>
              <w:jc w:val="center"/>
              <w:rPr>
                <w:color w:val="000000"/>
                <w:kern w:val="0"/>
                <w:sz w:val="20"/>
              </w:rPr>
            </w:pPr>
            <w:r>
              <w:rPr>
                <w:color w:val="000000"/>
                <w:kern w:val="0"/>
                <w:sz w:val="20"/>
              </w:rPr>
              <w:t>二</w:t>
            </w:r>
          </w:p>
        </w:tc>
        <w:tc>
          <w:tcPr>
            <w:tcW w:w="1815"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出让土地使用权</w:t>
            </w:r>
          </w:p>
        </w:tc>
        <w:tc>
          <w:tcPr>
            <w:tcW w:w="1700"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五通一平</w:t>
            </w:r>
          </w:p>
        </w:tc>
        <w:tc>
          <w:tcPr>
            <w:tcW w:w="897"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992"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1.6</w:t>
            </w:r>
          </w:p>
        </w:tc>
        <w:tc>
          <w:tcPr>
            <w:tcW w:w="795"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1016"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w:t>
            </w:r>
          </w:p>
        </w:tc>
        <w:tc>
          <w:tcPr>
            <w:tcW w:w="1110"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color w:val="000000"/>
                <w:kern w:val="0"/>
                <w:sz w:val="20"/>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6" w:hRule="atLeast"/>
        </w:trPr>
        <w:tc>
          <w:tcPr>
            <w:tcW w:w="799" w:type="dxa"/>
            <w:tcBorders>
              <w:top w:val="nil"/>
              <w:left w:val="single" w:color="auto" w:sz="4" w:space="0"/>
              <w:bottom w:val="single" w:color="auto" w:sz="4" w:space="0"/>
              <w:right w:val="single" w:color="auto" w:sz="4" w:space="0"/>
            </w:tcBorders>
            <w:vAlign w:val="center"/>
          </w:tcPr>
          <w:p>
            <w:pPr>
              <w:widowControl/>
              <w:jc w:val="center"/>
              <w:rPr>
                <w:color w:val="000000"/>
                <w:kern w:val="0"/>
                <w:sz w:val="20"/>
              </w:rPr>
            </w:pPr>
            <w:r>
              <w:rPr>
                <w:color w:val="000000"/>
                <w:kern w:val="0"/>
                <w:sz w:val="20"/>
              </w:rPr>
              <w:t>三</w:t>
            </w:r>
          </w:p>
        </w:tc>
        <w:tc>
          <w:tcPr>
            <w:tcW w:w="1815"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出让土地使用权</w:t>
            </w:r>
          </w:p>
        </w:tc>
        <w:tc>
          <w:tcPr>
            <w:tcW w:w="1700"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五通一平</w:t>
            </w:r>
          </w:p>
        </w:tc>
        <w:tc>
          <w:tcPr>
            <w:tcW w:w="897"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992"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1.6</w:t>
            </w:r>
          </w:p>
        </w:tc>
        <w:tc>
          <w:tcPr>
            <w:tcW w:w="795"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50年</w:t>
            </w:r>
          </w:p>
        </w:tc>
        <w:tc>
          <w:tcPr>
            <w:tcW w:w="1016"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w:t>
            </w:r>
          </w:p>
        </w:tc>
        <w:tc>
          <w:tcPr>
            <w:tcW w:w="1110"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color w:val="000000"/>
                <w:kern w:val="0"/>
                <w:sz w:val="20"/>
                <w:lang w:eastAsia="zh-CN"/>
              </w:rPr>
            </w:pPr>
            <w:r>
              <w:rPr>
                <w:rFonts w:hint="eastAsia"/>
                <w:bCs/>
                <w:kern w:val="0"/>
                <w:sz w:val="20"/>
                <w:lang w:eastAsia="zh-CN"/>
              </w:rPr>
              <w:t>2018.3.1</w:t>
            </w:r>
          </w:p>
        </w:tc>
      </w:tr>
    </w:tbl>
    <w:p>
      <w:pPr>
        <w:tabs>
          <w:tab w:val="right" w:pos="9298"/>
        </w:tabs>
        <w:ind w:firstLine="400" w:firstLineChars="200"/>
        <w:rPr>
          <w:b/>
          <w:sz w:val="22"/>
          <w:szCs w:val="21"/>
        </w:rPr>
      </w:pPr>
      <w:r>
        <w:rPr>
          <w:color w:val="000000"/>
          <w:sz w:val="20"/>
        </w:rPr>
        <w:t>备注：公共服务一类用地指机关团体用地、新闻出版用地、教育用地、科研用地、医疗卫生用地、社会福利用地、文化设施用地和体育用地；公共服务二类用地指公用设施用地和公园与绿地。</w:t>
      </w:r>
    </w:p>
    <w:p>
      <w:pPr>
        <w:spacing w:line="600" w:lineRule="exact"/>
        <w:ind w:firstLine="560" w:firstLineChars="200"/>
        <w:outlineLvl w:val="2"/>
        <w:rPr>
          <w:bCs/>
          <w:sz w:val="28"/>
          <w:szCs w:val="28"/>
        </w:rPr>
      </w:pPr>
      <w:bookmarkStart w:id="954" w:name="_Toc7770"/>
      <w:r>
        <w:rPr>
          <w:rFonts w:eastAsia="黑体"/>
          <w:sz w:val="28"/>
          <w:szCs w:val="28"/>
        </w:rPr>
        <w:t>三、乡镇基准地价评估结果</w:t>
      </w:r>
      <w:bookmarkEnd w:id="953"/>
      <w:bookmarkEnd w:id="954"/>
    </w:p>
    <w:p>
      <w:pPr>
        <w:spacing w:line="440" w:lineRule="exact"/>
        <w:ind w:firstLine="561"/>
        <w:rPr>
          <w:rFonts w:eastAsia="楷体_GB2312"/>
          <w:b/>
          <w:sz w:val="28"/>
        </w:rPr>
      </w:pPr>
      <w:bookmarkStart w:id="955" w:name="_Toc440196115"/>
      <w:bookmarkStart w:id="956" w:name="_Toc440194939"/>
      <w:bookmarkStart w:id="957" w:name="_Toc469476258"/>
      <w:bookmarkStart w:id="958" w:name="_Toc452880951"/>
      <w:bookmarkStart w:id="959" w:name="_Toc440195482"/>
      <w:bookmarkStart w:id="960" w:name="_Toc452923360"/>
      <w:bookmarkStart w:id="961" w:name="_Toc469475195"/>
      <w:r>
        <w:rPr>
          <w:rFonts w:eastAsia="黑体"/>
          <w:sz w:val="28"/>
        </w:rPr>
        <w:t>1、级别基准地价确定的方法</w:t>
      </w:r>
    </w:p>
    <w:p>
      <w:pPr>
        <w:spacing w:line="440" w:lineRule="exact"/>
        <w:ind w:firstLine="561"/>
        <w:rPr>
          <w:sz w:val="24"/>
        </w:rPr>
      </w:pPr>
      <w:r>
        <w:rPr>
          <w:sz w:val="24"/>
        </w:rPr>
        <w:t>采用与城区同样的方法对各建制镇基准地价进行评估，以级控价，也采取分为有样点级别和无样点级别两种方法测算级别基准地价，并对各级别及级别地价进行验证。</w:t>
      </w:r>
    </w:p>
    <w:p>
      <w:pPr>
        <w:spacing w:line="440" w:lineRule="exact"/>
        <w:ind w:firstLine="561"/>
        <w:rPr>
          <w:rFonts w:eastAsia="楷体_GB2312"/>
          <w:b/>
          <w:sz w:val="28"/>
        </w:rPr>
      </w:pPr>
      <w:r>
        <w:rPr>
          <w:rFonts w:eastAsia="黑体"/>
          <w:sz w:val="28"/>
        </w:rPr>
        <w:t>2、级别基准地价确定的步骤</w:t>
      </w:r>
    </w:p>
    <w:p>
      <w:pPr>
        <w:spacing w:line="440" w:lineRule="exact"/>
        <w:ind w:firstLine="561"/>
        <w:rPr>
          <w:sz w:val="24"/>
        </w:rPr>
      </w:pPr>
      <w:r>
        <w:rPr>
          <w:sz w:val="24"/>
        </w:rPr>
        <w:t>级别基准地价的确定是在土地级别划分和样点地价测算测算的基础上进行的，本次基准地价评估采用在土地定级的基础上测算级别基准地价，其基本步骤是：</w:t>
      </w:r>
    </w:p>
    <w:p>
      <w:pPr>
        <w:spacing w:line="440" w:lineRule="exact"/>
        <w:ind w:firstLine="561"/>
        <w:rPr>
          <w:sz w:val="24"/>
        </w:rPr>
      </w:pPr>
      <w:r>
        <w:rPr>
          <w:sz w:val="24"/>
        </w:rPr>
        <w:t>（1）确定级别基准地价计算单元。以划定的各用途土地级别为土地级别基准地价计算单元；</w:t>
      </w:r>
    </w:p>
    <w:p>
      <w:pPr>
        <w:spacing w:line="440" w:lineRule="exact"/>
        <w:ind w:firstLine="561"/>
        <w:rPr>
          <w:sz w:val="24"/>
        </w:rPr>
      </w:pPr>
      <w:r>
        <w:rPr>
          <w:sz w:val="24"/>
        </w:rPr>
        <w:t>（2）确定级别范围内的平均地价。按城镇土地估价的技术规程要求，对各级别内各类用地的样点地价进行计算，并将其修正到各级别基准地价内涵状态，用定级界线划分样点归属情况采用算术平均值求得各用途、各级别的基准地价；</w:t>
      </w:r>
    </w:p>
    <w:p>
      <w:pPr>
        <w:spacing w:line="440" w:lineRule="exact"/>
        <w:ind w:firstLine="561"/>
        <w:rPr>
          <w:sz w:val="24"/>
        </w:rPr>
      </w:pPr>
      <w:r>
        <w:rPr>
          <w:sz w:val="24"/>
        </w:rPr>
        <w:t>（3）级别基准地价合理性检验。为验证前述基准地价计算的合理性，进行各用途级间基准地价的显著性检验。经检验，所测算的级别基准地价水平较好地反映了各级别基准地价的变化趋势。</w:t>
      </w:r>
    </w:p>
    <w:p>
      <w:pPr>
        <w:spacing w:line="440" w:lineRule="exact"/>
        <w:ind w:firstLine="480" w:firstLineChars="200"/>
        <w:jc w:val="left"/>
        <w:rPr>
          <w:sz w:val="28"/>
          <w:szCs w:val="28"/>
        </w:rPr>
      </w:pPr>
      <w:r>
        <w:rPr>
          <w:sz w:val="24"/>
        </w:rPr>
        <w:t>经测算得到长沙县各乡镇级别基准地价，表5-4-</w:t>
      </w:r>
      <w:r>
        <w:rPr>
          <w:rFonts w:hint="eastAsia"/>
          <w:sz w:val="24"/>
        </w:rPr>
        <w:t>6、表5-4-7</w:t>
      </w:r>
      <w:r>
        <w:rPr>
          <w:sz w:val="24"/>
        </w:rPr>
        <w:t>。</w:t>
      </w:r>
      <w:bookmarkEnd w:id="955"/>
      <w:bookmarkEnd w:id="956"/>
      <w:bookmarkEnd w:id="957"/>
      <w:bookmarkEnd w:id="958"/>
      <w:bookmarkEnd w:id="959"/>
      <w:bookmarkEnd w:id="960"/>
      <w:bookmarkEnd w:id="961"/>
    </w:p>
    <w:p>
      <w:pPr>
        <w:pStyle w:val="131"/>
        <w:spacing w:beforeLines="50" w:afterLines="50"/>
        <w:ind w:firstLine="0" w:firstLineChars="0"/>
        <w:rPr>
          <w:rFonts w:ascii="Times New Roman" w:hAnsi="Times New Roman"/>
          <w:sz w:val="24"/>
          <w:szCs w:val="24"/>
        </w:rPr>
      </w:pPr>
      <w:bookmarkStart w:id="962" w:name="_Toc469476259"/>
      <w:bookmarkStart w:id="963" w:name="_Toc469475196"/>
      <w:bookmarkStart w:id="964" w:name="_Toc452923361"/>
      <w:r>
        <w:rPr>
          <w:rFonts w:ascii="Times New Roman" w:hAnsi="Times New Roman"/>
          <w:sz w:val="24"/>
          <w:szCs w:val="24"/>
        </w:rPr>
        <w:t>表5-4-</w:t>
      </w:r>
      <w:r>
        <w:rPr>
          <w:rFonts w:hint="eastAsia" w:ascii="Times New Roman" w:hAnsi="Times New Roman"/>
          <w:sz w:val="24"/>
          <w:szCs w:val="24"/>
        </w:rPr>
        <w:t>6</w:t>
      </w:r>
      <w:r>
        <w:rPr>
          <w:rFonts w:ascii="Times New Roman" w:hAnsi="Times New Roman"/>
          <w:sz w:val="24"/>
          <w:szCs w:val="24"/>
        </w:rPr>
        <w:t xml:space="preserve"> 长沙县201</w:t>
      </w:r>
      <w:r>
        <w:rPr>
          <w:rFonts w:hint="eastAsia" w:ascii="Times New Roman" w:hAnsi="Times New Roman"/>
          <w:sz w:val="24"/>
          <w:szCs w:val="24"/>
        </w:rPr>
        <w:t>8</w:t>
      </w:r>
      <w:r>
        <w:rPr>
          <w:rFonts w:ascii="Times New Roman" w:hAnsi="Times New Roman"/>
          <w:sz w:val="24"/>
          <w:szCs w:val="24"/>
        </w:rPr>
        <w:t>年乡镇基准地价表</w:t>
      </w:r>
      <w:bookmarkEnd w:id="962"/>
      <w:bookmarkEnd w:id="963"/>
      <w:bookmarkEnd w:id="964"/>
    </w:p>
    <w:p>
      <w:pPr>
        <w:adjustRightInd w:val="0"/>
        <w:snapToGrid w:val="0"/>
        <w:spacing w:line="360" w:lineRule="auto"/>
        <w:ind w:firstLine="402" w:firstLineChars="200"/>
        <w:jc w:val="right"/>
        <w:rPr>
          <w:b/>
          <w:sz w:val="20"/>
        </w:rPr>
      </w:pPr>
      <w:r>
        <w:rPr>
          <w:b/>
          <w:sz w:val="20"/>
        </w:rPr>
        <w:t>单位：元/平方米</w:t>
      </w:r>
    </w:p>
    <w:tbl>
      <w:tblPr>
        <w:tblW w:w="90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16"/>
        <w:gridCol w:w="2553"/>
        <w:gridCol w:w="1135"/>
        <w:gridCol w:w="1275"/>
        <w:gridCol w:w="1277"/>
        <w:gridCol w:w="11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exact"/>
          <w:jc w:val="center"/>
        </w:trPr>
        <w:tc>
          <w:tcPr>
            <w:tcW w:w="1616" w:type="dxa"/>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Cs w:val="21"/>
              </w:rPr>
            </w:pPr>
            <w:r>
              <w:rPr>
                <w:b/>
                <w:color w:val="000000"/>
                <w:kern w:val="0"/>
                <w:szCs w:val="21"/>
              </w:rPr>
              <w:t>级别</w:t>
            </w:r>
          </w:p>
        </w:tc>
        <w:tc>
          <w:tcPr>
            <w:tcW w:w="2553" w:type="dxa"/>
            <w:tcBorders>
              <w:top w:val="single" w:color="auto" w:sz="4" w:space="0"/>
              <w:left w:val="nil"/>
              <w:bottom w:val="single" w:color="auto" w:sz="4" w:space="0"/>
              <w:right w:val="single" w:color="auto" w:sz="4" w:space="0"/>
            </w:tcBorders>
            <w:vAlign w:val="center"/>
          </w:tcPr>
          <w:p>
            <w:pPr>
              <w:widowControl/>
              <w:jc w:val="center"/>
              <w:rPr>
                <w:b/>
                <w:color w:val="000000"/>
                <w:kern w:val="0"/>
                <w:szCs w:val="21"/>
              </w:rPr>
            </w:pPr>
            <w:r>
              <w:rPr>
                <w:b/>
                <w:color w:val="000000"/>
                <w:kern w:val="0"/>
                <w:szCs w:val="21"/>
              </w:rPr>
              <w:t>乡镇名称</w:t>
            </w:r>
          </w:p>
        </w:tc>
        <w:tc>
          <w:tcPr>
            <w:tcW w:w="1135" w:type="dxa"/>
            <w:tcBorders>
              <w:top w:val="single" w:color="auto" w:sz="4" w:space="0"/>
              <w:left w:val="nil"/>
              <w:bottom w:val="single" w:color="auto" w:sz="4" w:space="0"/>
              <w:right w:val="single" w:color="auto" w:sz="4" w:space="0"/>
            </w:tcBorders>
            <w:vAlign w:val="center"/>
          </w:tcPr>
          <w:p>
            <w:pPr>
              <w:widowControl/>
              <w:jc w:val="center"/>
              <w:rPr>
                <w:b/>
                <w:color w:val="000000"/>
                <w:kern w:val="0"/>
                <w:szCs w:val="21"/>
              </w:rPr>
            </w:pPr>
            <w:r>
              <w:rPr>
                <w:b/>
                <w:color w:val="000000"/>
                <w:kern w:val="0"/>
                <w:szCs w:val="21"/>
              </w:rPr>
              <w:t>用途</w:t>
            </w:r>
          </w:p>
        </w:tc>
        <w:tc>
          <w:tcPr>
            <w:tcW w:w="1275" w:type="dxa"/>
            <w:tcBorders>
              <w:top w:val="single" w:color="auto" w:sz="4" w:space="0"/>
              <w:left w:val="nil"/>
              <w:bottom w:val="single" w:color="auto" w:sz="4" w:space="0"/>
              <w:right w:val="single" w:color="auto" w:sz="4" w:space="0"/>
            </w:tcBorders>
            <w:vAlign w:val="center"/>
          </w:tcPr>
          <w:p>
            <w:pPr>
              <w:widowControl/>
              <w:jc w:val="center"/>
              <w:rPr>
                <w:b/>
                <w:color w:val="000000"/>
                <w:kern w:val="0"/>
                <w:szCs w:val="21"/>
              </w:rPr>
            </w:pPr>
            <w:r>
              <w:rPr>
                <w:b/>
                <w:color w:val="000000"/>
                <w:kern w:val="0"/>
                <w:szCs w:val="21"/>
              </w:rPr>
              <w:t>一级</w:t>
            </w:r>
          </w:p>
        </w:tc>
        <w:tc>
          <w:tcPr>
            <w:tcW w:w="1277" w:type="dxa"/>
            <w:tcBorders>
              <w:top w:val="single" w:color="auto" w:sz="4" w:space="0"/>
              <w:left w:val="nil"/>
              <w:bottom w:val="single" w:color="auto" w:sz="4" w:space="0"/>
              <w:right w:val="single" w:color="auto" w:sz="4" w:space="0"/>
            </w:tcBorders>
            <w:vAlign w:val="center"/>
          </w:tcPr>
          <w:p>
            <w:pPr>
              <w:widowControl/>
              <w:jc w:val="center"/>
              <w:rPr>
                <w:b/>
                <w:color w:val="000000"/>
                <w:kern w:val="0"/>
                <w:szCs w:val="21"/>
              </w:rPr>
            </w:pPr>
            <w:r>
              <w:rPr>
                <w:b/>
                <w:color w:val="000000"/>
                <w:kern w:val="0"/>
                <w:szCs w:val="21"/>
              </w:rPr>
              <w:t>二级</w:t>
            </w:r>
          </w:p>
        </w:tc>
        <w:tc>
          <w:tcPr>
            <w:tcW w:w="1146" w:type="dxa"/>
            <w:tcBorders>
              <w:top w:val="single" w:color="auto" w:sz="4" w:space="0"/>
              <w:left w:val="nil"/>
              <w:bottom w:val="single" w:color="auto" w:sz="4" w:space="0"/>
              <w:right w:val="single" w:color="auto" w:sz="4" w:space="0"/>
            </w:tcBorders>
            <w:vAlign w:val="center"/>
          </w:tcPr>
          <w:p>
            <w:pPr>
              <w:widowControl/>
              <w:jc w:val="center"/>
              <w:rPr>
                <w:b/>
                <w:color w:val="000000"/>
                <w:kern w:val="0"/>
                <w:szCs w:val="21"/>
              </w:rPr>
            </w:pPr>
            <w:r>
              <w:rPr>
                <w:b/>
                <w:color w:val="000000"/>
                <w:kern w:val="0"/>
                <w:szCs w:val="21"/>
              </w:rPr>
              <w:t>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restart"/>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与市区对接的</w:t>
            </w:r>
          </w:p>
          <w:p>
            <w:pPr>
              <w:widowControl/>
              <w:shd w:val="clear" w:color="auto" w:fill="FFFFFF"/>
              <w:jc w:val="center"/>
              <w:rPr>
                <w:bCs/>
                <w:kern w:val="0"/>
                <w:sz w:val="20"/>
              </w:rPr>
            </w:pPr>
            <w:r>
              <w:rPr>
                <w:bCs/>
                <w:kern w:val="0"/>
                <w:sz w:val="20"/>
              </w:rPr>
              <w:t>重点区域</w:t>
            </w:r>
          </w:p>
        </w:tc>
        <w:tc>
          <w:tcPr>
            <w:tcW w:w="2553" w:type="dxa"/>
            <w:vMerge w:val="restart"/>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榔梨街道、黄兴镇</w:t>
            </w:r>
          </w:p>
        </w:tc>
        <w:tc>
          <w:tcPr>
            <w:tcW w:w="1135"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商服</w:t>
            </w:r>
          </w:p>
        </w:tc>
        <w:tc>
          <w:tcPr>
            <w:tcW w:w="1275" w:type="dxa"/>
            <w:tcBorders>
              <w:top w:val="single" w:color="auto" w:sz="4" w:space="0"/>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2350</w:t>
            </w:r>
          </w:p>
        </w:tc>
        <w:tc>
          <w:tcPr>
            <w:tcW w:w="1277" w:type="dxa"/>
            <w:tcBorders>
              <w:top w:val="single" w:color="auto" w:sz="4" w:space="0"/>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1690</w:t>
            </w:r>
          </w:p>
        </w:tc>
        <w:tc>
          <w:tcPr>
            <w:tcW w:w="1146" w:type="dxa"/>
            <w:tcBorders>
              <w:top w:val="single" w:color="auto" w:sz="4" w:space="0"/>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1160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2553"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p>
        </w:tc>
        <w:tc>
          <w:tcPr>
            <w:tcW w:w="1135"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住宅</w:t>
            </w:r>
          </w:p>
        </w:tc>
        <w:tc>
          <w:tcPr>
            <w:tcW w:w="1275" w:type="dxa"/>
            <w:tcBorders>
              <w:top w:val="single" w:color="auto" w:sz="4" w:space="0"/>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2120</w:t>
            </w:r>
          </w:p>
        </w:tc>
        <w:tc>
          <w:tcPr>
            <w:tcW w:w="1277" w:type="dxa"/>
            <w:tcBorders>
              <w:top w:val="single" w:color="auto" w:sz="4" w:space="0"/>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1560</w:t>
            </w:r>
          </w:p>
        </w:tc>
        <w:tc>
          <w:tcPr>
            <w:tcW w:w="1146" w:type="dxa"/>
            <w:tcBorders>
              <w:top w:val="single" w:color="auto" w:sz="4" w:space="0"/>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2553" w:type="dxa"/>
            <w:vMerge w:val="continue"/>
            <w:tcBorders>
              <w:top w:val="nil"/>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p>
        </w:tc>
        <w:tc>
          <w:tcPr>
            <w:tcW w:w="1135"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工矿仓储</w:t>
            </w:r>
          </w:p>
        </w:tc>
        <w:tc>
          <w:tcPr>
            <w:tcW w:w="1275"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650</w:t>
            </w:r>
          </w:p>
        </w:tc>
        <w:tc>
          <w:tcPr>
            <w:tcW w:w="1277"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500</w:t>
            </w:r>
          </w:p>
        </w:tc>
        <w:tc>
          <w:tcPr>
            <w:tcW w:w="1146"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40" w:hRule="exact"/>
          <w:jc w:val="center"/>
        </w:trPr>
        <w:tc>
          <w:tcPr>
            <w:tcW w:w="1616" w:type="dxa"/>
            <w:vMerge w:val="restart"/>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r>
              <w:rPr>
                <w:bCs/>
                <w:kern w:val="0"/>
                <w:sz w:val="20"/>
              </w:rPr>
              <w:t>一等建制镇</w:t>
            </w:r>
          </w:p>
          <w:p>
            <w:pPr>
              <w:widowControl/>
              <w:shd w:val="clear" w:color="auto" w:fill="FFFFFF"/>
              <w:jc w:val="center"/>
              <w:rPr>
                <w:bCs/>
                <w:kern w:val="0"/>
                <w:sz w:val="20"/>
              </w:rPr>
            </w:pPr>
            <w:r>
              <w:rPr>
                <w:bCs/>
                <w:kern w:val="0"/>
                <w:sz w:val="20"/>
              </w:rPr>
              <w:t>（含街道）</w:t>
            </w:r>
          </w:p>
        </w:tc>
        <w:tc>
          <w:tcPr>
            <w:tcW w:w="2553" w:type="dxa"/>
            <w:vMerge w:val="restart"/>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r>
              <w:rPr>
                <w:bCs/>
                <w:kern w:val="0"/>
                <w:sz w:val="20"/>
              </w:rPr>
              <w:t>长龙街道、黄花镇（含空港城片区）</w:t>
            </w:r>
          </w:p>
        </w:tc>
        <w:tc>
          <w:tcPr>
            <w:tcW w:w="1135"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商服</w:t>
            </w:r>
          </w:p>
        </w:tc>
        <w:tc>
          <w:tcPr>
            <w:tcW w:w="1275"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1650</w:t>
            </w:r>
          </w:p>
        </w:tc>
        <w:tc>
          <w:tcPr>
            <w:tcW w:w="1277"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1280</w:t>
            </w:r>
          </w:p>
        </w:tc>
        <w:tc>
          <w:tcPr>
            <w:tcW w:w="1146"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860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1135"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住宅</w:t>
            </w:r>
          </w:p>
        </w:tc>
        <w:tc>
          <w:tcPr>
            <w:tcW w:w="1275"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1550</w:t>
            </w:r>
          </w:p>
        </w:tc>
        <w:tc>
          <w:tcPr>
            <w:tcW w:w="1277"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1130</w:t>
            </w:r>
          </w:p>
        </w:tc>
        <w:tc>
          <w:tcPr>
            <w:tcW w:w="1146"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790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1135"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工矿仓储</w:t>
            </w:r>
          </w:p>
        </w:tc>
        <w:tc>
          <w:tcPr>
            <w:tcW w:w="1275"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650</w:t>
            </w:r>
          </w:p>
        </w:tc>
        <w:tc>
          <w:tcPr>
            <w:tcW w:w="1277"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500</w:t>
            </w:r>
          </w:p>
        </w:tc>
        <w:tc>
          <w:tcPr>
            <w:tcW w:w="1146"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restart"/>
            <w:tcBorders>
              <w:top w:val="nil"/>
              <w:left w:val="single" w:color="auto" w:sz="4" w:space="0"/>
              <w:bottom w:val="nil"/>
              <w:right w:val="single" w:color="auto" w:sz="4" w:space="0"/>
            </w:tcBorders>
            <w:vAlign w:val="center"/>
          </w:tcPr>
          <w:p>
            <w:pPr>
              <w:widowControl/>
              <w:shd w:val="clear" w:color="auto" w:fill="FFFFFF"/>
              <w:jc w:val="center"/>
              <w:rPr>
                <w:bCs/>
                <w:kern w:val="0"/>
                <w:sz w:val="20"/>
              </w:rPr>
            </w:pPr>
            <w:r>
              <w:rPr>
                <w:bCs/>
                <w:kern w:val="0"/>
                <w:sz w:val="20"/>
              </w:rPr>
              <w:t>二等建制镇镇</w:t>
            </w:r>
          </w:p>
        </w:tc>
        <w:tc>
          <w:tcPr>
            <w:tcW w:w="2553" w:type="dxa"/>
            <w:vMerge w:val="restart"/>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r>
              <w:rPr>
                <w:bCs/>
                <w:kern w:val="0"/>
                <w:sz w:val="20"/>
              </w:rPr>
              <w:t>安沙镇、春华镇、江背镇</w:t>
            </w:r>
          </w:p>
        </w:tc>
        <w:tc>
          <w:tcPr>
            <w:tcW w:w="1135"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商服</w:t>
            </w:r>
          </w:p>
        </w:tc>
        <w:tc>
          <w:tcPr>
            <w:tcW w:w="1275"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1360</w:t>
            </w:r>
          </w:p>
        </w:tc>
        <w:tc>
          <w:tcPr>
            <w:tcW w:w="1277"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840</w:t>
            </w:r>
          </w:p>
        </w:tc>
        <w:tc>
          <w:tcPr>
            <w:tcW w:w="1146"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nil"/>
              <w:left w:val="single" w:color="auto" w:sz="4" w:space="0"/>
              <w:bottom w:val="nil"/>
              <w:right w:val="single" w:color="auto" w:sz="4" w:space="0"/>
            </w:tcBorders>
            <w:vAlign w:val="center"/>
          </w:tcPr>
          <w:p>
            <w:pPr>
              <w:widowControl/>
              <w:shd w:val="clear" w:color="auto" w:fill="FFFFFF"/>
              <w:jc w:val="center"/>
              <w:rPr>
                <w:bCs/>
                <w:kern w:val="0"/>
                <w:sz w:val="20"/>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1135"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住宅</w:t>
            </w:r>
          </w:p>
        </w:tc>
        <w:tc>
          <w:tcPr>
            <w:tcW w:w="1275"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1150</w:t>
            </w:r>
          </w:p>
        </w:tc>
        <w:tc>
          <w:tcPr>
            <w:tcW w:w="1277"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770</w:t>
            </w:r>
          </w:p>
        </w:tc>
        <w:tc>
          <w:tcPr>
            <w:tcW w:w="1146"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40" w:hRule="exact"/>
          <w:jc w:val="center"/>
        </w:trPr>
        <w:tc>
          <w:tcPr>
            <w:tcW w:w="1616" w:type="dxa"/>
            <w:vMerge w:val="continue"/>
            <w:tcBorders>
              <w:top w:val="nil"/>
              <w:left w:val="single" w:color="auto" w:sz="4" w:space="0"/>
              <w:bottom w:val="nil"/>
              <w:right w:val="single" w:color="auto" w:sz="4" w:space="0"/>
            </w:tcBorders>
            <w:vAlign w:val="center"/>
          </w:tcPr>
          <w:p>
            <w:pPr>
              <w:widowControl/>
              <w:shd w:val="clear" w:color="auto" w:fill="FFFFFF"/>
              <w:jc w:val="center"/>
              <w:rPr>
                <w:bCs/>
                <w:kern w:val="0"/>
                <w:sz w:val="20"/>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1135"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工矿仓储</w:t>
            </w:r>
          </w:p>
        </w:tc>
        <w:tc>
          <w:tcPr>
            <w:tcW w:w="1275"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430</w:t>
            </w:r>
          </w:p>
        </w:tc>
        <w:tc>
          <w:tcPr>
            <w:tcW w:w="1277"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320</w:t>
            </w:r>
          </w:p>
        </w:tc>
        <w:tc>
          <w:tcPr>
            <w:tcW w:w="1146"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restart"/>
            <w:tcBorders>
              <w:top w:val="single" w:color="auto" w:sz="4" w:space="0"/>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r>
              <w:rPr>
                <w:bCs/>
                <w:kern w:val="0"/>
                <w:sz w:val="20"/>
              </w:rPr>
              <w:t>三等建制镇</w:t>
            </w:r>
          </w:p>
        </w:tc>
        <w:tc>
          <w:tcPr>
            <w:tcW w:w="2553" w:type="dxa"/>
            <w:vMerge w:val="restart"/>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r>
              <w:rPr>
                <w:bCs/>
                <w:kern w:val="0"/>
                <w:sz w:val="20"/>
              </w:rPr>
              <w:t>北山镇、果园镇、路口镇、青山铺镇、金井镇、开慧镇</w:t>
            </w:r>
          </w:p>
        </w:tc>
        <w:tc>
          <w:tcPr>
            <w:tcW w:w="1135"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商服</w:t>
            </w:r>
          </w:p>
        </w:tc>
        <w:tc>
          <w:tcPr>
            <w:tcW w:w="1275"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1210</w:t>
            </w:r>
          </w:p>
        </w:tc>
        <w:tc>
          <w:tcPr>
            <w:tcW w:w="1277"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750</w:t>
            </w:r>
          </w:p>
        </w:tc>
        <w:tc>
          <w:tcPr>
            <w:tcW w:w="1146"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1135"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住宅</w:t>
            </w:r>
          </w:p>
        </w:tc>
        <w:tc>
          <w:tcPr>
            <w:tcW w:w="1275"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1050</w:t>
            </w:r>
          </w:p>
        </w:tc>
        <w:tc>
          <w:tcPr>
            <w:tcW w:w="1277"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720</w:t>
            </w:r>
          </w:p>
        </w:tc>
        <w:tc>
          <w:tcPr>
            <w:tcW w:w="1146"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1135"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工矿仓储</w:t>
            </w:r>
          </w:p>
        </w:tc>
        <w:tc>
          <w:tcPr>
            <w:tcW w:w="1275"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400</w:t>
            </w:r>
          </w:p>
        </w:tc>
        <w:tc>
          <w:tcPr>
            <w:tcW w:w="1277"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280</w:t>
            </w:r>
          </w:p>
        </w:tc>
        <w:tc>
          <w:tcPr>
            <w:tcW w:w="1146"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2553" w:type="dxa"/>
            <w:vMerge w:val="restart"/>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r>
              <w:rPr>
                <w:bCs/>
                <w:kern w:val="0"/>
                <w:sz w:val="20"/>
              </w:rPr>
              <w:t>金井镇双江片区、开慧镇白沙片区</w:t>
            </w:r>
          </w:p>
        </w:tc>
        <w:tc>
          <w:tcPr>
            <w:tcW w:w="1135"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商服</w:t>
            </w:r>
          </w:p>
        </w:tc>
        <w:tc>
          <w:tcPr>
            <w:tcW w:w="1275"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1100</w:t>
            </w:r>
          </w:p>
        </w:tc>
        <w:tc>
          <w:tcPr>
            <w:tcW w:w="1277"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740</w:t>
            </w:r>
          </w:p>
        </w:tc>
        <w:tc>
          <w:tcPr>
            <w:tcW w:w="1146"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40" w:hRule="exact"/>
          <w:jc w:val="center"/>
        </w:trPr>
        <w:tc>
          <w:tcPr>
            <w:tcW w:w="1616"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1135"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住宅</w:t>
            </w:r>
          </w:p>
        </w:tc>
        <w:tc>
          <w:tcPr>
            <w:tcW w:w="1275"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850</w:t>
            </w:r>
          </w:p>
        </w:tc>
        <w:tc>
          <w:tcPr>
            <w:tcW w:w="1277"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670</w:t>
            </w:r>
          </w:p>
        </w:tc>
        <w:tc>
          <w:tcPr>
            <w:tcW w:w="1146"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1135"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工矿仓储</w:t>
            </w:r>
          </w:p>
        </w:tc>
        <w:tc>
          <w:tcPr>
            <w:tcW w:w="1275"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380</w:t>
            </w:r>
          </w:p>
        </w:tc>
        <w:tc>
          <w:tcPr>
            <w:tcW w:w="1277"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260</w:t>
            </w:r>
          </w:p>
        </w:tc>
        <w:tc>
          <w:tcPr>
            <w:tcW w:w="1146"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0" w:hRule="exact"/>
          <w:jc w:val="center"/>
        </w:trPr>
        <w:tc>
          <w:tcPr>
            <w:tcW w:w="1616" w:type="dxa"/>
            <w:vMerge w:val="restart"/>
            <w:tcBorders>
              <w:top w:val="nil"/>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四等建制镇</w:t>
            </w:r>
          </w:p>
        </w:tc>
        <w:tc>
          <w:tcPr>
            <w:tcW w:w="2553" w:type="dxa"/>
            <w:vMerge w:val="restart"/>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r>
              <w:rPr>
                <w:bCs/>
                <w:kern w:val="0"/>
                <w:sz w:val="20"/>
              </w:rPr>
              <w:t>福临镇、高桥镇</w:t>
            </w:r>
          </w:p>
        </w:tc>
        <w:tc>
          <w:tcPr>
            <w:tcW w:w="1135"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商服</w:t>
            </w:r>
          </w:p>
        </w:tc>
        <w:tc>
          <w:tcPr>
            <w:tcW w:w="1275"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1130</w:t>
            </w:r>
          </w:p>
        </w:tc>
        <w:tc>
          <w:tcPr>
            <w:tcW w:w="1277"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730</w:t>
            </w:r>
          </w:p>
        </w:tc>
        <w:tc>
          <w:tcPr>
            <w:tcW w:w="1146"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nil"/>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1135"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住宅</w:t>
            </w:r>
          </w:p>
        </w:tc>
        <w:tc>
          <w:tcPr>
            <w:tcW w:w="1275"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870</w:t>
            </w:r>
          </w:p>
        </w:tc>
        <w:tc>
          <w:tcPr>
            <w:tcW w:w="1277"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650</w:t>
            </w:r>
          </w:p>
        </w:tc>
        <w:tc>
          <w:tcPr>
            <w:tcW w:w="1146"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nil"/>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jc w:val="center"/>
              <w:rPr>
                <w:bCs/>
                <w:kern w:val="0"/>
                <w:sz w:val="20"/>
              </w:rPr>
            </w:pPr>
          </w:p>
        </w:tc>
        <w:tc>
          <w:tcPr>
            <w:tcW w:w="1135"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工矿仓储</w:t>
            </w:r>
          </w:p>
        </w:tc>
        <w:tc>
          <w:tcPr>
            <w:tcW w:w="1275"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370</w:t>
            </w:r>
          </w:p>
        </w:tc>
        <w:tc>
          <w:tcPr>
            <w:tcW w:w="1277"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r>
              <w:rPr>
                <w:kern w:val="0"/>
                <w:sz w:val="20"/>
              </w:rPr>
              <w:t>260</w:t>
            </w:r>
          </w:p>
        </w:tc>
        <w:tc>
          <w:tcPr>
            <w:tcW w:w="1146" w:type="dxa"/>
            <w:tcBorders>
              <w:top w:val="nil"/>
              <w:left w:val="nil"/>
              <w:bottom w:val="single" w:color="auto" w:sz="4" w:space="0"/>
              <w:right w:val="single" w:color="auto" w:sz="4" w:space="0"/>
            </w:tcBorders>
            <w:vAlign w:val="center"/>
          </w:tcPr>
          <w:p>
            <w:pPr>
              <w:widowControl/>
              <w:shd w:val="clear" w:color="auto" w:fill="FFFFFF"/>
              <w:jc w:val="center"/>
              <w:rPr>
                <w:kern w:val="0"/>
                <w:sz w:val="20"/>
              </w:rPr>
            </w:pPr>
          </w:p>
        </w:tc>
      </w:tr>
    </w:tbl>
    <w:p>
      <w:pPr>
        <w:shd w:val="clear" w:color="auto" w:fill="FFFFFF"/>
        <w:ind w:firstLine="420" w:firstLineChars="200"/>
        <w:jc w:val="left"/>
        <w:rPr>
          <w:szCs w:val="21"/>
        </w:rPr>
      </w:pPr>
      <w:r>
        <w:rPr>
          <w:szCs w:val="21"/>
        </w:rPr>
        <w:t>备注：各乡镇基准地价更新覆盖范围外的基准地价水平参照该乡镇各用途末级基准地价90%实施，基准地价内涵和修正体系参照该乡镇末级标准。</w:t>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w:t>
      </w:r>
      <w:r>
        <w:rPr>
          <w:rFonts w:hint="eastAsia" w:ascii="Times New Roman" w:hAnsi="Times New Roman"/>
          <w:sz w:val="24"/>
          <w:szCs w:val="24"/>
        </w:rPr>
        <w:t>7</w:t>
      </w:r>
      <w:r>
        <w:rPr>
          <w:rFonts w:ascii="Times New Roman" w:hAnsi="Times New Roman"/>
          <w:sz w:val="24"/>
          <w:szCs w:val="24"/>
        </w:rPr>
        <w:t xml:space="preserve"> 长沙县乡镇201</w:t>
      </w:r>
      <w:r>
        <w:rPr>
          <w:rFonts w:hint="eastAsia" w:ascii="Times New Roman" w:hAnsi="Times New Roman"/>
          <w:sz w:val="24"/>
          <w:szCs w:val="24"/>
        </w:rPr>
        <w:t>8</w:t>
      </w:r>
      <w:r>
        <w:rPr>
          <w:rFonts w:ascii="Times New Roman" w:hAnsi="Times New Roman"/>
          <w:sz w:val="24"/>
          <w:szCs w:val="24"/>
        </w:rPr>
        <w:t>年</w:t>
      </w:r>
      <w:r>
        <w:rPr>
          <w:rFonts w:hint="eastAsia" w:ascii="Times New Roman" w:hAnsi="Times New Roman"/>
          <w:sz w:val="24"/>
          <w:szCs w:val="24"/>
        </w:rPr>
        <w:t>公共管理与公共服务用地</w:t>
      </w:r>
      <w:r>
        <w:rPr>
          <w:rFonts w:ascii="Times New Roman" w:hAnsi="Times New Roman"/>
          <w:sz w:val="24"/>
          <w:szCs w:val="24"/>
        </w:rPr>
        <w:t>基准地价</w:t>
      </w:r>
    </w:p>
    <w:p>
      <w:pPr>
        <w:snapToGrid w:val="0"/>
        <w:spacing w:line="360" w:lineRule="auto"/>
        <w:ind w:firstLine="402" w:firstLineChars="200"/>
        <w:jc w:val="right"/>
        <w:rPr>
          <w:b/>
          <w:sz w:val="20"/>
        </w:rPr>
      </w:pPr>
      <w:r>
        <w:rPr>
          <w:b/>
          <w:sz w:val="20"/>
        </w:rPr>
        <w:t>单位：元/平方米</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36"/>
        <w:gridCol w:w="3394"/>
        <w:gridCol w:w="2015"/>
        <w:gridCol w:w="20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blHeader/>
        </w:trPr>
        <w:tc>
          <w:tcPr>
            <w:tcW w:w="1636" w:type="dxa"/>
            <w:tcBorders>
              <w:top w:val="single" w:color="auto" w:sz="4" w:space="0"/>
              <w:left w:val="single" w:color="auto" w:sz="4" w:space="0"/>
              <w:bottom w:val="single" w:color="000000"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等别</w:t>
            </w:r>
          </w:p>
        </w:tc>
        <w:tc>
          <w:tcPr>
            <w:tcW w:w="3394" w:type="dxa"/>
            <w:tcBorders>
              <w:top w:val="single" w:color="auto" w:sz="4" w:space="0"/>
              <w:left w:val="single" w:color="auto" w:sz="4" w:space="0"/>
              <w:bottom w:val="single" w:color="000000"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乡镇名称</w:t>
            </w:r>
          </w:p>
        </w:tc>
        <w:tc>
          <w:tcPr>
            <w:tcW w:w="2015" w:type="dxa"/>
            <w:tcBorders>
              <w:top w:val="single" w:color="auto" w:sz="4" w:space="0"/>
              <w:left w:val="nil"/>
              <w:bottom w:val="single" w:color="auto" w:sz="4" w:space="0"/>
              <w:right w:val="single" w:color="000000" w:sz="4" w:space="0"/>
            </w:tcBorders>
            <w:vAlign w:val="center"/>
          </w:tcPr>
          <w:p>
            <w:pPr>
              <w:widowControl/>
              <w:spacing w:line="240" w:lineRule="exact"/>
              <w:jc w:val="center"/>
              <w:rPr>
                <w:b/>
                <w:color w:val="000000"/>
                <w:kern w:val="0"/>
                <w:sz w:val="20"/>
              </w:rPr>
            </w:pPr>
            <w:r>
              <w:rPr>
                <w:b/>
                <w:color w:val="000000"/>
                <w:kern w:val="0"/>
                <w:sz w:val="20"/>
              </w:rPr>
              <w:t>一类用地</w:t>
            </w:r>
          </w:p>
        </w:tc>
        <w:tc>
          <w:tcPr>
            <w:tcW w:w="2016" w:type="dxa"/>
            <w:tcBorders>
              <w:top w:val="single" w:color="auto" w:sz="4" w:space="0"/>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二类用地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trPr>
        <w:tc>
          <w:tcPr>
            <w:tcW w:w="1636" w:type="dxa"/>
            <w:tcBorders>
              <w:top w:val="nil"/>
              <w:left w:val="single" w:color="auto" w:sz="4" w:space="0"/>
              <w:bottom w:val="single" w:color="auto" w:sz="4" w:space="0"/>
              <w:right w:val="single" w:color="auto" w:sz="4" w:space="0"/>
            </w:tcBorders>
            <w:vAlign w:val="center"/>
          </w:tcPr>
          <w:p>
            <w:pPr>
              <w:spacing w:line="240" w:lineRule="exact"/>
              <w:jc w:val="center"/>
              <w:rPr>
                <w:color w:val="000000"/>
                <w:sz w:val="20"/>
              </w:rPr>
            </w:pPr>
            <w:r>
              <w:rPr>
                <w:color w:val="000000"/>
                <w:sz w:val="20"/>
              </w:rPr>
              <w:t>与市区对接的重点区域</w:t>
            </w:r>
          </w:p>
        </w:tc>
        <w:tc>
          <w:tcPr>
            <w:tcW w:w="3394" w:type="dxa"/>
            <w:tcBorders>
              <w:top w:val="nil"/>
              <w:left w:val="single" w:color="auto" w:sz="4" w:space="0"/>
              <w:bottom w:val="single" w:color="000000" w:sz="4" w:space="0"/>
              <w:right w:val="single" w:color="auto" w:sz="4" w:space="0"/>
            </w:tcBorders>
            <w:vAlign w:val="center"/>
          </w:tcPr>
          <w:p>
            <w:pPr>
              <w:spacing w:line="240" w:lineRule="exact"/>
              <w:jc w:val="center"/>
              <w:rPr>
                <w:color w:val="000000"/>
                <w:sz w:val="20"/>
              </w:rPr>
            </w:pPr>
            <w:r>
              <w:rPr>
                <w:color w:val="000000"/>
                <w:sz w:val="20"/>
              </w:rPr>
              <w:t>榔梨街道、黄兴镇</w:t>
            </w:r>
          </w:p>
        </w:tc>
        <w:tc>
          <w:tcPr>
            <w:tcW w:w="2015" w:type="dxa"/>
            <w:tcBorders>
              <w:top w:val="nil"/>
              <w:left w:val="single" w:color="auto" w:sz="4" w:space="0"/>
              <w:bottom w:val="single" w:color="000000" w:sz="4" w:space="0"/>
              <w:right w:val="single" w:color="auto" w:sz="4" w:space="0"/>
            </w:tcBorders>
            <w:vAlign w:val="center"/>
          </w:tcPr>
          <w:p>
            <w:pPr>
              <w:spacing w:line="240" w:lineRule="exact"/>
              <w:jc w:val="center"/>
              <w:rPr>
                <w:color w:val="000000"/>
                <w:sz w:val="20"/>
              </w:rPr>
            </w:pPr>
            <w:r>
              <w:rPr>
                <w:color w:val="000000"/>
                <w:sz w:val="20"/>
              </w:rPr>
              <w:t xml:space="preserve">990 </w:t>
            </w:r>
          </w:p>
        </w:tc>
        <w:tc>
          <w:tcPr>
            <w:tcW w:w="2016" w:type="dxa"/>
            <w:tcBorders>
              <w:top w:val="nil"/>
              <w:left w:val="single" w:color="auto" w:sz="4" w:space="0"/>
              <w:bottom w:val="single" w:color="000000" w:sz="4" w:space="0"/>
              <w:right w:val="single" w:color="auto" w:sz="4" w:space="0"/>
            </w:tcBorders>
            <w:vAlign w:val="center"/>
          </w:tcPr>
          <w:p>
            <w:pPr>
              <w:spacing w:line="240" w:lineRule="exact"/>
              <w:jc w:val="center"/>
              <w:rPr>
                <w:color w:val="000000"/>
                <w:sz w:val="20"/>
              </w:rPr>
            </w:pPr>
            <w:r>
              <w:rPr>
                <w:color w:val="000000"/>
                <w:sz w:val="20"/>
              </w:rPr>
              <w:t xml:space="preserve">420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trPr>
        <w:tc>
          <w:tcPr>
            <w:tcW w:w="1636" w:type="dxa"/>
            <w:vMerge w:val="restart"/>
            <w:tcBorders>
              <w:top w:val="nil"/>
              <w:left w:val="single" w:color="auto" w:sz="4" w:space="0"/>
              <w:bottom w:val="single" w:color="auto" w:sz="4" w:space="0"/>
              <w:right w:val="single" w:color="auto" w:sz="4" w:space="0"/>
            </w:tcBorders>
            <w:vAlign w:val="center"/>
          </w:tcPr>
          <w:p>
            <w:pPr>
              <w:spacing w:line="240" w:lineRule="exact"/>
              <w:jc w:val="center"/>
              <w:rPr>
                <w:color w:val="000000"/>
                <w:sz w:val="20"/>
              </w:rPr>
            </w:pPr>
            <w:r>
              <w:rPr>
                <w:color w:val="000000"/>
                <w:sz w:val="20"/>
              </w:rPr>
              <w:t>一等建制镇（含街道）</w:t>
            </w:r>
          </w:p>
        </w:tc>
        <w:tc>
          <w:tcPr>
            <w:tcW w:w="3394" w:type="dxa"/>
            <w:vMerge w:val="restart"/>
            <w:tcBorders>
              <w:top w:val="nil"/>
              <w:left w:val="single" w:color="auto" w:sz="4" w:space="0"/>
              <w:bottom w:val="single" w:color="000000" w:sz="4" w:space="0"/>
              <w:right w:val="single" w:color="auto" w:sz="4" w:space="0"/>
            </w:tcBorders>
            <w:vAlign w:val="center"/>
          </w:tcPr>
          <w:p>
            <w:pPr>
              <w:spacing w:line="240" w:lineRule="exact"/>
              <w:jc w:val="center"/>
              <w:rPr>
                <w:color w:val="000000"/>
                <w:sz w:val="20"/>
              </w:rPr>
            </w:pPr>
            <w:r>
              <w:rPr>
                <w:color w:val="000000"/>
                <w:sz w:val="20"/>
              </w:rPr>
              <w:t>长龙街道、黄花镇（含空港城片区）</w:t>
            </w:r>
          </w:p>
        </w:tc>
        <w:tc>
          <w:tcPr>
            <w:tcW w:w="2015" w:type="dxa"/>
            <w:vMerge w:val="restart"/>
            <w:tcBorders>
              <w:top w:val="nil"/>
              <w:left w:val="single" w:color="auto" w:sz="4" w:space="0"/>
              <w:bottom w:val="single" w:color="000000" w:sz="4" w:space="0"/>
              <w:right w:val="single" w:color="auto" w:sz="4" w:space="0"/>
            </w:tcBorders>
            <w:vAlign w:val="center"/>
          </w:tcPr>
          <w:p>
            <w:pPr>
              <w:spacing w:line="240" w:lineRule="exact"/>
              <w:jc w:val="center"/>
              <w:rPr>
                <w:color w:val="000000"/>
                <w:sz w:val="20"/>
              </w:rPr>
            </w:pPr>
            <w:r>
              <w:rPr>
                <w:color w:val="000000"/>
                <w:sz w:val="20"/>
              </w:rPr>
              <w:t xml:space="preserve">940 </w:t>
            </w:r>
          </w:p>
        </w:tc>
        <w:tc>
          <w:tcPr>
            <w:tcW w:w="2016" w:type="dxa"/>
            <w:vMerge w:val="restart"/>
            <w:tcBorders>
              <w:top w:val="nil"/>
              <w:left w:val="single" w:color="auto" w:sz="4" w:space="0"/>
              <w:bottom w:val="single" w:color="000000" w:sz="4" w:space="0"/>
              <w:right w:val="single" w:color="auto" w:sz="4" w:space="0"/>
            </w:tcBorders>
            <w:vAlign w:val="center"/>
          </w:tcPr>
          <w:p>
            <w:pPr>
              <w:spacing w:line="240" w:lineRule="exact"/>
              <w:jc w:val="center"/>
              <w:rPr>
                <w:color w:val="000000"/>
                <w:sz w:val="20"/>
              </w:rPr>
            </w:pPr>
            <w:r>
              <w:rPr>
                <w:color w:val="000000"/>
                <w:sz w:val="20"/>
              </w:rPr>
              <w:t xml:space="preserve">390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636" w:type="dxa"/>
            <w:vMerge w:val="continue"/>
            <w:tcBorders>
              <w:top w:val="nil"/>
              <w:left w:val="single" w:color="auto" w:sz="4" w:space="0"/>
              <w:bottom w:val="single" w:color="auto" w:sz="4" w:space="0"/>
              <w:right w:val="single" w:color="auto" w:sz="4" w:space="0"/>
            </w:tcBorders>
            <w:vAlign w:val="center"/>
          </w:tcPr>
          <w:p>
            <w:pPr>
              <w:spacing w:line="240" w:lineRule="exact"/>
              <w:jc w:val="center"/>
              <w:rPr>
                <w:color w:val="000000"/>
                <w:sz w:val="20"/>
              </w:rPr>
            </w:pPr>
          </w:p>
        </w:tc>
        <w:tc>
          <w:tcPr>
            <w:tcW w:w="3394" w:type="dxa"/>
            <w:vMerge w:val="continue"/>
            <w:tcBorders>
              <w:top w:val="nil"/>
              <w:left w:val="single" w:color="auto" w:sz="4" w:space="0"/>
              <w:bottom w:val="single" w:color="000000" w:sz="4" w:space="0"/>
              <w:right w:val="single" w:color="auto" w:sz="4" w:space="0"/>
            </w:tcBorders>
            <w:vAlign w:val="center"/>
          </w:tcPr>
          <w:p>
            <w:pPr>
              <w:spacing w:line="240" w:lineRule="exact"/>
              <w:jc w:val="center"/>
              <w:rPr>
                <w:color w:val="000000"/>
                <w:sz w:val="20"/>
              </w:rPr>
            </w:pPr>
          </w:p>
        </w:tc>
        <w:tc>
          <w:tcPr>
            <w:tcW w:w="2015" w:type="dxa"/>
            <w:vMerge w:val="continue"/>
            <w:tcBorders>
              <w:top w:val="nil"/>
              <w:left w:val="single" w:color="auto" w:sz="4" w:space="0"/>
              <w:bottom w:val="single" w:color="000000" w:sz="4" w:space="0"/>
              <w:right w:val="single" w:color="auto" w:sz="4" w:space="0"/>
            </w:tcBorders>
            <w:vAlign w:val="center"/>
          </w:tcPr>
          <w:p>
            <w:pPr>
              <w:spacing w:line="240" w:lineRule="exact"/>
              <w:jc w:val="center"/>
              <w:rPr>
                <w:color w:val="000000"/>
                <w:sz w:val="20"/>
              </w:rPr>
            </w:pPr>
          </w:p>
        </w:tc>
        <w:tc>
          <w:tcPr>
            <w:tcW w:w="2016" w:type="dxa"/>
            <w:vMerge w:val="continue"/>
            <w:tcBorders>
              <w:top w:val="nil"/>
              <w:left w:val="single" w:color="auto" w:sz="4" w:space="0"/>
              <w:bottom w:val="single" w:color="000000" w:sz="4" w:space="0"/>
              <w:right w:val="single" w:color="auto" w:sz="4" w:space="0"/>
            </w:tcBorders>
            <w:vAlign w:val="center"/>
          </w:tcPr>
          <w:p>
            <w:pPr>
              <w:spacing w:line="240" w:lineRule="exact"/>
              <w:jc w:val="center"/>
              <w:rPr>
                <w:color w:val="0000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9" w:hRule="atLeast"/>
        </w:trPr>
        <w:tc>
          <w:tcPr>
            <w:tcW w:w="1636" w:type="dxa"/>
            <w:tcBorders>
              <w:top w:val="nil"/>
              <w:left w:val="single" w:color="auto" w:sz="4" w:space="0"/>
              <w:bottom w:val="single" w:color="auto" w:sz="4" w:space="0"/>
              <w:right w:val="single" w:color="auto" w:sz="4" w:space="0"/>
            </w:tcBorders>
            <w:vAlign w:val="center"/>
          </w:tcPr>
          <w:p>
            <w:pPr>
              <w:spacing w:line="240" w:lineRule="exact"/>
              <w:jc w:val="center"/>
              <w:rPr>
                <w:color w:val="000000"/>
                <w:sz w:val="20"/>
              </w:rPr>
            </w:pPr>
            <w:r>
              <w:rPr>
                <w:color w:val="000000"/>
                <w:sz w:val="20"/>
              </w:rPr>
              <w:t>二等建制镇镇</w:t>
            </w:r>
          </w:p>
        </w:tc>
        <w:tc>
          <w:tcPr>
            <w:tcW w:w="3394" w:type="dxa"/>
            <w:tcBorders>
              <w:top w:val="nil"/>
              <w:left w:val="nil"/>
              <w:bottom w:val="single" w:color="auto" w:sz="4" w:space="0"/>
              <w:right w:val="single" w:color="auto" w:sz="4" w:space="0"/>
            </w:tcBorders>
            <w:vAlign w:val="center"/>
          </w:tcPr>
          <w:p>
            <w:pPr>
              <w:spacing w:line="240" w:lineRule="exact"/>
              <w:jc w:val="center"/>
              <w:rPr>
                <w:color w:val="000000"/>
                <w:sz w:val="20"/>
              </w:rPr>
            </w:pPr>
            <w:r>
              <w:rPr>
                <w:color w:val="000000"/>
                <w:sz w:val="20"/>
              </w:rPr>
              <w:t>安沙镇、春华镇、江背镇</w:t>
            </w:r>
          </w:p>
        </w:tc>
        <w:tc>
          <w:tcPr>
            <w:tcW w:w="2015" w:type="dxa"/>
            <w:tcBorders>
              <w:top w:val="nil"/>
              <w:left w:val="nil"/>
              <w:bottom w:val="single" w:color="auto" w:sz="4" w:space="0"/>
              <w:right w:val="single" w:color="auto" w:sz="4" w:space="0"/>
            </w:tcBorders>
            <w:vAlign w:val="center"/>
          </w:tcPr>
          <w:p>
            <w:pPr>
              <w:spacing w:line="240" w:lineRule="exact"/>
              <w:jc w:val="center"/>
              <w:rPr>
                <w:color w:val="000000"/>
                <w:sz w:val="20"/>
              </w:rPr>
            </w:pPr>
            <w:r>
              <w:rPr>
                <w:color w:val="000000"/>
                <w:sz w:val="20"/>
              </w:rPr>
              <w:t xml:space="preserve">820 </w:t>
            </w:r>
          </w:p>
        </w:tc>
        <w:tc>
          <w:tcPr>
            <w:tcW w:w="2016" w:type="dxa"/>
            <w:tcBorders>
              <w:top w:val="nil"/>
              <w:left w:val="nil"/>
              <w:bottom w:val="single" w:color="auto" w:sz="4" w:space="0"/>
              <w:right w:val="single" w:color="auto" w:sz="4" w:space="0"/>
            </w:tcBorders>
            <w:vAlign w:val="center"/>
          </w:tcPr>
          <w:p>
            <w:pPr>
              <w:spacing w:line="240" w:lineRule="exact"/>
              <w:jc w:val="center"/>
              <w:rPr>
                <w:color w:val="000000"/>
                <w:sz w:val="20"/>
              </w:rPr>
            </w:pPr>
            <w:r>
              <w:rPr>
                <w:color w:val="000000"/>
                <w:sz w:val="20"/>
              </w:rPr>
              <w:t xml:space="preserve">320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65" w:hRule="atLeast"/>
        </w:trPr>
        <w:tc>
          <w:tcPr>
            <w:tcW w:w="16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 w:val="20"/>
              </w:rPr>
            </w:pPr>
            <w:r>
              <w:rPr>
                <w:color w:val="000000"/>
                <w:sz w:val="20"/>
              </w:rPr>
              <w:t>三等建制镇</w:t>
            </w:r>
          </w:p>
        </w:tc>
        <w:tc>
          <w:tcPr>
            <w:tcW w:w="3394" w:type="dxa"/>
            <w:tcBorders>
              <w:top w:val="single" w:color="auto" w:sz="4" w:space="0"/>
              <w:left w:val="nil"/>
              <w:bottom w:val="single" w:color="auto" w:sz="4" w:space="0"/>
              <w:right w:val="single" w:color="auto" w:sz="4" w:space="0"/>
            </w:tcBorders>
            <w:vAlign w:val="center"/>
          </w:tcPr>
          <w:p>
            <w:pPr>
              <w:spacing w:line="240" w:lineRule="exact"/>
              <w:jc w:val="center"/>
              <w:rPr>
                <w:color w:val="000000"/>
                <w:sz w:val="20"/>
              </w:rPr>
            </w:pPr>
            <w:r>
              <w:rPr>
                <w:color w:val="000000"/>
                <w:sz w:val="20"/>
              </w:rPr>
              <w:t>北山镇、果园镇、路口镇、青山铺镇、金井镇、开慧镇、金井镇双江片区、开慧镇白沙片区</w:t>
            </w:r>
          </w:p>
        </w:tc>
        <w:tc>
          <w:tcPr>
            <w:tcW w:w="2015" w:type="dxa"/>
            <w:tcBorders>
              <w:top w:val="single" w:color="auto" w:sz="4" w:space="0"/>
              <w:left w:val="nil"/>
              <w:bottom w:val="single" w:color="auto" w:sz="4" w:space="0"/>
              <w:right w:val="single" w:color="auto" w:sz="4" w:space="0"/>
            </w:tcBorders>
            <w:vAlign w:val="center"/>
          </w:tcPr>
          <w:p>
            <w:pPr>
              <w:spacing w:line="240" w:lineRule="exact"/>
              <w:jc w:val="center"/>
              <w:rPr>
                <w:color w:val="000000"/>
                <w:sz w:val="20"/>
              </w:rPr>
            </w:pPr>
            <w:r>
              <w:rPr>
                <w:color w:val="000000"/>
                <w:sz w:val="20"/>
              </w:rPr>
              <w:t xml:space="preserve">790 </w:t>
            </w:r>
          </w:p>
        </w:tc>
        <w:tc>
          <w:tcPr>
            <w:tcW w:w="2016" w:type="dxa"/>
            <w:tcBorders>
              <w:top w:val="single" w:color="auto" w:sz="4" w:space="0"/>
              <w:left w:val="nil"/>
              <w:bottom w:val="single" w:color="auto" w:sz="4" w:space="0"/>
              <w:right w:val="single" w:color="auto" w:sz="4" w:space="0"/>
            </w:tcBorders>
            <w:vAlign w:val="center"/>
          </w:tcPr>
          <w:p>
            <w:pPr>
              <w:spacing w:line="240" w:lineRule="exact"/>
              <w:jc w:val="center"/>
              <w:rPr>
                <w:color w:val="000000"/>
                <w:sz w:val="20"/>
              </w:rPr>
            </w:pPr>
            <w:r>
              <w:rPr>
                <w:color w:val="000000"/>
                <w:sz w:val="20"/>
              </w:rPr>
              <w:t xml:space="preserve">260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trPr>
        <w:tc>
          <w:tcPr>
            <w:tcW w:w="16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000000"/>
                <w:sz w:val="20"/>
              </w:rPr>
            </w:pPr>
            <w:r>
              <w:rPr>
                <w:color w:val="000000"/>
                <w:sz w:val="20"/>
              </w:rPr>
              <w:t>四等建制镇</w:t>
            </w:r>
          </w:p>
        </w:tc>
        <w:tc>
          <w:tcPr>
            <w:tcW w:w="3394" w:type="dxa"/>
            <w:tcBorders>
              <w:top w:val="single" w:color="auto" w:sz="4" w:space="0"/>
              <w:left w:val="nil"/>
              <w:bottom w:val="single" w:color="auto" w:sz="4" w:space="0"/>
              <w:right w:val="single" w:color="auto" w:sz="4" w:space="0"/>
            </w:tcBorders>
            <w:vAlign w:val="center"/>
          </w:tcPr>
          <w:p>
            <w:pPr>
              <w:spacing w:line="240" w:lineRule="exact"/>
              <w:jc w:val="center"/>
              <w:rPr>
                <w:color w:val="000000"/>
                <w:sz w:val="20"/>
              </w:rPr>
            </w:pPr>
            <w:r>
              <w:rPr>
                <w:color w:val="000000"/>
                <w:sz w:val="20"/>
              </w:rPr>
              <w:t>福临镇、高桥镇</w:t>
            </w:r>
          </w:p>
        </w:tc>
        <w:tc>
          <w:tcPr>
            <w:tcW w:w="2015" w:type="dxa"/>
            <w:tcBorders>
              <w:top w:val="single" w:color="auto" w:sz="4" w:space="0"/>
              <w:left w:val="nil"/>
              <w:bottom w:val="single" w:color="auto" w:sz="4" w:space="0"/>
              <w:right w:val="single" w:color="auto" w:sz="4" w:space="0"/>
            </w:tcBorders>
            <w:vAlign w:val="center"/>
          </w:tcPr>
          <w:p>
            <w:pPr>
              <w:spacing w:line="240" w:lineRule="exact"/>
              <w:jc w:val="center"/>
              <w:rPr>
                <w:color w:val="000000"/>
                <w:sz w:val="20"/>
              </w:rPr>
            </w:pPr>
            <w:r>
              <w:rPr>
                <w:color w:val="000000"/>
                <w:sz w:val="20"/>
              </w:rPr>
              <w:t xml:space="preserve">780 </w:t>
            </w:r>
          </w:p>
        </w:tc>
        <w:tc>
          <w:tcPr>
            <w:tcW w:w="2016" w:type="dxa"/>
            <w:tcBorders>
              <w:top w:val="single" w:color="auto" w:sz="4" w:space="0"/>
              <w:left w:val="nil"/>
              <w:bottom w:val="single" w:color="auto" w:sz="4" w:space="0"/>
              <w:right w:val="single" w:color="auto" w:sz="4" w:space="0"/>
            </w:tcBorders>
            <w:vAlign w:val="center"/>
          </w:tcPr>
          <w:p>
            <w:pPr>
              <w:spacing w:line="240" w:lineRule="exact"/>
              <w:jc w:val="center"/>
              <w:rPr>
                <w:color w:val="000000"/>
                <w:sz w:val="20"/>
              </w:rPr>
            </w:pPr>
            <w:r>
              <w:rPr>
                <w:color w:val="000000"/>
                <w:sz w:val="20"/>
              </w:rPr>
              <w:t xml:space="preserve">260 </w:t>
            </w:r>
          </w:p>
        </w:tc>
      </w:tr>
    </w:tbl>
    <w:p>
      <w:pPr>
        <w:tabs>
          <w:tab w:val="left" w:pos="2620"/>
        </w:tabs>
        <w:spacing w:line="460" w:lineRule="exact"/>
        <w:ind w:firstLine="420" w:firstLineChars="200"/>
        <w:rPr>
          <w:bCs/>
          <w:szCs w:val="21"/>
        </w:rPr>
      </w:pPr>
      <w:r>
        <w:rPr>
          <w:bCs/>
          <w:szCs w:val="21"/>
        </w:rPr>
        <w:t>备注：各乡镇基准地价更新覆盖范围外的基准地价水平参照该乡镇各用途末级基准地价85%实施，基准地价内涵和修正体系参照该乡镇末级标准。</w:t>
      </w:r>
    </w:p>
    <w:p>
      <w:pPr>
        <w:tabs>
          <w:tab w:val="left" w:pos="2620"/>
        </w:tabs>
        <w:spacing w:beforeLines="50" w:afterLines="50" w:line="460" w:lineRule="exact"/>
        <w:ind w:firstLine="560" w:firstLineChars="200"/>
        <w:outlineLvl w:val="2"/>
        <w:rPr>
          <w:bCs/>
          <w:sz w:val="28"/>
          <w:szCs w:val="28"/>
        </w:rPr>
      </w:pPr>
      <w:bookmarkStart w:id="965" w:name="_Toc18974"/>
      <w:bookmarkStart w:id="966" w:name="_Toc30068"/>
      <w:bookmarkStart w:id="967" w:name="_Toc525807084"/>
      <w:r>
        <w:rPr>
          <w:rFonts w:hint="eastAsia" w:eastAsia="黑体"/>
          <w:sz w:val="28"/>
          <w:szCs w:val="28"/>
        </w:rPr>
        <w:t>四</w:t>
      </w:r>
      <w:r>
        <w:rPr>
          <w:rFonts w:eastAsia="黑体"/>
          <w:sz w:val="28"/>
          <w:szCs w:val="28"/>
        </w:rPr>
        <w:t>、乡镇宗地地价修正体系</w:t>
      </w:r>
      <w:bookmarkEnd w:id="965"/>
      <w:bookmarkEnd w:id="966"/>
      <w:bookmarkEnd w:id="967"/>
    </w:p>
    <w:p>
      <w:pPr>
        <w:spacing w:line="460" w:lineRule="exact"/>
        <w:ind w:firstLine="480" w:firstLineChars="200"/>
        <w:rPr>
          <w:sz w:val="24"/>
        </w:rPr>
      </w:pPr>
      <w:r>
        <w:rPr>
          <w:sz w:val="24"/>
        </w:rPr>
        <w:t>参照长沙县城区宗地地价修正体系的方法来确定长沙县乡镇区域因素及其权重表和地价修正幅度表。</w:t>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w:t>
      </w:r>
      <w:r>
        <w:rPr>
          <w:rFonts w:hint="eastAsia" w:ascii="Times New Roman" w:hAnsi="Times New Roman"/>
          <w:sz w:val="24"/>
          <w:szCs w:val="24"/>
        </w:rPr>
        <w:t>9</w:t>
      </w:r>
      <w:r>
        <w:rPr>
          <w:rFonts w:ascii="Times New Roman" w:hAnsi="Times New Roman"/>
          <w:sz w:val="24"/>
          <w:szCs w:val="24"/>
        </w:rPr>
        <w:t>　 长沙县乡镇商服用地宗地地价修正因素及权重表</w:t>
      </w:r>
    </w:p>
    <w:tbl>
      <w:tblPr>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2097"/>
        <w:gridCol w:w="300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712" w:type="dxa"/>
            <w:vAlign w:val="center"/>
          </w:tcPr>
          <w:p>
            <w:pPr>
              <w:widowControl/>
              <w:spacing w:line="400" w:lineRule="exact"/>
              <w:jc w:val="center"/>
              <w:rPr>
                <w:kern w:val="0"/>
                <w:szCs w:val="21"/>
              </w:rPr>
            </w:pPr>
            <w:r>
              <w:rPr>
                <w:kern w:val="0"/>
                <w:szCs w:val="21"/>
              </w:rPr>
              <w:t>因素</w:t>
            </w:r>
          </w:p>
        </w:tc>
        <w:tc>
          <w:tcPr>
            <w:tcW w:w="2097" w:type="dxa"/>
            <w:vAlign w:val="center"/>
          </w:tcPr>
          <w:p>
            <w:pPr>
              <w:widowControl/>
              <w:spacing w:line="400" w:lineRule="exact"/>
              <w:jc w:val="center"/>
              <w:rPr>
                <w:kern w:val="0"/>
                <w:szCs w:val="21"/>
              </w:rPr>
            </w:pPr>
            <w:r>
              <w:rPr>
                <w:kern w:val="0"/>
                <w:szCs w:val="21"/>
              </w:rPr>
              <w:t>权重</w:t>
            </w:r>
          </w:p>
        </w:tc>
        <w:tc>
          <w:tcPr>
            <w:tcW w:w="3000" w:type="dxa"/>
            <w:vAlign w:val="center"/>
          </w:tcPr>
          <w:p>
            <w:pPr>
              <w:widowControl/>
              <w:spacing w:line="400" w:lineRule="exact"/>
              <w:jc w:val="center"/>
              <w:rPr>
                <w:kern w:val="0"/>
                <w:szCs w:val="21"/>
              </w:rPr>
            </w:pPr>
            <w:r>
              <w:rPr>
                <w:kern w:val="0"/>
                <w:szCs w:val="21"/>
              </w:rPr>
              <w:t>因子</w:t>
            </w:r>
          </w:p>
        </w:tc>
        <w:tc>
          <w:tcPr>
            <w:tcW w:w="1710" w:type="dxa"/>
            <w:vAlign w:val="center"/>
          </w:tcPr>
          <w:p>
            <w:pPr>
              <w:widowControl/>
              <w:spacing w:line="400" w:lineRule="exact"/>
              <w:jc w:val="center"/>
              <w:rPr>
                <w:kern w:val="0"/>
                <w:szCs w:val="21"/>
              </w:rPr>
            </w:pPr>
            <w:r>
              <w:rPr>
                <w:kern w:val="0"/>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712" w:type="dxa"/>
            <w:vAlign w:val="center"/>
          </w:tcPr>
          <w:p>
            <w:pPr>
              <w:widowControl/>
              <w:spacing w:line="400" w:lineRule="exact"/>
              <w:jc w:val="center"/>
              <w:rPr>
                <w:kern w:val="0"/>
                <w:szCs w:val="21"/>
              </w:rPr>
            </w:pPr>
            <w:r>
              <w:rPr>
                <w:kern w:val="0"/>
                <w:szCs w:val="21"/>
              </w:rPr>
              <w:t>商服繁华度</w:t>
            </w:r>
          </w:p>
        </w:tc>
        <w:tc>
          <w:tcPr>
            <w:tcW w:w="2097" w:type="dxa"/>
            <w:vAlign w:val="center"/>
          </w:tcPr>
          <w:p>
            <w:pPr>
              <w:widowControl/>
              <w:spacing w:line="400" w:lineRule="exact"/>
              <w:jc w:val="center"/>
              <w:rPr>
                <w:kern w:val="0"/>
                <w:szCs w:val="21"/>
              </w:rPr>
            </w:pPr>
            <w:r>
              <w:rPr>
                <w:kern w:val="0"/>
                <w:szCs w:val="21"/>
              </w:rPr>
              <w:t>0.314</w:t>
            </w:r>
          </w:p>
        </w:tc>
        <w:tc>
          <w:tcPr>
            <w:tcW w:w="3000" w:type="dxa"/>
            <w:vAlign w:val="center"/>
          </w:tcPr>
          <w:p>
            <w:pPr>
              <w:widowControl/>
              <w:spacing w:line="400" w:lineRule="exact"/>
              <w:jc w:val="center"/>
              <w:rPr>
                <w:kern w:val="0"/>
                <w:szCs w:val="21"/>
              </w:rPr>
            </w:pPr>
            <w:r>
              <w:rPr>
                <w:kern w:val="0"/>
                <w:szCs w:val="21"/>
              </w:rPr>
              <w:t>距离商服中心距离</w:t>
            </w:r>
          </w:p>
        </w:tc>
        <w:tc>
          <w:tcPr>
            <w:tcW w:w="1710" w:type="dxa"/>
            <w:vAlign w:val="center"/>
          </w:tcPr>
          <w:p>
            <w:pPr>
              <w:jc w:val="center"/>
              <w:rPr>
                <w:kern w:val="0"/>
                <w:szCs w:val="21"/>
              </w:rPr>
            </w:pPr>
            <w:r>
              <w:rPr>
                <w:color w:val="000000"/>
                <w:szCs w:val="21"/>
              </w:rPr>
              <w:t>0.314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1712" w:type="dxa"/>
            <w:vMerge w:val="restart"/>
            <w:vAlign w:val="center"/>
          </w:tcPr>
          <w:p>
            <w:pPr>
              <w:widowControl/>
              <w:spacing w:line="400" w:lineRule="exact"/>
              <w:jc w:val="center"/>
              <w:rPr>
                <w:kern w:val="0"/>
                <w:szCs w:val="21"/>
              </w:rPr>
            </w:pPr>
            <w:r>
              <w:rPr>
                <w:kern w:val="0"/>
                <w:szCs w:val="21"/>
              </w:rPr>
              <w:t>交通条件</w:t>
            </w:r>
          </w:p>
        </w:tc>
        <w:tc>
          <w:tcPr>
            <w:tcW w:w="2097" w:type="dxa"/>
            <w:vMerge w:val="restart"/>
            <w:vAlign w:val="center"/>
          </w:tcPr>
          <w:p>
            <w:pPr>
              <w:widowControl/>
              <w:spacing w:line="400" w:lineRule="exact"/>
              <w:jc w:val="center"/>
              <w:rPr>
                <w:kern w:val="0"/>
                <w:szCs w:val="21"/>
              </w:rPr>
            </w:pPr>
            <w:r>
              <w:rPr>
                <w:kern w:val="0"/>
                <w:szCs w:val="21"/>
              </w:rPr>
              <w:t>0.221</w:t>
            </w:r>
          </w:p>
        </w:tc>
        <w:tc>
          <w:tcPr>
            <w:tcW w:w="3000" w:type="dxa"/>
            <w:vAlign w:val="center"/>
          </w:tcPr>
          <w:p>
            <w:pPr>
              <w:widowControl/>
              <w:spacing w:line="400" w:lineRule="exact"/>
              <w:jc w:val="center"/>
              <w:rPr>
                <w:kern w:val="0"/>
                <w:szCs w:val="21"/>
              </w:rPr>
            </w:pPr>
            <w:r>
              <w:rPr>
                <w:kern w:val="0"/>
                <w:szCs w:val="21"/>
              </w:rPr>
              <w:t>临街道路状况</w:t>
            </w:r>
          </w:p>
        </w:tc>
        <w:tc>
          <w:tcPr>
            <w:tcW w:w="1710" w:type="dxa"/>
            <w:vAlign w:val="center"/>
          </w:tcPr>
          <w:p>
            <w:pPr>
              <w:jc w:val="center"/>
              <w:rPr>
                <w:kern w:val="0"/>
                <w:szCs w:val="21"/>
              </w:rPr>
            </w:pPr>
            <w:r>
              <w:rPr>
                <w:color w:val="000000"/>
                <w:szCs w:val="21"/>
              </w:rPr>
              <w:t>0.170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12" w:type="dxa"/>
            <w:vMerge w:val="continue"/>
            <w:vAlign w:val="center"/>
          </w:tcPr>
          <w:p>
            <w:pPr>
              <w:widowControl/>
              <w:spacing w:line="400" w:lineRule="exact"/>
              <w:jc w:val="center"/>
              <w:rPr>
                <w:kern w:val="0"/>
                <w:szCs w:val="21"/>
              </w:rPr>
            </w:pPr>
          </w:p>
        </w:tc>
        <w:tc>
          <w:tcPr>
            <w:tcW w:w="2097" w:type="dxa"/>
            <w:vMerge w:val="continue"/>
            <w:vAlign w:val="center"/>
          </w:tcPr>
          <w:p>
            <w:pPr>
              <w:widowControl/>
              <w:spacing w:line="400" w:lineRule="exact"/>
              <w:jc w:val="center"/>
              <w:rPr>
                <w:kern w:val="0"/>
                <w:szCs w:val="21"/>
              </w:rPr>
            </w:pPr>
          </w:p>
        </w:tc>
        <w:tc>
          <w:tcPr>
            <w:tcW w:w="3000" w:type="dxa"/>
            <w:vAlign w:val="center"/>
          </w:tcPr>
          <w:p>
            <w:pPr>
              <w:widowControl/>
              <w:spacing w:line="400" w:lineRule="exact"/>
              <w:jc w:val="center"/>
              <w:rPr>
                <w:kern w:val="0"/>
                <w:szCs w:val="21"/>
              </w:rPr>
            </w:pPr>
            <w:r>
              <w:rPr>
                <w:kern w:val="0"/>
                <w:szCs w:val="21"/>
              </w:rPr>
              <w:t>距离最近长途汽车站距离</w:t>
            </w:r>
          </w:p>
        </w:tc>
        <w:tc>
          <w:tcPr>
            <w:tcW w:w="1710" w:type="dxa"/>
            <w:vAlign w:val="center"/>
          </w:tcPr>
          <w:p>
            <w:pPr>
              <w:jc w:val="center"/>
              <w:rPr>
                <w:kern w:val="0"/>
                <w:szCs w:val="21"/>
              </w:rPr>
            </w:pPr>
            <w:r>
              <w:rPr>
                <w:color w:val="000000"/>
                <w:szCs w:val="21"/>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4" w:hRule="atLeast"/>
          <w:jc w:val="center"/>
        </w:trPr>
        <w:tc>
          <w:tcPr>
            <w:tcW w:w="1712" w:type="dxa"/>
            <w:vAlign w:val="center"/>
          </w:tcPr>
          <w:p>
            <w:pPr>
              <w:widowControl/>
              <w:spacing w:line="400" w:lineRule="exact"/>
              <w:jc w:val="center"/>
              <w:rPr>
                <w:kern w:val="0"/>
                <w:szCs w:val="21"/>
              </w:rPr>
            </w:pPr>
            <w:r>
              <w:rPr>
                <w:kern w:val="0"/>
                <w:szCs w:val="21"/>
              </w:rPr>
              <w:t>基本设施状况</w:t>
            </w:r>
          </w:p>
        </w:tc>
        <w:tc>
          <w:tcPr>
            <w:tcW w:w="2097" w:type="dxa"/>
            <w:vAlign w:val="center"/>
          </w:tcPr>
          <w:p>
            <w:pPr>
              <w:widowControl/>
              <w:spacing w:line="400" w:lineRule="exact"/>
              <w:jc w:val="center"/>
              <w:rPr>
                <w:kern w:val="0"/>
                <w:szCs w:val="21"/>
              </w:rPr>
            </w:pPr>
            <w:r>
              <w:rPr>
                <w:kern w:val="0"/>
                <w:szCs w:val="21"/>
              </w:rPr>
              <w:t>0.170</w:t>
            </w:r>
          </w:p>
        </w:tc>
        <w:tc>
          <w:tcPr>
            <w:tcW w:w="3000" w:type="dxa"/>
            <w:vAlign w:val="center"/>
          </w:tcPr>
          <w:p>
            <w:pPr>
              <w:widowControl/>
              <w:spacing w:line="400" w:lineRule="exact"/>
              <w:jc w:val="center"/>
              <w:rPr>
                <w:kern w:val="0"/>
                <w:szCs w:val="21"/>
              </w:rPr>
            </w:pPr>
            <w:r>
              <w:rPr>
                <w:kern w:val="0"/>
                <w:szCs w:val="21"/>
              </w:rPr>
              <w:t>水电气综合保证率</w:t>
            </w:r>
          </w:p>
        </w:tc>
        <w:tc>
          <w:tcPr>
            <w:tcW w:w="1710" w:type="dxa"/>
            <w:vAlign w:val="center"/>
          </w:tcPr>
          <w:p>
            <w:pPr>
              <w:jc w:val="center"/>
              <w:rPr>
                <w:kern w:val="0"/>
                <w:szCs w:val="21"/>
              </w:rPr>
            </w:pPr>
            <w:r>
              <w:rPr>
                <w:color w:val="000000"/>
                <w:szCs w:val="21"/>
              </w:rPr>
              <w:t>0.170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712" w:type="dxa"/>
            <w:vAlign w:val="center"/>
          </w:tcPr>
          <w:p>
            <w:pPr>
              <w:widowControl/>
              <w:spacing w:line="400" w:lineRule="exact"/>
              <w:jc w:val="center"/>
              <w:rPr>
                <w:kern w:val="0"/>
                <w:szCs w:val="21"/>
              </w:rPr>
            </w:pPr>
            <w:r>
              <w:rPr>
                <w:kern w:val="0"/>
                <w:szCs w:val="21"/>
              </w:rPr>
              <w:t>人口状况</w:t>
            </w:r>
          </w:p>
        </w:tc>
        <w:tc>
          <w:tcPr>
            <w:tcW w:w="2097" w:type="dxa"/>
            <w:vAlign w:val="center"/>
          </w:tcPr>
          <w:p>
            <w:pPr>
              <w:widowControl/>
              <w:spacing w:line="400" w:lineRule="exact"/>
              <w:jc w:val="center"/>
              <w:rPr>
                <w:kern w:val="0"/>
                <w:szCs w:val="21"/>
              </w:rPr>
            </w:pPr>
            <w:r>
              <w:rPr>
                <w:kern w:val="0"/>
                <w:szCs w:val="21"/>
              </w:rPr>
              <w:t>0.160</w:t>
            </w:r>
          </w:p>
        </w:tc>
        <w:tc>
          <w:tcPr>
            <w:tcW w:w="3000" w:type="dxa"/>
            <w:vAlign w:val="center"/>
          </w:tcPr>
          <w:p>
            <w:pPr>
              <w:widowControl/>
              <w:spacing w:line="400" w:lineRule="exact"/>
              <w:jc w:val="center"/>
              <w:rPr>
                <w:kern w:val="0"/>
                <w:szCs w:val="21"/>
              </w:rPr>
            </w:pPr>
            <w:r>
              <w:rPr>
                <w:kern w:val="0"/>
                <w:szCs w:val="21"/>
              </w:rPr>
              <w:t>人口密度</w:t>
            </w:r>
          </w:p>
        </w:tc>
        <w:tc>
          <w:tcPr>
            <w:tcW w:w="1710" w:type="dxa"/>
            <w:vAlign w:val="center"/>
          </w:tcPr>
          <w:p>
            <w:pPr>
              <w:jc w:val="center"/>
              <w:rPr>
                <w:kern w:val="0"/>
                <w:szCs w:val="21"/>
              </w:rPr>
            </w:pPr>
            <w:r>
              <w:rPr>
                <w:color w:val="000000"/>
                <w:szCs w:val="21"/>
              </w:rPr>
              <w:t>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712" w:type="dxa"/>
            <w:vMerge w:val="restart"/>
            <w:vAlign w:val="center"/>
          </w:tcPr>
          <w:p>
            <w:pPr>
              <w:widowControl/>
              <w:spacing w:line="400" w:lineRule="exact"/>
              <w:jc w:val="center"/>
              <w:rPr>
                <w:kern w:val="0"/>
                <w:szCs w:val="21"/>
              </w:rPr>
            </w:pPr>
            <w:r>
              <w:rPr>
                <w:kern w:val="0"/>
                <w:szCs w:val="21"/>
              </w:rPr>
              <w:t>环境条件</w:t>
            </w:r>
          </w:p>
        </w:tc>
        <w:tc>
          <w:tcPr>
            <w:tcW w:w="2097" w:type="dxa"/>
            <w:vMerge w:val="restart"/>
            <w:vAlign w:val="center"/>
          </w:tcPr>
          <w:p>
            <w:pPr>
              <w:widowControl/>
              <w:spacing w:line="400" w:lineRule="exact"/>
              <w:jc w:val="center"/>
              <w:rPr>
                <w:kern w:val="0"/>
                <w:szCs w:val="21"/>
              </w:rPr>
            </w:pPr>
            <w:r>
              <w:rPr>
                <w:kern w:val="0"/>
                <w:szCs w:val="21"/>
              </w:rPr>
              <w:t>0.135</w:t>
            </w:r>
          </w:p>
        </w:tc>
        <w:tc>
          <w:tcPr>
            <w:tcW w:w="3000" w:type="dxa"/>
            <w:vAlign w:val="center"/>
          </w:tcPr>
          <w:p>
            <w:pPr>
              <w:widowControl/>
              <w:shd w:val="clear" w:color="auto" w:fill="FFFFFF"/>
              <w:jc w:val="center"/>
              <w:rPr>
                <w:kern w:val="0"/>
                <w:szCs w:val="21"/>
              </w:rPr>
            </w:pPr>
            <w:r>
              <w:rPr>
                <w:kern w:val="0"/>
                <w:szCs w:val="21"/>
              </w:rPr>
              <w:t>大气污染状况</w:t>
            </w:r>
          </w:p>
        </w:tc>
        <w:tc>
          <w:tcPr>
            <w:tcW w:w="1710" w:type="dxa"/>
            <w:vAlign w:val="center"/>
          </w:tcPr>
          <w:p>
            <w:pPr>
              <w:jc w:val="center"/>
              <w:rPr>
                <w:kern w:val="0"/>
                <w:szCs w:val="21"/>
              </w:rPr>
            </w:pPr>
            <w:r>
              <w:rPr>
                <w:color w:val="000000"/>
                <w:szCs w:val="21"/>
              </w:rPr>
              <w:t>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712" w:type="dxa"/>
            <w:vMerge w:val="continue"/>
            <w:vAlign w:val="center"/>
          </w:tcPr>
          <w:p>
            <w:pPr>
              <w:widowControl/>
              <w:spacing w:line="400" w:lineRule="exact"/>
              <w:jc w:val="center"/>
              <w:rPr>
                <w:kern w:val="0"/>
                <w:szCs w:val="21"/>
              </w:rPr>
            </w:pPr>
          </w:p>
        </w:tc>
        <w:tc>
          <w:tcPr>
            <w:tcW w:w="2097" w:type="dxa"/>
            <w:vMerge w:val="continue"/>
            <w:vAlign w:val="center"/>
          </w:tcPr>
          <w:p>
            <w:pPr>
              <w:widowControl/>
              <w:spacing w:line="400" w:lineRule="exact"/>
              <w:jc w:val="center"/>
              <w:rPr>
                <w:kern w:val="0"/>
                <w:szCs w:val="21"/>
              </w:rPr>
            </w:pPr>
          </w:p>
        </w:tc>
        <w:tc>
          <w:tcPr>
            <w:tcW w:w="3000" w:type="dxa"/>
            <w:vAlign w:val="center"/>
          </w:tcPr>
          <w:p>
            <w:pPr>
              <w:widowControl/>
              <w:shd w:val="clear" w:color="auto" w:fill="FFFFFF"/>
              <w:jc w:val="center"/>
              <w:rPr>
                <w:kern w:val="0"/>
                <w:szCs w:val="21"/>
              </w:rPr>
            </w:pPr>
            <w:r>
              <w:rPr>
                <w:szCs w:val="21"/>
              </w:rPr>
              <w:t>噪音污染状况</w:t>
            </w:r>
          </w:p>
        </w:tc>
        <w:tc>
          <w:tcPr>
            <w:tcW w:w="1710" w:type="dxa"/>
            <w:vAlign w:val="center"/>
          </w:tcPr>
          <w:p>
            <w:pPr>
              <w:jc w:val="center"/>
              <w:rPr>
                <w:kern w:val="0"/>
                <w:szCs w:val="21"/>
              </w:rPr>
            </w:pPr>
            <w:r>
              <w:rPr>
                <w:color w:val="000000"/>
                <w:szCs w:val="21"/>
              </w:rPr>
              <w:t>0.072</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w:t>
      </w:r>
      <w:r>
        <w:rPr>
          <w:rFonts w:hint="eastAsia" w:ascii="Times New Roman" w:hAnsi="Times New Roman"/>
          <w:sz w:val="24"/>
          <w:szCs w:val="24"/>
        </w:rPr>
        <w:t xml:space="preserve">10 </w:t>
      </w:r>
      <w:r>
        <w:rPr>
          <w:rFonts w:ascii="Times New Roman" w:hAnsi="Times New Roman"/>
          <w:sz w:val="24"/>
          <w:szCs w:val="24"/>
        </w:rPr>
        <w:t xml:space="preserve"> 长沙县乡镇住宅用地宗地地价修正因素及权重表</w:t>
      </w:r>
    </w:p>
    <w:tbl>
      <w:tblPr>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867"/>
        <w:gridCol w:w="3037"/>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1712" w:type="dxa"/>
            <w:vAlign w:val="center"/>
          </w:tcPr>
          <w:p>
            <w:pPr>
              <w:widowControl/>
              <w:spacing w:line="400" w:lineRule="exact"/>
              <w:jc w:val="center"/>
              <w:rPr>
                <w:kern w:val="0"/>
                <w:szCs w:val="21"/>
              </w:rPr>
            </w:pPr>
            <w:r>
              <w:rPr>
                <w:kern w:val="0"/>
                <w:szCs w:val="21"/>
              </w:rPr>
              <w:t>因素</w:t>
            </w:r>
          </w:p>
        </w:tc>
        <w:tc>
          <w:tcPr>
            <w:tcW w:w="1867" w:type="dxa"/>
            <w:vAlign w:val="center"/>
          </w:tcPr>
          <w:p>
            <w:pPr>
              <w:widowControl/>
              <w:spacing w:line="400" w:lineRule="exact"/>
              <w:jc w:val="center"/>
              <w:rPr>
                <w:kern w:val="0"/>
                <w:szCs w:val="21"/>
              </w:rPr>
            </w:pPr>
            <w:r>
              <w:rPr>
                <w:kern w:val="0"/>
                <w:szCs w:val="21"/>
              </w:rPr>
              <w:t>权重</w:t>
            </w:r>
          </w:p>
        </w:tc>
        <w:tc>
          <w:tcPr>
            <w:tcW w:w="3037" w:type="dxa"/>
            <w:vAlign w:val="center"/>
          </w:tcPr>
          <w:p>
            <w:pPr>
              <w:widowControl/>
              <w:spacing w:line="400" w:lineRule="exact"/>
              <w:jc w:val="center"/>
              <w:rPr>
                <w:kern w:val="0"/>
                <w:szCs w:val="21"/>
              </w:rPr>
            </w:pPr>
            <w:r>
              <w:rPr>
                <w:kern w:val="0"/>
                <w:szCs w:val="21"/>
              </w:rPr>
              <w:t>因子</w:t>
            </w:r>
          </w:p>
        </w:tc>
        <w:tc>
          <w:tcPr>
            <w:tcW w:w="1904" w:type="dxa"/>
            <w:vAlign w:val="center"/>
          </w:tcPr>
          <w:p>
            <w:pPr>
              <w:widowControl/>
              <w:spacing w:line="400" w:lineRule="exact"/>
              <w:jc w:val="center"/>
              <w:rPr>
                <w:kern w:val="0"/>
                <w:szCs w:val="21"/>
              </w:rPr>
            </w:pPr>
            <w:r>
              <w:rPr>
                <w:kern w:val="0"/>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12" w:type="dxa"/>
            <w:vAlign w:val="center"/>
          </w:tcPr>
          <w:p>
            <w:pPr>
              <w:widowControl/>
              <w:spacing w:line="400" w:lineRule="exact"/>
              <w:jc w:val="center"/>
              <w:rPr>
                <w:kern w:val="0"/>
                <w:szCs w:val="21"/>
              </w:rPr>
            </w:pPr>
            <w:r>
              <w:rPr>
                <w:kern w:val="0"/>
                <w:szCs w:val="21"/>
              </w:rPr>
              <w:t>商服繁华度</w:t>
            </w:r>
          </w:p>
        </w:tc>
        <w:tc>
          <w:tcPr>
            <w:tcW w:w="1867" w:type="dxa"/>
            <w:vAlign w:val="center"/>
          </w:tcPr>
          <w:p>
            <w:pPr>
              <w:widowControl/>
              <w:jc w:val="center"/>
              <w:textAlignment w:val="center"/>
              <w:rPr>
                <w:kern w:val="0"/>
                <w:szCs w:val="21"/>
              </w:rPr>
            </w:pPr>
            <w:r>
              <w:rPr>
                <w:rFonts w:eastAsia="Tahoma"/>
                <w:color w:val="000000"/>
                <w:kern w:val="0"/>
                <w:szCs w:val="21"/>
                <w:lang/>
              </w:rPr>
              <w:t>0.157</w:t>
            </w:r>
          </w:p>
        </w:tc>
        <w:tc>
          <w:tcPr>
            <w:tcW w:w="3037" w:type="dxa"/>
            <w:vAlign w:val="center"/>
          </w:tcPr>
          <w:p>
            <w:pPr>
              <w:widowControl/>
              <w:spacing w:line="400" w:lineRule="exact"/>
              <w:jc w:val="center"/>
              <w:rPr>
                <w:kern w:val="0"/>
                <w:szCs w:val="21"/>
              </w:rPr>
            </w:pPr>
            <w:r>
              <w:rPr>
                <w:kern w:val="0"/>
                <w:szCs w:val="21"/>
              </w:rPr>
              <w:t>距离商服中心距离</w:t>
            </w:r>
          </w:p>
        </w:tc>
        <w:tc>
          <w:tcPr>
            <w:tcW w:w="1904" w:type="dxa"/>
            <w:vAlign w:val="center"/>
          </w:tcPr>
          <w:p>
            <w:pPr>
              <w:widowControl/>
              <w:jc w:val="center"/>
              <w:textAlignment w:val="center"/>
              <w:rPr>
                <w:kern w:val="0"/>
                <w:szCs w:val="21"/>
              </w:rPr>
            </w:pPr>
            <w:r>
              <w:rPr>
                <w:rFonts w:eastAsia="Tahoma"/>
                <w:color w:val="000000"/>
                <w:kern w:val="0"/>
                <w:szCs w:val="21"/>
                <w:lang/>
              </w:rPr>
              <w:t>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12" w:type="dxa"/>
            <w:vMerge w:val="restart"/>
            <w:vAlign w:val="center"/>
          </w:tcPr>
          <w:p>
            <w:pPr>
              <w:widowControl/>
              <w:spacing w:line="400" w:lineRule="exact"/>
              <w:jc w:val="center"/>
              <w:rPr>
                <w:kern w:val="0"/>
                <w:szCs w:val="21"/>
              </w:rPr>
            </w:pPr>
            <w:r>
              <w:rPr>
                <w:kern w:val="0"/>
                <w:szCs w:val="21"/>
              </w:rPr>
              <w:t>交通条件</w:t>
            </w:r>
          </w:p>
        </w:tc>
        <w:tc>
          <w:tcPr>
            <w:tcW w:w="1867" w:type="dxa"/>
            <w:vMerge w:val="restart"/>
            <w:vAlign w:val="center"/>
          </w:tcPr>
          <w:p>
            <w:pPr>
              <w:widowControl/>
              <w:jc w:val="center"/>
              <w:textAlignment w:val="center"/>
              <w:rPr>
                <w:kern w:val="0"/>
                <w:szCs w:val="21"/>
              </w:rPr>
            </w:pPr>
            <w:r>
              <w:rPr>
                <w:rFonts w:eastAsia="Tahoma"/>
                <w:color w:val="000000"/>
                <w:kern w:val="0"/>
                <w:szCs w:val="21"/>
                <w:lang/>
              </w:rPr>
              <w:t>0.241</w:t>
            </w:r>
          </w:p>
        </w:tc>
        <w:tc>
          <w:tcPr>
            <w:tcW w:w="3037" w:type="dxa"/>
            <w:vAlign w:val="center"/>
          </w:tcPr>
          <w:p>
            <w:pPr>
              <w:widowControl/>
              <w:spacing w:line="400" w:lineRule="exact"/>
              <w:jc w:val="center"/>
              <w:rPr>
                <w:kern w:val="0"/>
                <w:szCs w:val="21"/>
              </w:rPr>
            </w:pPr>
            <w:r>
              <w:rPr>
                <w:kern w:val="0"/>
                <w:szCs w:val="21"/>
              </w:rPr>
              <w:t>临街道路状况</w:t>
            </w:r>
          </w:p>
        </w:tc>
        <w:tc>
          <w:tcPr>
            <w:tcW w:w="1904" w:type="dxa"/>
            <w:vAlign w:val="center"/>
          </w:tcPr>
          <w:p>
            <w:pPr>
              <w:widowControl/>
              <w:jc w:val="center"/>
              <w:textAlignment w:val="center"/>
              <w:rPr>
                <w:kern w:val="0"/>
                <w:szCs w:val="21"/>
              </w:rPr>
            </w:pPr>
            <w:r>
              <w:rPr>
                <w:rFonts w:eastAsia="Tahoma"/>
                <w:color w:val="000000"/>
                <w:kern w:val="0"/>
                <w:szCs w:val="21"/>
                <w:lang/>
              </w:rPr>
              <w:t>0.178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12" w:type="dxa"/>
            <w:vMerge w:val="continue"/>
            <w:vAlign w:val="center"/>
          </w:tcPr>
          <w:p>
            <w:pPr>
              <w:widowControl/>
              <w:spacing w:line="400" w:lineRule="exact"/>
              <w:jc w:val="center"/>
              <w:rPr>
                <w:kern w:val="0"/>
                <w:szCs w:val="21"/>
              </w:rPr>
            </w:pPr>
          </w:p>
        </w:tc>
        <w:tc>
          <w:tcPr>
            <w:tcW w:w="1867" w:type="dxa"/>
            <w:vMerge w:val="continue"/>
            <w:vAlign w:val="center"/>
          </w:tcPr>
          <w:p>
            <w:pPr>
              <w:widowControl/>
              <w:spacing w:line="400" w:lineRule="exact"/>
              <w:jc w:val="center"/>
              <w:rPr>
                <w:kern w:val="0"/>
                <w:szCs w:val="21"/>
              </w:rPr>
            </w:pPr>
          </w:p>
        </w:tc>
        <w:tc>
          <w:tcPr>
            <w:tcW w:w="3037" w:type="dxa"/>
            <w:vAlign w:val="center"/>
          </w:tcPr>
          <w:p>
            <w:pPr>
              <w:widowControl/>
              <w:spacing w:line="400" w:lineRule="exact"/>
              <w:jc w:val="center"/>
              <w:rPr>
                <w:kern w:val="0"/>
                <w:szCs w:val="21"/>
              </w:rPr>
            </w:pPr>
            <w:r>
              <w:rPr>
                <w:kern w:val="0"/>
                <w:szCs w:val="21"/>
              </w:rPr>
              <w:t>距离最近长途汽车站距离</w:t>
            </w:r>
          </w:p>
        </w:tc>
        <w:tc>
          <w:tcPr>
            <w:tcW w:w="1904" w:type="dxa"/>
            <w:vAlign w:val="center"/>
          </w:tcPr>
          <w:p>
            <w:pPr>
              <w:widowControl/>
              <w:jc w:val="center"/>
              <w:textAlignment w:val="center"/>
              <w:rPr>
                <w:kern w:val="0"/>
                <w:szCs w:val="21"/>
              </w:rPr>
            </w:pPr>
            <w:r>
              <w:rPr>
                <w:rFonts w:eastAsia="Tahoma"/>
                <w:color w:val="000000"/>
                <w:kern w:val="0"/>
                <w:szCs w:val="21"/>
                <w:lang/>
              </w:rPr>
              <w:t>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4" w:hRule="atLeast"/>
          <w:jc w:val="center"/>
        </w:trPr>
        <w:tc>
          <w:tcPr>
            <w:tcW w:w="1712" w:type="dxa"/>
            <w:vAlign w:val="center"/>
          </w:tcPr>
          <w:p>
            <w:pPr>
              <w:widowControl/>
              <w:spacing w:line="400" w:lineRule="exact"/>
              <w:jc w:val="center"/>
              <w:rPr>
                <w:kern w:val="0"/>
                <w:szCs w:val="21"/>
              </w:rPr>
            </w:pPr>
            <w:r>
              <w:rPr>
                <w:kern w:val="0"/>
                <w:szCs w:val="21"/>
              </w:rPr>
              <w:t>基础设施状况</w:t>
            </w:r>
          </w:p>
        </w:tc>
        <w:tc>
          <w:tcPr>
            <w:tcW w:w="1867" w:type="dxa"/>
            <w:vAlign w:val="center"/>
          </w:tcPr>
          <w:p>
            <w:pPr>
              <w:widowControl/>
              <w:jc w:val="center"/>
              <w:textAlignment w:val="center"/>
              <w:rPr>
                <w:kern w:val="0"/>
                <w:szCs w:val="21"/>
              </w:rPr>
            </w:pPr>
            <w:r>
              <w:rPr>
                <w:rFonts w:eastAsia="Tahoma"/>
                <w:color w:val="000000"/>
                <w:kern w:val="0"/>
                <w:szCs w:val="21"/>
                <w:lang/>
              </w:rPr>
              <w:t>0.220</w:t>
            </w:r>
          </w:p>
        </w:tc>
        <w:tc>
          <w:tcPr>
            <w:tcW w:w="3037" w:type="dxa"/>
            <w:vAlign w:val="center"/>
          </w:tcPr>
          <w:p>
            <w:pPr>
              <w:widowControl/>
              <w:spacing w:line="400" w:lineRule="exact"/>
              <w:jc w:val="center"/>
              <w:rPr>
                <w:kern w:val="0"/>
                <w:szCs w:val="21"/>
              </w:rPr>
            </w:pPr>
            <w:r>
              <w:rPr>
                <w:kern w:val="0"/>
                <w:szCs w:val="21"/>
              </w:rPr>
              <w:t>水电气综合保证率</w:t>
            </w:r>
          </w:p>
        </w:tc>
        <w:tc>
          <w:tcPr>
            <w:tcW w:w="1904" w:type="dxa"/>
            <w:vAlign w:val="center"/>
          </w:tcPr>
          <w:p>
            <w:pPr>
              <w:widowControl/>
              <w:jc w:val="center"/>
              <w:textAlignment w:val="center"/>
              <w:rPr>
                <w:kern w:val="0"/>
                <w:szCs w:val="21"/>
              </w:rPr>
            </w:pPr>
            <w:r>
              <w:rPr>
                <w:rFonts w:eastAsia="Tahoma"/>
                <w:color w:val="000000"/>
                <w:kern w:val="0"/>
                <w:szCs w:val="21"/>
                <w:lang/>
              </w:rPr>
              <w:t>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12" w:type="dxa"/>
            <w:vMerge w:val="restart"/>
            <w:vAlign w:val="center"/>
          </w:tcPr>
          <w:p>
            <w:pPr>
              <w:widowControl/>
              <w:spacing w:line="400" w:lineRule="exact"/>
              <w:jc w:val="center"/>
              <w:rPr>
                <w:kern w:val="0"/>
                <w:szCs w:val="21"/>
              </w:rPr>
            </w:pPr>
            <w:r>
              <w:rPr>
                <w:kern w:val="0"/>
                <w:szCs w:val="21"/>
              </w:rPr>
              <w:t>公用设施完备度</w:t>
            </w:r>
          </w:p>
        </w:tc>
        <w:tc>
          <w:tcPr>
            <w:tcW w:w="1867" w:type="dxa"/>
            <w:vMerge w:val="restart"/>
            <w:vAlign w:val="center"/>
          </w:tcPr>
          <w:p>
            <w:pPr>
              <w:widowControl/>
              <w:jc w:val="center"/>
              <w:textAlignment w:val="center"/>
              <w:rPr>
                <w:kern w:val="0"/>
                <w:szCs w:val="21"/>
              </w:rPr>
            </w:pPr>
            <w:r>
              <w:rPr>
                <w:rFonts w:eastAsia="Tahoma"/>
                <w:color w:val="000000"/>
                <w:kern w:val="0"/>
                <w:szCs w:val="21"/>
                <w:lang/>
              </w:rPr>
              <w:t>0.172</w:t>
            </w:r>
          </w:p>
        </w:tc>
        <w:tc>
          <w:tcPr>
            <w:tcW w:w="3037" w:type="dxa"/>
            <w:vAlign w:val="center"/>
          </w:tcPr>
          <w:p>
            <w:pPr>
              <w:widowControl/>
              <w:spacing w:line="400" w:lineRule="exact"/>
              <w:jc w:val="center"/>
              <w:rPr>
                <w:kern w:val="0"/>
                <w:szCs w:val="21"/>
              </w:rPr>
            </w:pPr>
            <w:r>
              <w:rPr>
                <w:kern w:val="0"/>
                <w:szCs w:val="21"/>
              </w:rPr>
              <w:t>距离中小学距离</w:t>
            </w:r>
          </w:p>
        </w:tc>
        <w:tc>
          <w:tcPr>
            <w:tcW w:w="1904" w:type="dxa"/>
            <w:vAlign w:val="center"/>
          </w:tcPr>
          <w:p>
            <w:pPr>
              <w:widowControl/>
              <w:jc w:val="center"/>
              <w:textAlignment w:val="center"/>
              <w:rPr>
                <w:kern w:val="0"/>
                <w:szCs w:val="21"/>
              </w:rPr>
            </w:pPr>
            <w:r>
              <w:rPr>
                <w:rFonts w:eastAsia="Tahoma"/>
                <w:color w:val="000000"/>
                <w:kern w:val="0"/>
                <w:szCs w:val="21"/>
                <w:lang/>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12" w:type="dxa"/>
            <w:vMerge w:val="continue"/>
            <w:vAlign w:val="center"/>
          </w:tcPr>
          <w:p>
            <w:pPr>
              <w:widowControl/>
              <w:spacing w:line="400" w:lineRule="exact"/>
              <w:jc w:val="center"/>
              <w:rPr>
                <w:kern w:val="0"/>
                <w:szCs w:val="21"/>
              </w:rPr>
            </w:pPr>
          </w:p>
        </w:tc>
        <w:tc>
          <w:tcPr>
            <w:tcW w:w="1867" w:type="dxa"/>
            <w:vMerge w:val="continue"/>
            <w:vAlign w:val="center"/>
          </w:tcPr>
          <w:p>
            <w:pPr>
              <w:widowControl/>
              <w:spacing w:line="400" w:lineRule="exact"/>
              <w:jc w:val="center"/>
              <w:rPr>
                <w:kern w:val="0"/>
                <w:szCs w:val="21"/>
              </w:rPr>
            </w:pPr>
          </w:p>
        </w:tc>
        <w:tc>
          <w:tcPr>
            <w:tcW w:w="3037" w:type="dxa"/>
            <w:vAlign w:val="center"/>
          </w:tcPr>
          <w:p>
            <w:pPr>
              <w:widowControl/>
              <w:spacing w:line="400" w:lineRule="exact"/>
              <w:jc w:val="center"/>
              <w:rPr>
                <w:kern w:val="0"/>
                <w:szCs w:val="21"/>
              </w:rPr>
            </w:pPr>
            <w:r>
              <w:rPr>
                <w:kern w:val="0"/>
                <w:szCs w:val="21"/>
              </w:rPr>
              <w:t>距离农贸市场距离</w:t>
            </w:r>
          </w:p>
        </w:tc>
        <w:tc>
          <w:tcPr>
            <w:tcW w:w="1904" w:type="dxa"/>
            <w:vAlign w:val="center"/>
          </w:tcPr>
          <w:p>
            <w:pPr>
              <w:widowControl/>
              <w:jc w:val="center"/>
              <w:textAlignment w:val="center"/>
              <w:rPr>
                <w:kern w:val="0"/>
                <w:szCs w:val="21"/>
              </w:rPr>
            </w:pPr>
            <w:r>
              <w:rPr>
                <w:rFonts w:eastAsia="Tahoma"/>
                <w:color w:val="000000"/>
                <w:kern w:val="0"/>
                <w:szCs w:val="21"/>
                <w:lang/>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12" w:type="dxa"/>
            <w:vMerge w:val="continue"/>
            <w:vAlign w:val="center"/>
          </w:tcPr>
          <w:p>
            <w:pPr>
              <w:widowControl/>
              <w:spacing w:line="400" w:lineRule="exact"/>
              <w:jc w:val="center"/>
              <w:rPr>
                <w:kern w:val="0"/>
                <w:szCs w:val="21"/>
              </w:rPr>
            </w:pPr>
          </w:p>
        </w:tc>
        <w:tc>
          <w:tcPr>
            <w:tcW w:w="1867" w:type="dxa"/>
            <w:vMerge w:val="continue"/>
            <w:vAlign w:val="center"/>
          </w:tcPr>
          <w:p>
            <w:pPr>
              <w:widowControl/>
              <w:spacing w:line="400" w:lineRule="exact"/>
              <w:jc w:val="center"/>
              <w:rPr>
                <w:kern w:val="0"/>
                <w:szCs w:val="21"/>
              </w:rPr>
            </w:pPr>
          </w:p>
        </w:tc>
        <w:tc>
          <w:tcPr>
            <w:tcW w:w="3037" w:type="dxa"/>
            <w:vAlign w:val="center"/>
          </w:tcPr>
          <w:p>
            <w:pPr>
              <w:widowControl/>
              <w:spacing w:line="400" w:lineRule="exact"/>
              <w:jc w:val="center"/>
              <w:rPr>
                <w:kern w:val="0"/>
                <w:szCs w:val="21"/>
              </w:rPr>
            </w:pPr>
            <w:r>
              <w:rPr>
                <w:kern w:val="0"/>
                <w:szCs w:val="21"/>
              </w:rPr>
              <w:t>距离文体设施距离</w:t>
            </w:r>
          </w:p>
        </w:tc>
        <w:tc>
          <w:tcPr>
            <w:tcW w:w="1904" w:type="dxa"/>
            <w:vAlign w:val="center"/>
          </w:tcPr>
          <w:p>
            <w:pPr>
              <w:widowControl/>
              <w:jc w:val="center"/>
              <w:textAlignment w:val="center"/>
              <w:rPr>
                <w:kern w:val="0"/>
                <w:szCs w:val="21"/>
              </w:rPr>
            </w:pPr>
            <w:r>
              <w:rPr>
                <w:rFonts w:eastAsia="Tahoma"/>
                <w:color w:val="000000"/>
                <w:kern w:val="0"/>
                <w:szCs w:val="21"/>
                <w:lang/>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12" w:type="dxa"/>
            <w:vMerge w:val="continue"/>
            <w:vAlign w:val="center"/>
          </w:tcPr>
          <w:p>
            <w:pPr>
              <w:widowControl/>
              <w:spacing w:line="400" w:lineRule="exact"/>
              <w:jc w:val="center"/>
              <w:rPr>
                <w:kern w:val="0"/>
                <w:szCs w:val="21"/>
              </w:rPr>
            </w:pPr>
          </w:p>
        </w:tc>
        <w:tc>
          <w:tcPr>
            <w:tcW w:w="1867" w:type="dxa"/>
            <w:vMerge w:val="continue"/>
            <w:vAlign w:val="center"/>
          </w:tcPr>
          <w:p>
            <w:pPr>
              <w:widowControl/>
              <w:spacing w:line="400" w:lineRule="exact"/>
              <w:jc w:val="center"/>
              <w:rPr>
                <w:kern w:val="0"/>
                <w:szCs w:val="21"/>
              </w:rPr>
            </w:pPr>
          </w:p>
        </w:tc>
        <w:tc>
          <w:tcPr>
            <w:tcW w:w="3037" w:type="dxa"/>
            <w:vAlign w:val="center"/>
          </w:tcPr>
          <w:p>
            <w:pPr>
              <w:widowControl/>
              <w:spacing w:line="400" w:lineRule="exact"/>
              <w:jc w:val="center"/>
              <w:rPr>
                <w:kern w:val="0"/>
                <w:szCs w:val="21"/>
              </w:rPr>
            </w:pPr>
            <w:r>
              <w:rPr>
                <w:kern w:val="0"/>
                <w:szCs w:val="21"/>
              </w:rPr>
              <w:t>距离医院距离</w:t>
            </w:r>
          </w:p>
        </w:tc>
        <w:tc>
          <w:tcPr>
            <w:tcW w:w="1904" w:type="dxa"/>
            <w:vAlign w:val="center"/>
          </w:tcPr>
          <w:p>
            <w:pPr>
              <w:widowControl/>
              <w:jc w:val="center"/>
              <w:textAlignment w:val="center"/>
              <w:rPr>
                <w:kern w:val="0"/>
                <w:szCs w:val="21"/>
              </w:rPr>
            </w:pPr>
            <w:r>
              <w:rPr>
                <w:rFonts w:eastAsia="Tahoma"/>
                <w:color w:val="000000"/>
                <w:kern w:val="0"/>
                <w:szCs w:val="21"/>
                <w:lang/>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1712" w:type="dxa"/>
            <w:vAlign w:val="center"/>
          </w:tcPr>
          <w:p>
            <w:pPr>
              <w:widowControl/>
              <w:spacing w:line="400" w:lineRule="exact"/>
              <w:jc w:val="center"/>
              <w:rPr>
                <w:kern w:val="0"/>
                <w:szCs w:val="21"/>
              </w:rPr>
            </w:pPr>
            <w:r>
              <w:rPr>
                <w:kern w:val="0"/>
                <w:szCs w:val="21"/>
              </w:rPr>
              <w:t>人口状况</w:t>
            </w:r>
          </w:p>
        </w:tc>
        <w:tc>
          <w:tcPr>
            <w:tcW w:w="1867" w:type="dxa"/>
            <w:vAlign w:val="center"/>
          </w:tcPr>
          <w:p>
            <w:pPr>
              <w:widowControl/>
              <w:jc w:val="center"/>
              <w:textAlignment w:val="center"/>
              <w:rPr>
                <w:kern w:val="0"/>
                <w:szCs w:val="21"/>
              </w:rPr>
            </w:pPr>
            <w:r>
              <w:rPr>
                <w:rFonts w:eastAsia="Tahoma"/>
                <w:color w:val="000000"/>
                <w:kern w:val="0"/>
                <w:szCs w:val="21"/>
                <w:lang/>
              </w:rPr>
              <w:t>0.110</w:t>
            </w:r>
          </w:p>
        </w:tc>
        <w:tc>
          <w:tcPr>
            <w:tcW w:w="3037" w:type="dxa"/>
            <w:vAlign w:val="center"/>
          </w:tcPr>
          <w:p>
            <w:pPr>
              <w:widowControl/>
              <w:spacing w:line="400" w:lineRule="exact"/>
              <w:jc w:val="center"/>
              <w:rPr>
                <w:kern w:val="0"/>
                <w:szCs w:val="21"/>
              </w:rPr>
            </w:pPr>
            <w:r>
              <w:rPr>
                <w:kern w:val="0"/>
                <w:szCs w:val="21"/>
              </w:rPr>
              <w:t>人口密度</w:t>
            </w:r>
          </w:p>
        </w:tc>
        <w:tc>
          <w:tcPr>
            <w:tcW w:w="1904" w:type="dxa"/>
            <w:vAlign w:val="center"/>
          </w:tcPr>
          <w:p>
            <w:pPr>
              <w:widowControl/>
              <w:jc w:val="center"/>
              <w:textAlignment w:val="center"/>
              <w:rPr>
                <w:kern w:val="0"/>
                <w:szCs w:val="21"/>
              </w:rPr>
            </w:pPr>
            <w:r>
              <w:rPr>
                <w:rFonts w:eastAsia="Tahoma"/>
                <w:color w:val="000000"/>
                <w:kern w:val="0"/>
                <w:szCs w:val="21"/>
                <w:lang/>
              </w:rPr>
              <w:t>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12" w:type="dxa"/>
            <w:vMerge w:val="restart"/>
            <w:vAlign w:val="center"/>
          </w:tcPr>
          <w:p>
            <w:pPr>
              <w:widowControl/>
              <w:spacing w:line="400" w:lineRule="exact"/>
              <w:jc w:val="center"/>
              <w:rPr>
                <w:kern w:val="0"/>
                <w:szCs w:val="21"/>
              </w:rPr>
            </w:pPr>
            <w:r>
              <w:rPr>
                <w:kern w:val="0"/>
                <w:szCs w:val="21"/>
              </w:rPr>
              <w:t>环境条件</w:t>
            </w:r>
          </w:p>
        </w:tc>
        <w:tc>
          <w:tcPr>
            <w:tcW w:w="1867" w:type="dxa"/>
            <w:vMerge w:val="restart"/>
            <w:vAlign w:val="center"/>
          </w:tcPr>
          <w:p>
            <w:pPr>
              <w:widowControl/>
              <w:jc w:val="center"/>
              <w:textAlignment w:val="center"/>
              <w:rPr>
                <w:kern w:val="0"/>
                <w:szCs w:val="21"/>
              </w:rPr>
            </w:pPr>
            <w:r>
              <w:rPr>
                <w:rFonts w:eastAsia="Tahoma"/>
                <w:color w:val="000000"/>
                <w:kern w:val="0"/>
                <w:szCs w:val="21"/>
                <w:lang/>
              </w:rPr>
              <w:t>0.100</w:t>
            </w:r>
          </w:p>
        </w:tc>
        <w:tc>
          <w:tcPr>
            <w:tcW w:w="3037" w:type="dxa"/>
            <w:vAlign w:val="center"/>
          </w:tcPr>
          <w:p>
            <w:pPr>
              <w:shd w:val="clear" w:color="auto" w:fill="FFFFFF"/>
              <w:jc w:val="center"/>
              <w:rPr>
                <w:kern w:val="0"/>
                <w:szCs w:val="21"/>
              </w:rPr>
            </w:pPr>
            <w:r>
              <w:rPr>
                <w:szCs w:val="21"/>
              </w:rPr>
              <w:t>大气污染状况</w:t>
            </w:r>
          </w:p>
        </w:tc>
        <w:tc>
          <w:tcPr>
            <w:tcW w:w="1904" w:type="dxa"/>
            <w:vAlign w:val="center"/>
          </w:tcPr>
          <w:p>
            <w:pPr>
              <w:widowControl/>
              <w:jc w:val="center"/>
              <w:textAlignment w:val="center"/>
              <w:rPr>
                <w:kern w:val="0"/>
                <w:szCs w:val="21"/>
              </w:rPr>
            </w:pPr>
            <w:r>
              <w:rPr>
                <w:rFonts w:eastAsia="Tahoma"/>
                <w:color w:val="000000"/>
                <w:kern w:val="0"/>
                <w:szCs w:val="21"/>
                <w:lang/>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712" w:type="dxa"/>
            <w:vMerge w:val="continue"/>
            <w:vAlign w:val="center"/>
          </w:tcPr>
          <w:p>
            <w:pPr>
              <w:widowControl/>
              <w:spacing w:line="400" w:lineRule="exact"/>
              <w:jc w:val="center"/>
              <w:rPr>
                <w:kern w:val="0"/>
                <w:szCs w:val="21"/>
              </w:rPr>
            </w:pPr>
          </w:p>
        </w:tc>
        <w:tc>
          <w:tcPr>
            <w:tcW w:w="1867" w:type="dxa"/>
            <w:vMerge w:val="continue"/>
            <w:vAlign w:val="bottom"/>
          </w:tcPr>
          <w:p>
            <w:pPr>
              <w:widowControl/>
              <w:spacing w:line="400" w:lineRule="exact"/>
              <w:jc w:val="center"/>
              <w:rPr>
                <w:kern w:val="0"/>
                <w:szCs w:val="21"/>
              </w:rPr>
            </w:pPr>
          </w:p>
        </w:tc>
        <w:tc>
          <w:tcPr>
            <w:tcW w:w="3037" w:type="dxa"/>
            <w:vAlign w:val="center"/>
          </w:tcPr>
          <w:p>
            <w:pPr>
              <w:shd w:val="clear" w:color="auto" w:fill="FFFFFF"/>
              <w:jc w:val="center"/>
              <w:rPr>
                <w:kern w:val="0"/>
                <w:szCs w:val="21"/>
              </w:rPr>
            </w:pPr>
            <w:r>
              <w:rPr>
                <w:szCs w:val="21"/>
              </w:rPr>
              <w:t>噪音污染状况</w:t>
            </w:r>
          </w:p>
        </w:tc>
        <w:tc>
          <w:tcPr>
            <w:tcW w:w="1904" w:type="dxa"/>
            <w:vAlign w:val="center"/>
          </w:tcPr>
          <w:p>
            <w:pPr>
              <w:widowControl/>
              <w:jc w:val="center"/>
              <w:textAlignment w:val="center"/>
              <w:rPr>
                <w:kern w:val="0"/>
                <w:szCs w:val="21"/>
              </w:rPr>
            </w:pPr>
            <w:r>
              <w:rPr>
                <w:rFonts w:eastAsia="Tahoma"/>
                <w:color w:val="000000"/>
                <w:kern w:val="0"/>
                <w:szCs w:val="21"/>
                <w:lang/>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12" w:type="dxa"/>
            <w:vMerge w:val="continue"/>
            <w:vAlign w:val="center"/>
          </w:tcPr>
          <w:p>
            <w:pPr>
              <w:widowControl/>
              <w:spacing w:line="400" w:lineRule="exact"/>
              <w:jc w:val="center"/>
              <w:rPr>
                <w:kern w:val="0"/>
                <w:szCs w:val="21"/>
              </w:rPr>
            </w:pPr>
          </w:p>
        </w:tc>
        <w:tc>
          <w:tcPr>
            <w:tcW w:w="1867" w:type="dxa"/>
            <w:vMerge w:val="continue"/>
            <w:vAlign w:val="bottom"/>
          </w:tcPr>
          <w:p>
            <w:pPr>
              <w:widowControl/>
              <w:spacing w:line="400" w:lineRule="exact"/>
              <w:jc w:val="center"/>
              <w:rPr>
                <w:kern w:val="0"/>
                <w:szCs w:val="21"/>
              </w:rPr>
            </w:pPr>
          </w:p>
        </w:tc>
        <w:tc>
          <w:tcPr>
            <w:tcW w:w="3037" w:type="dxa"/>
            <w:vAlign w:val="center"/>
          </w:tcPr>
          <w:p>
            <w:pPr>
              <w:shd w:val="clear" w:color="auto" w:fill="FFFFFF"/>
              <w:jc w:val="center"/>
              <w:rPr>
                <w:szCs w:val="21"/>
              </w:rPr>
            </w:pPr>
            <w:r>
              <w:rPr>
                <w:szCs w:val="21"/>
              </w:rPr>
              <w:t>水污染状况</w:t>
            </w:r>
          </w:p>
        </w:tc>
        <w:tc>
          <w:tcPr>
            <w:tcW w:w="1904" w:type="dxa"/>
            <w:vAlign w:val="center"/>
          </w:tcPr>
          <w:p>
            <w:pPr>
              <w:widowControl/>
              <w:jc w:val="center"/>
              <w:textAlignment w:val="center"/>
              <w:rPr>
                <w:szCs w:val="21"/>
              </w:rPr>
            </w:pPr>
            <w:r>
              <w:rPr>
                <w:rFonts w:eastAsia="Tahoma"/>
                <w:color w:val="000000"/>
                <w:kern w:val="0"/>
                <w:szCs w:val="21"/>
                <w:lang/>
              </w:rPr>
              <w:t>0.035</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br w:type="page"/>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w:t>
      </w:r>
      <w:r>
        <w:rPr>
          <w:rFonts w:hint="eastAsia" w:ascii="Times New Roman" w:hAnsi="Times New Roman"/>
          <w:sz w:val="24"/>
          <w:szCs w:val="24"/>
        </w:rPr>
        <w:t>11</w:t>
      </w:r>
      <w:r>
        <w:rPr>
          <w:rFonts w:ascii="Times New Roman" w:hAnsi="Times New Roman"/>
          <w:sz w:val="24"/>
          <w:szCs w:val="24"/>
        </w:rPr>
        <w:t xml:space="preserve"> 长沙县乡镇工矿仓储用地宗地地价修正因素及权重表</w:t>
      </w:r>
    </w:p>
    <w:tbl>
      <w:tblPr>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867"/>
        <w:gridCol w:w="3308"/>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712" w:type="dxa"/>
            <w:vAlign w:val="center"/>
          </w:tcPr>
          <w:p>
            <w:pPr>
              <w:widowControl/>
              <w:spacing w:line="400" w:lineRule="exact"/>
              <w:jc w:val="center"/>
              <w:rPr>
                <w:kern w:val="0"/>
                <w:szCs w:val="21"/>
              </w:rPr>
            </w:pPr>
            <w:r>
              <w:rPr>
                <w:kern w:val="0"/>
                <w:szCs w:val="21"/>
              </w:rPr>
              <w:t>因素</w:t>
            </w:r>
          </w:p>
        </w:tc>
        <w:tc>
          <w:tcPr>
            <w:tcW w:w="1867" w:type="dxa"/>
            <w:vAlign w:val="center"/>
          </w:tcPr>
          <w:p>
            <w:pPr>
              <w:widowControl/>
              <w:spacing w:line="400" w:lineRule="exact"/>
              <w:jc w:val="center"/>
              <w:rPr>
                <w:kern w:val="0"/>
                <w:szCs w:val="21"/>
              </w:rPr>
            </w:pPr>
            <w:r>
              <w:rPr>
                <w:kern w:val="0"/>
                <w:szCs w:val="21"/>
              </w:rPr>
              <w:t>权重</w:t>
            </w:r>
          </w:p>
        </w:tc>
        <w:tc>
          <w:tcPr>
            <w:tcW w:w="3308" w:type="dxa"/>
            <w:vAlign w:val="center"/>
          </w:tcPr>
          <w:p>
            <w:pPr>
              <w:widowControl/>
              <w:spacing w:line="400" w:lineRule="exact"/>
              <w:jc w:val="center"/>
              <w:rPr>
                <w:kern w:val="0"/>
                <w:szCs w:val="21"/>
              </w:rPr>
            </w:pPr>
            <w:r>
              <w:rPr>
                <w:kern w:val="0"/>
                <w:szCs w:val="21"/>
              </w:rPr>
              <w:t>因子</w:t>
            </w:r>
          </w:p>
        </w:tc>
        <w:tc>
          <w:tcPr>
            <w:tcW w:w="1633" w:type="dxa"/>
            <w:vAlign w:val="center"/>
          </w:tcPr>
          <w:p>
            <w:pPr>
              <w:widowControl/>
              <w:spacing w:line="400" w:lineRule="exact"/>
              <w:jc w:val="center"/>
              <w:rPr>
                <w:kern w:val="0"/>
                <w:szCs w:val="21"/>
              </w:rPr>
            </w:pPr>
            <w:r>
              <w:rPr>
                <w:kern w:val="0"/>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12" w:type="dxa"/>
            <w:vMerge w:val="restart"/>
            <w:vAlign w:val="center"/>
          </w:tcPr>
          <w:p>
            <w:pPr>
              <w:widowControl/>
              <w:spacing w:line="400" w:lineRule="exact"/>
              <w:jc w:val="center"/>
              <w:rPr>
                <w:kern w:val="0"/>
                <w:szCs w:val="21"/>
              </w:rPr>
            </w:pPr>
            <w:r>
              <w:rPr>
                <w:kern w:val="0"/>
                <w:szCs w:val="21"/>
              </w:rPr>
              <w:t>交通条件</w:t>
            </w:r>
          </w:p>
        </w:tc>
        <w:tc>
          <w:tcPr>
            <w:tcW w:w="1867" w:type="dxa"/>
            <w:vMerge w:val="restart"/>
            <w:vAlign w:val="center"/>
          </w:tcPr>
          <w:p>
            <w:pPr>
              <w:widowControl/>
              <w:spacing w:line="400" w:lineRule="exact"/>
              <w:jc w:val="center"/>
              <w:rPr>
                <w:kern w:val="0"/>
                <w:szCs w:val="21"/>
              </w:rPr>
            </w:pPr>
            <w:r>
              <w:rPr>
                <w:kern w:val="0"/>
                <w:szCs w:val="21"/>
              </w:rPr>
              <w:t>0.346</w:t>
            </w:r>
          </w:p>
        </w:tc>
        <w:tc>
          <w:tcPr>
            <w:tcW w:w="3308" w:type="dxa"/>
            <w:vAlign w:val="center"/>
          </w:tcPr>
          <w:p>
            <w:pPr>
              <w:widowControl/>
              <w:spacing w:line="400" w:lineRule="exact"/>
              <w:jc w:val="center"/>
              <w:rPr>
                <w:kern w:val="0"/>
                <w:szCs w:val="21"/>
              </w:rPr>
            </w:pPr>
            <w:r>
              <w:rPr>
                <w:kern w:val="0"/>
                <w:szCs w:val="21"/>
              </w:rPr>
              <w:t>临街道路状况</w:t>
            </w:r>
          </w:p>
        </w:tc>
        <w:tc>
          <w:tcPr>
            <w:tcW w:w="1633" w:type="dxa"/>
            <w:vAlign w:val="bottom"/>
          </w:tcPr>
          <w:p>
            <w:pPr>
              <w:shd w:val="clear" w:color="auto" w:fill="FFFFFF"/>
              <w:jc w:val="center"/>
              <w:rPr>
                <w:kern w:val="0"/>
                <w:szCs w:val="21"/>
              </w:rPr>
            </w:pPr>
            <w:r>
              <w:rPr>
                <w:color w:val="000000"/>
                <w:szCs w:val="21"/>
              </w:rPr>
              <w:t xml:space="preserve">0.228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12" w:type="dxa"/>
            <w:vMerge w:val="continue"/>
            <w:vAlign w:val="center"/>
          </w:tcPr>
          <w:p>
            <w:pPr>
              <w:widowControl/>
              <w:spacing w:line="400" w:lineRule="exact"/>
              <w:jc w:val="center"/>
              <w:rPr>
                <w:kern w:val="0"/>
                <w:szCs w:val="21"/>
              </w:rPr>
            </w:pPr>
          </w:p>
        </w:tc>
        <w:tc>
          <w:tcPr>
            <w:tcW w:w="1867" w:type="dxa"/>
            <w:vMerge w:val="continue"/>
            <w:vAlign w:val="center"/>
          </w:tcPr>
          <w:p>
            <w:pPr>
              <w:widowControl/>
              <w:spacing w:line="400" w:lineRule="exact"/>
              <w:jc w:val="center"/>
              <w:rPr>
                <w:kern w:val="0"/>
                <w:szCs w:val="21"/>
              </w:rPr>
            </w:pPr>
          </w:p>
        </w:tc>
        <w:tc>
          <w:tcPr>
            <w:tcW w:w="3308" w:type="dxa"/>
            <w:vAlign w:val="center"/>
          </w:tcPr>
          <w:p>
            <w:pPr>
              <w:widowControl/>
              <w:spacing w:line="400" w:lineRule="exact"/>
              <w:jc w:val="center"/>
              <w:rPr>
                <w:kern w:val="0"/>
                <w:szCs w:val="21"/>
              </w:rPr>
            </w:pPr>
            <w:r>
              <w:rPr>
                <w:kern w:val="0"/>
                <w:szCs w:val="21"/>
              </w:rPr>
              <w:t>距离长途汽车站距离</w:t>
            </w:r>
          </w:p>
        </w:tc>
        <w:tc>
          <w:tcPr>
            <w:tcW w:w="1633" w:type="dxa"/>
            <w:vAlign w:val="bottom"/>
          </w:tcPr>
          <w:p>
            <w:pPr>
              <w:shd w:val="clear" w:color="auto" w:fill="FFFFFF"/>
              <w:jc w:val="center"/>
              <w:rPr>
                <w:kern w:val="0"/>
                <w:szCs w:val="21"/>
              </w:rPr>
            </w:pPr>
            <w:r>
              <w:rPr>
                <w:color w:val="000000"/>
                <w:szCs w:val="21"/>
              </w:rPr>
              <w:t xml:space="preserve">0.118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12" w:type="dxa"/>
            <w:vAlign w:val="center"/>
          </w:tcPr>
          <w:p>
            <w:pPr>
              <w:widowControl/>
              <w:spacing w:line="400" w:lineRule="exact"/>
              <w:jc w:val="center"/>
              <w:rPr>
                <w:kern w:val="0"/>
                <w:szCs w:val="21"/>
              </w:rPr>
            </w:pPr>
            <w:r>
              <w:rPr>
                <w:kern w:val="0"/>
                <w:szCs w:val="21"/>
              </w:rPr>
              <w:t>基本设施完备度</w:t>
            </w:r>
          </w:p>
        </w:tc>
        <w:tc>
          <w:tcPr>
            <w:tcW w:w="1867" w:type="dxa"/>
            <w:vAlign w:val="center"/>
          </w:tcPr>
          <w:p>
            <w:pPr>
              <w:widowControl/>
              <w:spacing w:line="400" w:lineRule="exact"/>
              <w:jc w:val="center"/>
              <w:rPr>
                <w:kern w:val="0"/>
                <w:szCs w:val="21"/>
              </w:rPr>
            </w:pPr>
            <w:r>
              <w:rPr>
                <w:kern w:val="0"/>
                <w:szCs w:val="21"/>
              </w:rPr>
              <w:t>0.280</w:t>
            </w:r>
          </w:p>
        </w:tc>
        <w:tc>
          <w:tcPr>
            <w:tcW w:w="3308" w:type="dxa"/>
            <w:vAlign w:val="center"/>
          </w:tcPr>
          <w:p>
            <w:pPr>
              <w:widowControl/>
              <w:spacing w:line="400" w:lineRule="exact"/>
              <w:jc w:val="center"/>
              <w:rPr>
                <w:kern w:val="0"/>
                <w:szCs w:val="21"/>
              </w:rPr>
            </w:pPr>
            <w:r>
              <w:rPr>
                <w:kern w:val="0"/>
                <w:szCs w:val="21"/>
              </w:rPr>
              <w:t>水电气综合保证率</w:t>
            </w:r>
          </w:p>
        </w:tc>
        <w:tc>
          <w:tcPr>
            <w:tcW w:w="1633" w:type="dxa"/>
            <w:vAlign w:val="bottom"/>
          </w:tcPr>
          <w:p>
            <w:pPr>
              <w:shd w:val="clear" w:color="auto" w:fill="FFFFFF"/>
              <w:jc w:val="center"/>
              <w:rPr>
                <w:kern w:val="0"/>
                <w:szCs w:val="21"/>
              </w:rPr>
            </w:pPr>
            <w:r>
              <w:rPr>
                <w:color w:val="000000"/>
                <w:szCs w:val="21"/>
              </w:rPr>
              <w:t xml:space="preserve">0.280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4" w:hRule="atLeast"/>
          <w:jc w:val="center"/>
        </w:trPr>
        <w:tc>
          <w:tcPr>
            <w:tcW w:w="1712" w:type="dxa"/>
            <w:vAlign w:val="center"/>
          </w:tcPr>
          <w:p>
            <w:pPr>
              <w:widowControl/>
              <w:spacing w:line="400" w:lineRule="exact"/>
              <w:jc w:val="center"/>
              <w:rPr>
                <w:kern w:val="0"/>
                <w:szCs w:val="21"/>
              </w:rPr>
            </w:pPr>
            <w:r>
              <w:rPr>
                <w:kern w:val="0"/>
                <w:szCs w:val="21"/>
              </w:rPr>
              <w:t>产业集聚效益</w:t>
            </w:r>
          </w:p>
        </w:tc>
        <w:tc>
          <w:tcPr>
            <w:tcW w:w="1867" w:type="dxa"/>
            <w:vAlign w:val="center"/>
          </w:tcPr>
          <w:p>
            <w:pPr>
              <w:widowControl/>
              <w:spacing w:line="400" w:lineRule="exact"/>
              <w:jc w:val="center"/>
              <w:rPr>
                <w:kern w:val="0"/>
                <w:szCs w:val="21"/>
              </w:rPr>
            </w:pPr>
            <w:r>
              <w:rPr>
                <w:kern w:val="0"/>
                <w:szCs w:val="21"/>
              </w:rPr>
              <w:t>0.144</w:t>
            </w:r>
          </w:p>
        </w:tc>
        <w:tc>
          <w:tcPr>
            <w:tcW w:w="3308" w:type="dxa"/>
            <w:vAlign w:val="center"/>
          </w:tcPr>
          <w:p>
            <w:pPr>
              <w:widowControl/>
              <w:spacing w:line="400" w:lineRule="exact"/>
              <w:jc w:val="center"/>
              <w:rPr>
                <w:kern w:val="0"/>
                <w:szCs w:val="21"/>
              </w:rPr>
            </w:pPr>
            <w:r>
              <w:rPr>
                <w:kern w:val="0"/>
                <w:szCs w:val="21"/>
              </w:rPr>
              <w:t>产业集聚影响度</w:t>
            </w:r>
          </w:p>
        </w:tc>
        <w:tc>
          <w:tcPr>
            <w:tcW w:w="1633" w:type="dxa"/>
            <w:vAlign w:val="bottom"/>
          </w:tcPr>
          <w:p>
            <w:pPr>
              <w:shd w:val="clear" w:color="auto" w:fill="FFFFFF"/>
              <w:jc w:val="center"/>
              <w:rPr>
                <w:kern w:val="0"/>
                <w:szCs w:val="21"/>
              </w:rPr>
            </w:pPr>
            <w:r>
              <w:rPr>
                <w:color w:val="000000"/>
                <w:szCs w:val="21"/>
              </w:rPr>
              <w:t xml:space="preserve">0.144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12" w:type="dxa"/>
            <w:vMerge w:val="restart"/>
            <w:vAlign w:val="center"/>
          </w:tcPr>
          <w:p>
            <w:pPr>
              <w:widowControl/>
              <w:spacing w:line="400" w:lineRule="exact"/>
              <w:jc w:val="center"/>
              <w:rPr>
                <w:kern w:val="0"/>
                <w:szCs w:val="21"/>
              </w:rPr>
            </w:pPr>
            <w:r>
              <w:rPr>
                <w:kern w:val="0"/>
                <w:szCs w:val="21"/>
              </w:rPr>
              <w:t>环境条件优劣度</w:t>
            </w:r>
          </w:p>
        </w:tc>
        <w:tc>
          <w:tcPr>
            <w:tcW w:w="1867" w:type="dxa"/>
            <w:vMerge w:val="restart"/>
            <w:vAlign w:val="center"/>
          </w:tcPr>
          <w:p>
            <w:pPr>
              <w:widowControl/>
              <w:spacing w:line="400" w:lineRule="exact"/>
              <w:jc w:val="center"/>
              <w:rPr>
                <w:kern w:val="0"/>
                <w:szCs w:val="21"/>
              </w:rPr>
            </w:pPr>
            <w:r>
              <w:rPr>
                <w:kern w:val="0"/>
                <w:szCs w:val="21"/>
              </w:rPr>
              <w:t>0.230</w:t>
            </w:r>
          </w:p>
        </w:tc>
        <w:tc>
          <w:tcPr>
            <w:tcW w:w="3308" w:type="dxa"/>
            <w:vAlign w:val="center"/>
          </w:tcPr>
          <w:p>
            <w:pPr>
              <w:widowControl/>
              <w:spacing w:line="400" w:lineRule="exact"/>
              <w:jc w:val="center"/>
              <w:rPr>
                <w:kern w:val="0"/>
                <w:szCs w:val="21"/>
              </w:rPr>
            </w:pPr>
            <w:r>
              <w:rPr>
                <w:kern w:val="0"/>
                <w:szCs w:val="21"/>
              </w:rPr>
              <w:t>地形状况</w:t>
            </w:r>
          </w:p>
        </w:tc>
        <w:tc>
          <w:tcPr>
            <w:tcW w:w="1633" w:type="dxa"/>
            <w:vAlign w:val="bottom"/>
          </w:tcPr>
          <w:p>
            <w:pPr>
              <w:shd w:val="clear" w:color="auto" w:fill="FFFFFF"/>
              <w:jc w:val="center"/>
              <w:rPr>
                <w:kern w:val="0"/>
                <w:szCs w:val="21"/>
              </w:rPr>
            </w:pPr>
            <w:r>
              <w:rPr>
                <w:color w:val="000000"/>
                <w:szCs w:val="21"/>
              </w:rPr>
              <w:t xml:space="preserve">0.120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12" w:type="dxa"/>
            <w:vMerge w:val="continue"/>
            <w:vAlign w:val="center"/>
          </w:tcPr>
          <w:p>
            <w:pPr>
              <w:widowControl/>
              <w:spacing w:line="400" w:lineRule="exact"/>
              <w:jc w:val="center"/>
              <w:rPr>
                <w:kern w:val="0"/>
                <w:szCs w:val="21"/>
              </w:rPr>
            </w:pPr>
          </w:p>
        </w:tc>
        <w:tc>
          <w:tcPr>
            <w:tcW w:w="1867" w:type="dxa"/>
            <w:vMerge w:val="continue"/>
            <w:vAlign w:val="center"/>
          </w:tcPr>
          <w:p>
            <w:pPr>
              <w:widowControl/>
              <w:spacing w:line="400" w:lineRule="exact"/>
              <w:jc w:val="center"/>
              <w:rPr>
                <w:kern w:val="0"/>
                <w:szCs w:val="21"/>
              </w:rPr>
            </w:pPr>
          </w:p>
        </w:tc>
        <w:tc>
          <w:tcPr>
            <w:tcW w:w="3308" w:type="dxa"/>
            <w:vAlign w:val="center"/>
          </w:tcPr>
          <w:p>
            <w:pPr>
              <w:widowControl/>
              <w:spacing w:line="400" w:lineRule="exact"/>
              <w:jc w:val="center"/>
              <w:rPr>
                <w:kern w:val="0"/>
                <w:szCs w:val="21"/>
              </w:rPr>
            </w:pPr>
            <w:r>
              <w:rPr>
                <w:kern w:val="0"/>
                <w:szCs w:val="21"/>
              </w:rPr>
              <w:t>地质状况</w:t>
            </w:r>
          </w:p>
        </w:tc>
        <w:tc>
          <w:tcPr>
            <w:tcW w:w="1633" w:type="dxa"/>
            <w:vAlign w:val="bottom"/>
          </w:tcPr>
          <w:p>
            <w:pPr>
              <w:shd w:val="clear" w:color="auto" w:fill="FFFFFF"/>
              <w:jc w:val="center"/>
              <w:rPr>
                <w:kern w:val="0"/>
                <w:szCs w:val="21"/>
              </w:rPr>
            </w:pPr>
            <w:r>
              <w:rPr>
                <w:color w:val="000000"/>
                <w:szCs w:val="21"/>
              </w:rPr>
              <w:t xml:space="preserve">0.110 </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表5-4-1</w:t>
      </w:r>
      <w:r>
        <w:rPr>
          <w:rFonts w:hint="eastAsia" w:ascii="Times New Roman" w:hAnsi="Times New Roman"/>
          <w:sz w:val="24"/>
          <w:szCs w:val="24"/>
        </w:rPr>
        <w:t>2</w:t>
      </w:r>
      <w:r>
        <w:rPr>
          <w:rFonts w:ascii="Times New Roman" w:hAnsi="Times New Roman"/>
          <w:sz w:val="24"/>
          <w:szCs w:val="24"/>
        </w:rPr>
        <w:t>　长沙县各乡镇公共管理与公共服务一类用地宗地地价修正因素及权重表</w:t>
      </w:r>
    </w:p>
    <w:tbl>
      <w:tblPr>
        <w:tblW w:w="8787" w:type="dxa"/>
        <w:jc w:val="center"/>
        <w:tblInd w:w="2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1894"/>
        <w:gridCol w:w="3281"/>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blHeader/>
          <w:jc w:val="center"/>
        </w:trPr>
        <w:tc>
          <w:tcPr>
            <w:tcW w:w="1725" w:type="dxa"/>
            <w:vAlign w:val="center"/>
          </w:tcPr>
          <w:p>
            <w:pPr>
              <w:widowControl/>
              <w:spacing w:line="400" w:lineRule="exact"/>
              <w:jc w:val="center"/>
              <w:rPr>
                <w:kern w:val="0"/>
                <w:szCs w:val="21"/>
              </w:rPr>
            </w:pPr>
            <w:r>
              <w:rPr>
                <w:kern w:val="0"/>
                <w:szCs w:val="21"/>
              </w:rPr>
              <w:t>因素</w:t>
            </w:r>
          </w:p>
        </w:tc>
        <w:tc>
          <w:tcPr>
            <w:tcW w:w="1894" w:type="dxa"/>
            <w:vAlign w:val="center"/>
          </w:tcPr>
          <w:p>
            <w:pPr>
              <w:widowControl/>
              <w:spacing w:line="400" w:lineRule="exact"/>
              <w:jc w:val="center"/>
              <w:rPr>
                <w:kern w:val="0"/>
                <w:szCs w:val="21"/>
              </w:rPr>
            </w:pPr>
            <w:r>
              <w:rPr>
                <w:kern w:val="0"/>
                <w:szCs w:val="21"/>
              </w:rPr>
              <w:t>权重</w:t>
            </w:r>
          </w:p>
        </w:tc>
        <w:tc>
          <w:tcPr>
            <w:tcW w:w="3281" w:type="dxa"/>
            <w:vAlign w:val="center"/>
          </w:tcPr>
          <w:p>
            <w:pPr>
              <w:widowControl/>
              <w:spacing w:line="400" w:lineRule="exact"/>
              <w:jc w:val="center"/>
              <w:rPr>
                <w:kern w:val="0"/>
                <w:szCs w:val="21"/>
              </w:rPr>
            </w:pPr>
            <w:r>
              <w:rPr>
                <w:kern w:val="0"/>
                <w:szCs w:val="21"/>
              </w:rPr>
              <w:t>因子</w:t>
            </w:r>
          </w:p>
        </w:tc>
        <w:tc>
          <w:tcPr>
            <w:tcW w:w="1887" w:type="dxa"/>
            <w:vAlign w:val="center"/>
          </w:tcPr>
          <w:p>
            <w:pPr>
              <w:widowControl/>
              <w:spacing w:line="400" w:lineRule="exact"/>
              <w:jc w:val="center"/>
              <w:rPr>
                <w:kern w:val="0"/>
                <w:szCs w:val="21"/>
              </w:rPr>
            </w:pPr>
            <w:r>
              <w:rPr>
                <w:kern w:val="0"/>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1725" w:type="dxa"/>
            <w:vAlign w:val="center"/>
          </w:tcPr>
          <w:p>
            <w:pPr>
              <w:widowControl/>
              <w:spacing w:line="400" w:lineRule="exact"/>
              <w:jc w:val="center"/>
              <w:rPr>
                <w:kern w:val="0"/>
                <w:szCs w:val="21"/>
              </w:rPr>
            </w:pPr>
            <w:r>
              <w:rPr>
                <w:kern w:val="0"/>
                <w:szCs w:val="21"/>
              </w:rPr>
              <w:t>繁华程度</w:t>
            </w:r>
          </w:p>
        </w:tc>
        <w:tc>
          <w:tcPr>
            <w:tcW w:w="1894" w:type="dxa"/>
            <w:vAlign w:val="center"/>
          </w:tcPr>
          <w:p>
            <w:pPr>
              <w:widowControl/>
              <w:spacing w:line="400" w:lineRule="exact"/>
              <w:jc w:val="center"/>
              <w:rPr>
                <w:kern w:val="0"/>
                <w:szCs w:val="21"/>
              </w:rPr>
            </w:pPr>
            <w:r>
              <w:rPr>
                <w:kern w:val="0"/>
                <w:szCs w:val="21"/>
              </w:rPr>
              <w:t>0.313</w:t>
            </w:r>
          </w:p>
        </w:tc>
        <w:tc>
          <w:tcPr>
            <w:tcW w:w="3281" w:type="dxa"/>
            <w:vAlign w:val="center"/>
          </w:tcPr>
          <w:p>
            <w:pPr>
              <w:widowControl/>
              <w:spacing w:line="400" w:lineRule="exact"/>
              <w:jc w:val="center"/>
              <w:rPr>
                <w:kern w:val="0"/>
                <w:szCs w:val="21"/>
              </w:rPr>
            </w:pPr>
            <w:r>
              <w:rPr>
                <w:kern w:val="0"/>
                <w:szCs w:val="21"/>
              </w:rPr>
              <w:t>距离商服中心距离（m）</w:t>
            </w:r>
          </w:p>
        </w:tc>
        <w:tc>
          <w:tcPr>
            <w:tcW w:w="1887" w:type="dxa"/>
            <w:vAlign w:val="center"/>
          </w:tcPr>
          <w:p>
            <w:pPr>
              <w:widowControl/>
              <w:spacing w:line="400" w:lineRule="exact"/>
              <w:jc w:val="center"/>
              <w:rPr>
                <w:kern w:val="0"/>
                <w:szCs w:val="21"/>
              </w:rPr>
            </w:pPr>
            <w:r>
              <w:rPr>
                <w:kern w:val="0"/>
                <w:szCs w:val="21"/>
              </w:rPr>
              <w:t>0.313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1725" w:type="dxa"/>
            <w:vMerge w:val="restart"/>
            <w:vAlign w:val="center"/>
          </w:tcPr>
          <w:p>
            <w:pPr>
              <w:widowControl/>
              <w:spacing w:line="400" w:lineRule="exact"/>
              <w:jc w:val="center"/>
              <w:rPr>
                <w:kern w:val="0"/>
                <w:szCs w:val="21"/>
              </w:rPr>
            </w:pPr>
            <w:r>
              <w:rPr>
                <w:kern w:val="0"/>
                <w:szCs w:val="21"/>
              </w:rPr>
              <w:t>交通条件</w:t>
            </w:r>
          </w:p>
        </w:tc>
        <w:tc>
          <w:tcPr>
            <w:tcW w:w="1894" w:type="dxa"/>
            <w:vMerge w:val="restart"/>
            <w:vAlign w:val="center"/>
          </w:tcPr>
          <w:p>
            <w:pPr>
              <w:widowControl/>
              <w:spacing w:line="400" w:lineRule="exact"/>
              <w:jc w:val="center"/>
              <w:rPr>
                <w:kern w:val="0"/>
                <w:szCs w:val="21"/>
              </w:rPr>
            </w:pPr>
            <w:r>
              <w:rPr>
                <w:kern w:val="0"/>
                <w:szCs w:val="21"/>
              </w:rPr>
              <w:t>0.255</w:t>
            </w:r>
          </w:p>
        </w:tc>
        <w:tc>
          <w:tcPr>
            <w:tcW w:w="3281" w:type="dxa"/>
            <w:vAlign w:val="center"/>
          </w:tcPr>
          <w:p>
            <w:pPr>
              <w:widowControl/>
              <w:spacing w:line="400" w:lineRule="exact"/>
              <w:jc w:val="center"/>
              <w:rPr>
                <w:kern w:val="0"/>
                <w:szCs w:val="21"/>
              </w:rPr>
            </w:pPr>
            <w:r>
              <w:rPr>
                <w:kern w:val="0"/>
                <w:szCs w:val="21"/>
              </w:rPr>
              <w:t>公交便捷度</w:t>
            </w:r>
          </w:p>
        </w:tc>
        <w:tc>
          <w:tcPr>
            <w:tcW w:w="1887" w:type="dxa"/>
            <w:vAlign w:val="center"/>
          </w:tcPr>
          <w:p>
            <w:pPr>
              <w:widowControl/>
              <w:spacing w:line="400" w:lineRule="exact"/>
              <w:jc w:val="center"/>
              <w:rPr>
                <w:kern w:val="0"/>
                <w:szCs w:val="21"/>
              </w:rPr>
            </w:pPr>
            <w:r>
              <w:rPr>
                <w:kern w:val="0"/>
                <w:szCs w:val="21"/>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1725" w:type="dxa"/>
            <w:vMerge w:val="continue"/>
            <w:vAlign w:val="center"/>
          </w:tcPr>
          <w:p>
            <w:pPr>
              <w:widowControl/>
              <w:spacing w:line="400" w:lineRule="exact"/>
              <w:jc w:val="center"/>
              <w:rPr>
                <w:kern w:val="0"/>
                <w:szCs w:val="21"/>
              </w:rPr>
            </w:pPr>
          </w:p>
        </w:tc>
        <w:tc>
          <w:tcPr>
            <w:tcW w:w="1894" w:type="dxa"/>
            <w:vMerge w:val="continue"/>
            <w:vAlign w:val="center"/>
          </w:tcPr>
          <w:p>
            <w:pPr>
              <w:widowControl/>
              <w:spacing w:line="400" w:lineRule="exact"/>
              <w:jc w:val="center"/>
              <w:rPr>
                <w:kern w:val="0"/>
                <w:szCs w:val="21"/>
              </w:rPr>
            </w:pPr>
          </w:p>
        </w:tc>
        <w:tc>
          <w:tcPr>
            <w:tcW w:w="3281" w:type="dxa"/>
            <w:vAlign w:val="center"/>
          </w:tcPr>
          <w:p>
            <w:pPr>
              <w:widowControl/>
              <w:spacing w:line="400" w:lineRule="exact"/>
              <w:jc w:val="center"/>
              <w:rPr>
                <w:kern w:val="0"/>
                <w:szCs w:val="21"/>
              </w:rPr>
            </w:pPr>
            <w:r>
              <w:rPr>
                <w:kern w:val="0"/>
                <w:szCs w:val="21"/>
              </w:rPr>
              <w:t>距长途汽车站距离（m）</w:t>
            </w:r>
          </w:p>
        </w:tc>
        <w:tc>
          <w:tcPr>
            <w:tcW w:w="1887" w:type="dxa"/>
            <w:vAlign w:val="center"/>
          </w:tcPr>
          <w:p>
            <w:pPr>
              <w:widowControl/>
              <w:spacing w:line="400" w:lineRule="exact"/>
              <w:jc w:val="center"/>
              <w:rPr>
                <w:kern w:val="0"/>
                <w:szCs w:val="21"/>
              </w:rPr>
            </w:pPr>
            <w:r>
              <w:rPr>
                <w:kern w:val="0"/>
                <w:szCs w:val="21"/>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1725" w:type="dxa"/>
            <w:vMerge w:val="continue"/>
            <w:vAlign w:val="center"/>
          </w:tcPr>
          <w:p>
            <w:pPr>
              <w:widowControl/>
              <w:spacing w:line="400" w:lineRule="exact"/>
              <w:jc w:val="center"/>
              <w:rPr>
                <w:kern w:val="0"/>
                <w:szCs w:val="21"/>
              </w:rPr>
            </w:pPr>
          </w:p>
        </w:tc>
        <w:tc>
          <w:tcPr>
            <w:tcW w:w="1894" w:type="dxa"/>
            <w:vMerge w:val="continue"/>
            <w:vAlign w:val="center"/>
          </w:tcPr>
          <w:p>
            <w:pPr>
              <w:widowControl/>
              <w:spacing w:line="400" w:lineRule="exact"/>
              <w:jc w:val="center"/>
              <w:rPr>
                <w:kern w:val="0"/>
                <w:szCs w:val="21"/>
              </w:rPr>
            </w:pPr>
          </w:p>
        </w:tc>
        <w:tc>
          <w:tcPr>
            <w:tcW w:w="3281" w:type="dxa"/>
            <w:vAlign w:val="center"/>
          </w:tcPr>
          <w:p>
            <w:pPr>
              <w:widowControl/>
              <w:spacing w:line="400" w:lineRule="exact"/>
              <w:jc w:val="center"/>
              <w:rPr>
                <w:kern w:val="0"/>
                <w:szCs w:val="21"/>
              </w:rPr>
            </w:pPr>
            <w:r>
              <w:rPr>
                <w:kern w:val="0"/>
                <w:szCs w:val="21"/>
              </w:rPr>
              <w:t>临街道路状况</w:t>
            </w:r>
          </w:p>
        </w:tc>
        <w:tc>
          <w:tcPr>
            <w:tcW w:w="1887" w:type="dxa"/>
            <w:vAlign w:val="center"/>
          </w:tcPr>
          <w:p>
            <w:pPr>
              <w:widowControl/>
              <w:spacing w:line="400" w:lineRule="exact"/>
              <w:jc w:val="center"/>
              <w:rPr>
                <w:kern w:val="0"/>
                <w:szCs w:val="21"/>
              </w:rPr>
            </w:pPr>
            <w:r>
              <w:rPr>
                <w:kern w:val="0"/>
                <w:szCs w:val="21"/>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1725" w:type="dxa"/>
            <w:vAlign w:val="center"/>
          </w:tcPr>
          <w:p>
            <w:pPr>
              <w:widowControl/>
              <w:spacing w:line="400" w:lineRule="exact"/>
              <w:jc w:val="center"/>
              <w:rPr>
                <w:kern w:val="0"/>
                <w:szCs w:val="21"/>
              </w:rPr>
            </w:pPr>
            <w:r>
              <w:rPr>
                <w:kern w:val="0"/>
                <w:szCs w:val="21"/>
              </w:rPr>
              <w:t>公用设施完备度</w:t>
            </w:r>
          </w:p>
        </w:tc>
        <w:tc>
          <w:tcPr>
            <w:tcW w:w="1894" w:type="dxa"/>
            <w:vAlign w:val="center"/>
          </w:tcPr>
          <w:p>
            <w:pPr>
              <w:widowControl/>
              <w:spacing w:line="400" w:lineRule="exact"/>
              <w:jc w:val="center"/>
              <w:rPr>
                <w:kern w:val="0"/>
                <w:szCs w:val="21"/>
              </w:rPr>
            </w:pPr>
            <w:r>
              <w:rPr>
                <w:kern w:val="0"/>
                <w:szCs w:val="21"/>
              </w:rPr>
              <w:t>0.175</w:t>
            </w:r>
          </w:p>
        </w:tc>
        <w:tc>
          <w:tcPr>
            <w:tcW w:w="3281" w:type="dxa"/>
            <w:vAlign w:val="center"/>
          </w:tcPr>
          <w:p>
            <w:pPr>
              <w:widowControl/>
              <w:spacing w:line="400" w:lineRule="exact"/>
              <w:jc w:val="center"/>
              <w:rPr>
                <w:kern w:val="0"/>
                <w:szCs w:val="21"/>
              </w:rPr>
            </w:pPr>
            <w:r>
              <w:rPr>
                <w:kern w:val="0"/>
                <w:szCs w:val="21"/>
              </w:rPr>
              <w:t>距文体设施距离（m）</w:t>
            </w:r>
          </w:p>
        </w:tc>
        <w:tc>
          <w:tcPr>
            <w:tcW w:w="1887" w:type="dxa"/>
            <w:vAlign w:val="center"/>
          </w:tcPr>
          <w:p>
            <w:pPr>
              <w:widowControl/>
              <w:spacing w:line="400" w:lineRule="exact"/>
              <w:jc w:val="center"/>
              <w:rPr>
                <w:kern w:val="0"/>
                <w:szCs w:val="21"/>
              </w:rPr>
            </w:pPr>
            <w:r>
              <w:rPr>
                <w:kern w:val="0"/>
                <w:szCs w:val="21"/>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1725" w:type="dxa"/>
            <w:vAlign w:val="center"/>
          </w:tcPr>
          <w:p>
            <w:pPr>
              <w:widowControl/>
              <w:spacing w:line="400" w:lineRule="exact"/>
              <w:jc w:val="center"/>
              <w:rPr>
                <w:kern w:val="0"/>
                <w:szCs w:val="21"/>
              </w:rPr>
            </w:pPr>
            <w:r>
              <w:rPr>
                <w:kern w:val="0"/>
                <w:szCs w:val="21"/>
              </w:rPr>
              <w:t>人口状况</w:t>
            </w:r>
          </w:p>
        </w:tc>
        <w:tc>
          <w:tcPr>
            <w:tcW w:w="1894" w:type="dxa"/>
            <w:vAlign w:val="center"/>
          </w:tcPr>
          <w:p>
            <w:pPr>
              <w:widowControl/>
              <w:spacing w:line="400" w:lineRule="exact"/>
              <w:jc w:val="center"/>
              <w:rPr>
                <w:kern w:val="0"/>
                <w:szCs w:val="21"/>
              </w:rPr>
            </w:pPr>
            <w:r>
              <w:rPr>
                <w:kern w:val="0"/>
                <w:szCs w:val="21"/>
              </w:rPr>
              <w:t>0.147</w:t>
            </w:r>
          </w:p>
        </w:tc>
        <w:tc>
          <w:tcPr>
            <w:tcW w:w="3281" w:type="dxa"/>
            <w:vAlign w:val="center"/>
          </w:tcPr>
          <w:p>
            <w:pPr>
              <w:widowControl/>
              <w:spacing w:line="400" w:lineRule="exact"/>
              <w:jc w:val="center"/>
              <w:rPr>
                <w:kern w:val="0"/>
                <w:szCs w:val="21"/>
              </w:rPr>
            </w:pPr>
            <w:r>
              <w:rPr>
                <w:kern w:val="0"/>
                <w:szCs w:val="21"/>
              </w:rPr>
              <w:t>人口密度</w:t>
            </w:r>
          </w:p>
        </w:tc>
        <w:tc>
          <w:tcPr>
            <w:tcW w:w="1887" w:type="dxa"/>
            <w:vAlign w:val="center"/>
          </w:tcPr>
          <w:p>
            <w:pPr>
              <w:widowControl/>
              <w:spacing w:line="400" w:lineRule="exact"/>
              <w:jc w:val="center"/>
              <w:rPr>
                <w:kern w:val="0"/>
                <w:szCs w:val="21"/>
              </w:rPr>
            </w:pPr>
            <w:r>
              <w:rPr>
                <w:kern w:val="0"/>
                <w:szCs w:val="21"/>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1725" w:type="dxa"/>
            <w:vAlign w:val="center"/>
          </w:tcPr>
          <w:p>
            <w:pPr>
              <w:widowControl/>
              <w:spacing w:line="400" w:lineRule="exact"/>
              <w:jc w:val="center"/>
              <w:rPr>
                <w:kern w:val="0"/>
                <w:szCs w:val="21"/>
              </w:rPr>
            </w:pPr>
            <w:r>
              <w:rPr>
                <w:kern w:val="0"/>
                <w:szCs w:val="21"/>
              </w:rPr>
              <w:t>城市规划</w:t>
            </w:r>
          </w:p>
        </w:tc>
        <w:tc>
          <w:tcPr>
            <w:tcW w:w="1894" w:type="dxa"/>
            <w:vAlign w:val="center"/>
          </w:tcPr>
          <w:p>
            <w:pPr>
              <w:widowControl/>
              <w:spacing w:line="400" w:lineRule="exact"/>
              <w:jc w:val="center"/>
              <w:rPr>
                <w:kern w:val="0"/>
                <w:szCs w:val="21"/>
              </w:rPr>
            </w:pPr>
            <w:r>
              <w:rPr>
                <w:kern w:val="0"/>
                <w:szCs w:val="21"/>
              </w:rPr>
              <w:t>0.11</w:t>
            </w:r>
          </w:p>
        </w:tc>
        <w:tc>
          <w:tcPr>
            <w:tcW w:w="3281" w:type="dxa"/>
            <w:vAlign w:val="center"/>
          </w:tcPr>
          <w:p>
            <w:pPr>
              <w:widowControl/>
              <w:spacing w:line="400" w:lineRule="exact"/>
              <w:jc w:val="center"/>
              <w:rPr>
                <w:kern w:val="0"/>
                <w:szCs w:val="21"/>
              </w:rPr>
            </w:pPr>
            <w:r>
              <w:rPr>
                <w:kern w:val="0"/>
                <w:szCs w:val="21"/>
              </w:rPr>
              <w:t>用地规划</w:t>
            </w:r>
          </w:p>
        </w:tc>
        <w:tc>
          <w:tcPr>
            <w:tcW w:w="1887" w:type="dxa"/>
            <w:vAlign w:val="center"/>
          </w:tcPr>
          <w:p>
            <w:pPr>
              <w:widowControl/>
              <w:spacing w:line="400" w:lineRule="exact"/>
              <w:jc w:val="center"/>
              <w:rPr>
                <w:kern w:val="0"/>
                <w:szCs w:val="21"/>
              </w:rPr>
            </w:pPr>
            <w:r>
              <w:rPr>
                <w:kern w:val="0"/>
                <w:szCs w:val="21"/>
              </w:rPr>
              <w:t>0.11</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表5-4-1</w:t>
      </w:r>
      <w:r>
        <w:rPr>
          <w:rFonts w:hint="eastAsia" w:ascii="Times New Roman" w:hAnsi="Times New Roman"/>
          <w:sz w:val="24"/>
          <w:szCs w:val="24"/>
        </w:rPr>
        <w:t xml:space="preserve">3 </w:t>
      </w:r>
      <w:r>
        <w:rPr>
          <w:rFonts w:ascii="Times New Roman" w:hAnsi="Times New Roman"/>
          <w:sz w:val="24"/>
          <w:szCs w:val="24"/>
        </w:rPr>
        <w:t>长沙县各乡镇公共管理与公共服务二类用地宗地地价修正因素及权重表</w:t>
      </w:r>
    </w:p>
    <w:tbl>
      <w:tblPr>
        <w:tblW w:w="8899" w:type="dxa"/>
        <w:jc w:val="center"/>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5"/>
        <w:gridCol w:w="1875"/>
        <w:gridCol w:w="2963"/>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tblHeader/>
          <w:jc w:val="center"/>
        </w:trPr>
        <w:tc>
          <w:tcPr>
            <w:tcW w:w="1805" w:type="dxa"/>
            <w:vAlign w:val="center"/>
          </w:tcPr>
          <w:p>
            <w:pPr>
              <w:widowControl/>
              <w:spacing w:line="400" w:lineRule="exact"/>
              <w:jc w:val="center"/>
              <w:rPr>
                <w:kern w:val="0"/>
                <w:szCs w:val="21"/>
              </w:rPr>
            </w:pPr>
            <w:r>
              <w:rPr>
                <w:kern w:val="0"/>
                <w:szCs w:val="21"/>
              </w:rPr>
              <w:t>因素</w:t>
            </w:r>
          </w:p>
        </w:tc>
        <w:tc>
          <w:tcPr>
            <w:tcW w:w="1875" w:type="dxa"/>
            <w:vAlign w:val="center"/>
          </w:tcPr>
          <w:p>
            <w:pPr>
              <w:widowControl/>
              <w:spacing w:line="400" w:lineRule="exact"/>
              <w:jc w:val="center"/>
              <w:rPr>
                <w:kern w:val="0"/>
                <w:szCs w:val="21"/>
              </w:rPr>
            </w:pPr>
            <w:r>
              <w:rPr>
                <w:kern w:val="0"/>
                <w:szCs w:val="21"/>
              </w:rPr>
              <w:t>权重</w:t>
            </w:r>
          </w:p>
        </w:tc>
        <w:tc>
          <w:tcPr>
            <w:tcW w:w="2963" w:type="dxa"/>
            <w:vAlign w:val="center"/>
          </w:tcPr>
          <w:p>
            <w:pPr>
              <w:widowControl/>
              <w:spacing w:line="400" w:lineRule="exact"/>
              <w:jc w:val="center"/>
              <w:rPr>
                <w:kern w:val="0"/>
                <w:szCs w:val="21"/>
              </w:rPr>
            </w:pPr>
            <w:r>
              <w:rPr>
                <w:kern w:val="0"/>
                <w:szCs w:val="21"/>
              </w:rPr>
              <w:t>因子</w:t>
            </w:r>
          </w:p>
        </w:tc>
        <w:tc>
          <w:tcPr>
            <w:tcW w:w="2256" w:type="dxa"/>
            <w:vAlign w:val="center"/>
          </w:tcPr>
          <w:p>
            <w:pPr>
              <w:widowControl/>
              <w:spacing w:line="400" w:lineRule="exact"/>
              <w:jc w:val="center"/>
              <w:rPr>
                <w:kern w:val="0"/>
                <w:szCs w:val="21"/>
              </w:rPr>
            </w:pPr>
            <w:r>
              <w:rPr>
                <w:kern w:val="0"/>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1805" w:type="dxa"/>
            <w:vMerge w:val="restart"/>
            <w:vAlign w:val="center"/>
          </w:tcPr>
          <w:p>
            <w:pPr>
              <w:widowControl/>
              <w:spacing w:line="400" w:lineRule="exact"/>
              <w:jc w:val="center"/>
              <w:rPr>
                <w:kern w:val="0"/>
                <w:szCs w:val="21"/>
              </w:rPr>
            </w:pPr>
            <w:r>
              <w:rPr>
                <w:kern w:val="0"/>
                <w:szCs w:val="21"/>
              </w:rPr>
              <w:t>交通条件</w:t>
            </w:r>
          </w:p>
        </w:tc>
        <w:tc>
          <w:tcPr>
            <w:tcW w:w="1875" w:type="dxa"/>
            <w:vMerge w:val="restart"/>
            <w:vAlign w:val="center"/>
          </w:tcPr>
          <w:p>
            <w:pPr>
              <w:widowControl/>
              <w:spacing w:line="400" w:lineRule="exact"/>
              <w:jc w:val="center"/>
              <w:rPr>
                <w:kern w:val="0"/>
                <w:szCs w:val="21"/>
              </w:rPr>
            </w:pPr>
            <w:r>
              <w:rPr>
                <w:kern w:val="0"/>
                <w:szCs w:val="21"/>
              </w:rPr>
              <w:t>0.284</w:t>
            </w:r>
          </w:p>
        </w:tc>
        <w:tc>
          <w:tcPr>
            <w:tcW w:w="2963" w:type="dxa"/>
            <w:vAlign w:val="center"/>
          </w:tcPr>
          <w:p>
            <w:pPr>
              <w:widowControl/>
              <w:spacing w:line="400" w:lineRule="exact"/>
              <w:jc w:val="center"/>
              <w:rPr>
                <w:kern w:val="0"/>
                <w:szCs w:val="21"/>
              </w:rPr>
            </w:pPr>
            <w:r>
              <w:rPr>
                <w:kern w:val="0"/>
                <w:szCs w:val="21"/>
              </w:rPr>
              <w:t>公交便捷度</w:t>
            </w:r>
          </w:p>
        </w:tc>
        <w:tc>
          <w:tcPr>
            <w:tcW w:w="2256" w:type="dxa"/>
            <w:vAlign w:val="center"/>
          </w:tcPr>
          <w:p>
            <w:pPr>
              <w:widowControl/>
              <w:spacing w:line="400" w:lineRule="exact"/>
              <w:jc w:val="center"/>
              <w:rPr>
                <w:kern w:val="0"/>
                <w:szCs w:val="21"/>
              </w:rPr>
            </w:pPr>
            <w:r>
              <w:rPr>
                <w:kern w:val="0"/>
                <w:szCs w:val="21"/>
              </w:rPr>
              <w:t>0.142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1805" w:type="dxa"/>
            <w:vMerge w:val="continue"/>
            <w:vAlign w:val="center"/>
          </w:tcPr>
          <w:p>
            <w:pPr>
              <w:widowControl/>
              <w:spacing w:line="400" w:lineRule="exact"/>
              <w:jc w:val="center"/>
              <w:rPr>
                <w:kern w:val="0"/>
                <w:szCs w:val="21"/>
              </w:rPr>
            </w:pPr>
          </w:p>
        </w:tc>
        <w:tc>
          <w:tcPr>
            <w:tcW w:w="1875" w:type="dxa"/>
            <w:vMerge w:val="continue"/>
            <w:vAlign w:val="center"/>
          </w:tcPr>
          <w:p>
            <w:pPr>
              <w:widowControl/>
              <w:spacing w:line="400" w:lineRule="exact"/>
              <w:jc w:val="center"/>
              <w:rPr>
                <w:kern w:val="0"/>
                <w:szCs w:val="21"/>
              </w:rPr>
            </w:pPr>
          </w:p>
        </w:tc>
        <w:tc>
          <w:tcPr>
            <w:tcW w:w="2963" w:type="dxa"/>
            <w:vAlign w:val="center"/>
          </w:tcPr>
          <w:p>
            <w:pPr>
              <w:widowControl/>
              <w:spacing w:line="400" w:lineRule="exact"/>
              <w:jc w:val="center"/>
              <w:rPr>
                <w:kern w:val="0"/>
                <w:szCs w:val="21"/>
              </w:rPr>
            </w:pPr>
            <w:r>
              <w:rPr>
                <w:kern w:val="0"/>
                <w:szCs w:val="21"/>
              </w:rPr>
              <w:t>临街道路状况</w:t>
            </w:r>
          </w:p>
        </w:tc>
        <w:tc>
          <w:tcPr>
            <w:tcW w:w="2256" w:type="dxa"/>
            <w:vAlign w:val="center"/>
          </w:tcPr>
          <w:p>
            <w:pPr>
              <w:widowControl/>
              <w:spacing w:line="400" w:lineRule="exact"/>
              <w:jc w:val="center"/>
              <w:rPr>
                <w:kern w:val="0"/>
                <w:szCs w:val="21"/>
              </w:rPr>
            </w:pPr>
            <w:r>
              <w:rPr>
                <w:kern w:val="0"/>
                <w:szCs w:val="21"/>
              </w:rPr>
              <w:t>0.142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1805" w:type="dxa"/>
            <w:vMerge w:val="restart"/>
            <w:vAlign w:val="center"/>
          </w:tcPr>
          <w:p>
            <w:pPr>
              <w:widowControl/>
              <w:spacing w:line="400" w:lineRule="exact"/>
              <w:jc w:val="center"/>
              <w:rPr>
                <w:kern w:val="0"/>
                <w:szCs w:val="21"/>
              </w:rPr>
            </w:pPr>
            <w:r>
              <w:rPr>
                <w:kern w:val="0"/>
                <w:szCs w:val="21"/>
              </w:rPr>
              <w:t>基础设施状况</w:t>
            </w:r>
          </w:p>
        </w:tc>
        <w:tc>
          <w:tcPr>
            <w:tcW w:w="1875" w:type="dxa"/>
            <w:vMerge w:val="restart"/>
            <w:vAlign w:val="center"/>
          </w:tcPr>
          <w:p>
            <w:pPr>
              <w:widowControl/>
              <w:spacing w:line="400" w:lineRule="exact"/>
              <w:jc w:val="center"/>
              <w:rPr>
                <w:kern w:val="0"/>
                <w:szCs w:val="21"/>
              </w:rPr>
            </w:pPr>
            <w:r>
              <w:rPr>
                <w:kern w:val="0"/>
                <w:szCs w:val="21"/>
              </w:rPr>
              <w:t>0.314</w:t>
            </w:r>
          </w:p>
        </w:tc>
        <w:tc>
          <w:tcPr>
            <w:tcW w:w="2963" w:type="dxa"/>
            <w:vAlign w:val="center"/>
          </w:tcPr>
          <w:p>
            <w:pPr>
              <w:widowControl/>
              <w:spacing w:line="400" w:lineRule="exact"/>
              <w:jc w:val="center"/>
              <w:rPr>
                <w:kern w:val="0"/>
                <w:szCs w:val="21"/>
              </w:rPr>
            </w:pPr>
            <w:r>
              <w:rPr>
                <w:kern w:val="0"/>
                <w:szCs w:val="21"/>
              </w:rPr>
              <w:t>给排水状况</w:t>
            </w:r>
          </w:p>
        </w:tc>
        <w:tc>
          <w:tcPr>
            <w:tcW w:w="2256" w:type="dxa"/>
            <w:vAlign w:val="center"/>
          </w:tcPr>
          <w:p>
            <w:pPr>
              <w:widowControl/>
              <w:spacing w:line="400" w:lineRule="exact"/>
              <w:jc w:val="center"/>
              <w:rPr>
                <w:kern w:val="0"/>
                <w:szCs w:val="21"/>
              </w:rPr>
            </w:pPr>
            <w:r>
              <w:rPr>
                <w:kern w:val="0"/>
                <w:szCs w:val="21"/>
              </w:rPr>
              <w:t>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18" w:hRule="atLeast"/>
          <w:jc w:val="center"/>
        </w:trPr>
        <w:tc>
          <w:tcPr>
            <w:tcW w:w="1805" w:type="dxa"/>
            <w:vMerge w:val="continue"/>
            <w:vAlign w:val="center"/>
          </w:tcPr>
          <w:p>
            <w:pPr>
              <w:widowControl/>
              <w:spacing w:line="400" w:lineRule="exact"/>
              <w:jc w:val="center"/>
              <w:rPr>
                <w:kern w:val="0"/>
                <w:szCs w:val="21"/>
              </w:rPr>
            </w:pPr>
          </w:p>
        </w:tc>
        <w:tc>
          <w:tcPr>
            <w:tcW w:w="1875" w:type="dxa"/>
            <w:vMerge w:val="continue"/>
            <w:vAlign w:val="center"/>
          </w:tcPr>
          <w:p>
            <w:pPr>
              <w:widowControl/>
              <w:spacing w:line="400" w:lineRule="exact"/>
              <w:jc w:val="center"/>
              <w:rPr>
                <w:kern w:val="0"/>
                <w:szCs w:val="21"/>
              </w:rPr>
            </w:pPr>
          </w:p>
        </w:tc>
        <w:tc>
          <w:tcPr>
            <w:tcW w:w="2963" w:type="dxa"/>
            <w:vAlign w:val="center"/>
          </w:tcPr>
          <w:p>
            <w:pPr>
              <w:widowControl/>
              <w:spacing w:line="400" w:lineRule="exact"/>
              <w:jc w:val="center"/>
              <w:rPr>
                <w:kern w:val="0"/>
                <w:szCs w:val="21"/>
              </w:rPr>
            </w:pPr>
            <w:r>
              <w:rPr>
                <w:kern w:val="0"/>
                <w:szCs w:val="21"/>
              </w:rPr>
              <w:t>供电状况</w:t>
            </w:r>
          </w:p>
        </w:tc>
        <w:tc>
          <w:tcPr>
            <w:tcW w:w="2256" w:type="dxa"/>
            <w:vAlign w:val="center"/>
          </w:tcPr>
          <w:p>
            <w:pPr>
              <w:widowControl/>
              <w:spacing w:line="400" w:lineRule="exact"/>
              <w:jc w:val="center"/>
              <w:rPr>
                <w:kern w:val="0"/>
                <w:szCs w:val="21"/>
              </w:rPr>
            </w:pPr>
            <w:r>
              <w:rPr>
                <w:kern w:val="0"/>
                <w:szCs w:val="21"/>
              </w:rPr>
              <w:t>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1805" w:type="dxa"/>
            <w:vAlign w:val="center"/>
          </w:tcPr>
          <w:p>
            <w:pPr>
              <w:widowControl/>
              <w:spacing w:line="400" w:lineRule="exact"/>
              <w:jc w:val="center"/>
              <w:rPr>
                <w:kern w:val="0"/>
                <w:szCs w:val="21"/>
              </w:rPr>
            </w:pPr>
            <w:r>
              <w:rPr>
                <w:kern w:val="0"/>
                <w:szCs w:val="21"/>
              </w:rPr>
              <w:t>环境状况</w:t>
            </w:r>
          </w:p>
        </w:tc>
        <w:tc>
          <w:tcPr>
            <w:tcW w:w="1875" w:type="dxa"/>
            <w:vAlign w:val="center"/>
          </w:tcPr>
          <w:p>
            <w:pPr>
              <w:widowControl/>
              <w:spacing w:line="400" w:lineRule="exact"/>
              <w:jc w:val="center"/>
              <w:rPr>
                <w:kern w:val="0"/>
                <w:szCs w:val="21"/>
              </w:rPr>
            </w:pPr>
            <w:r>
              <w:rPr>
                <w:kern w:val="0"/>
                <w:szCs w:val="21"/>
              </w:rPr>
              <w:t>0.212</w:t>
            </w:r>
          </w:p>
        </w:tc>
        <w:tc>
          <w:tcPr>
            <w:tcW w:w="2963" w:type="dxa"/>
            <w:vAlign w:val="center"/>
          </w:tcPr>
          <w:p>
            <w:pPr>
              <w:widowControl/>
              <w:spacing w:line="400" w:lineRule="exact"/>
              <w:jc w:val="center"/>
              <w:rPr>
                <w:kern w:val="0"/>
                <w:szCs w:val="21"/>
              </w:rPr>
            </w:pPr>
            <w:r>
              <w:rPr>
                <w:kern w:val="0"/>
                <w:szCs w:val="21"/>
              </w:rPr>
              <w:t>地形状况</w:t>
            </w:r>
          </w:p>
        </w:tc>
        <w:tc>
          <w:tcPr>
            <w:tcW w:w="2256" w:type="dxa"/>
            <w:vAlign w:val="center"/>
          </w:tcPr>
          <w:p>
            <w:pPr>
              <w:widowControl/>
              <w:spacing w:line="400" w:lineRule="exact"/>
              <w:jc w:val="center"/>
              <w:rPr>
                <w:kern w:val="0"/>
                <w:szCs w:val="21"/>
              </w:rPr>
            </w:pPr>
            <w:r>
              <w:rPr>
                <w:kern w:val="0"/>
                <w:szCs w:val="21"/>
              </w:rPr>
              <w:t>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1805" w:type="dxa"/>
            <w:vAlign w:val="center"/>
          </w:tcPr>
          <w:p>
            <w:pPr>
              <w:widowControl/>
              <w:spacing w:line="400" w:lineRule="exact"/>
              <w:jc w:val="center"/>
              <w:rPr>
                <w:kern w:val="0"/>
                <w:szCs w:val="21"/>
              </w:rPr>
            </w:pPr>
            <w:r>
              <w:rPr>
                <w:kern w:val="0"/>
                <w:szCs w:val="21"/>
              </w:rPr>
              <w:t>人口状况</w:t>
            </w:r>
          </w:p>
        </w:tc>
        <w:tc>
          <w:tcPr>
            <w:tcW w:w="1875" w:type="dxa"/>
            <w:vAlign w:val="center"/>
          </w:tcPr>
          <w:p>
            <w:pPr>
              <w:widowControl/>
              <w:spacing w:line="400" w:lineRule="exact"/>
              <w:jc w:val="center"/>
              <w:rPr>
                <w:kern w:val="0"/>
                <w:szCs w:val="21"/>
              </w:rPr>
            </w:pPr>
            <w:r>
              <w:rPr>
                <w:kern w:val="0"/>
                <w:szCs w:val="21"/>
              </w:rPr>
              <w:t>0.084</w:t>
            </w:r>
          </w:p>
        </w:tc>
        <w:tc>
          <w:tcPr>
            <w:tcW w:w="2963" w:type="dxa"/>
            <w:vAlign w:val="center"/>
          </w:tcPr>
          <w:p>
            <w:pPr>
              <w:widowControl/>
              <w:spacing w:line="400" w:lineRule="exact"/>
              <w:jc w:val="center"/>
              <w:rPr>
                <w:kern w:val="0"/>
                <w:szCs w:val="21"/>
              </w:rPr>
            </w:pPr>
            <w:r>
              <w:rPr>
                <w:kern w:val="0"/>
                <w:szCs w:val="21"/>
              </w:rPr>
              <w:t>人口密度</w:t>
            </w:r>
          </w:p>
        </w:tc>
        <w:tc>
          <w:tcPr>
            <w:tcW w:w="2256" w:type="dxa"/>
            <w:vAlign w:val="center"/>
          </w:tcPr>
          <w:p>
            <w:pPr>
              <w:widowControl/>
              <w:spacing w:line="400" w:lineRule="exact"/>
              <w:jc w:val="center"/>
              <w:rPr>
                <w:kern w:val="0"/>
                <w:szCs w:val="21"/>
              </w:rPr>
            </w:pPr>
            <w:r>
              <w:rPr>
                <w:kern w:val="0"/>
                <w:szCs w:val="21"/>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05" w:type="dxa"/>
            <w:vAlign w:val="center"/>
          </w:tcPr>
          <w:p>
            <w:pPr>
              <w:widowControl/>
              <w:spacing w:line="400" w:lineRule="exact"/>
              <w:jc w:val="center"/>
              <w:rPr>
                <w:kern w:val="0"/>
                <w:szCs w:val="21"/>
              </w:rPr>
            </w:pPr>
            <w:r>
              <w:rPr>
                <w:kern w:val="0"/>
                <w:szCs w:val="21"/>
              </w:rPr>
              <w:t>城市规划</w:t>
            </w:r>
          </w:p>
        </w:tc>
        <w:tc>
          <w:tcPr>
            <w:tcW w:w="1875" w:type="dxa"/>
            <w:vAlign w:val="center"/>
          </w:tcPr>
          <w:p>
            <w:pPr>
              <w:widowControl/>
              <w:spacing w:line="400" w:lineRule="exact"/>
              <w:jc w:val="center"/>
              <w:rPr>
                <w:kern w:val="0"/>
                <w:szCs w:val="21"/>
              </w:rPr>
            </w:pPr>
            <w:r>
              <w:rPr>
                <w:kern w:val="0"/>
                <w:szCs w:val="21"/>
              </w:rPr>
              <w:t>0.106</w:t>
            </w:r>
          </w:p>
        </w:tc>
        <w:tc>
          <w:tcPr>
            <w:tcW w:w="2963" w:type="dxa"/>
            <w:vAlign w:val="center"/>
          </w:tcPr>
          <w:p>
            <w:pPr>
              <w:widowControl/>
              <w:spacing w:line="400" w:lineRule="exact"/>
              <w:jc w:val="center"/>
              <w:rPr>
                <w:kern w:val="0"/>
                <w:szCs w:val="21"/>
              </w:rPr>
            </w:pPr>
            <w:r>
              <w:rPr>
                <w:kern w:val="0"/>
                <w:szCs w:val="21"/>
              </w:rPr>
              <w:t>道路规划</w:t>
            </w:r>
          </w:p>
        </w:tc>
        <w:tc>
          <w:tcPr>
            <w:tcW w:w="2256" w:type="dxa"/>
            <w:vAlign w:val="center"/>
          </w:tcPr>
          <w:p>
            <w:pPr>
              <w:widowControl/>
              <w:spacing w:line="400" w:lineRule="exact"/>
              <w:jc w:val="center"/>
              <w:rPr>
                <w:kern w:val="0"/>
                <w:szCs w:val="21"/>
              </w:rPr>
            </w:pPr>
            <w:r>
              <w:rPr>
                <w:kern w:val="0"/>
                <w:szCs w:val="21"/>
              </w:rPr>
              <w:t>0.106</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br w:type="page"/>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表5-4-1</w:t>
      </w:r>
      <w:r>
        <w:rPr>
          <w:rFonts w:hint="eastAsia" w:ascii="Times New Roman" w:hAnsi="Times New Roman"/>
          <w:sz w:val="24"/>
          <w:szCs w:val="24"/>
        </w:rPr>
        <w:t>4</w:t>
      </w:r>
      <w:r>
        <w:rPr>
          <w:rFonts w:ascii="Times New Roman" w:hAnsi="Times New Roman"/>
          <w:sz w:val="24"/>
          <w:szCs w:val="24"/>
        </w:rPr>
        <w:t xml:space="preserve"> 长沙县乡镇地价修正幅度计算表</w:t>
      </w:r>
    </w:p>
    <w:tbl>
      <w:tblPr>
        <w:tblW w:w="10266" w:type="dxa"/>
        <w:tblInd w:w="-4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008"/>
        <w:gridCol w:w="1008"/>
        <w:gridCol w:w="1008"/>
        <w:gridCol w:w="1008"/>
        <w:gridCol w:w="1008"/>
        <w:gridCol w:w="1010"/>
        <w:gridCol w:w="883"/>
        <w:gridCol w:w="883"/>
        <w:gridCol w:w="883"/>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83" w:type="dxa"/>
            <w:vMerge w:val="restart"/>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级别</w:t>
            </w:r>
          </w:p>
        </w:tc>
        <w:tc>
          <w:tcPr>
            <w:tcW w:w="2016" w:type="dxa"/>
            <w:gridSpan w:val="2"/>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商服用地</w:t>
            </w:r>
          </w:p>
        </w:tc>
        <w:tc>
          <w:tcPr>
            <w:tcW w:w="2016" w:type="dxa"/>
            <w:gridSpan w:val="2"/>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住宅用地</w:t>
            </w:r>
          </w:p>
        </w:tc>
        <w:tc>
          <w:tcPr>
            <w:tcW w:w="2018" w:type="dxa"/>
            <w:gridSpan w:val="2"/>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工矿仓储用地</w:t>
            </w:r>
          </w:p>
        </w:tc>
        <w:tc>
          <w:tcPr>
            <w:tcW w:w="3533" w:type="dxa"/>
            <w:gridSpan w:val="4"/>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公共管理与公共服务用地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683" w:type="dxa"/>
            <w:vMerge w:val="continue"/>
            <w:vAlign w:val="center"/>
          </w:tcPr>
          <w:p>
            <w:pPr>
              <w:widowControl/>
              <w:spacing w:line="400" w:lineRule="exact"/>
              <w:jc w:val="center"/>
              <w:textAlignment w:val="bottom"/>
              <w:rPr>
                <w:rFonts w:eastAsia="Tahoma"/>
                <w:b/>
                <w:bCs/>
                <w:color w:val="000000"/>
                <w:kern w:val="0"/>
                <w:szCs w:val="21"/>
                <w:lang/>
              </w:rPr>
            </w:pPr>
          </w:p>
        </w:tc>
        <w:tc>
          <w:tcPr>
            <w:tcW w:w="100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最大上调幅度(%)</w:t>
            </w:r>
          </w:p>
        </w:tc>
        <w:tc>
          <w:tcPr>
            <w:tcW w:w="100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最大下调幅度(%)</w:t>
            </w:r>
          </w:p>
        </w:tc>
        <w:tc>
          <w:tcPr>
            <w:tcW w:w="100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最大上调幅度(%)</w:t>
            </w:r>
          </w:p>
        </w:tc>
        <w:tc>
          <w:tcPr>
            <w:tcW w:w="100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最大下调幅度(%)</w:t>
            </w:r>
          </w:p>
        </w:tc>
        <w:tc>
          <w:tcPr>
            <w:tcW w:w="100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最大上调幅度(%)</w:t>
            </w:r>
          </w:p>
        </w:tc>
        <w:tc>
          <w:tcPr>
            <w:tcW w:w="10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最大下调幅度(%)</w:t>
            </w:r>
          </w:p>
        </w:tc>
        <w:tc>
          <w:tcPr>
            <w:tcW w:w="1766" w:type="dxa"/>
            <w:gridSpan w:val="2"/>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最大上调幅度（一类/二类）(%)</w:t>
            </w:r>
          </w:p>
        </w:tc>
        <w:tc>
          <w:tcPr>
            <w:tcW w:w="1767" w:type="dxa"/>
            <w:gridSpan w:val="2"/>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最大下调幅度（一类/二类）(%)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83" w:type="dxa"/>
            <w:vAlign w:val="center"/>
          </w:tcPr>
          <w:p>
            <w:pPr>
              <w:widowControl/>
              <w:spacing w:line="400" w:lineRule="exact"/>
              <w:jc w:val="center"/>
              <w:rPr>
                <w:kern w:val="0"/>
                <w:szCs w:val="21"/>
              </w:rPr>
            </w:pPr>
            <w:r>
              <w:rPr>
                <w:kern w:val="0"/>
                <w:szCs w:val="21"/>
              </w:rPr>
              <w:t>Ⅰ</w:t>
            </w:r>
          </w:p>
        </w:tc>
        <w:tc>
          <w:tcPr>
            <w:tcW w:w="1008" w:type="dxa"/>
            <w:vAlign w:val="center"/>
          </w:tcPr>
          <w:p>
            <w:pPr>
              <w:shd w:val="clear" w:color="auto" w:fill="FFFFFF"/>
              <w:jc w:val="center"/>
              <w:rPr>
                <w:kern w:val="0"/>
                <w:szCs w:val="21"/>
              </w:rPr>
            </w:pPr>
            <w:r>
              <w:rPr>
                <w:szCs w:val="21"/>
              </w:rPr>
              <w:t>18.21</w:t>
            </w:r>
          </w:p>
        </w:tc>
        <w:tc>
          <w:tcPr>
            <w:tcW w:w="1008" w:type="dxa"/>
            <w:vAlign w:val="center"/>
          </w:tcPr>
          <w:p>
            <w:pPr>
              <w:shd w:val="clear" w:color="auto" w:fill="FFFFFF"/>
              <w:jc w:val="center"/>
              <w:rPr>
                <w:kern w:val="0"/>
                <w:szCs w:val="21"/>
              </w:rPr>
            </w:pPr>
            <w:r>
              <w:rPr>
                <w:szCs w:val="21"/>
              </w:rPr>
              <w:t>5.75</w:t>
            </w:r>
          </w:p>
        </w:tc>
        <w:tc>
          <w:tcPr>
            <w:tcW w:w="1008" w:type="dxa"/>
            <w:vAlign w:val="center"/>
          </w:tcPr>
          <w:p>
            <w:pPr>
              <w:shd w:val="clear" w:color="auto" w:fill="FFFFFF"/>
              <w:jc w:val="center"/>
              <w:rPr>
                <w:kern w:val="0"/>
                <w:szCs w:val="21"/>
              </w:rPr>
            </w:pPr>
            <w:r>
              <w:rPr>
                <w:szCs w:val="21"/>
              </w:rPr>
              <w:t>16.78</w:t>
            </w:r>
          </w:p>
        </w:tc>
        <w:tc>
          <w:tcPr>
            <w:tcW w:w="1008" w:type="dxa"/>
            <w:vAlign w:val="center"/>
          </w:tcPr>
          <w:p>
            <w:pPr>
              <w:shd w:val="clear" w:color="auto" w:fill="FFFFFF"/>
              <w:jc w:val="center"/>
              <w:rPr>
                <w:kern w:val="0"/>
                <w:szCs w:val="21"/>
              </w:rPr>
            </w:pPr>
            <w:r>
              <w:rPr>
                <w:szCs w:val="21"/>
              </w:rPr>
              <w:t>11.23</w:t>
            </w:r>
          </w:p>
        </w:tc>
        <w:tc>
          <w:tcPr>
            <w:tcW w:w="1008" w:type="dxa"/>
            <w:vAlign w:val="center"/>
          </w:tcPr>
          <w:p>
            <w:pPr>
              <w:shd w:val="clear" w:color="auto" w:fill="FFFFFF"/>
              <w:jc w:val="center"/>
              <w:rPr>
                <w:kern w:val="0"/>
                <w:szCs w:val="21"/>
              </w:rPr>
            </w:pPr>
            <w:r>
              <w:rPr>
                <w:szCs w:val="21"/>
              </w:rPr>
              <w:t>11.52</w:t>
            </w:r>
          </w:p>
        </w:tc>
        <w:tc>
          <w:tcPr>
            <w:tcW w:w="1010" w:type="dxa"/>
            <w:vAlign w:val="center"/>
          </w:tcPr>
          <w:p>
            <w:pPr>
              <w:shd w:val="clear" w:color="auto" w:fill="FFFFFF"/>
              <w:jc w:val="center"/>
              <w:rPr>
                <w:kern w:val="0"/>
                <w:szCs w:val="21"/>
              </w:rPr>
            </w:pPr>
            <w:r>
              <w:rPr>
                <w:szCs w:val="21"/>
              </w:rPr>
              <w:t>7.22</w:t>
            </w:r>
          </w:p>
        </w:tc>
        <w:tc>
          <w:tcPr>
            <w:tcW w:w="883" w:type="dxa"/>
            <w:vAlign w:val="center"/>
          </w:tcPr>
          <w:p>
            <w:pPr>
              <w:widowControl/>
              <w:spacing w:line="400" w:lineRule="exact"/>
              <w:jc w:val="center"/>
              <w:rPr>
                <w:kern w:val="0"/>
                <w:szCs w:val="21"/>
              </w:rPr>
            </w:pPr>
            <w:r>
              <w:rPr>
                <w:kern w:val="0"/>
                <w:szCs w:val="21"/>
              </w:rPr>
              <w:t>15.6</w:t>
            </w:r>
          </w:p>
        </w:tc>
        <w:tc>
          <w:tcPr>
            <w:tcW w:w="883" w:type="dxa"/>
            <w:vAlign w:val="center"/>
          </w:tcPr>
          <w:p>
            <w:pPr>
              <w:widowControl/>
              <w:spacing w:line="400" w:lineRule="exact"/>
              <w:jc w:val="center"/>
              <w:rPr>
                <w:kern w:val="0"/>
                <w:szCs w:val="21"/>
              </w:rPr>
            </w:pPr>
            <w:r>
              <w:rPr>
                <w:kern w:val="0"/>
                <w:szCs w:val="21"/>
              </w:rPr>
              <w:t>14.4</w:t>
            </w:r>
          </w:p>
        </w:tc>
        <w:tc>
          <w:tcPr>
            <w:tcW w:w="883" w:type="dxa"/>
            <w:vAlign w:val="center"/>
          </w:tcPr>
          <w:p>
            <w:pPr>
              <w:widowControl/>
              <w:spacing w:line="400" w:lineRule="exact"/>
              <w:jc w:val="center"/>
              <w:rPr>
                <w:kern w:val="0"/>
                <w:szCs w:val="21"/>
              </w:rPr>
            </w:pPr>
            <w:r>
              <w:rPr>
                <w:kern w:val="0"/>
                <w:szCs w:val="21"/>
              </w:rPr>
              <w:t>13.8</w:t>
            </w:r>
          </w:p>
        </w:tc>
        <w:tc>
          <w:tcPr>
            <w:tcW w:w="884" w:type="dxa"/>
            <w:vAlign w:val="center"/>
          </w:tcPr>
          <w:p>
            <w:pPr>
              <w:widowControl/>
              <w:spacing w:line="400" w:lineRule="exact"/>
              <w:jc w:val="center"/>
              <w:rPr>
                <w:kern w:val="0"/>
                <w:szCs w:val="21"/>
              </w:rPr>
            </w:pPr>
            <w:r>
              <w:rPr>
                <w:kern w:val="0"/>
                <w:szCs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83" w:type="dxa"/>
            <w:vAlign w:val="center"/>
          </w:tcPr>
          <w:p>
            <w:pPr>
              <w:widowControl/>
              <w:spacing w:line="400" w:lineRule="exact"/>
              <w:jc w:val="center"/>
              <w:rPr>
                <w:kern w:val="0"/>
                <w:szCs w:val="21"/>
              </w:rPr>
            </w:pPr>
            <w:r>
              <w:rPr>
                <w:kern w:val="0"/>
                <w:szCs w:val="21"/>
              </w:rPr>
              <w:t>Ⅱ</w:t>
            </w:r>
          </w:p>
        </w:tc>
        <w:tc>
          <w:tcPr>
            <w:tcW w:w="1008" w:type="dxa"/>
            <w:vAlign w:val="center"/>
          </w:tcPr>
          <w:p>
            <w:pPr>
              <w:shd w:val="clear" w:color="auto" w:fill="FFFFFF"/>
              <w:jc w:val="center"/>
              <w:rPr>
                <w:szCs w:val="21"/>
              </w:rPr>
            </w:pPr>
            <w:r>
              <w:rPr>
                <w:szCs w:val="21"/>
              </w:rPr>
              <w:t>16.24</w:t>
            </w:r>
          </w:p>
        </w:tc>
        <w:tc>
          <w:tcPr>
            <w:tcW w:w="1008" w:type="dxa"/>
            <w:vAlign w:val="center"/>
          </w:tcPr>
          <w:p>
            <w:pPr>
              <w:shd w:val="clear" w:color="auto" w:fill="FFFFFF"/>
              <w:jc w:val="center"/>
              <w:rPr>
                <w:szCs w:val="21"/>
              </w:rPr>
            </w:pPr>
            <w:r>
              <w:rPr>
                <w:szCs w:val="21"/>
              </w:rPr>
              <w:t>7.92</w:t>
            </w:r>
          </w:p>
        </w:tc>
        <w:tc>
          <w:tcPr>
            <w:tcW w:w="1008" w:type="dxa"/>
            <w:vAlign w:val="center"/>
          </w:tcPr>
          <w:p>
            <w:pPr>
              <w:shd w:val="clear" w:color="auto" w:fill="FFFFFF"/>
              <w:jc w:val="center"/>
              <w:rPr>
                <w:szCs w:val="21"/>
              </w:rPr>
            </w:pPr>
            <w:r>
              <w:rPr>
                <w:szCs w:val="21"/>
              </w:rPr>
              <w:t>15.96</w:t>
            </w:r>
          </w:p>
        </w:tc>
        <w:tc>
          <w:tcPr>
            <w:tcW w:w="1008" w:type="dxa"/>
            <w:vAlign w:val="center"/>
          </w:tcPr>
          <w:p>
            <w:pPr>
              <w:shd w:val="clear" w:color="auto" w:fill="FFFFFF"/>
              <w:jc w:val="center"/>
              <w:rPr>
                <w:szCs w:val="21"/>
              </w:rPr>
            </w:pPr>
            <w:r>
              <w:rPr>
                <w:szCs w:val="21"/>
              </w:rPr>
              <w:t>8.85</w:t>
            </w:r>
          </w:p>
        </w:tc>
        <w:tc>
          <w:tcPr>
            <w:tcW w:w="1008" w:type="dxa"/>
            <w:vAlign w:val="center"/>
          </w:tcPr>
          <w:p>
            <w:pPr>
              <w:shd w:val="clear" w:color="auto" w:fill="FFFFFF"/>
              <w:jc w:val="center"/>
              <w:rPr>
                <w:szCs w:val="21"/>
              </w:rPr>
            </w:pPr>
            <w:r>
              <w:rPr>
                <w:szCs w:val="21"/>
              </w:rPr>
              <w:t>8.32</w:t>
            </w:r>
          </w:p>
        </w:tc>
        <w:tc>
          <w:tcPr>
            <w:tcW w:w="1010" w:type="dxa"/>
            <w:vAlign w:val="center"/>
          </w:tcPr>
          <w:p>
            <w:pPr>
              <w:shd w:val="clear" w:color="auto" w:fill="FFFFFF"/>
              <w:jc w:val="center"/>
              <w:rPr>
                <w:szCs w:val="21"/>
              </w:rPr>
            </w:pPr>
            <w:r>
              <w:rPr>
                <w:szCs w:val="21"/>
              </w:rPr>
              <w:t>9.52</w:t>
            </w:r>
          </w:p>
        </w:tc>
        <w:tc>
          <w:tcPr>
            <w:tcW w:w="883" w:type="dxa"/>
            <w:vAlign w:val="center"/>
          </w:tcPr>
          <w:p>
            <w:pPr>
              <w:widowControl/>
              <w:spacing w:line="400" w:lineRule="exact"/>
              <w:jc w:val="center"/>
              <w:rPr>
                <w:kern w:val="0"/>
                <w:szCs w:val="21"/>
              </w:rPr>
            </w:pPr>
          </w:p>
        </w:tc>
        <w:tc>
          <w:tcPr>
            <w:tcW w:w="883" w:type="dxa"/>
            <w:vAlign w:val="center"/>
          </w:tcPr>
          <w:p>
            <w:pPr>
              <w:widowControl/>
              <w:spacing w:line="400" w:lineRule="exact"/>
              <w:rPr>
                <w:kern w:val="0"/>
                <w:szCs w:val="21"/>
              </w:rPr>
            </w:pPr>
          </w:p>
        </w:tc>
        <w:tc>
          <w:tcPr>
            <w:tcW w:w="883" w:type="dxa"/>
            <w:vAlign w:val="center"/>
          </w:tcPr>
          <w:p>
            <w:pPr>
              <w:widowControl/>
              <w:spacing w:line="400" w:lineRule="exact"/>
              <w:jc w:val="center"/>
              <w:rPr>
                <w:kern w:val="0"/>
                <w:szCs w:val="21"/>
              </w:rPr>
            </w:pPr>
          </w:p>
        </w:tc>
        <w:tc>
          <w:tcPr>
            <w:tcW w:w="884" w:type="dxa"/>
            <w:vAlign w:val="center"/>
          </w:tcPr>
          <w:p>
            <w:pPr>
              <w:widowControl/>
              <w:spacing w:line="40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83" w:type="dxa"/>
            <w:vAlign w:val="center"/>
          </w:tcPr>
          <w:p>
            <w:pPr>
              <w:widowControl/>
              <w:spacing w:line="400" w:lineRule="exact"/>
              <w:jc w:val="center"/>
              <w:rPr>
                <w:kern w:val="0"/>
                <w:szCs w:val="21"/>
              </w:rPr>
            </w:pPr>
            <w:r>
              <w:rPr>
                <w:sz w:val="24"/>
              </w:rPr>
              <w:t>Ⅲ</w:t>
            </w:r>
          </w:p>
        </w:tc>
        <w:tc>
          <w:tcPr>
            <w:tcW w:w="1008" w:type="dxa"/>
            <w:vAlign w:val="center"/>
          </w:tcPr>
          <w:p>
            <w:pPr>
              <w:shd w:val="clear" w:color="auto" w:fill="FFFFFF"/>
              <w:jc w:val="center"/>
              <w:rPr>
                <w:szCs w:val="21"/>
              </w:rPr>
            </w:pPr>
            <w:r>
              <w:rPr>
                <w:szCs w:val="21"/>
              </w:rPr>
              <w:t>15.37</w:t>
            </w:r>
          </w:p>
        </w:tc>
        <w:tc>
          <w:tcPr>
            <w:tcW w:w="1008" w:type="dxa"/>
            <w:vAlign w:val="center"/>
          </w:tcPr>
          <w:p>
            <w:pPr>
              <w:shd w:val="clear" w:color="auto" w:fill="FFFFFF"/>
              <w:jc w:val="center"/>
              <w:rPr>
                <w:szCs w:val="21"/>
              </w:rPr>
            </w:pPr>
            <w:r>
              <w:rPr>
                <w:szCs w:val="21"/>
              </w:rPr>
              <w:t>6.74</w:t>
            </w:r>
          </w:p>
        </w:tc>
        <w:tc>
          <w:tcPr>
            <w:tcW w:w="1008" w:type="dxa"/>
            <w:vAlign w:val="center"/>
          </w:tcPr>
          <w:p>
            <w:pPr>
              <w:shd w:val="clear" w:color="auto" w:fill="FFFFFF"/>
              <w:jc w:val="center"/>
              <w:rPr>
                <w:szCs w:val="21"/>
              </w:rPr>
            </w:pPr>
            <w:r>
              <w:rPr>
                <w:szCs w:val="21"/>
              </w:rPr>
              <w:t>13.64</w:t>
            </w:r>
          </w:p>
        </w:tc>
        <w:tc>
          <w:tcPr>
            <w:tcW w:w="1008" w:type="dxa"/>
            <w:vAlign w:val="center"/>
          </w:tcPr>
          <w:p>
            <w:pPr>
              <w:shd w:val="clear" w:color="auto" w:fill="FFFFFF"/>
              <w:jc w:val="center"/>
              <w:rPr>
                <w:szCs w:val="21"/>
              </w:rPr>
            </w:pPr>
            <w:r>
              <w:rPr>
                <w:szCs w:val="21"/>
              </w:rPr>
              <w:t>6.93</w:t>
            </w:r>
          </w:p>
        </w:tc>
        <w:tc>
          <w:tcPr>
            <w:tcW w:w="1008" w:type="dxa"/>
            <w:vAlign w:val="center"/>
          </w:tcPr>
          <w:p>
            <w:pPr>
              <w:shd w:val="clear" w:color="auto" w:fill="FFFFFF"/>
              <w:jc w:val="center"/>
              <w:rPr>
                <w:szCs w:val="21"/>
              </w:rPr>
            </w:pPr>
            <w:r>
              <w:rPr>
                <w:szCs w:val="21"/>
              </w:rPr>
              <w:t>9.92</w:t>
            </w:r>
          </w:p>
        </w:tc>
        <w:tc>
          <w:tcPr>
            <w:tcW w:w="1010" w:type="dxa"/>
            <w:vAlign w:val="center"/>
          </w:tcPr>
          <w:p>
            <w:pPr>
              <w:shd w:val="clear" w:color="auto" w:fill="FFFFFF"/>
              <w:jc w:val="center"/>
              <w:rPr>
                <w:szCs w:val="21"/>
              </w:rPr>
            </w:pPr>
            <w:r>
              <w:rPr>
                <w:szCs w:val="21"/>
              </w:rPr>
              <w:t>6.42</w:t>
            </w:r>
          </w:p>
        </w:tc>
        <w:tc>
          <w:tcPr>
            <w:tcW w:w="883" w:type="dxa"/>
            <w:vAlign w:val="center"/>
          </w:tcPr>
          <w:p>
            <w:pPr>
              <w:widowControl/>
              <w:spacing w:line="400" w:lineRule="exact"/>
              <w:jc w:val="center"/>
              <w:rPr>
                <w:kern w:val="0"/>
                <w:szCs w:val="21"/>
              </w:rPr>
            </w:pPr>
          </w:p>
        </w:tc>
        <w:tc>
          <w:tcPr>
            <w:tcW w:w="883" w:type="dxa"/>
            <w:vAlign w:val="center"/>
          </w:tcPr>
          <w:p>
            <w:pPr>
              <w:widowControl/>
              <w:spacing w:line="400" w:lineRule="exact"/>
              <w:jc w:val="center"/>
              <w:rPr>
                <w:kern w:val="0"/>
                <w:szCs w:val="21"/>
              </w:rPr>
            </w:pPr>
          </w:p>
        </w:tc>
        <w:tc>
          <w:tcPr>
            <w:tcW w:w="883" w:type="dxa"/>
            <w:vAlign w:val="center"/>
          </w:tcPr>
          <w:p>
            <w:pPr>
              <w:widowControl/>
              <w:spacing w:line="400" w:lineRule="exact"/>
              <w:jc w:val="center"/>
              <w:rPr>
                <w:kern w:val="0"/>
                <w:szCs w:val="21"/>
              </w:rPr>
            </w:pPr>
          </w:p>
        </w:tc>
        <w:tc>
          <w:tcPr>
            <w:tcW w:w="884" w:type="dxa"/>
            <w:vAlign w:val="center"/>
          </w:tcPr>
          <w:p>
            <w:pPr>
              <w:widowControl/>
              <w:spacing w:line="400" w:lineRule="exact"/>
              <w:jc w:val="center"/>
              <w:rPr>
                <w:kern w:val="0"/>
                <w:szCs w:val="21"/>
              </w:rPr>
            </w:pPr>
          </w:p>
        </w:tc>
      </w:tr>
    </w:tbl>
    <w:p>
      <w:pPr>
        <w:spacing w:line="360" w:lineRule="auto"/>
        <w:ind w:firstLine="480" w:firstLineChars="200"/>
        <w:rPr>
          <w:sz w:val="24"/>
          <w:lang w:val="zh-CN"/>
        </w:rPr>
      </w:pPr>
      <w:r>
        <w:rPr>
          <w:sz w:val="24"/>
          <w:lang w:val="zh-CN"/>
        </w:rPr>
        <w:t>1、宗地地价区域因素修正</w:t>
      </w:r>
    </w:p>
    <w:p>
      <w:pPr>
        <w:spacing w:line="360" w:lineRule="auto"/>
        <w:ind w:firstLine="480" w:firstLineChars="200"/>
        <w:rPr>
          <w:sz w:val="24"/>
          <w:lang w:val="zh-CN"/>
        </w:rPr>
      </w:pPr>
      <w:r>
        <w:rPr>
          <w:sz w:val="24"/>
          <w:lang w:val="zh-CN"/>
        </w:rPr>
        <w:t>（1）商服用地宗地地价区域因素修正</w:t>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表5-4-1</w:t>
      </w:r>
      <w:r>
        <w:rPr>
          <w:rFonts w:hint="eastAsia" w:ascii="Times New Roman" w:hAnsi="Times New Roman"/>
          <w:sz w:val="24"/>
          <w:szCs w:val="24"/>
        </w:rPr>
        <w:t>5</w:t>
      </w:r>
      <w:r>
        <w:rPr>
          <w:rFonts w:ascii="Times New Roman" w:hAnsi="Times New Roman"/>
          <w:sz w:val="24"/>
          <w:szCs w:val="24"/>
        </w:rPr>
        <w:t xml:space="preserve"> 长沙县乡镇Ⅰ级商服用地宗地地价区域因素修正系数表</w:t>
      </w:r>
    </w:p>
    <w:tbl>
      <w:tblPr>
        <w:tblW w:w="9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2560"/>
        <w:gridCol w:w="840"/>
        <w:gridCol w:w="840"/>
        <w:gridCol w:w="840"/>
        <w:gridCol w:w="840"/>
        <w:gridCol w:w="846"/>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因素</w:t>
            </w:r>
          </w:p>
        </w:tc>
        <w:tc>
          <w:tcPr>
            <w:tcW w:w="256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因子</w:t>
            </w:r>
          </w:p>
        </w:tc>
        <w:tc>
          <w:tcPr>
            <w:tcW w:w="84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权重</w:t>
            </w:r>
          </w:p>
        </w:tc>
        <w:tc>
          <w:tcPr>
            <w:tcW w:w="84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优</w:t>
            </w:r>
          </w:p>
        </w:tc>
        <w:tc>
          <w:tcPr>
            <w:tcW w:w="84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较优</w:t>
            </w:r>
          </w:p>
        </w:tc>
        <w:tc>
          <w:tcPr>
            <w:tcW w:w="84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一般</w:t>
            </w:r>
          </w:p>
        </w:tc>
        <w:tc>
          <w:tcPr>
            <w:tcW w:w="846"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较劣</w:t>
            </w:r>
          </w:p>
        </w:tc>
        <w:tc>
          <w:tcPr>
            <w:tcW w:w="846"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Align w:val="center"/>
          </w:tcPr>
          <w:p>
            <w:pPr>
              <w:widowControl/>
              <w:shd w:val="clear" w:color="auto" w:fill="FFFFFF"/>
              <w:jc w:val="center"/>
              <w:rPr>
                <w:kern w:val="0"/>
                <w:szCs w:val="21"/>
              </w:rPr>
            </w:pPr>
            <w:r>
              <w:rPr>
                <w:kern w:val="0"/>
                <w:szCs w:val="21"/>
              </w:rPr>
              <w:t>商服繁华度</w:t>
            </w:r>
          </w:p>
        </w:tc>
        <w:tc>
          <w:tcPr>
            <w:tcW w:w="2560" w:type="dxa"/>
            <w:vAlign w:val="center"/>
          </w:tcPr>
          <w:p>
            <w:pPr>
              <w:widowControl/>
              <w:shd w:val="clear" w:color="auto" w:fill="FFFFFF"/>
              <w:jc w:val="center"/>
              <w:rPr>
                <w:kern w:val="0"/>
                <w:szCs w:val="21"/>
              </w:rPr>
            </w:pPr>
            <w:r>
              <w:rPr>
                <w:kern w:val="0"/>
                <w:szCs w:val="21"/>
              </w:rPr>
              <w:t>距离商服中心距离</w:t>
            </w:r>
          </w:p>
        </w:tc>
        <w:tc>
          <w:tcPr>
            <w:tcW w:w="840" w:type="dxa"/>
            <w:vAlign w:val="center"/>
          </w:tcPr>
          <w:p>
            <w:pPr>
              <w:jc w:val="center"/>
              <w:rPr>
                <w:color w:val="000000"/>
                <w:szCs w:val="21"/>
              </w:rPr>
            </w:pPr>
            <w:r>
              <w:rPr>
                <w:color w:val="000000"/>
                <w:szCs w:val="21"/>
              </w:rPr>
              <w:t xml:space="preserve">0.314 </w:t>
            </w:r>
          </w:p>
        </w:tc>
        <w:tc>
          <w:tcPr>
            <w:tcW w:w="840" w:type="dxa"/>
            <w:vAlign w:val="center"/>
          </w:tcPr>
          <w:p>
            <w:pPr>
              <w:jc w:val="center"/>
              <w:rPr>
                <w:color w:val="000000"/>
                <w:szCs w:val="21"/>
              </w:rPr>
            </w:pPr>
            <w:r>
              <w:rPr>
                <w:color w:val="000000"/>
                <w:szCs w:val="21"/>
              </w:rPr>
              <w:t xml:space="preserve">5.718 </w:t>
            </w:r>
          </w:p>
        </w:tc>
        <w:tc>
          <w:tcPr>
            <w:tcW w:w="840" w:type="dxa"/>
            <w:vAlign w:val="center"/>
          </w:tcPr>
          <w:p>
            <w:pPr>
              <w:jc w:val="center"/>
              <w:rPr>
                <w:color w:val="000000"/>
                <w:szCs w:val="21"/>
              </w:rPr>
            </w:pPr>
            <w:r>
              <w:rPr>
                <w:color w:val="000000"/>
                <w:szCs w:val="21"/>
              </w:rPr>
              <w:t xml:space="preserve">2.859 </w:t>
            </w:r>
          </w:p>
        </w:tc>
        <w:tc>
          <w:tcPr>
            <w:tcW w:w="840" w:type="dxa"/>
            <w:vAlign w:val="center"/>
          </w:tcPr>
          <w:p>
            <w:pPr>
              <w:jc w:val="center"/>
              <w:rPr>
                <w:color w:val="000000"/>
                <w:szCs w:val="21"/>
              </w:rPr>
            </w:pPr>
            <w:r>
              <w:rPr>
                <w:color w:val="000000"/>
                <w:szCs w:val="21"/>
              </w:rPr>
              <w:t xml:space="preserve">0.000 </w:t>
            </w:r>
          </w:p>
        </w:tc>
        <w:tc>
          <w:tcPr>
            <w:tcW w:w="846" w:type="dxa"/>
            <w:vAlign w:val="center"/>
          </w:tcPr>
          <w:p>
            <w:pPr>
              <w:jc w:val="center"/>
              <w:rPr>
                <w:color w:val="000000"/>
                <w:szCs w:val="21"/>
              </w:rPr>
            </w:pPr>
            <w:r>
              <w:rPr>
                <w:color w:val="000000"/>
                <w:szCs w:val="21"/>
              </w:rPr>
              <w:t xml:space="preserve">-0.903 </w:t>
            </w:r>
          </w:p>
        </w:tc>
        <w:tc>
          <w:tcPr>
            <w:tcW w:w="846" w:type="dxa"/>
            <w:vAlign w:val="center"/>
          </w:tcPr>
          <w:p>
            <w:pPr>
              <w:jc w:val="center"/>
              <w:rPr>
                <w:color w:val="000000"/>
                <w:szCs w:val="21"/>
              </w:rPr>
            </w:pPr>
            <w:r>
              <w:rPr>
                <w:color w:val="000000"/>
                <w:szCs w:val="21"/>
              </w:rPr>
              <w:t xml:space="preserve">-1.806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Merge w:val="restart"/>
            <w:vAlign w:val="center"/>
          </w:tcPr>
          <w:p>
            <w:pPr>
              <w:shd w:val="clear" w:color="auto" w:fill="FFFFFF"/>
              <w:jc w:val="center"/>
              <w:rPr>
                <w:kern w:val="0"/>
                <w:szCs w:val="21"/>
              </w:rPr>
            </w:pPr>
            <w:r>
              <w:rPr>
                <w:kern w:val="0"/>
                <w:szCs w:val="21"/>
              </w:rPr>
              <w:t>交通条件</w:t>
            </w:r>
          </w:p>
        </w:tc>
        <w:tc>
          <w:tcPr>
            <w:tcW w:w="2560" w:type="dxa"/>
            <w:vAlign w:val="center"/>
          </w:tcPr>
          <w:p>
            <w:pPr>
              <w:widowControl/>
              <w:shd w:val="clear" w:color="auto" w:fill="FFFFFF"/>
              <w:jc w:val="center"/>
              <w:rPr>
                <w:kern w:val="0"/>
                <w:szCs w:val="21"/>
              </w:rPr>
            </w:pPr>
            <w:r>
              <w:rPr>
                <w:kern w:val="0"/>
                <w:szCs w:val="21"/>
              </w:rPr>
              <w:t>临街道路状况</w:t>
            </w:r>
          </w:p>
        </w:tc>
        <w:tc>
          <w:tcPr>
            <w:tcW w:w="840" w:type="dxa"/>
            <w:vAlign w:val="center"/>
          </w:tcPr>
          <w:p>
            <w:pPr>
              <w:jc w:val="center"/>
              <w:rPr>
                <w:color w:val="000000"/>
                <w:szCs w:val="21"/>
              </w:rPr>
            </w:pPr>
            <w:r>
              <w:rPr>
                <w:color w:val="000000"/>
                <w:szCs w:val="21"/>
              </w:rPr>
              <w:t xml:space="preserve">0.170 </w:t>
            </w:r>
          </w:p>
        </w:tc>
        <w:tc>
          <w:tcPr>
            <w:tcW w:w="840" w:type="dxa"/>
            <w:vAlign w:val="center"/>
          </w:tcPr>
          <w:p>
            <w:pPr>
              <w:jc w:val="center"/>
              <w:rPr>
                <w:color w:val="000000"/>
                <w:szCs w:val="21"/>
              </w:rPr>
            </w:pPr>
            <w:r>
              <w:rPr>
                <w:color w:val="000000"/>
                <w:szCs w:val="21"/>
              </w:rPr>
              <w:t xml:space="preserve">3.096 </w:t>
            </w:r>
          </w:p>
        </w:tc>
        <w:tc>
          <w:tcPr>
            <w:tcW w:w="840" w:type="dxa"/>
            <w:vAlign w:val="center"/>
          </w:tcPr>
          <w:p>
            <w:pPr>
              <w:jc w:val="center"/>
              <w:rPr>
                <w:color w:val="000000"/>
                <w:szCs w:val="21"/>
              </w:rPr>
            </w:pPr>
            <w:r>
              <w:rPr>
                <w:color w:val="000000"/>
                <w:szCs w:val="21"/>
              </w:rPr>
              <w:t xml:space="preserve">1.548 </w:t>
            </w:r>
          </w:p>
        </w:tc>
        <w:tc>
          <w:tcPr>
            <w:tcW w:w="840" w:type="dxa"/>
            <w:vAlign w:val="center"/>
          </w:tcPr>
          <w:p>
            <w:pPr>
              <w:jc w:val="center"/>
              <w:rPr>
                <w:color w:val="000000"/>
                <w:szCs w:val="21"/>
              </w:rPr>
            </w:pPr>
            <w:r>
              <w:rPr>
                <w:color w:val="000000"/>
                <w:szCs w:val="21"/>
              </w:rPr>
              <w:t xml:space="preserve">0.000 </w:t>
            </w:r>
          </w:p>
        </w:tc>
        <w:tc>
          <w:tcPr>
            <w:tcW w:w="846" w:type="dxa"/>
            <w:vAlign w:val="center"/>
          </w:tcPr>
          <w:p>
            <w:pPr>
              <w:jc w:val="center"/>
              <w:rPr>
                <w:color w:val="000000"/>
                <w:szCs w:val="21"/>
              </w:rPr>
            </w:pPr>
            <w:r>
              <w:rPr>
                <w:color w:val="000000"/>
                <w:szCs w:val="21"/>
              </w:rPr>
              <w:t xml:space="preserve">-0.489 </w:t>
            </w:r>
          </w:p>
        </w:tc>
        <w:tc>
          <w:tcPr>
            <w:tcW w:w="846" w:type="dxa"/>
            <w:vAlign w:val="center"/>
          </w:tcPr>
          <w:p>
            <w:pPr>
              <w:jc w:val="center"/>
              <w:rPr>
                <w:color w:val="000000"/>
                <w:szCs w:val="21"/>
              </w:rPr>
            </w:pPr>
            <w:r>
              <w:rPr>
                <w:color w:val="000000"/>
                <w:szCs w:val="21"/>
              </w:rPr>
              <w:t xml:space="preserve">-0.978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Merge w:val="continue"/>
            <w:vAlign w:val="center"/>
          </w:tcPr>
          <w:p>
            <w:pPr>
              <w:widowControl/>
              <w:shd w:val="clear" w:color="auto" w:fill="FFFFFF"/>
              <w:jc w:val="center"/>
              <w:rPr>
                <w:kern w:val="0"/>
                <w:szCs w:val="21"/>
              </w:rPr>
            </w:pPr>
          </w:p>
        </w:tc>
        <w:tc>
          <w:tcPr>
            <w:tcW w:w="2560" w:type="dxa"/>
            <w:vAlign w:val="center"/>
          </w:tcPr>
          <w:p>
            <w:pPr>
              <w:widowControl/>
              <w:shd w:val="clear" w:color="auto" w:fill="FFFFFF"/>
              <w:ind w:left="-105" w:leftChars="-50" w:right="-105" w:rightChars="-50"/>
              <w:jc w:val="center"/>
              <w:rPr>
                <w:szCs w:val="21"/>
              </w:rPr>
            </w:pPr>
            <w:r>
              <w:rPr>
                <w:kern w:val="0"/>
                <w:szCs w:val="21"/>
              </w:rPr>
              <w:t>临汽车站距离</w:t>
            </w:r>
          </w:p>
        </w:tc>
        <w:tc>
          <w:tcPr>
            <w:tcW w:w="840" w:type="dxa"/>
            <w:vAlign w:val="center"/>
          </w:tcPr>
          <w:p>
            <w:pPr>
              <w:jc w:val="center"/>
              <w:rPr>
                <w:color w:val="000000"/>
                <w:szCs w:val="21"/>
              </w:rPr>
            </w:pPr>
            <w:r>
              <w:rPr>
                <w:color w:val="000000"/>
                <w:szCs w:val="21"/>
              </w:rPr>
              <w:t xml:space="preserve">0.051 </w:t>
            </w:r>
          </w:p>
        </w:tc>
        <w:tc>
          <w:tcPr>
            <w:tcW w:w="840" w:type="dxa"/>
            <w:vAlign w:val="center"/>
          </w:tcPr>
          <w:p>
            <w:pPr>
              <w:jc w:val="center"/>
              <w:rPr>
                <w:color w:val="000000"/>
                <w:szCs w:val="21"/>
              </w:rPr>
            </w:pPr>
            <w:r>
              <w:rPr>
                <w:color w:val="000000"/>
                <w:szCs w:val="21"/>
              </w:rPr>
              <w:t xml:space="preserve">0.929 </w:t>
            </w:r>
          </w:p>
        </w:tc>
        <w:tc>
          <w:tcPr>
            <w:tcW w:w="840" w:type="dxa"/>
            <w:vAlign w:val="center"/>
          </w:tcPr>
          <w:p>
            <w:pPr>
              <w:jc w:val="center"/>
              <w:rPr>
                <w:color w:val="000000"/>
                <w:szCs w:val="21"/>
              </w:rPr>
            </w:pPr>
            <w:r>
              <w:rPr>
                <w:color w:val="000000"/>
                <w:szCs w:val="21"/>
              </w:rPr>
              <w:t xml:space="preserve">0.464 </w:t>
            </w:r>
          </w:p>
        </w:tc>
        <w:tc>
          <w:tcPr>
            <w:tcW w:w="840" w:type="dxa"/>
            <w:vAlign w:val="center"/>
          </w:tcPr>
          <w:p>
            <w:pPr>
              <w:jc w:val="center"/>
              <w:rPr>
                <w:color w:val="000000"/>
                <w:szCs w:val="21"/>
              </w:rPr>
            </w:pPr>
            <w:r>
              <w:rPr>
                <w:color w:val="000000"/>
                <w:szCs w:val="21"/>
              </w:rPr>
              <w:t xml:space="preserve">0.000 </w:t>
            </w:r>
          </w:p>
        </w:tc>
        <w:tc>
          <w:tcPr>
            <w:tcW w:w="846" w:type="dxa"/>
            <w:vAlign w:val="center"/>
          </w:tcPr>
          <w:p>
            <w:pPr>
              <w:jc w:val="center"/>
              <w:rPr>
                <w:color w:val="000000"/>
                <w:szCs w:val="21"/>
              </w:rPr>
            </w:pPr>
            <w:r>
              <w:rPr>
                <w:color w:val="000000"/>
                <w:szCs w:val="21"/>
              </w:rPr>
              <w:t xml:space="preserve">-0.147 </w:t>
            </w:r>
          </w:p>
        </w:tc>
        <w:tc>
          <w:tcPr>
            <w:tcW w:w="846" w:type="dxa"/>
            <w:vAlign w:val="center"/>
          </w:tcPr>
          <w:p>
            <w:pPr>
              <w:jc w:val="center"/>
              <w:rPr>
                <w:color w:val="000000"/>
                <w:szCs w:val="21"/>
              </w:rPr>
            </w:pPr>
            <w:r>
              <w:rPr>
                <w:color w:val="000000"/>
                <w:szCs w:val="21"/>
              </w:rPr>
              <w:t xml:space="preserve">-0.293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Align w:val="center"/>
          </w:tcPr>
          <w:p>
            <w:pPr>
              <w:widowControl/>
              <w:shd w:val="clear" w:color="auto" w:fill="FFFFFF"/>
              <w:jc w:val="center"/>
              <w:rPr>
                <w:kern w:val="0"/>
                <w:szCs w:val="21"/>
              </w:rPr>
            </w:pPr>
            <w:r>
              <w:rPr>
                <w:kern w:val="0"/>
                <w:szCs w:val="21"/>
              </w:rPr>
              <w:t>基本设施状况</w:t>
            </w:r>
          </w:p>
        </w:tc>
        <w:tc>
          <w:tcPr>
            <w:tcW w:w="2560" w:type="dxa"/>
            <w:vAlign w:val="center"/>
          </w:tcPr>
          <w:p>
            <w:pPr>
              <w:widowControl/>
              <w:shd w:val="clear" w:color="auto" w:fill="FFFFFF"/>
              <w:jc w:val="center"/>
              <w:rPr>
                <w:kern w:val="0"/>
                <w:szCs w:val="21"/>
              </w:rPr>
            </w:pPr>
            <w:r>
              <w:rPr>
                <w:kern w:val="0"/>
                <w:szCs w:val="21"/>
              </w:rPr>
              <w:t>水电气综合保证率</w:t>
            </w:r>
          </w:p>
        </w:tc>
        <w:tc>
          <w:tcPr>
            <w:tcW w:w="840" w:type="dxa"/>
            <w:vAlign w:val="center"/>
          </w:tcPr>
          <w:p>
            <w:pPr>
              <w:jc w:val="center"/>
              <w:rPr>
                <w:color w:val="000000"/>
                <w:szCs w:val="21"/>
              </w:rPr>
            </w:pPr>
            <w:r>
              <w:rPr>
                <w:color w:val="000000"/>
                <w:szCs w:val="21"/>
              </w:rPr>
              <w:t xml:space="preserve">0.170 </w:t>
            </w:r>
          </w:p>
        </w:tc>
        <w:tc>
          <w:tcPr>
            <w:tcW w:w="840" w:type="dxa"/>
            <w:vAlign w:val="center"/>
          </w:tcPr>
          <w:p>
            <w:pPr>
              <w:jc w:val="center"/>
              <w:rPr>
                <w:color w:val="000000"/>
                <w:szCs w:val="21"/>
              </w:rPr>
            </w:pPr>
            <w:r>
              <w:rPr>
                <w:color w:val="000000"/>
                <w:szCs w:val="21"/>
              </w:rPr>
              <w:t xml:space="preserve">3.096 </w:t>
            </w:r>
          </w:p>
        </w:tc>
        <w:tc>
          <w:tcPr>
            <w:tcW w:w="840" w:type="dxa"/>
            <w:vAlign w:val="center"/>
          </w:tcPr>
          <w:p>
            <w:pPr>
              <w:jc w:val="center"/>
              <w:rPr>
                <w:color w:val="000000"/>
                <w:szCs w:val="21"/>
              </w:rPr>
            </w:pPr>
            <w:r>
              <w:rPr>
                <w:color w:val="000000"/>
                <w:szCs w:val="21"/>
              </w:rPr>
              <w:t xml:space="preserve">1.548 </w:t>
            </w:r>
          </w:p>
        </w:tc>
        <w:tc>
          <w:tcPr>
            <w:tcW w:w="840" w:type="dxa"/>
            <w:vAlign w:val="center"/>
          </w:tcPr>
          <w:p>
            <w:pPr>
              <w:jc w:val="center"/>
              <w:rPr>
                <w:color w:val="000000"/>
                <w:szCs w:val="21"/>
              </w:rPr>
            </w:pPr>
            <w:r>
              <w:rPr>
                <w:color w:val="000000"/>
                <w:szCs w:val="21"/>
              </w:rPr>
              <w:t xml:space="preserve">0.000 </w:t>
            </w:r>
          </w:p>
        </w:tc>
        <w:tc>
          <w:tcPr>
            <w:tcW w:w="846" w:type="dxa"/>
            <w:vAlign w:val="center"/>
          </w:tcPr>
          <w:p>
            <w:pPr>
              <w:jc w:val="center"/>
              <w:rPr>
                <w:color w:val="000000"/>
                <w:szCs w:val="21"/>
              </w:rPr>
            </w:pPr>
            <w:r>
              <w:rPr>
                <w:color w:val="000000"/>
                <w:szCs w:val="21"/>
              </w:rPr>
              <w:t xml:space="preserve">-0.489 </w:t>
            </w:r>
          </w:p>
        </w:tc>
        <w:tc>
          <w:tcPr>
            <w:tcW w:w="846" w:type="dxa"/>
            <w:vAlign w:val="center"/>
          </w:tcPr>
          <w:p>
            <w:pPr>
              <w:jc w:val="center"/>
              <w:rPr>
                <w:color w:val="000000"/>
                <w:szCs w:val="21"/>
              </w:rPr>
            </w:pPr>
            <w:r>
              <w:rPr>
                <w:color w:val="000000"/>
                <w:szCs w:val="21"/>
              </w:rPr>
              <w:t xml:space="preserve">-0.978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Align w:val="center"/>
          </w:tcPr>
          <w:p>
            <w:pPr>
              <w:jc w:val="center"/>
              <w:rPr>
                <w:color w:val="000000"/>
                <w:szCs w:val="21"/>
              </w:rPr>
            </w:pPr>
            <w:r>
              <w:rPr>
                <w:color w:val="000000"/>
                <w:szCs w:val="21"/>
              </w:rPr>
              <w:t>人口状况</w:t>
            </w:r>
          </w:p>
        </w:tc>
        <w:tc>
          <w:tcPr>
            <w:tcW w:w="2560" w:type="dxa"/>
            <w:vAlign w:val="center"/>
          </w:tcPr>
          <w:p>
            <w:pPr>
              <w:jc w:val="center"/>
              <w:rPr>
                <w:color w:val="000000"/>
                <w:szCs w:val="21"/>
              </w:rPr>
            </w:pPr>
            <w:r>
              <w:rPr>
                <w:color w:val="000000"/>
                <w:szCs w:val="21"/>
              </w:rPr>
              <w:t>人口密度</w:t>
            </w:r>
          </w:p>
        </w:tc>
        <w:tc>
          <w:tcPr>
            <w:tcW w:w="840" w:type="dxa"/>
            <w:vAlign w:val="center"/>
          </w:tcPr>
          <w:p>
            <w:pPr>
              <w:jc w:val="center"/>
              <w:rPr>
                <w:color w:val="000000"/>
                <w:szCs w:val="21"/>
              </w:rPr>
            </w:pPr>
            <w:r>
              <w:rPr>
                <w:color w:val="000000"/>
                <w:szCs w:val="21"/>
              </w:rPr>
              <w:t xml:space="preserve">0.160 </w:t>
            </w:r>
          </w:p>
        </w:tc>
        <w:tc>
          <w:tcPr>
            <w:tcW w:w="840" w:type="dxa"/>
            <w:vAlign w:val="center"/>
          </w:tcPr>
          <w:p>
            <w:pPr>
              <w:jc w:val="center"/>
              <w:rPr>
                <w:color w:val="000000"/>
                <w:szCs w:val="21"/>
              </w:rPr>
            </w:pPr>
            <w:r>
              <w:rPr>
                <w:color w:val="000000"/>
                <w:szCs w:val="21"/>
              </w:rPr>
              <w:t xml:space="preserve">2.914 </w:t>
            </w:r>
          </w:p>
        </w:tc>
        <w:tc>
          <w:tcPr>
            <w:tcW w:w="840" w:type="dxa"/>
            <w:vAlign w:val="center"/>
          </w:tcPr>
          <w:p>
            <w:pPr>
              <w:jc w:val="center"/>
              <w:rPr>
                <w:color w:val="000000"/>
                <w:szCs w:val="21"/>
              </w:rPr>
            </w:pPr>
            <w:r>
              <w:rPr>
                <w:color w:val="000000"/>
                <w:szCs w:val="21"/>
              </w:rPr>
              <w:t xml:space="preserve">1.457 </w:t>
            </w:r>
          </w:p>
        </w:tc>
        <w:tc>
          <w:tcPr>
            <w:tcW w:w="840" w:type="dxa"/>
            <w:vAlign w:val="center"/>
          </w:tcPr>
          <w:p>
            <w:pPr>
              <w:jc w:val="center"/>
              <w:rPr>
                <w:color w:val="000000"/>
                <w:szCs w:val="21"/>
              </w:rPr>
            </w:pPr>
            <w:r>
              <w:rPr>
                <w:color w:val="000000"/>
                <w:szCs w:val="21"/>
              </w:rPr>
              <w:t xml:space="preserve">0.000 </w:t>
            </w:r>
          </w:p>
        </w:tc>
        <w:tc>
          <w:tcPr>
            <w:tcW w:w="846" w:type="dxa"/>
            <w:vAlign w:val="center"/>
          </w:tcPr>
          <w:p>
            <w:pPr>
              <w:jc w:val="center"/>
              <w:rPr>
                <w:color w:val="000000"/>
                <w:szCs w:val="21"/>
              </w:rPr>
            </w:pPr>
            <w:r>
              <w:rPr>
                <w:color w:val="000000"/>
                <w:szCs w:val="21"/>
              </w:rPr>
              <w:t xml:space="preserve">-0.460 </w:t>
            </w:r>
          </w:p>
        </w:tc>
        <w:tc>
          <w:tcPr>
            <w:tcW w:w="846" w:type="dxa"/>
            <w:vAlign w:val="center"/>
          </w:tcPr>
          <w:p>
            <w:pPr>
              <w:jc w:val="center"/>
              <w:rPr>
                <w:color w:val="000000"/>
                <w:szCs w:val="21"/>
              </w:rPr>
            </w:pPr>
            <w:r>
              <w:rPr>
                <w:color w:val="000000"/>
                <w:szCs w:val="21"/>
              </w:rPr>
              <w:t xml:space="preserve">-0.920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Merge w:val="restart"/>
            <w:vAlign w:val="center"/>
          </w:tcPr>
          <w:p>
            <w:pPr>
              <w:widowControl/>
              <w:shd w:val="clear" w:color="auto" w:fill="FFFFFF"/>
              <w:jc w:val="center"/>
              <w:rPr>
                <w:kern w:val="0"/>
                <w:szCs w:val="21"/>
              </w:rPr>
            </w:pPr>
            <w:r>
              <w:rPr>
                <w:kern w:val="0"/>
                <w:szCs w:val="21"/>
              </w:rPr>
              <w:t>环境条件</w:t>
            </w:r>
          </w:p>
        </w:tc>
        <w:tc>
          <w:tcPr>
            <w:tcW w:w="2560" w:type="dxa"/>
            <w:vAlign w:val="center"/>
          </w:tcPr>
          <w:p>
            <w:pPr>
              <w:widowControl/>
              <w:shd w:val="clear" w:color="auto" w:fill="FFFFFF"/>
              <w:jc w:val="center"/>
              <w:rPr>
                <w:kern w:val="0"/>
                <w:szCs w:val="21"/>
              </w:rPr>
            </w:pPr>
            <w:r>
              <w:rPr>
                <w:kern w:val="0"/>
                <w:szCs w:val="21"/>
              </w:rPr>
              <w:t>大气污染状况</w:t>
            </w:r>
          </w:p>
        </w:tc>
        <w:tc>
          <w:tcPr>
            <w:tcW w:w="840" w:type="dxa"/>
            <w:vAlign w:val="center"/>
          </w:tcPr>
          <w:p>
            <w:pPr>
              <w:jc w:val="center"/>
              <w:rPr>
                <w:color w:val="000000"/>
                <w:szCs w:val="21"/>
              </w:rPr>
            </w:pPr>
            <w:r>
              <w:rPr>
                <w:color w:val="000000"/>
                <w:szCs w:val="21"/>
              </w:rPr>
              <w:t xml:space="preserve">0.063 </w:t>
            </w:r>
          </w:p>
        </w:tc>
        <w:tc>
          <w:tcPr>
            <w:tcW w:w="840" w:type="dxa"/>
            <w:vAlign w:val="center"/>
          </w:tcPr>
          <w:p>
            <w:pPr>
              <w:jc w:val="center"/>
              <w:rPr>
                <w:color w:val="000000"/>
                <w:szCs w:val="21"/>
              </w:rPr>
            </w:pPr>
            <w:r>
              <w:rPr>
                <w:color w:val="000000"/>
                <w:szCs w:val="21"/>
              </w:rPr>
              <w:t xml:space="preserve">1.147 </w:t>
            </w:r>
          </w:p>
        </w:tc>
        <w:tc>
          <w:tcPr>
            <w:tcW w:w="840" w:type="dxa"/>
            <w:vAlign w:val="center"/>
          </w:tcPr>
          <w:p>
            <w:pPr>
              <w:jc w:val="center"/>
              <w:rPr>
                <w:color w:val="000000"/>
                <w:szCs w:val="21"/>
              </w:rPr>
            </w:pPr>
            <w:r>
              <w:rPr>
                <w:color w:val="000000"/>
                <w:szCs w:val="21"/>
              </w:rPr>
              <w:t xml:space="preserve">0.574 </w:t>
            </w:r>
          </w:p>
        </w:tc>
        <w:tc>
          <w:tcPr>
            <w:tcW w:w="840" w:type="dxa"/>
            <w:vAlign w:val="center"/>
          </w:tcPr>
          <w:p>
            <w:pPr>
              <w:jc w:val="center"/>
              <w:rPr>
                <w:color w:val="000000"/>
                <w:szCs w:val="21"/>
              </w:rPr>
            </w:pPr>
            <w:r>
              <w:rPr>
                <w:color w:val="000000"/>
                <w:szCs w:val="21"/>
              </w:rPr>
              <w:t xml:space="preserve">0.000 </w:t>
            </w:r>
          </w:p>
        </w:tc>
        <w:tc>
          <w:tcPr>
            <w:tcW w:w="846" w:type="dxa"/>
            <w:vAlign w:val="center"/>
          </w:tcPr>
          <w:p>
            <w:pPr>
              <w:jc w:val="center"/>
              <w:rPr>
                <w:color w:val="000000"/>
                <w:szCs w:val="21"/>
              </w:rPr>
            </w:pPr>
            <w:r>
              <w:rPr>
                <w:color w:val="000000"/>
                <w:szCs w:val="21"/>
              </w:rPr>
              <w:t xml:space="preserve">-0.181 </w:t>
            </w:r>
          </w:p>
        </w:tc>
        <w:tc>
          <w:tcPr>
            <w:tcW w:w="846" w:type="dxa"/>
            <w:vAlign w:val="center"/>
          </w:tcPr>
          <w:p>
            <w:pPr>
              <w:jc w:val="center"/>
              <w:rPr>
                <w:color w:val="000000"/>
                <w:szCs w:val="21"/>
              </w:rPr>
            </w:pPr>
            <w:r>
              <w:rPr>
                <w:color w:val="000000"/>
                <w:szCs w:val="21"/>
              </w:rPr>
              <w:t xml:space="preserve">-0.362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Merge w:val="continue"/>
            <w:vAlign w:val="center"/>
          </w:tcPr>
          <w:p>
            <w:pPr>
              <w:widowControl/>
              <w:shd w:val="clear" w:color="auto" w:fill="FFFFFF"/>
              <w:jc w:val="center"/>
              <w:rPr>
                <w:kern w:val="0"/>
                <w:szCs w:val="21"/>
              </w:rPr>
            </w:pPr>
          </w:p>
        </w:tc>
        <w:tc>
          <w:tcPr>
            <w:tcW w:w="2560" w:type="dxa"/>
            <w:vAlign w:val="center"/>
          </w:tcPr>
          <w:p>
            <w:pPr>
              <w:shd w:val="clear" w:color="auto" w:fill="FFFFFF"/>
              <w:jc w:val="center"/>
              <w:rPr>
                <w:kern w:val="0"/>
                <w:szCs w:val="21"/>
              </w:rPr>
            </w:pPr>
            <w:r>
              <w:rPr>
                <w:szCs w:val="21"/>
              </w:rPr>
              <w:t>噪音污染状况</w:t>
            </w:r>
          </w:p>
        </w:tc>
        <w:tc>
          <w:tcPr>
            <w:tcW w:w="840" w:type="dxa"/>
            <w:vAlign w:val="center"/>
          </w:tcPr>
          <w:p>
            <w:pPr>
              <w:jc w:val="center"/>
              <w:rPr>
                <w:color w:val="000000"/>
                <w:szCs w:val="21"/>
              </w:rPr>
            </w:pPr>
            <w:r>
              <w:rPr>
                <w:color w:val="000000"/>
                <w:szCs w:val="21"/>
              </w:rPr>
              <w:t xml:space="preserve">0.072 </w:t>
            </w:r>
          </w:p>
        </w:tc>
        <w:tc>
          <w:tcPr>
            <w:tcW w:w="840" w:type="dxa"/>
            <w:vAlign w:val="center"/>
          </w:tcPr>
          <w:p>
            <w:pPr>
              <w:jc w:val="center"/>
              <w:rPr>
                <w:color w:val="000000"/>
                <w:szCs w:val="21"/>
              </w:rPr>
            </w:pPr>
            <w:r>
              <w:rPr>
                <w:color w:val="000000"/>
                <w:szCs w:val="21"/>
              </w:rPr>
              <w:t xml:space="preserve">1.311 </w:t>
            </w:r>
          </w:p>
        </w:tc>
        <w:tc>
          <w:tcPr>
            <w:tcW w:w="840" w:type="dxa"/>
            <w:vAlign w:val="center"/>
          </w:tcPr>
          <w:p>
            <w:pPr>
              <w:jc w:val="center"/>
              <w:rPr>
                <w:color w:val="000000"/>
                <w:szCs w:val="21"/>
              </w:rPr>
            </w:pPr>
            <w:r>
              <w:rPr>
                <w:color w:val="000000"/>
                <w:szCs w:val="21"/>
              </w:rPr>
              <w:t xml:space="preserve">0.656 </w:t>
            </w:r>
          </w:p>
        </w:tc>
        <w:tc>
          <w:tcPr>
            <w:tcW w:w="840" w:type="dxa"/>
            <w:vAlign w:val="center"/>
          </w:tcPr>
          <w:p>
            <w:pPr>
              <w:jc w:val="center"/>
              <w:rPr>
                <w:color w:val="000000"/>
                <w:szCs w:val="21"/>
              </w:rPr>
            </w:pPr>
            <w:r>
              <w:rPr>
                <w:color w:val="000000"/>
                <w:szCs w:val="21"/>
              </w:rPr>
              <w:t xml:space="preserve">0.000 </w:t>
            </w:r>
          </w:p>
        </w:tc>
        <w:tc>
          <w:tcPr>
            <w:tcW w:w="846" w:type="dxa"/>
            <w:vAlign w:val="center"/>
          </w:tcPr>
          <w:p>
            <w:pPr>
              <w:jc w:val="center"/>
              <w:rPr>
                <w:color w:val="000000"/>
                <w:szCs w:val="21"/>
              </w:rPr>
            </w:pPr>
            <w:r>
              <w:rPr>
                <w:color w:val="000000"/>
                <w:szCs w:val="21"/>
              </w:rPr>
              <w:t xml:space="preserve">-0.207 </w:t>
            </w:r>
          </w:p>
        </w:tc>
        <w:tc>
          <w:tcPr>
            <w:tcW w:w="846" w:type="dxa"/>
            <w:vAlign w:val="center"/>
          </w:tcPr>
          <w:p>
            <w:pPr>
              <w:jc w:val="center"/>
              <w:rPr>
                <w:color w:val="000000"/>
                <w:szCs w:val="21"/>
              </w:rPr>
            </w:pPr>
            <w:r>
              <w:rPr>
                <w:color w:val="000000"/>
                <w:szCs w:val="21"/>
              </w:rPr>
              <w:t xml:space="preserve">-0.414 </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表5-4-1</w:t>
      </w:r>
      <w:r>
        <w:rPr>
          <w:rFonts w:hint="eastAsia" w:ascii="Times New Roman" w:hAnsi="Times New Roman"/>
          <w:sz w:val="24"/>
          <w:szCs w:val="24"/>
        </w:rPr>
        <w:t>6</w:t>
      </w:r>
      <w:r>
        <w:rPr>
          <w:rFonts w:ascii="Times New Roman" w:hAnsi="Times New Roman"/>
          <w:sz w:val="24"/>
          <w:szCs w:val="24"/>
        </w:rPr>
        <w:t xml:space="preserve">  长沙县乡镇Ⅰ级商服用地宗地地价区域因素修正系数指标说明表</w:t>
      </w:r>
    </w:p>
    <w:tbl>
      <w:tblPr>
        <w:tblW w:w="93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09"/>
        <w:gridCol w:w="2367"/>
        <w:gridCol w:w="1013"/>
        <w:gridCol w:w="1161"/>
        <w:gridCol w:w="1161"/>
        <w:gridCol w:w="1161"/>
        <w:gridCol w:w="9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tblHeader/>
          <w:jc w:val="center"/>
        </w:trPr>
        <w:tc>
          <w:tcPr>
            <w:tcW w:w="150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因素</w:t>
            </w:r>
          </w:p>
        </w:tc>
        <w:tc>
          <w:tcPr>
            <w:tcW w:w="2367" w:type="dxa"/>
            <w:tcBorders>
              <w:top w:val="single" w:color="auto" w:sz="4" w:space="0"/>
              <w:left w:val="nil"/>
              <w:bottom w:val="single" w:color="auto" w:sz="4" w:space="0"/>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因子</w:t>
            </w:r>
          </w:p>
        </w:tc>
        <w:tc>
          <w:tcPr>
            <w:tcW w:w="1013" w:type="dxa"/>
            <w:tcBorders>
              <w:top w:val="single" w:color="auto" w:sz="4" w:space="0"/>
              <w:left w:val="nil"/>
              <w:bottom w:val="nil"/>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优</w:t>
            </w:r>
          </w:p>
        </w:tc>
        <w:tc>
          <w:tcPr>
            <w:tcW w:w="1161" w:type="dxa"/>
            <w:tcBorders>
              <w:top w:val="single" w:color="auto" w:sz="4" w:space="0"/>
              <w:left w:val="nil"/>
              <w:bottom w:val="nil"/>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较优</w:t>
            </w:r>
          </w:p>
        </w:tc>
        <w:tc>
          <w:tcPr>
            <w:tcW w:w="1161" w:type="dxa"/>
            <w:tcBorders>
              <w:top w:val="single" w:color="auto" w:sz="4" w:space="0"/>
              <w:left w:val="nil"/>
              <w:bottom w:val="nil"/>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一般</w:t>
            </w:r>
          </w:p>
        </w:tc>
        <w:tc>
          <w:tcPr>
            <w:tcW w:w="1161" w:type="dxa"/>
            <w:tcBorders>
              <w:top w:val="single" w:color="auto" w:sz="4" w:space="0"/>
              <w:left w:val="nil"/>
              <w:bottom w:val="nil"/>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较劣</w:t>
            </w:r>
          </w:p>
        </w:tc>
        <w:tc>
          <w:tcPr>
            <w:tcW w:w="938" w:type="dxa"/>
            <w:tcBorders>
              <w:top w:val="single" w:color="auto" w:sz="4" w:space="0"/>
              <w:left w:val="nil"/>
              <w:bottom w:val="nil"/>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tcBorders>
              <w:top w:val="nil"/>
              <w:left w:val="single" w:color="auto" w:sz="4" w:space="0"/>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商服繁华度</w:t>
            </w:r>
          </w:p>
        </w:tc>
        <w:tc>
          <w:tcPr>
            <w:tcW w:w="2367" w:type="dxa"/>
            <w:tcBorders>
              <w:top w:val="nil"/>
              <w:left w:val="nil"/>
              <w:bottom w:val="single" w:color="auto" w:sz="4" w:space="0"/>
              <w:right w:val="nil"/>
            </w:tcBorders>
            <w:vAlign w:val="center"/>
          </w:tcPr>
          <w:p>
            <w:pPr>
              <w:shd w:val="clear" w:color="auto" w:fill="FFFFFF"/>
              <w:spacing w:line="280" w:lineRule="exact"/>
              <w:ind w:left="-105" w:leftChars="-50" w:right="-105" w:rightChars="-50"/>
              <w:jc w:val="center"/>
              <w:rPr>
                <w:szCs w:val="21"/>
              </w:rPr>
            </w:pPr>
            <w:r>
              <w:rPr>
                <w:szCs w:val="21"/>
              </w:rPr>
              <w:t>距商服中心距离（m）</w:t>
            </w:r>
          </w:p>
        </w:tc>
        <w:tc>
          <w:tcPr>
            <w:tcW w:w="1013" w:type="dxa"/>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szCs w:val="21"/>
              </w:rPr>
            </w:pPr>
            <w:r>
              <w:rPr>
                <w:szCs w:val="21"/>
              </w:rPr>
              <w:t>≤50</w:t>
            </w:r>
          </w:p>
        </w:tc>
        <w:tc>
          <w:tcPr>
            <w:tcW w:w="1161" w:type="dxa"/>
            <w:tcBorders>
              <w:top w:val="single" w:color="auto" w:sz="4" w:space="0"/>
              <w:left w:val="nil"/>
              <w:bottom w:val="single" w:color="auto" w:sz="4" w:space="0"/>
              <w:right w:val="single" w:color="auto" w:sz="4" w:space="0"/>
            </w:tcBorders>
            <w:vAlign w:val="center"/>
          </w:tcPr>
          <w:p>
            <w:pPr>
              <w:shd w:val="clear" w:color="auto" w:fill="FFFFFF"/>
              <w:jc w:val="center"/>
              <w:rPr>
                <w:szCs w:val="21"/>
              </w:rPr>
            </w:pPr>
            <w:r>
              <w:rPr>
                <w:szCs w:val="21"/>
              </w:rPr>
              <w:t>50-100</w:t>
            </w:r>
          </w:p>
        </w:tc>
        <w:tc>
          <w:tcPr>
            <w:tcW w:w="1161" w:type="dxa"/>
            <w:tcBorders>
              <w:top w:val="single" w:color="auto" w:sz="4" w:space="0"/>
              <w:left w:val="nil"/>
              <w:bottom w:val="single" w:color="auto" w:sz="4" w:space="0"/>
              <w:right w:val="single" w:color="auto" w:sz="4" w:space="0"/>
            </w:tcBorders>
            <w:vAlign w:val="center"/>
          </w:tcPr>
          <w:p>
            <w:pPr>
              <w:shd w:val="clear" w:color="auto" w:fill="FFFFFF"/>
              <w:jc w:val="center"/>
              <w:rPr>
                <w:szCs w:val="21"/>
              </w:rPr>
            </w:pPr>
            <w:r>
              <w:rPr>
                <w:szCs w:val="21"/>
              </w:rPr>
              <w:t>100-150</w:t>
            </w:r>
          </w:p>
        </w:tc>
        <w:tc>
          <w:tcPr>
            <w:tcW w:w="1161" w:type="dxa"/>
            <w:tcBorders>
              <w:top w:val="single" w:color="auto" w:sz="4" w:space="0"/>
              <w:left w:val="nil"/>
              <w:bottom w:val="single" w:color="auto" w:sz="4" w:space="0"/>
              <w:right w:val="single" w:color="auto" w:sz="4" w:space="0"/>
            </w:tcBorders>
            <w:vAlign w:val="center"/>
          </w:tcPr>
          <w:p>
            <w:pPr>
              <w:shd w:val="clear" w:color="auto" w:fill="FFFFFF"/>
              <w:jc w:val="center"/>
              <w:rPr>
                <w:szCs w:val="21"/>
              </w:rPr>
            </w:pPr>
            <w:r>
              <w:rPr>
                <w:szCs w:val="21"/>
              </w:rPr>
              <w:t>150-300</w:t>
            </w:r>
          </w:p>
        </w:tc>
        <w:tc>
          <w:tcPr>
            <w:tcW w:w="938" w:type="dxa"/>
            <w:tcBorders>
              <w:top w:val="single" w:color="auto" w:sz="4" w:space="0"/>
              <w:left w:val="nil"/>
              <w:bottom w:val="single" w:color="auto" w:sz="4" w:space="0"/>
              <w:right w:val="single" w:color="auto" w:sz="4" w:space="0"/>
            </w:tcBorders>
            <w:vAlign w:val="center"/>
          </w:tcPr>
          <w:p>
            <w:pPr>
              <w:shd w:val="clear" w:color="auto" w:fill="FFFFFF"/>
              <w:jc w:val="center"/>
              <w:rPr>
                <w:szCs w:val="21"/>
              </w:rPr>
            </w:pPr>
            <w:r>
              <w:rPr>
                <w:szCs w:val="21"/>
              </w:rPr>
              <w:t>&gt;300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vMerge w:val="restart"/>
            <w:tcBorders>
              <w:top w:val="nil"/>
              <w:left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kern w:val="0"/>
                <w:szCs w:val="21"/>
              </w:rPr>
              <w:t>交通条件</w:t>
            </w:r>
          </w:p>
        </w:tc>
        <w:tc>
          <w:tcPr>
            <w:tcW w:w="2367" w:type="dxa"/>
            <w:tcBorders>
              <w:top w:val="nil"/>
              <w:left w:val="nil"/>
              <w:bottom w:val="nil"/>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临街道路状况</w:t>
            </w:r>
          </w:p>
        </w:tc>
        <w:tc>
          <w:tcPr>
            <w:tcW w:w="1013" w:type="dxa"/>
            <w:tcBorders>
              <w:top w:val="nil"/>
              <w:left w:val="nil"/>
              <w:bottom w:val="single" w:color="auto" w:sz="4" w:space="0"/>
              <w:right w:val="single" w:color="auto" w:sz="4" w:space="0"/>
            </w:tcBorders>
            <w:vAlign w:val="center"/>
          </w:tcPr>
          <w:p>
            <w:pPr>
              <w:shd w:val="clear" w:color="auto" w:fill="FFFFFF"/>
              <w:spacing w:line="280" w:lineRule="exact"/>
              <w:ind w:right="-105" w:rightChars="-50"/>
              <w:jc w:val="center"/>
              <w:rPr>
                <w:szCs w:val="21"/>
              </w:rPr>
            </w:pPr>
            <w:r>
              <w:rPr>
                <w:szCs w:val="21"/>
              </w:rPr>
              <w:t>主要</w:t>
            </w:r>
          </w:p>
          <w:p>
            <w:pPr>
              <w:shd w:val="clear" w:color="auto" w:fill="FFFFFF"/>
              <w:spacing w:line="280" w:lineRule="exact"/>
              <w:ind w:right="-105" w:rightChars="-50"/>
              <w:jc w:val="center"/>
              <w:rPr>
                <w:szCs w:val="21"/>
              </w:rPr>
            </w:pPr>
            <w:r>
              <w:rPr>
                <w:szCs w:val="21"/>
              </w:rPr>
              <w:t>主干道</w:t>
            </w:r>
          </w:p>
        </w:tc>
        <w:tc>
          <w:tcPr>
            <w:tcW w:w="1161" w:type="dxa"/>
            <w:tcBorders>
              <w:top w:val="nil"/>
              <w:left w:val="nil"/>
              <w:bottom w:val="single" w:color="auto" w:sz="4" w:space="0"/>
              <w:right w:val="single" w:color="auto" w:sz="4" w:space="0"/>
            </w:tcBorders>
            <w:vAlign w:val="center"/>
          </w:tcPr>
          <w:p>
            <w:pPr>
              <w:shd w:val="clear" w:color="auto" w:fill="FFFFFF"/>
              <w:spacing w:line="280" w:lineRule="exact"/>
              <w:ind w:right="-105" w:rightChars="-50"/>
              <w:jc w:val="center"/>
              <w:rPr>
                <w:szCs w:val="21"/>
              </w:rPr>
            </w:pPr>
            <w:r>
              <w:rPr>
                <w:szCs w:val="21"/>
              </w:rPr>
              <w:t>一般</w:t>
            </w:r>
          </w:p>
          <w:p>
            <w:pPr>
              <w:shd w:val="clear" w:color="auto" w:fill="FFFFFF"/>
              <w:spacing w:line="280" w:lineRule="exact"/>
              <w:ind w:right="-105" w:rightChars="-50"/>
              <w:jc w:val="center"/>
              <w:rPr>
                <w:szCs w:val="21"/>
              </w:rPr>
            </w:pPr>
            <w:r>
              <w:rPr>
                <w:szCs w:val="21"/>
              </w:rPr>
              <w:t>主干道</w:t>
            </w:r>
          </w:p>
        </w:tc>
        <w:tc>
          <w:tcPr>
            <w:tcW w:w="1161" w:type="dxa"/>
            <w:tcBorders>
              <w:top w:val="nil"/>
              <w:left w:val="nil"/>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次干道</w:t>
            </w:r>
          </w:p>
        </w:tc>
        <w:tc>
          <w:tcPr>
            <w:tcW w:w="1161" w:type="dxa"/>
            <w:tcBorders>
              <w:top w:val="nil"/>
              <w:left w:val="nil"/>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支路</w:t>
            </w:r>
          </w:p>
        </w:tc>
        <w:tc>
          <w:tcPr>
            <w:tcW w:w="938" w:type="dxa"/>
            <w:tcBorders>
              <w:top w:val="nil"/>
              <w:left w:val="nil"/>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巷道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vMerge w:val="continue"/>
            <w:tcBorders>
              <w:left w:val="single" w:color="auto" w:sz="4" w:space="0"/>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p>
        </w:tc>
        <w:tc>
          <w:tcPr>
            <w:tcW w:w="2367" w:type="dxa"/>
            <w:tcBorders>
              <w:top w:val="single" w:color="auto" w:sz="4" w:space="0"/>
              <w:left w:val="nil"/>
              <w:bottom w:val="nil"/>
              <w:right w:val="single" w:color="auto" w:sz="4" w:space="0"/>
            </w:tcBorders>
            <w:vAlign w:val="center"/>
          </w:tcPr>
          <w:p>
            <w:pPr>
              <w:shd w:val="clear" w:color="auto" w:fill="FFFFFF"/>
              <w:spacing w:line="280" w:lineRule="exact"/>
              <w:ind w:left="-105" w:leftChars="-50" w:right="-105" w:rightChars="-50"/>
              <w:jc w:val="center"/>
              <w:rPr>
                <w:szCs w:val="21"/>
              </w:rPr>
            </w:pPr>
            <w:r>
              <w:rPr>
                <w:kern w:val="0"/>
                <w:szCs w:val="21"/>
              </w:rPr>
              <w:t>临</w:t>
            </w:r>
            <w:r>
              <w:rPr>
                <w:szCs w:val="21"/>
              </w:rPr>
              <w:t>汽车站距离（m）</w:t>
            </w:r>
          </w:p>
        </w:tc>
        <w:tc>
          <w:tcPr>
            <w:tcW w:w="1013" w:type="dxa"/>
            <w:tcBorders>
              <w:top w:val="nil"/>
              <w:left w:val="nil"/>
              <w:bottom w:val="single" w:color="auto" w:sz="4" w:space="0"/>
              <w:right w:val="single" w:color="auto" w:sz="4" w:space="0"/>
            </w:tcBorders>
            <w:vAlign w:val="center"/>
          </w:tcPr>
          <w:p>
            <w:pPr>
              <w:shd w:val="clear" w:color="auto" w:fill="FFFFFF"/>
              <w:jc w:val="center"/>
              <w:rPr>
                <w:szCs w:val="21"/>
              </w:rPr>
            </w:pPr>
            <w:r>
              <w:rPr>
                <w:szCs w:val="21"/>
              </w:rPr>
              <w:t>≤200</w:t>
            </w:r>
          </w:p>
        </w:tc>
        <w:tc>
          <w:tcPr>
            <w:tcW w:w="1161" w:type="dxa"/>
            <w:tcBorders>
              <w:top w:val="nil"/>
              <w:left w:val="nil"/>
              <w:bottom w:val="single" w:color="auto" w:sz="4" w:space="0"/>
              <w:right w:val="single" w:color="auto" w:sz="4" w:space="0"/>
            </w:tcBorders>
            <w:vAlign w:val="center"/>
          </w:tcPr>
          <w:p>
            <w:pPr>
              <w:shd w:val="clear" w:color="auto" w:fill="FFFFFF"/>
              <w:jc w:val="center"/>
              <w:rPr>
                <w:szCs w:val="21"/>
              </w:rPr>
            </w:pPr>
            <w:r>
              <w:rPr>
                <w:szCs w:val="21"/>
              </w:rPr>
              <w:t>200-300</w:t>
            </w:r>
          </w:p>
        </w:tc>
        <w:tc>
          <w:tcPr>
            <w:tcW w:w="1161" w:type="dxa"/>
            <w:tcBorders>
              <w:top w:val="nil"/>
              <w:left w:val="nil"/>
              <w:bottom w:val="single" w:color="auto" w:sz="4" w:space="0"/>
              <w:right w:val="single" w:color="auto" w:sz="4" w:space="0"/>
            </w:tcBorders>
            <w:vAlign w:val="center"/>
          </w:tcPr>
          <w:p>
            <w:pPr>
              <w:shd w:val="clear" w:color="auto" w:fill="FFFFFF"/>
              <w:jc w:val="center"/>
              <w:rPr>
                <w:szCs w:val="21"/>
              </w:rPr>
            </w:pPr>
            <w:r>
              <w:rPr>
                <w:szCs w:val="21"/>
              </w:rPr>
              <w:t>300-400</w:t>
            </w:r>
          </w:p>
        </w:tc>
        <w:tc>
          <w:tcPr>
            <w:tcW w:w="1161" w:type="dxa"/>
            <w:tcBorders>
              <w:top w:val="nil"/>
              <w:left w:val="nil"/>
              <w:bottom w:val="single" w:color="auto" w:sz="4" w:space="0"/>
              <w:right w:val="single" w:color="auto" w:sz="4" w:space="0"/>
            </w:tcBorders>
            <w:vAlign w:val="center"/>
          </w:tcPr>
          <w:p>
            <w:pPr>
              <w:shd w:val="clear" w:color="auto" w:fill="FFFFFF"/>
              <w:jc w:val="center"/>
              <w:rPr>
                <w:szCs w:val="21"/>
              </w:rPr>
            </w:pPr>
            <w:r>
              <w:rPr>
                <w:szCs w:val="21"/>
              </w:rPr>
              <w:t>400-500</w:t>
            </w:r>
          </w:p>
        </w:tc>
        <w:tc>
          <w:tcPr>
            <w:tcW w:w="938" w:type="dxa"/>
            <w:tcBorders>
              <w:top w:val="nil"/>
              <w:left w:val="nil"/>
              <w:bottom w:val="single" w:color="auto" w:sz="4" w:space="0"/>
              <w:right w:val="single" w:color="auto" w:sz="4" w:space="0"/>
            </w:tcBorders>
            <w:vAlign w:val="center"/>
          </w:tcPr>
          <w:p>
            <w:pPr>
              <w:shd w:val="clear" w:color="auto" w:fill="FFFFFF"/>
              <w:jc w:val="center"/>
              <w:rPr>
                <w:szCs w:val="21"/>
              </w:rPr>
            </w:pPr>
            <w:r>
              <w:rPr>
                <w:szCs w:val="21"/>
              </w:rPr>
              <w:t>&gt;500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tcBorders>
              <w:top w:val="nil"/>
              <w:left w:val="single" w:color="auto" w:sz="4" w:space="0"/>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基本设施状况</w:t>
            </w:r>
          </w:p>
        </w:tc>
        <w:tc>
          <w:tcPr>
            <w:tcW w:w="2367" w:type="dxa"/>
            <w:tcBorders>
              <w:top w:val="single" w:color="auto" w:sz="4" w:space="0"/>
              <w:left w:val="nil"/>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水电气综合保证率</w:t>
            </w:r>
          </w:p>
        </w:tc>
        <w:tc>
          <w:tcPr>
            <w:tcW w:w="1013" w:type="dxa"/>
            <w:tcBorders>
              <w:top w:val="nil"/>
              <w:left w:val="nil"/>
              <w:bottom w:val="nil"/>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90-100%</w:t>
            </w:r>
          </w:p>
        </w:tc>
        <w:tc>
          <w:tcPr>
            <w:tcW w:w="1161" w:type="dxa"/>
            <w:tcBorders>
              <w:top w:val="nil"/>
              <w:left w:val="nil"/>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80-90%</w:t>
            </w:r>
          </w:p>
        </w:tc>
        <w:tc>
          <w:tcPr>
            <w:tcW w:w="1161" w:type="dxa"/>
            <w:tcBorders>
              <w:top w:val="nil"/>
              <w:left w:val="nil"/>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70-79%</w:t>
            </w:r>
          </w:p>
        </w:tc>
        <w:tc>
          <w:tcPr>
            <w:tcW w:w="1161" w:type="dxa"/>
            <w:tcBorders>
              <w:top w:val="nil"/>
              <w:left w:val="nil"/>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60-70%</w:t>
            </w:r>
          </w:p>
        </w:tc>
        <w:tc>
          <w:tcPr>
            <w:tcW w:w="938" w:type="dxa"/>
            <w:tcBorders>
              <w:top w:val="nil"/>
              <w:left w:val="nil"/>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color w:val="000000"/>
                <w:szCs w:val="21"/>
              </w:rPr>
              <w:t>人口状况</w:t>
            </w:r>
            <w:r>
              <w:rPr>
                <w:szCs w:val="21"/>
              </w:rPr>
              <w:t xml:space="preserve">  </w:t>
            </w:r>
          </w:p>
        </w:tc>
        <w:tc>
          <w:tcPr>
            <w:tcW w:w="2367" w:type="dxa"/>
            <w:tcBorders>
              <w:top w:val="single" w:color="auto" w:sz="4" w:space="0"/>
              <w:left w:val="nil"/>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人口密度</w:t>
            </w:r>
          </w:p>
        </w:tc>
        <w:tc>
          <w:tcPr>
            <w:tcW w:w="1013" w:type="dxa"/>
            <w:tcBorders>
              <w:top w:val="single" w:color="auto" w:sz="4" w:space="0"/>
              <w:left w:val="nil"/>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人口稠密</w:t>
            </w:r>
          </w:p>
        </w:tc>
        <w:tc>
          <w:tcPr>
            <w:tcW w:w="1161" w:type="dxa"/>
            <w:tcBorders>
              <w:top w:val="single" w:color="auto" w:sz="4" w:space="0"/>
              <w:left w:val="nil"/>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人口较稠密</w:t>
            </w:r>
          </w:p>
        </w:tc>
        <w:tc>
          <w:tcPr>
            <w:tcW w:w="1161" w:type="dxa"/>
            <w:tcBorders>
              <w:top w:val="single" w:color="auto" w:sz="4" w:space="0"/>
              <w:left w:val="nil"/>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一般</w:t>
            </w:r>
          </w:p>
        </w:tc>
        <w:tc>
          <w:tcPr>
            <w:tcW w:w="1161" w:type="dxa"/>
            <w:tcBorders>
              <w:top w:val="single" w:color="auto" w:sz="4" w:space="0"/>
              <w:left w:val="nil"/>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人口较稀疏</w:t>
            </w:r>
          </w:p>
        </w:tc>
        <w:tc>
          <w:tcPr>
            <w:tcW w:w="938" w:type="dxa"/>
            <w:tcBorders>
              <w:top w:val="single" w:color="auto" w:sz="4" w:space="0"/>
              <w:left w:val="nil"/>
              <w:bottom w:val="single" w:color="auto" w:sz="4" w:space="0"/>
              <w:right w:val="single" w:color="auto" w:sz="4" w:space="0"/>
            </w:tcBorders>
            <w:vAlign w:val="center"/>
          </w:tcPr>
          <w:p>
            <w:pPr>
              <w:shd w:val="clear" w:color="auto" w:fill="FFFFFF"/>
              <w:spacing w:line="280" w:lineRule="exact"/>
              <w:ind w:left="-105" w:leftChars="-50" w:right="-105" w:rightChars="-50"/>
              <w:jc w:val="center"/>
              <w:rPr>
                <w:szCs w:val="21"/>
              </w:rPr>
            </w:pPr>
            <w:r>
              <w:rPr>
                <w:szCs w:val="21"/>
              </w:rPr>
              <w:t>人口稀疏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vMerge w:val="restart"/>
            <w:tcBorders>
              <w:top w:val="nil"/>
              <w:left w:val="single" w:color="auto" w:sz="4" w:space="0"/>
              <w:bottom w:val="single" w:color="000000" w:sz="4" w:space="0"/>
              <w:right w:val="single" w:color="auto" w:sz="4" w:space="0"/>
            </w:tcBorders>
            <w:vAlign w:val="center"/>
          </w:tcPr>
          <w:p>
            <w:pPr>
              <w:widowControl/>
              <w:shd w:val="clear" w:color="auto" w:fill="FFFFFF"/>
              <w:jc w:val="center"/>
              <w:rPr>
                <w:kern w:val="0"/>
                <w:szCs w:val="21"/>
              </w:rPr>
            </w:pPr>
            <w:r>
              <w:rPr>
                <w:kern w:val="0"/>
                <w:szCs w:val="21"/>
              </w:rPr>
              <w:t>环境条件</w:t>
            </w:r>
          </w:p>
        </w:tc>
        <w:tc>
          <w:tcPr>
            <w:tcW w:w="2367" w:type="dxa"/>
            <w:tcBorders>
              <w:top w:val="nil"/>
              <w:left w:val="nil"/>
              <w:bottom w:val="single" w:color="auto" w:sz="4" w:space="0"/>
              <w:right w:val="single" w:color="auto" w:sz="4" w:space="0"/>
            </w:tcBorders>
            <w:vAlign w:val="center"/>
          </w:tcPr>
          <w:p>
            <w:pPr>
              <w:widowControl/>
              <w:shd w:val="clear" w:color="auto" w:fill="FFFFFF"/>
              <w:ind w:left="-105" w:leftChars="-50" w:right="-105" w:rightChars="-50"/>
              <w:jc w:val="center"/>
              <w:rPr>
                <w:kern w:val="0"/>
                <w:szCs w:val="21"/>
              </w:rPr>
            </w:pPr>
            <w:r>
              <w:rPr>
                <w:kern w:val="0"/>
                <w:szCs w:val="21"/>
              </w:rPr>
              <w:t>大气污染状况</w:t>
            </w:r>
          </w:p>
        </w:tc>
        <w:tc>
          <w:tcPr>
            <w:tcW w:w="1013" w:type="dxa"/>
            <w:tcBorders>
              <w:top w:val="nil"/>
              <w:left w:val="nil"/>
              <w:bottom w:val="single" w:color="auto" w:sz="4" w:space="0"/>
              <w:right w:val="single" w:color="auto" w:sz="4" w:space="0"/>
            </w:tcBorders>
            <w:vAlign w:val="center"/>
          </w:tcPr>
          <w:p>
            <w:pPr>
              <w:widowControl/>
              <w:shd w:val="clear" w:color="auto" w:fill="FFFFFF"/>
              <w:ind w:left="-105" w:leftChars="-50" w:right="-105" w:rightChars="-50"/>
              <w:jc w:val="center"/>
              <w:rPr>
                <w:kern w:val="0"/>
                <w:szCs w:val="21"/>
              </w:rPr>
            </w:pPr>
            <w:r>
              <w:rPr>
                <w:kern w:val="0"/>
                <w:szCs w:val="21"/>
              </w:rPr>
              <w:t>低</w:t>
            </w:r>
          </w:p>
        </w:tc>
        <w:tc>
          <w:tcPr>
            <w:tcW w:w="1161" w:type="dxa"/>
            <w:tcBorders>
              <w:top w:val="nil"/>
              <w:left w:val="nil"/>
              <w:bottom w:val="single" w:color="auto" w:sz="4" w:space="0"/>
              <w:right w:val="single" w:color="auto" w:sz="4" w:space="0"/>
            </w:tcBorders>
            <w:vAlign w:val="center"/>
          </w:tcPr>
          <w:p>
            <w:pPr>
              <w:widowControl/>
              <w:shd w:val="clear" w:color="auto" w:fill="FFFFFF"/>
              <w:ind w:left="-105" w:leftChars="-50" w:right="-105" w:rightChars="-50"/>
              <w:jc w:val="center"/>
              <w:rPr>
                <w:kern w:val="0"/>
                <w:szCs w:val="21"/>
              </w:rPr>
            </w:pPr>
            <w:r>
              <w:rPr>
                <w:kern w:val="0"/>
                <w:szCs w:val="21"/>
              </w:rPr>
              <w:t>较低</w:t>
            </w:r>
          </w:p>
        </w:tc>
        <w:tc>
          <w:tcPr>
            <w:tcW w:w="1161" w:type="dxa"/>
            <w:tcBorders>
              <w:top w:val="nil"/>
              <w:left w:val="nil"/>
              <w:bottom w:val="single" w:color="auto" w:sz="4" w:space="0"/>
              <w:right w:val="single" w:color="auto" w:sz="4" w:space="0"/>
            </w:tcBorders>
            <w:vAlign w:val="center"/>
          </w:tcPr>
          <w:p>
            <w:pPr>
              <w:widowControl/>
              <w:shd w:val="clear" w:color="auto" w:fill="FFFFFF"/>
              <w:ind w:left="-105" w:leftChars="-50" w:right="-105" w:rightChars="-50"/>
              <w:jc w:val="center"/>
              <w:rPr>
                <w:kern w:val="0"/>
                <w:szCs w:val="21"/>
              </w:rPr>
            </w:pPr>
            <w:r>
              <w:rPr>
                <w:kern w:val="0"/>
                <w:szCs w:val="21"/>
              </w:rPr>
              <w:t>一般</w:t>
            </w:r>
          </w:p>
        </w:tc>
        <w:tc>
          <w:tcPr>
            <w:tcW w:w="1161" w:type="dxa"/>
            <w:tcBorders>
              <w:top w:val="nil"/>
              <w:left w:val="nil"/>
              <w:bottom w:val="single" w:color="auto" w:sz="4" w:space="0"/>
              <w:right w:val="single" w:color="auto" w:sz="4" w:space="0"/>
            </w:tcBorders>
            <w:vAlign w:val="center"/>
          </w:tcPr>
          <w:p>
            <w:pPr>
              <w:widowControl/>
              <w:shd w:val="clear" w:color="auto" w:fill="FFFFFF"/>
              <w:ind w:left="-105" w:leftChars="-50" w:right="-105" w:rightChars="-50"/>
              <w:jc w:val="center"/>
              <w:rPr>
                <w:kern w:val="0"/>
                <w:szCs w:val="21"/>
              </w:rPr>
            </w:pPr>
            <w:r>
              <w:rPr>
                <w:kern w:val="0"/>
                <w:szCs w:val="21"/>
              </w:rPr>
              <w:t>污染较重</w:t>
            </w:r>
          </w:p>
        </w:tc>
        <w:tc>
          <w:tcPr>
            <w:tcW w:w="938" w:type="dxa"/>
            <w:tcBorders>
              <w:top w:val="nil"/>
              <w:left w:val="nil"/>
              <w:bottom w:val="single" w:color="auto" w:sz="4" w:space="0"/>
              <w:right w:val="single" w:color="auto" w:sz="4" w:space="0"/>
            </w:tcBorders>
            <w:vAlign w:val="center"/>
          </w:tcPr>
          <w:p>
            <w:pPr>
              <w:widowControl/>
              <w:shd w:val="clear" w:color="auto" w:fill="FFFFFF"/>
              <w:ind w:left="-105" w:leftChars="-50" w:right="-105" w:rightChars="-50"/>
              <w:jc w:val="center"/>
              <w:rPr>
                <w:kern w:val="0"/>
                <w:szCs w:val="21"/>
              </w:rPr>
            </w:pPr>
            <w:r>
              <w:rPr>
                <w:kern w:val="0"/>
                <w:szCs w:val="21"/>
              </w:rPr>
              <w:t>严重污染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vMerge w:val="continue"/>
            <w:tcBorders>
              <w:top w:val="nil"/>
              <w:left w:val="single" w:color="auto" w:sz="4" w:space="0"/>
              <w:bottom w:val="single" w:color="000000" w:sz="4" w:space="0"/>
              <w:right w:val="single" w:color="auto" w:sz="4" w:space="0"/>
            </w:tcBorders>
            <w:vAlign w:val="center"/>
          </w:tcPr>
          <w:p>
            <w:pPr>
              <w:shd w:val="clear" w:color="auto" w:fill="FFFFFF"/>
              <w:spacing w:line="280" w:lineRule="exact"/>
              <w:ind w:left="-105" w:leftChars="-50" w:right="-105" w:rightChars="-50"/>
              <w:jc w:val="center"/>
              <w:rPr>
                <w:szCs w:val="21"/>
              </w:rPr>
            </w:pPr>
          </w:p>
        </w:tc>
        <w:tc>
          <w:tcPr>
            <w:tcW w:w="2367" w:type="dxa"/>
            <w:tcBorders>
              <w:top w:val="nil"/>
              <w:left w:val="nil"/>
              <w:bottom w:val="single" w:color="auto" w:sz="4" w:space="0"/>
              <w:right w:val="single" w:color="auto" w:sz="4" w:space="0"/>
            </w:tcBorders>
            <w:vAlign w:val="center"/>
          </w:tcPr>
          <w:p>
            <w:pPr>
              <w:widowControl/>
              <w:shd w:val="clear" w:color="auto" w:fill="FFFFFF"/>
              <w:ind w:left="-105" w:leftChars="-50" w:right="-105" w:rightChars="-50"/>
              <w:jc w:val="center"/>
              <w:rPr>
                <w:kern w:val="0"/>
                <w:szCs w:val="21"/>
              </w:rPr>
            </w:pPr>
            <w:r>
              <w:rPr>
                <w:kern w:val="0"/>
                <w:szCs w:val="21"/>
              </w:rPr>
              <w:t>噪音污染状况</w:t>
            </w:r>
          </w:p>
        </w:tc>
        <w:tc>
          <w:tcPr>
            <w:tcW w:w="1013" w:type="dxa"/>
            <w:tcBorders>
              <w:top w:val="nil"/>
              <w:left w:val="nil"/>
              <w:bottom w:val="single" w:color="auto" w:sz="4" w:space="0"/>
              <w:right w:val="single" w:color="auto" w:sz="4" w:space="0"/>
            </w:tcBorders>
            <w:vAlign w:val="center"/>
          </w:tcPr>
          <w:p>
            <w:pPr>
              <w:widowControl/>
              <w:shd w:val="clear" w:color="auto" w:fill="FFFFFF"/>
              <w:ind w:left="-105" w:leftChars="-50" w:right="-105" w:rightChars="-50"/>
              <w:jc w:val="center"/>
              <w:rPr>
                <w:kern w:val="0"/>
                <w:szCs w:val="21"/>
              </w:rPr>
            </w:pPr>
            <w:r>
              <w:rPr>
                <w:kern w:val="0"/>
                <w:szCs w:val="21"/>
              </w:rPr>
              <w:t>无污染</w:t>
            </w:r>
          </w:p>
        </w:tc>
        <w:tc>
          <w:tcPr>
            <w:tcW w:w="1161" w:type="dxa"/>
            <w:tcBorders>
              <w:top w:val="nil"/>
              <w:left w:val="nil"/>
              <w:bottom w:val="single" w:color="auto" w:sz="4" w:space="0"/>
              <w:right w:val="single" w:color="auto" w:sz="4" w:space="0"/>
            </w:tcBorders>
            <w:vAlign w:val="center"/>
          </w:tcPr>
          <w:p>
            <w:pPr>
              <w:widowControl/>
              <w:shd w:val="clear" w:color="auto" w:fill="FFFFFF"/>
              <w:ind w:left="-105" w:leftChars="-50" w:right="-105" w:rightChars="-50"/>
              <w:jc w:val="center"/>
              <w:rPr>
                <w:kern w:val="0"/>
                <w:szCs w:val="21"/>
              </w:rPr>
            </w:pPr>
            <w:r>
              <w:rPr>
                <w:kern w:val="0"/>
                <w:szCs w:val="21"/>
              </w:rPr>
              <w:t>基本无污染</w:t>
            </w:r>
          </w:p>
        </w:tc>
        <w:tc>
          <w:tcPr>
            <w:tcW w:w="1161" w:type="dxa"/>
            <w:tcBorders>
              <w:top w:val="nil"/>
              <w:left w:val="nil"/>
              <w:bottom w:val="single" w:color="auto" w:sz="4" w:space="0"/>
              <w:right w:val="single" w:color="auto" w:sz="4" w:space="0"/>
            </w:tcBorders>
            <w:vAlign w:val="center"/>
          </w:tcPr>
          <w:p>
            <w:pPr>
              <w:widowControl/>
              <w:shd w:val="clear" w:color="auto" w:fill="FFFFFF"/>
              <w:ind w:left="-105" w:leftChars="-50" w:right="-105" w:rightChars="-50"/>
              <w:jc w:val="center"/>
              <w:rPr>
                <w:kern w:val="0"/>
                <w:szCs w:val="21"/>
              </w:rPr>
            </w:pPr>
            <w:r>
              <w:rPr>
                <w:kern w:val="0"/>
                <w:szCs w:val="21"/>
              </w:rPr>
              <w:t>轻度污染</w:t>
            </w:r>
          </w:p>
        </w:tc>
        <w:tc>
          <w:tcPr>
            <w:tcW w:w="1161" w:type="dxa"/>
            <w:tcBorders>
              <w:top w:val="nil"/>
              <w:left w:val="nil"/>
              <w:bottom w:val="single" w:color="auto" w:sz="4" w:space="0"/>
              <w:right w:val="single" w:color="auto" w:sz="4" w:space="0"/>
            </w:tcBorders>
            <w:vAlign w:val="center"/>
          </w:tcPr>
          <w:p>
            <w:pPr>
              <w:widowControl/>
              <w:shd w:val="clear" w:color="auto" w:fill="FFFFFF"/>
              <w:ind w:left="-105" w:leftChars="-50" w:right="-105" w:rightChars="-50"/>
              <w:jc w:val="center"/>
              <w:rPr>
                <w:kern w:val="0"/>
                <w:szCs w:val="21"/>
              </w:rPr>
            </w:pPr>
            <w:r>
              <w:rPr>
                <w:kern w:val="0"/>
                <w:szCs w:val="21"/>
              </w:rPr>
              <w:t>污染较重</w:t>
            </w:r>
          </w:p>
        </w:tc>
        <w:tc>
          <w:tcPr>
            <w:tcW w:w="938" w:type="dxa"/>
            <w:tcBorders>
              <w:top w:val="nil"/>
              <w:left w:val="nil"/>
              <w:bottom w:val="single" w:color="auto" w:sz="4" w:space="0"/>
              <w:right w:val="single" w:color="auto" w:sz="4" w:space="0"/>
            </w:tcBorders>
            <w:vAlign w:val="center"/>
          </w:tcPr>
          <w:p>
            <w:pPr>
              <w:widowControl/>
              <w:shd w:val="clear" w:color="auto" w:fill="FFFFFF"/>
              <w:ind w:left="-105" w:leftChars="-50" w:right="-105" w:rightChars="-50"/>
              <w:jc w:val="center"/>
              <w:rPr>
                <w:kern w:val="0"/>
                <w:szCs w:val="21"/>
              </w:rPr>
            </w:pPr>
            <w:r>
              <w:rPr>
                <w:kern w:val="0"/>
                <w:szCs w:val="21"/>
              </w:rPr>
              <w:t>严重污染</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表5-4-1</w:t>
      </w:r>
      <w:r>
        <w:rPr>
          <w:rFonts w:hint="eastAsia" w:ascii="Times New Roman" w:hAnsi="Times New Roman"/>
          <w:sz w:val="24"/>
          <w:szCs w:val="24"/>
        </w:rPr>
        <w:t>7</w:t>
      </w:r>
      <w:r>
        <w:rPr>
          <w:rFonts w:ascii="Times New Roman" w:hAnsi="Times New Roman"/>
          <w:sz w:val="24"/>
          <w:szCs w:val="24"/>
        </w:rPr>
        <w:t xml:space="preserve">  长沙县乡镇Ⅱ级商服用地宗地地价区域因素修正系数表</w:t>
      </w:r>
    </w:p>
    <w:tbl>
      <w:tblPr>
        <w:tblW w:w="9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2560"/>
        <w:gridCol w:w="840"/>
        <w:gridCol w:w="840"/>
        <w:gridCol w:w="840"/>
        <w:gridCol w:w="840"/>
        <w:gridCol w:w="846"/>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705"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因素</w:t>
            </w:r>
          </w:p>
        </w:tc>
        <w:tc>
          <w:tcPr>
            <w:tcW w:w="256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因子</w:t>
            </w:r>
          </w:p>
        </w:tc>
        <w:tc>
          <w:tcPr>
            <w:tcW w:w="84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权重</w:t>
            </w:r>
          </w:p>
        </w:tc>
        <w:tc>
          <w:tcPr>
            <w:tcW w:w="84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优</w:t>
            </w:r>
          </w:p>
        </w:tc>
        <w:tc>
          <w:tcPr>
            <w:tcW w:w="84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较优</w:t>
            </w:r>
          </w:p>
        </w:tc>
        <w:tc>
          <w:tcPr>
            <w:tcW w:w="84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一般</w:t>
            </w:r>
          </w:p>
        </w:tc>
        <w:tc>
          <w:tcPr>
            <w:tcW w:w="846"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较劣</w:t>
            </w:r>
          </w:p>
        </w:tc>
        <w:tc>
          <w:tcPr>
            <w:tcW w:w="846"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Align w:val="center"/>
          </w:tcPr>
          <w:p>
            <w:pPr>
              <w:widowControl/>
              <w:jc w:val="center"/>
              <w:textAlignment w:val="bottom"/>
              <w:rPr>
                <w:rFonts w:eastAsia="Tahoma"/>
                <w:color w:val="000000"/>
                <w:kern w:val="0"/>
                <w:szCs w:val="21"/>
                <w:lang/>
              </w:rPr>
            </w:pPr>
            <w:r>
              <w:rPr>
                <w:rFonts w:eastAsia="Tahoma"/>
                <w:color w:val="000000"/>
                <w:kern w:val="0"/>
                <w:szCs w:val="21"/>
                <w:lang/>
              </w:rPr>
              <w:t>商服繁华度</w:t>
            </w:r>
          </w:p>
        </w:tc>
        <w:tc>
          <w:tcPr>
            <w:tcW w:w="2560" w:type="dxa"/>
            <w:vAlign w:val="center"/>
          </w:tcPr>
          <w:p>
            <w:pPr>
              <w:widowControl/>
              <w:jc w:val="center"/>
              <w:textAlignment w:val="bottom"/>
              <w:rPr>
                <w:rFonts w:eastAsia="Tahoma"/>
                <w:color w:val="000000"/>
                <w:kern w:val="0"/>
                <w:szCs w:val="21"/>
                <w:lang/>
              </w:rPr>
            </w:pPr>
            <w:r>
              <w:rPr>
                <w:rFonts w:eastAsia="Tahoma"/>
                <w:color w:val="000000"/>
                <w:kern w:val="0"/>
                <w:szCs w:val="21"/>
                <w:lang/>
              </w:rPr>
              <w:t>距离商服中心距离</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0.314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5.099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2.550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0.000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-1.243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-2.487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Merge w:val="restart"/>
            <w:vAlign w:val="center"/>
          </w:tcPr>
          <w:p>
            <w:pPr>
              <w:widowControl/>
              <w:jc w:val="center"/>
              <w:textAlignment w:val="bottom"/>
              <w:rPr>
                <w:rFonts w:eastAsia="Tahoma"/>
                <w:color w:val="000000"/>
                <w:kern w:val="0"/>
                <w:szCs w:val="21"/>
                <w:lang/>
              </w:rPr>
            </w:pPr>
            <w:r>
              <w:rPr>
                <w:rFonts w:eastAsia="Tahoma"/>
                <w:color w:val="000000"/>
                <w:kern w:val="0"/>
                <w:szCs w:val="21"/>
                <w:lang/>
              </w:rPr>
              <w:t>交通条件</w:t>
            </w:r>
          </w:p>
        </w:tc>
        <w:tc>
          <w:tcPr>
            <w:tcW w:w="2560" w:type="dxa"/>
            <w:vAlign w:val="center"/>
          </w:tcPr>
          <w:p>
            <w:pPr>
              <w:widowControl/>
              <w:jc w:val="center"/>
              <w:textAlignment w:val="bottom"/>
              <w:rPr>
                <w:rFonts w:eastAsia="Tahoma"/>
                <w:color w:val="000000"/>
                <w:kern w:val="0"/>
                <w:szCs w:val="21"/>
                <w:lang/>
              </w:rPr>
            </w:pPr>
            <w:r>
              <w:rPr>
                <w:rFonts w:eastAsia="Tahoma"/>
                <w:color w:val="000000"/>
                <w:kern w:val="0"/>
                <w:szCs w:val="21"/>
                <w:lang/>
              </w:rPr>
              <w:t>临街道路状况</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0.170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2.761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1.380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0.000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-0.673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-1.346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Merge w:val="continue"/>
            <w:vAlign w:val="center"/>
          </w:tcPr>
          <w:p>
            <w:pPr>
              <w:widowControl/>
              <w:jc w:val="center"/>
              <w:textAlignment w:val="bottom"/>
              <w:rPr>
                <w:rFonts w:eastAsia="Tahoma"/>
                <w:color w:val="000000"/>
                <w:kern w:val="0"/>
                <w:szCs w:val="21"/>
                <w:lang/>
              </w:rPr>
            </w:pPr>
          </w:p>
        </w:tc>
        <w:tc>
          <w:tcPr>
            <w:tcW w:w="2560" w:type="dxa"/>
            <w:vAlign w:val="center"/>
          </w:tcPr>
          <w:p>
            <w:pPr>
              <w:widowControl/>
              <w:jc w:val="center"/>
              <w:textAlignment w:val="bottom"/>
              <w:rPr>
                <w:rFonts w:eastAsia="Tahoma"/>
                <w:color w:val="000000"/>
                <w:kern w:val="0"/>
                <w:szCs w:val="21"/>
                <w:lang/>
              </w:rPr>
            </w:pPr>
            <w:r>
              <w:rPr>
                <w:rFonts w:eastAsia="Tahoma"/>
                <w:color w:val="000000"/>
                <w:kern w:val="0"/>
                <w:szCs w:val="21"/>
                <w:lang/>
              </w:rPr>
              <w:t>临汽车站距离</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0.051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0.828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0.414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0.000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-0.202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-0.404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Align w:val="center"/>
          </w:tcPr>
          <w:p>
            <w:pPr>
              <w:widowControl/>
              <w:jc w:val="center"/>
              <w:textAlignment w:val="bottom"/>
              <w:rPr>
                <w:rFonts w:eastAsia="Tahoma"/>
                <w:color w:val="000000"/>
                <w:kern w:val="0"/>
                <w:szCs w:val="21"/>
                <w:lang/>
              </w:rPr>
            </w:pPr>
            <w:r>
              <w:rPr>
                <w:rFonts w:eastAsia="Tahoma"/>
                <w:color w:val="000000"/>
                <w:kern w:val="0"/>
                <w:szCs w:val="21"/>
                <w:lang/>
              </w:rPr>
              <w:t>基本设施状况</w:t>
            </w:r>
          </w:p>
        </w:tc>
        <w:tc>
          <w:tcPr>
            <w:tcW w:w="2560" w:type="dxa"/>
            <w:vAlign w:val="center"/>
          </w:tcPr>
          <w:p>
            <w:pPr>
              <w:widowControl/>
              <w:jc w:val="center"/>
              <w:textAlignment w:val="bottom"/>
              <w:rPr>
                <w:rFonts w:eastAsia="Tahoma"/>
                <w:color w:val="000000"/>
                <w:kern w:val="0"/>
                <w:szCs w:val="21"/>
                <w:lang/>
              </w:rPr>
            </w:pPr>
            <w:r>
              <w:rPr>
                <w:rFonts w:eastAsia="Tahoma"/>
                <w:color w:val="000000"/>
                <w:kern w:val="0"/>
                <w:szCs w:val="21"/>
                <w:lang/>
              </w:rPr>
              <w:t>水电气综合保证率</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0.170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2.761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1.380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0.000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-0.673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-1.346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人口状况</w:t>
            </w:r>
          </w:p>
        </w:tc>
        <w:tc>
          <w:tcPr>
            <w:tcW w:w="2560"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人口密度</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0.160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2.598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1.299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0.000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-0.634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-1.267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Merge w:val="restart"/>
            <w:vAlign w:val="center"/>
          </w:tcPr>
          <w:p>
            <w:pPr>
              <w:widowControl/>
              <w:jc w:val="center"/>
              <w:textAlignment w:val="bottom"/>
              <w:rPr>
                <w:rFonts w:eastAsia="Tahoma"/>
                <w:color w:val="000000"/>
                <w:kern w:val="0"/>
                <w:szCs w:val="21"/>
                <w:lang/>
              </w:rPr>
            </w:pPr>
            <w:r>
              <w:rPr>
                <w:rFonts w:eastAsia="Tahoma"/>
                <w:color w:val="000000"/>
                <w:kern w:val="0"/>
                <w:szCs w:val="21"/>
                <w:lang/>
              </w:rPr>
              <w:t>环境条件</w:t>
            </w:r>
          </w:p>
        </w:tc>
        <w:tc>
          <w:tcPr>
            <w:tcW w:w="2560" w:type="dxa"/>
            <w:vAlign w:val="center"/>
          </w:tcPr>
          <w:p>
            <w:pPr>
              <w:widowControl/>
              <w:jc w:val="center"/>
              <w:textAlignment w:val="bottom"/>
              <w:rPr>
                <w:rFonts w:eastAsia="Tahoma"/>
                <w:color w:val="000000"/>
                <w:kern w:val="0"/>
                <w:szCs w:val="21"/>
                <w:lang/>
              </w:rPr>
            </w:pPr>
            <w:r>
              <w:rPr>
                <w:rFonts w:eastAsia="Tahoma"/>
                <w:color w:val="000000"/>
                <w:kern w:val="0"/>
                <w:szCs w:val="21"/>
                <w:lang/>
              </w:rPr>
              <w:t>大气污染状况</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0.063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1.023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0.512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0.000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-0.249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-0.499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Merge w:val="continue"/>
            <w:vAlign w:val="center"/>
          </w:tcPr>
          <w:p>
            <w:pPr>
              <w:widowControl/>
              <w:jc w:val="center"/>
              <w:textAlignment w:val="bottom"/>
              <w:rPr>
                <w:rFonts w:eastAsia="Tahoma"/>
                <w:color w:val="000000"/>
                <w:kern w:val="0"/>
                <w:szCs w:val="21"/>
                <w:lang/>
              </w:rPr>
            </w:pPr>
          </w:p>
        </w:tc>
        <w:tc>
          <w:tcPr>
            <w:tcW w:w="2560" w:type="dxa"/>
            <w:vAlign w:val="center"/>
          </w:tcPr>
          <w:p>
            <w:pPr>
              <w:widowControl/>
              <w:jc w:val="center"/>
              <w:textAlignment w:val="bottom"/>
              <w:rPr>
                <w:rFonts w:eastAsia="Tahoma"/>
                <w:color w:val="000000"/>
                <w:kern w:val="0"/>
                <w:szCs w:val="21"/>
                <w:lang/>
              </w:rPr>
            </w:pPr>
            <w:r>
              <w:rPr>
                <w:rFonts w:eastAsia="Tahoma"/>
                <w:color w:val="000000"/>
                <w:kern w:val="0"/>
                <w:szCs w:val="21"/>
                <w:lang/>
              </w:rPr>
              <w:t>噪音污染状况</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0.072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1.169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0.585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0.000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-0.285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-0.570 </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br w:type="page"/>
      </w:r>
    </w:p>
    <w:p>
      <w:pPr>
        <w:pStyle w:val="131"/>
        <w:spacing w:beforeLines="50" w:afterLines="50"/>
        <w:ind w:firstLine="0" w:firstLineChars="0"/>
        <w:rPr>
          <w:rFonts w:ascii="Times New Roman" w:hAnsi="Times New Roman"/>
          <w:sz w:val="24"/>
        </w:rPr>
      </w:pPr>
      <w:r>
        <w:rPr>
          <w:rFonts w:ascii="Times New Roman" w:hAnsi="Times New Roman"/>
          <w:sz w:val="24"/>
          <w:szCs w:val="24"/>
        </w:rPr>
        <w:t>表5-4-1</w:t>
      </w:r>
      <w:r>
        <w:rPr>
          <w:rFonts w:hint="eastAsia" w:ascii="Times New Roman" w:hAnsi="Times New Roman"/>
          <w:sz w:val="24"/>
          <w:szCs w:val="24"/>
        </w:rPr>
        <w:t>8</w:t>
      </w:r>
      <w:r>
        <w:rPr>
          <w:rFonts w:ascii="Times New Roman" w:hAnsi="Times New Roman"/>
          <w:sz w:val="24"/>
          <w:szCs w:val="24"/>
        </w:rPr>
        <w:t xml:space="preserve"> 长沙县乡镇Ⅱ级商服用地宗地地价区域因素修正系数指标说明表</w:t>
      </w:r>
    </w:p>
    <w:tbl>
      <w:tblPr>
        <w:tblW w:w="93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09"/>
        <w:gridCol w:w="2367"/>
        <w:gridCol w:w="1013"/>
        <w:gridCol w:w="1161"/>
        <w:gridCol w:w="1161"/>
        <w:gridCol w:w="1161"/>
        <w:gridCol w:w="9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tblHeader/>
          <w:jc w:val="center"/>
        </w:trPr>
        <w:tc>
          <w:tcPr>
            <w:tcW w:w="150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因素</w:t>
            </w:r>
          </w:p>
        </w:tc>
        <w:tc>
          <w:tcPr>
            <w:tcW w:w="2367" w:type="dxa"/>
            <w:tcBorders>
              <w:top w:val="single" w:color="auto" w:sz="4" w:space="0"/>
              <w:left w:val="nil"/>
              <w:bottom w:val="single" w:color="auto" w:sz="4" w:space="0"/>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因子</w:t>
            </w:r>
          </w:p>
        </w:tc>
        <w:tc>
          <w:tcPr>
            <w:tcW w:w="1013" w:type="dxa"/>
            <w:tcBorders>
              <w:top w:val="single" w:color="auto" w:sz="4" w:space="0"/>
              <w:left w:val="nil"/>
              <w:bottom w:val="nil"/>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优</w:t>
            </w:r>
          </w:p>
        </w:tc>
        <w:tc>
          <w:tcPr>
            <w:tcW w:w="1161" w:type="dxa"/>
            <w:tcBorders>
              <w:top w:val="single" w:color="auto" w:sz="4" w:space="0"/>
              <w:left w:val="nil"/>
              <w:bottom w:val="nil"/>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较优</w:t>
            </w:r>
          </w:p>
        </w:tc>
        <w:tc>
          <w:tcPr>
            <w:tcW w:w="1161" w:type="dxa"/>
            <w:tcBorders>
              <w:top w:val="single" w:color="auto" w:sz="4" w:space="0"/>
              <w:left w:val="nil"/>
              <w:bottom w:val="nil"/>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一般</w:t>
            </w:r>
          </w:p>
        </w:tc>
        <w:tc>
          <w:tcPr>
            <w:tcW w:w="1161" w:type="dxa"/>
            <w:tcBorders>
              <w:top w:val="single" w:color="auto" w:sz="4" w:space="0"/>
              <w:left w:val="nil"/>
              <w:bottom w:val="nil"/>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较劣</w:t>
            </w:r>
          </w:p>
        </w:tc>
        <w:tc>
          <w:tcPr>
            <w:tcW w:w="938" w:type="dxa"/>
            <w:tcBorders>
              <w:top w:val="single" w:color="auto" w:sz="4" w:space="0"/>
              <w:left w:val="nil"/>
              <w:bottom w:val="nil"/>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tcBorders>
              <w:top w:val="nil"/>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商服繁华度</w:t>
            </w:r>
          </w:p>
        </w:tc>
        <w:tc>
          <w:tcPr>
            <w:tcW w:w="2367" w:type="dxa"/>
            <w:tcBorders>
              <w:top w:val="nil"/>
              <w:left w:val="nil"/>
              <w:bottom w:val="single" w:color="auto" w:sz="4" w:space="0"/>
              <w:right w:val="nil"/>
            </w:tcBorders>
            <w:vAlign w:val="center"/>
          </w:tcPr>
          <w:p>
            <w:pPr>
              <w:widowControl/>
              <w:jc w:val="center"/>
              <w:textAlignment w:val="bottom"/>
              <w:rPr>
                <w:rFonts w:eastAsia="Tahoma"/>
                <w:color w:val="000000"/>
                <w:kern w:val="0"/>
                <w:szCs w:val="21"/>
                <w:lang/>
              </w:rPr>
            </w:pPr>
            <w:r>
              <w:rPr>
                <w:rFonts w:eastAsia="Tahoma"/>
                <w:color w:val="000000"/>
                <w:kern w:val="0"/>
                <w:szCs w:val="21"/>
                <w:lang/>
              </w:rPr>
              <w:t>距商服中心距离（m）</w:t>
            </w:r>
          </w:p>
        </w:tc>
        <w:tc>
          <w:tcPr>
            <w:tcW w:w="10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≤100</w:t>
            </w:r>
          </w:p>
        </w:tc>
        <w:tc>
          <w:tcPr>
            <w:tcW w:w="1161"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100-200</w:t>
            </w:r>
          </w:p>
        </w:tc>
        <w:tc>
          <w:tcPr>
            <w:tcW w:w="1161"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200-300</w:t>
            </w:r>
          </w:p>
        </w:tc>
        <w:tc>
          <w:tcPr>
            <w:tcW w:w="1161"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300-400</w:t>
            </w:r>
          </w:p>
        </w:tc>
        <w:tc>
          <w:tcPr>
            <w:tcW w:w="938"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&gt;400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vMerge w:val="restart"/>
            <w:tcBorders>
              <w:top w:val="nil"/>
              <w:left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交通条件</w:t>
            </w:r>
          </w:p>
        </w:tc>
        <w:tc>
          <w:tcPr>
            <w:tcW w:w="2367" w:type="dxa"/>
            <w:tcBorders>
              <w:top w:val="nil"/>
              <w:left w:val="nil"/>
              <w:bottom w:val="nil"/>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临街道路状况</w:t>
            </w:r>
          </w:p>
        </w:tc>
        <w:tc>
          <w:tcPr>
            <w:tcW w:w="1013"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主要</w:t>
            </w:r>
          </w:p>
          <w:p>
            <w:pPr>
              <w:widowControl/>
              <w:jc w:val="center"/>
              <w:textAlignment w:val="bottom"/>
              <w:rPr>
                <w:rFonts w:eastAsia="Tahoma"/>
                <w:color w:val="000000"/>
                <w:kern w:val="0"/>
                <w:szCs w:val="21"/>
                <w:lang/>
              </w:rPr>
            </w:pPr>
            <w:r>
              <w:rPr>
                <w:rFonts w:eastAsia="Tahoma"/>
                <w:color w:val="000000"/>
                <w:kern w:val="0"/>
                <w:szCs w:val="21"/>
                <w:lang/>
              </w:rPr>
              <w:t>主干道</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一般</w:t>
            </w:r>
          </w:p>
          <w:p>
            <w:pPr>
              <w:widowControl/>
              <w:jc w:val="center"/>
              <w:textAlignment w:val="bottom"/>
              <w:rPr>
                <w:rFonts w:eastAsia="Tahoma"/>
                <w:color w:val="000000"/>
                <w:kern w:val="0"/>
                <w:szCs w:val="21"/>
                <w:lang/>
              </w:rPr>
            </w:pPr>
            <w:r>
              <w:rPr>
                <w:rFonts w:eastAsia="Tahoma"/>
                <w:color w:val="000000"/>
                <w:kern w:val="0"/>
                <w:szCs w:val="21"/>
                <w:lang/>
              </w:rPr>
              <w:t>主干道</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次干道</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支路</w:t>
            </w:r>
          </w:p>
        </w:tc>
        <w:tc>
          <w:tcPr>
            <w:tcW w:w="938"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巷道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vMerge w:val="continue"/>
            <w:tcBorders>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p>
        </w:tc>
        <w:tc>
          <w:tcPr>
            <w:tcW w:w="2367" w:type="dxa"/>
            <w:tcBorders>
              <w:top w:val="single" w:color="auto" w:sz="4" w:space="0"/>
              <w:left w:val="nil"/>
              <w:bottom w:val="nil"/>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临汽车站距离（m）</w:t>
            </w:r>
          </w:p>
        </w:tc>
        <w:tc>
          <w:tcPr>
            <w:tcW w:w="1013"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≤200</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200-300</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300-500</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500-600</w:t>
            </w:r>
          </w:p>
        </w:tc>
        <w:tc>
          <w:tcPr>
            <w:tcW w:w="938"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&gt;600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tcBorders>
              <w:top w:val="nil"/>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基本设施状况</w:t>
            </w:r>
          </w:p>
        </w:tc>
        <w:tc>
          <w:tcPr>
            <w:tcW w:w="2367"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水电气综合保证率</w:t>
            </w:r>
          </w:p>
        </w:tc>
        <w:tc>
          <w:tcPr>
            <w:tcW w:w="1013" w:type="dxa"/>
            <w:tcBorders>
              <w:top w:val="nil"/>
              <w:left w:val="nil"/>
              <w:bottom w:val="nil"/>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90-100%</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80-90%</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70-79%</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60-70%</w:t>
            </w:r>
          </w:p>
        </w:tc>
        <w:tc>
          <w:tcPr>
            <w:tcW w:w="938"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人口状况</w:t>
            </w:r>
          </w:p>
        </w:tc>
        <w:tc>
          <w:tcPr>
            <w:tcW w:w="2367"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人口密度</w:t>
            </w:r>
          </w:p>
        </w:tc>
        <w:tc>
          <w:tcPr>
            <w:tcW w:w="1013"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人口稠密</w:t>
            </w:r>
          </w:p>
        </w:tc>
        <w:tc>
          <w:tcPr>
            <w:tcW w:w="1161"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人口较稠密</w:t>
            </w:r>
          </w:p>
        </w:tc>
        <w:tc>
          <w:tcPr>
            <w:tcW w:w="1161"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一般</w:t>
            </w:r>
          </w:p>
        </w:tc>
        <w:tc>
          <w:tcPr>
            <w:tcW w:w="1161"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人口较稀疏</w:t>
            </w:r>
          </w:p>
        </w:tc>
        <w:tc>
          <w:tcPr>
            <w:tcW w:w="938"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人口稀疏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9" w:hRule="atLeast"/>
          <w:jc w:val="center"/>
        </w:trPr>
        <w:tc>
          <w:tcPr>
            <w:tcW w:w="1509" w:type="dxa"/>
            <w:vMerge w:val="restart"/>
            <w:tcBorders>
              <w:top w:val="nil"/>
              <w:left w:val="single" w:color="auto" w:sz="4" w:space="0"/>
              <w:bottom w:val="single" w:color="000000"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环境条件</w:t>
            </w:r>
          </w:p>
        </w:tc>
        <w:tc>
          <w:tcPr>
            <w:tcW w:w="2367"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大气污染状况</w:t>
            </w:r>
          </w:p>
        </w:tc>
        <w:tc>
          <w:tcPr>
            <w:tcW w:w="1013"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低</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较低</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一般</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污染较重</w:t>
            </w:r>
          </w:p>
        </w:tc>
        <w:tc>
          <w:tcPr>
            <w:tcW w:w="938"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严重污染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vMerge w:val="continue"/>
            <w:tcBorders>
              <w:top w:val="nil"/>
              <w:left w:val="single" w:color="auto" w:sz="4" w:space="0"/>
              <w:bottom w:val="single" w:color="000000" w:sz="4" w:space="0"/>
              <w:right w:val="single" w:color="auto" w:sz="4" w:space="0"/>
            </w:tcBorders>
            <w:vAlign w:val="center"/>
          </w:tcPr>
          <w:p>
            <w:pPr>
              <w:widowControl/>
              <w:jc w:val="center"/>
              <w:textAlignment w:val="bottom"/>
              <w:rPr>
                <w:rFonts w:eastAsia="Tahoma"/>
                <w:color w:val="000000"/>
                <w:kern w:val="0"/>
                <w:szCs w:val="21"/>
                <w:lang/>
              </w:rPr>
            </w:pPr>
          </w:p>
        </w:tc>
        <w:tc>
          <w:tcPr>
            <w:tcW w:w="2367"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噪音污染状况</w:t>
            </w:r>
          </w:p>
        </w:tc>
        <w:tc>
          <w:tcPr>
            <w:tcW w:w="1013"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无污染</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基本无污染</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轻度污染</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污染较重</w:t>
            </w:r>
          </w:p>
        </w:tc>
        <w:tc>
          <w:tcPr>
            <w:tcW w:w="938"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严重污染</w:t>
            </w:r>
          </w:p>
        </w:tc>
      </w:tr>
    </w:tbl>
    <w:p>
      <w:pPr>
        <w:pStyle w:val="131"/>
        <w:spacing w:beforeLines="50" w:afterLines="50"/>
        <w:ind w:firstLine="0" w:firstLineChars="0"/>
        <w:rPr>
          <w:rFonts w:ascii="Times New Roman" w:hAnsi="Times New Roman"/>
          <w:sz w:val="24"/>
          <w:szCs w:val="24"/>
          <w:lang w:val="zh-CN"/>
        </w:rPr>
      </w:pPr>
      <w:r>
        <w:rPr>
          <w:rFonts w:ascii="Times New Roman" w:hAnsi="Times New Roman"/>
          <w:sz w:val="24"/>
          <w:szCs w:val="24"/>
        </w:rPr>
        <w:t>表5-4-1</w:t>
      </w:r>
      <w:r>
        <w:rPr>
          <w:rFonts w:hint="eastAsia" w:ascii="Times New Roman" w:hAnsi="Times New Roman"/>
          <w:sz w:val="24"/>
          <w:szCs w:val="24"/>
        </w:rPr>
        <w:t>9</w:t>
      </w:r>
      <w:r>
        <w:rPr>
          <w:rFonts w:ascii="Times New Roman" w:hAnsi="Times New Roman"/>
          <w:sz w:val="24"/>
          <w:szCs w:val="24"/>
        </w:rPr>
        <w:t xml:space="preserve"> 长沙县乡镇Ⅲ级商服用地宗地地价区域因素修正系数表</w:t>
      </w:r>
    </w:p>
    <w:tbl>
      <w:tblPr>
        <w:tblW w:w="9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2560"/>
        <w:gridCol w:w="840"/>
        <w:gridCol w:w="840"/>
        <w:gridCol w:w="840"/>
        <w:gridCol w:w="840"/>
        <w:gridCol w:w="846"/>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因素</w:t>
            </w:r>
          </w:p>
        </w:tc>
        <w:tc>
          <w:tcPr>
            <w:tcW w:w="256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因子</w:t>
            </w:r>
          </w:p>
        </w:tc>
        <w:tc>
          <w:tcPr>
            <w:tcW w:w="84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权重</w:t>
            </w:r>
          </w:p>
        </w:tc>
        <w:tc>
          <w:tcPr>
            <w:tcW w:w="84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优</w:t>
            </w:r>
          </w:p>
        </w:tc>
        <w:tc>
          <w:tcPr>
            <w:tcW w:w="84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较优</w:t>
            </w:r>
          </w:p>
        </w:tc>
        <w:tc>
          <w:tcPr>
            <w:tcW w:w="84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一般</w:t>
            </w:r>
          </w:p>
        </w:tc>
        <w:tc>
          <w:tcPr>
            <w:tcW w:w="846"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较劣</w:t>
            </w:r>
          </w:p>
        </w:tc>
        <w:tc>
          <w:tcPr>
            <w:tcW w:w="846"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Align w:val="center"/>
          </w:tcPr>
          <w:p>
            <w:pPr>
              <w:widowControl/>
              <w:jc w:val="center"/>
              <w:textAlignment w:val="bottom"/>
              <w:rPr>
                <w:rFonts w:eastAsia="Tahoma"/>
                <w:color w:val="000000"/>
                <w:kern w:val="0"/>
                <w:szCs w:val="21"/>
                <w:lang/>
              </w:rPr>
            </w:pPr>
            <w:r>
              <w:rPr>
                <w:rFonts w:eastAsia="Tahoma"/>
                <w:color w:val="000000"/>
                <w:kern w:val="0"/>
                <w:szCs w:val="21"/>
                <w:lang/>
              </w:rPr>
              <w:t>商服繁华度</w:t>
            </w:r>
          </w:p>
        </w:tc>
        <w:tc>
          <w:tcPr>
            <w:tcW w:w="2560" w:type="dxa"/>
            <w:vAlign w:val="center"/>
          </w:tcPr>
          <w:p>
            <w:pPr>
              <w:widowControl/>
              <w:jc w:val="center"/>
              <w:textAlignment w:val="bottom"/>
              <w:rPr>
                <w:rFonts w:eastAsia="Tahoma"/>
                <w:color w:val="000000"/>
                <w:kern w:val="0"/>
                <w:szCs w:val="21"/>
                <w:lang/>
              </w:rPr>
            </w:pPr>
            <w:r>
              <w:rPr>
                <w:rFonts w:eastAsia="Tahoma"/>
                <w:color w:val="000000"/>
                <w:kern w:val="0"/>
                <w:szCs w:val="21"/>
                <w:lang/>
              </w:rPr>
              <w:t>距离商服中心距离</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0.314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4.826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2.413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0.000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-1.058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-2.116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Merge w:val="restart"/>
            <w:vAlign w:val="center"/>
          </w:tcPr>
          <w:p>
            <w:pPr>
              <w:widowControl/>
              <w:jc w:val="center"/>
              <w:textAlignment w:val="bottom"/>
              <w:rPr>
                <w:rFonts w:eastAsia="Tahoma"/>
                <w:color w:val="000000"/>
                <w:kern w:val="0"/>
                <w:szCs w:val="21"/>
                <w:lang/>
              </w:rPr>
            </w:pPr>
            <w:r>
              <w:rPr>
                <w:rFonts w:eastAsia="Tahoma"/>
                <w:color w:val="000000"/>
                <w:kern w:val="0"/>
                <w:szCs w:val="21"/>
                <w:lang/>
              </w:rPr>
              <w:t>交通条件</w:t>
            </w:r>
          </w:p>
        </w:tc>
        <w:tc>
          <w:tcPr>
            <w:tcW w:w="2560" w:type="dxa"/>
            <w:vAlign w:val="center"/>
          </w:tcPr>
          <w:p>
            <w:pPr>
              <w:widowControl/>
              <w:jc w:val="center"/>
              <w:textAlignment w:val="bottom"/>
              <w:rPr>
                <w:rFonts w:eastAsia="Tahoma"/>
                <w:color w:val="000000"/>
                <w:kern w:val="0"/>
                <w:szCs w:val="21"/>
                <w:lang/>
              </w:rPr>
            </w:pPr>
            <w:r>
              <w:rPr>
                <w:rFonts w:eastAsia="Tahoma"/>
                <w:color w:val="000000"/>
                <w:kern w:val="0"/>
                <w:szCs w:val="21"/>
                <w:lang/>
              </w:rPr>
              <w:t>临街道路状况</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0.170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2.613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1.306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0.000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-0.573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-1.146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Merge w:val="continue"/>
            <w:vAlign w:val="center"/>
          </w:tcPr>
          <w:p>
            <w:pPr>
              <w:widowControl/>
              <w:jc w:val="center"/>
              <w:textAlignment w:val="bottom"/>
              <w:rPr>
                <w:rFonts w:eastAsia="Tahoma"/>
                <w:color w:val="000000"/>
                <w:kern w:val="0"/>
                <w:szCs w:val="21"/>
                <w:lang/>
              </w:rPr>
            </w:pPr>
          </w:p>
        </w:tc>
        <w:tc>
          <w:tcPr>
            <w:tcW w:w="2560" w:type="dxa"/>
            <w:vAlign w:val="center"/>
          </w:tcPr>
          <w:p>
            <w:pPr>
              <w:widowControl/>
              <w:jc w:val="center"/>
              <w:textAlignment w:val="bottom"/>
              <w:rPr>
                <w:rFonts w:eastAsia="Tahoma"/>
                <w:color w:val="000000"/>
                <w:kern w:val="0"/>
                <w:szCs w:val="21"/>
                <w:lang/>
              </w:rPr>
            </w:pPr>
            <w:r>
              <w:rPr>
                <w:rFonts w:eastAsia="Tahoma"/>
                <w:color w:val="000000"/>
                <w:kern w:val="0"/>
                <w:szCs w:val="21"/>
                <w:lang/>
              </w:rPr>
              <w:t>临汽车站距离</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0.051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0.784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0.392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0.000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-0.172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-0.344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Align w:val="center"/>
          </w:tcPr>
          <w:p>
            <w:pPr>
              <w:widowControl/>
              <w:jc w:val="center"/>
              <w:textAlignment w:val="bottom"/>
              <w:rPr>
                <w:rFonts w:eastAsia="Tahoma"/>
                <w:color w:val="000000"/>
                <w:kern w:val="0"/>
                <w:szCs w:val="21"/>
                <w:lang/>
              </w:rPr>
            </w:pPr>
            <w:r>
              <w:rPr>
                <w:rFonts w:eastAsia="Tahoma"/>
                <w:color w:val="000000"/>
                <w:kern w:val="0"/>
                <w:szCs w:val="21"/>
                <w:lang/>
              </w:rPr>
              <w:t>基本设施状况</w:t>
            </w:r>
          </w:p>
        </w:tc>
        <w:tc>
          <w:tcPr>
            <w:tcW w:w="2560" w:type="dxa"/>
            <w:vAlign w:val="center"/>
          </w:tcPr>
          <w:p>
            <w:pPr>
              <w:widowControl/>
              <w:jc w:val="center"/>
              <w:textAlignment w:val="bottom"/>
              <w:rPr>
                <w:rFonts w:eastAsia="Tahoma"/>
                <w:color w:val="000000"/>
                <w:kern w:val="0"/>
                <w:szCs w:val="21"/>
                <w:lang/>
              </w:rPr>
            </w:pPr>
            <w:r>
              <w:rPr>
                <w:rFonts w:eastAsia="Tahoma"/>
                <w:color w:val="000000"/>
                <w:kern w:val="0"/>
                <w:szCs w:val="21"/>
                <w:lang/>
              </w:rPr>
              <w:t>水电气综合保证率</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0.170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2.613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1.306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0.000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-0.573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-1.146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人口状况</w:t>
            </w:r>
          </w:p>
        </w:tc>
        <w:tc>
          <w:tcPr>
            <w:tcW w:w="2560"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人口密度</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0.160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2.459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1.230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0.000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-0.539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-1.078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Merge w:val="restart"/>
            <w:vAlign w:val="center"/>
          </w:tcPr>
          <w:p>
            <w:pPr>
              <w:widowControl/>
              <w:jc w:val="center"/>
              <w:textAlignment w:val="bottom"/>
              <w:rPr>
                <w:rFonts w:eastAsia="Tahoma"/>
                <w:color w:val="000000"/>
                <w:kern w:val="0"/>
                <w:szCs w:val="21"/>
                <w:lang/>
              </w:rPr>
            </w:pPr>
            <w:r>
              <w:rPr>
                <w:rFonts w:eastAsia="Tahoma"/>
                <w:color w:val="000000"/>
                <w:kern w:val="0"/>
                <w:szCs w:val="21"/>
                <w:lang/>
              </w:rPr>
              <w:t>环境条件</w:t>
            </w:r>
          </w:p>
        </w:tc>
        <w:tc>
          <w:tcPr>
            <w:tcW w:w="2560" w:type="dxa"/>
            <w:vAlign w:val="center"/>
          </w:tcPr>
          <w:p>
            <w:pPr>
              <w:widowControl/>
              <w:jc w:val="center"/>
              <w:textAlignment w:val="bottom"/>
              <w:rPr>
                <w:rFonts w:eastAsia="Tahoma"/>
                <w:color w:val="000000"/>
                <w:kern w:val="0"/>
                <w:szCs w:val="21"/>
                <w:lang/>
              </w:rPr>
            </w:pPr>
            <w:r>
              <w:rPr>
                <w:rFonts w:eastAsia="Tahoma"/>
                <w:color w:val="000000"/>
                <w:kern w:val="0"/>
                <w:szCs w:val="21"/>
                <w:lang/>
              </w:rPr>
              <w:t>大气污染状况</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0.063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0.968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0.484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0.000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-0.212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-0.425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05" w:type="dxa"/>
            <w:vMerge w:val="continue"/>
            <w:vAlign w:val="center"/>
          </w:tcPr>
          <w:p>
            <w:pPr>
              <w:widowControl/>
              <w:jc w:val="center"/>
              <w:textAlignment w:val="bottom"/>
              <w:rPr>
                <w:rFonts w:eastAsia="Tahoma"/>
                <w:color w:val="000000"/>
                <w:kern w:val="0"/>
                <w:szCs w:val="21"/>
                <w:lang/>
              </w:rPr>
            </w:pPr>
          </w:p>
        </w:tc>
        <w:tc>
          <w:tcPr>
            <w:tcW w:w="2560" w:type="dxa"/>
            <w:vAlign w:val="center"/>
          </w:tcPr>
          <w:p>
            <w:pPr>
              <w:widowControl/>
              <w:jc w:val="center"/>
              <w:textAlignment w:val="bottom"/>
              <w:rPr>
                <w:rFonts w:eastAsia="Tahoma"/>
                <w:color w:val="000000"/>
                <w:kern w:val="0"/>
                <w:szCs w:val="21"/>
                <w:lang/>
              </w:rPr>
            </w:pPr>
            <w:r>
              <w:rPr>
                <w:rFonts w:eastAsia="Tahoma"/>
                <w:color w:val="000000"/>
                <w:kern w:val="0"/>
                <w:szCs w:val="21"/>
                <w:lang/>
              </w:rPr>
              <w:t>噪音污染状况</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0.072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1.107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0.553 </w:t>
            </w:r>
          </w:p>
        </w:tc>
        <w:tc>
          <w:tcPr>
            <w:tcW w:w="840"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0.000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-0.243 </w:t>
            </w:r>
          </w:p>
        </w:tc>
        <w:tc>
          <w:tcPr>
            <w:tcW w:w="846" w:type="dxa"/>
            <w:vAlign w:val="center"/>
          </w:tcPr>
          <w:p>
            <w:pPr>
              <w:widowControl/>
              <w:jc w:val="center"/>
              <w:textAlignment w:val="bottom"/>
              <w:rPr>
                <w:rFonts w:eastAsia="Tahoma"/>
                <w:color w:val="000000"/>
                <w:kern w:val="0"/>
                <w:szCs w:val="21"/>
                <w:lang/>
              </w:rPr>
            </w:pPr>
            <w:r>
              <w:rPr>
                <w:rFonts w:eastAsia="Tahoma"/>
                <w:color w:val="000000"/>
                <w:kern w:val="0"/>
                <w:szCs w:val="21"/>
                <w:lang/>
              </w:rPr>
              <w:t xml:space="preserve">-0.485 </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w:t>
      </w:r>
      <w:r>
        <w:rPr>
          <w:rFonts w:hint="eastAsia" w:ascii="Times New Roman" w:hAnsi="Times New Roman"/>
          <w:sz w:val="24"/>
          <w:szCs w:val="24"/>
        </w:rPr>
        <w:t>20</w:t>
      </w:r>
      <w:r>
        <w:rPr>
          <w:rFonts w:ascii="Times New Roman" w:hAnsi="Times New Roman"/>
          <w:sz w:val="24"/>
          <w:szCs w:val="24"/>
        </w:rPr>
        <w:t xml:space="preserve"> 长沙县乡镇Ⅲ级商服用地宗地地价区域因素修正系数指标说明表</w:t>
      </w:r>
    </w:p>
    <w:tbl>
      <w:tblPr>
        <w:tblW w:w="93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09"/>
        <w:gridCol w:w="2367"/>
        <w:gridCol w:w="1013"/>
        <w:gridCol w:w="1161"/>
        <w:gridCol w:w="1161"/>
        <w:gridCol w:w="1161"/>
        <w:gridCol w:w="9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tblHeader/>
          <w:jc w:val="center"/>
        </w:trPr>
        <w:tc>
          <w:tcPr>
            <w:tcW w:w="150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因素</w:t>
            </w:r>
          </w:p>
        </w:tc>
        <w:tc>
          <w:tcPr>
            <w:tcW w:w="2367" w:type="dxa"/>
            <w:tcBorders>
              <w:top w:val="single" w:color="auto" w:sz="4" w:space="0"/>
              <w:left w:val="nil"/>
              <w:bottom w:val="single" w:color="auto" w:sz="4" w:space="0"/>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因子</w:t>
            </w:r>
          </w:p>
        </w:tc>
        <w:tc>
          <w:tcPr>
            <w:tcW w:w="1013" w:type="dxa"/>
            <w:tcBorders>
              <w:top w:val="single" w:color="auto" w:sz="4" w:space="0"/>
              <w:left w:val="nil"/>
              <w:bottom w:val="nil"/>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优</w:t>
            </w:r>
          </w:p>
        </w:tc>
        <w:tc>
          <w:tcPr>
            <w:tcW w:w="1161" w:type="dxa"/>
            <w:tcBorders>
              <w:top w:val="single" w:color="auto" w:sz="4" w:space="0"/>
              <w:left w:val="nil"/>
              <w:bottom w:val="nil"/>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较优</w:t>
            </w:r>
          </w:p>
        </w:tc>
        <w:tc>
          <w:tcPr>
            <w:tcW w:w="1161" w:type="dxa"/>
            <w:tcBorders>
              <w:top w:val="single" w:color="auto" w:sz="4" w:space="0"/>
              <w:left w:val="nil"/>
              <w:bottom w:val="nil"/>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一般</w:t>
            </w:r>
          </w:p>
        </w:tc>
        <w:tc>
          <w:tcPr>
            <w:tcW w:w="1161" w:type="dxa"/>
            <w:tcBorders>
              <w:top w:val="single" w:color="auto" w:sz="4" w:space="0"/>
              <w:left w:val="nil"/>
              <w:bottom w:val="nil"/>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较劣</w:t>
            </w:r>
          </w:p>
        </w:tc>
        <w:tc>
          <w:tcPr>
            <w:tcW w:w="938" w:type="dxa"/>
            <w:tcBorders>
              <w:top w:val="single" w:color="auto" w:sz="4" w:space="0"/>
              <w:left w:val="nil"/>
              <w:bottom w:val="nil"/>
              <w:right w:val="single" w:color="auto" w:sz="4" w:space="0"/>
            </w:tcBorders>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tcBorders>
              <w:top w:val="nil"/>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商服繁华度</w:t>
            </w:r>
          </w:p>
        </w:tc>
        <w:tc>
          <w:tcPr>
            <w:tcW w:w="2367" w:type="dxa"/>
            <w:tcBorders>
              <w:top w:val="nil"/>
              <w:left w:val="nil"/>
              <w:bottom w:val="single" w:color="auto" w:sz="4" w:space="0"/>
              <w:right w:val="nil"/>
            </w:tcBorders>
            <w:vAlign w:val="center"/>
          </w:tcPr>
          <w:p>
            <w:pPr>
              <w:widowControl/>
              <w:jc w:val="center"/>
              <w:textAlignment w:val="bottom"/>
              <w:rPr>
                <w:rFonts w:eastAsia="Tahoma"/>
                <w:color w:val="000000"/>
                <w:kern w:val="0"/>
                <w:szCs w:val="21"/>
                <w:lang/>
              </w:rPr>
            </w:pPr>
            <w:r>
              <w:rPr>
                <w:rFonts w:eastAsia="Tahoma"/>
                <w:color w:val="000000"/>
                <w:kern w:val="0"/>
                <w:szCs w:val="21"/>
                <w:lang/>
              </w:rPr>
              <w:t>距商服中心距离（m）</w:t>
            </w:r>
          </w:p>
        </w:tc>
        <w:tc>
          <w:tcPr>
            <w:tcW w:w="10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≤100</w:t>
            </w:r>
          </w:p>
        </w:tc>
        <w:tc>
          <w:tcPr>
            <w:tcW w:w="1161"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100200</w:t>
            </w:r>
          </w:p>
        </w:tc>
        <w:tc>
          <w:tcPr>
            <w:tcW w:w="1161"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200300</w:t>
            </w:r>
          </w:p>
        </w:tc>
        <w:tc>
          <w:tcPr>
            <w:tcW w:w="1161"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300500</w:t>
            </w:r>
          </w:p>
        </w:tc>
        <w:tc>
          <w:tcPr>
            <w:tcW w:w="938"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&gt;500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vMerge w:val="restart"/>
            <w:tcBorders>
              <w:top w:val="nil"/>
              <w:left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交通条件</w:t>
            </w:r>
          </w:p>
        </w:tc>
        <w:tc>
          <w:tcPr>
            <w:tcW w:w="2367" w:type="dxa"/>
            <w:tcBorders>
              <w:top w:val="nil"/>
              <w:left w:val="nil"/>
              <w:bottom w:val="nil"/>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临街道路状况</w:t>
            </w:r>
          </w:p>
        </w:tc>
        <w:tc>
          <w:tcPr>
            <w:tcW w:w="1013"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主要</w:t>
            </w:r>
          </w:p>
          <w:p>
            <w:pPr>
              <w:widowControl/>
              <w:jc w:val="center"/>
              <w:textAlignment w:val="bottom"/>
              <w:rPr>
                <w:rFonts w:eastAsia="Tahoma"/>
                <w:color w:val="000000"/>
                <w:kern w:val="0"/>
                <w:szCs w:val="21"/>
                <w:lang/>
              </w:rPr>
            </w:pPr>
            <w:r>
              <w:rPr>
                <w:rFonts w:eastAsia="Tahoma"/>
                <w:color w:val="000000"/>
                <w:kern w:val="0"/>
                <w:szCs w:val="21"/>
                <w:lang/>
              </w:rPr>
              <w:t>主干道</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一般</w:t>
            </w:r>
          </w:p>
          <w:p>
            <w:pPr>
              <w:widowControl/>
              <w:jc w:val="center"/>
              <w:textAlignment w:val="bottom"/>
              <w:rPr>
                <w:rFonts w:eastAsia="Tahoma"/>
                <w:color w:val="000000"/>
                <w:kern w:val="0"/>
                <w:szCs w:val="21"/>
                <w:lang/>
              </w:rPr>
            </w:pPr>
            <w:r>
              <w:rPr>
                <w:rFonts w:eastAsia="Tahoma"/>
                <w:color w:val="000000"/>
                <w:kern w:val="0"/>
                <w:szCs w:val="21"/>
                <w:lang/>
              </w:rPr>
              <w:t>主干道</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次干道</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支路</w:t>
            </w:r>
          </w:p>
        </w:tc>
        <w:tc>
          <w:tcPr>
            <w:tcW w:w="938"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巷道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vMerge w:val="continue"/>
            <w:tcBorders>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p>
        </w:tc>
        <w:tc>
          <w:tcPr>
            <w:tcW w:w="2367" w:type="dxa"/>
            <w:tcBorders>
              <w:top w:val="single" w:color="auto" w:sz="4" w:space="0"/>
              <w:left w:val="nil"/>
              <w:bottom w:val="nil"/>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临汽车站距离（m）</w:t>
            </w:r>
          </w:p>
        </w:tc>
        <w:tc>
          <w:tcPr>
            <w:tcW w:w="1013"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≤250</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250-350</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350-550</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550-800</w:t>
            </w:r>
          </w:p>
        </w:tc>
        <w:tc>
          <w:tcPr>
            <w:tcW w:w="938"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&gt;800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tcBorders>
              <w:top w:val="nil"/>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基本设施状况</w:t>
            </w:r>
          </w:p>
        </w:tc>
        <w:tc>
          <w:tcPr>
            <w:tcW w:w="2367"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水电气综合保证率</w:t>
            </w:r>
          </w:p>
        </w:tc>
        <w:tc>
          <w:tcPr>
            <w:tcW w:w="1013" w:type="dxa"/>
            <w:tcBorders>
              <w:top w:val="nil"/>
              <w:left w:val="nil"/>
              <w:bottom w:val="nil"/>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90-100%</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80-90%</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70-79%</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60-70%</w:t>
            </w:r>
          </w:p>
        </w:tc>
        <w:tc>
          <w:tcPr>
            <w:tcW w:w="938"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人口状况</w:t>
            </w:r>
          </w:p>
        </w:tc>
        <w:tc>
          <w:tcPr>
            <w:tcW w:w="2367"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人口密度</w:t>
            </w:r>
          </w:p>
        </w:tc>
        <w:tc>
          <w:tcPr>
            <w:tcW w:w="1013"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人口稠密</w:t>
            </w:r>
          </w:p>
        </w:tc>
        <w:tc>
          <w:tcPr>
            <w:tcW w:w="1161"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人口较稠密</w:t>
            </w:r>
          </w:p>
        </w:tc>
        <w:tc>
          <w:tcPr>
            <w:tcW w:w="1161"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一般</w:t>
            </w:r>
          </w:p>
        </w:tc>
        <w:tc>
          <w:tcPr>
            <w:tcW w:w="1161"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人口较稀疏</w:t>
            </w:r>
          </w:p>
        </w:tc>
        <w:tc>
          <w:tcPr>
            <w:tcW w:w="938"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人口稀疏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vMerge w:val="restart"/>
            <w:tcBorders>
              <w:top w:val="nil"/>
              <w:left w:val="single" w:color="auto" w:sz="4" w:space="0"/>
              <w:bottom w:val="single" w:color="000000"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环境条件</w:t>
            </w:r>
          </w:p>
        </w:tc>
        <w:tc>
          <w:tcPr>
            <w:tcW w:w="2367"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大气污染状况</w:t>
            </w:r>
          </w:p>
        </w:tc>
        <w:tc>
          <w:tcPr>
            <w:tcW w:w="1013"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低</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较低</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一般</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污染较重</w:t>
            </w:r>
          </w:p>
        </w:tc>
        <w:tc>
          <w:tcPr>
            <w:tcW w:w="938"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严重污染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09" w:type="dxa"/>
            <w:vMerge w:val="continue"/>
            <w:tcBorders>
              <w:top w:val="nil"/>
              <w:left w:val="single" w:color="auto" w:sz="4" w:space="0"/>
              <w:bottom w:val="single" w:color="000000" w:sz="4" w:space="0"/>
              <w:right w:val="single" w:color="auto" w:sz="4" w:space="0"/>
            </w:tcBorders>
            <w:vAlign w:val="center"/>
          </w:tcPr>
          <w:p>
            <w:pPr>
              <w:widowControl/>
              <w:jc w:val="center"/>
              <w:textAlignment w:val="bottom"/>
              <w:rPr>
                <w:rFonts w:eastAsia="Tahoma"/>
                <w:color w:val="000000"/>
                <w:kern w:val="0"/>
                <w:szCs w:val="21"/>
                <w:lang/>
              </w:rPr>
            </w:pPr>
          </w:p>
        </w:tc>
        <w:tc>
          <w:tcPr>
            <w:tcW w:w="2367"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噪音污染状况</w:t>
            </w:r>
          </w:p>
        </w:tc>
        <w:tc>
          <w:tcPr>
            <w:tcW w:w="1013"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无污染</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基本无污染</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轻度污染</w:t>
            </w:r>
          </w:p>
        </w:tc>
        <w:tc>
          <w:tcPr>
            <w:tcW w:w="1161"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污染较重</w:t>
            </w:r>
          </w:p>
        </w:tc>
        <w:tc>
          <w:tcPr>
            <w:tcW w:w="938" w:type="dxa"/>
            <w:tcBorders>
              <w:top w:val="nil"/>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严重污染</w:t>
            </w:r>
          </w:p>
        </w:tc>
      </w:tr>
    </w:tbl>
    <w:p>
      <w:pPr>
        <w:spacing w:line="360" w:lineRule="auto"/>
        <w:ind w:firstLine="480" w:firstLineChars="200"/>
        <w:rPr>
          <w:sz w:val="24"/>
          <w:lang w:val="zh-CN"/>
        </w:rPr>
      </w:pPr>
      <w:r>
        <w:rPr>
          <w:sz w:val="24"/>
          <w:lang w:val="zh-CN"/>
        </w:rPr>
        <w:t>（2）住宅用地宗地地价区域因素修正</w:t>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w:t>
      </w:r>
      <w:r>
        <w:rPr>
          <w:rFonts w:hint="eastAsia" w:ascii="Times New Roman" w:hAnsi="Times New Roman"/>
          <w:sz w:val="24"/>
          <w:szCs w:val="24"/>
        </w:rPr>
        <w:t>21</w:t>
      </w:r>
      <w:r>
        <w:rPr>
          <w:rFonts w:ascii="Times New Roman" w:hAnsi="Times New Roman"/>
          <w:sz w:val="24"/>
          <w:szCs w:val="24"/>
        </w:rPr>
        <w:t xml:space="preserve"> 长沙县乡镇Ⅰ级住宅用地宗地地价区域因素修正系数表</w:t>
      </w:r>
    </w:p>
    <w:tbl>
      <w:tblPr>
        <w:tblW w:w="9383" w:type="dxa"/>
        <w:jc w:val="center"/>
        <w:tblInd w:w="-2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767"/>
        <w:gridCol w:w="2328"/>
        <w:gridCol w:w="881"/>
        <w:gridCol w:w="881"/>
        <w:gridCol w:w="881"/>
        <w:gridCol w:w="881"/>
        <w:gridCol w:w="881"/>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7" w:hRule="atLeast"/>
          <w:tblHeader/>
          <w:jc w:val="center"/>
        </w:trPr>
        <w:tc>
          <w:tcPr>
            <w:tcW w:w="1767"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因素</w:t>
            </w:r>
          </w:p>
        </w:tc>
        <w:tc>
          <w:tcPr>
            <w:tcW w:w="2328"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因子</w:t>
            </w:r>
          </w:p>
        </w:tc>
        <w:tc>
          <w:tcPr>
            <w:tcW w:w="881"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权重</w:t>
            </w:r>
          </w:p>
        </w:tc>
        <w:tc>
          <w:tcPr>
            <w:tcW w:w="881"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优</w:t>
            </w:r>
          </w:p>
        </w:tc>
        <w:tc>
          <w:tcPr>
            <w:tcW w:w="881"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较优</w:t>
            </w:r>
          </w:p>
        </w:tc>
        <w:tc>
          <w:tcPr>
            <w:tcW w:w="881"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一般</w:t>
            </w:r>
          </w:p>
        </w:tc>
        <w:tc>
          <w:tcPr>
            <w:tcW w:w="881"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较劣</w:t>
            </w:r>
          </w:p>
        </w:tc>
        <w:tc>
          <w:tcPr>
            <w:tcW w:w="883"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40" w:hRule="atLeast"/>
          <w:jc w:val="center"/>
        </w:trPr>
        <w:tc>
          <w:tcPr>
            <w:tcW w:w="1767" w:type="dxa"/>
            <w:vAlign w:val="center"/>
          </w:tcPr>
          <w:p>
            <w:pPr>
              <w:widowControl/>
              <w:jc w:val="center"/>
              <w:textAlignment w:val="bottom"/>
              <w:rPr>
                <w:rFonts w:eastAsia="Tahoma"/>
                <w:color w:val="000000"/>
                <w:szCs w:val="21"/>
              </w:rPr>
            </w:pPr>
            <w:r>
              <w:rPr>
                <w:rFonts w:eastAsia="Tahoma"/>
                <w:color w:val="000000"/>
                <w:kern w:val="0"/>
                <w:szCs w:val="21"/>
                <w:lang/>
              </w:rPr>
              <w:t>商服繁华度</w:t>
            </w:r>
          </w:p>
        </w:tc>
        <w:tc>
          <w:tcPr>
            <w:tcW w:w="2328" w:type="dxa"/>
            <w:vAlign w:val="center"/>
          </w:tcPr>
          <w:p>
            <w:pPr>
              <w:widowControl/>
              <w:jc w:val="center"/>
              <w:textAlignment w:val="bottom"/>
              <w:rPr>
                <w:rFonts w:eastAsia="Tahoma"/>
                <w:color w:val="000000"/>
                <w:szCs w:val="21"/>
              </w:rPr>
            </w:pPr>
            <w:r>
              <w:rPr>
                <w:rFonts w:eastAsia="Tahoma"/>
                <w:color w:val="000000"/>
                <w:kern w:val="0"/>
                <w:szCs w:val="21"/>
                <w:lang/>
              </w:rPr>
              <w:t>距离商服中心距离</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0.157</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2.634</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1.317</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 xml:space="preserve">-0.882 </w:t>
            </w:r>
          </w:p>
        </w:tc>
        <w:tc>
          <w:tcPr>
            <w:tcW w:w="883" w:type="dxa"/>
            <w:vAlign w:val="center"/>
          </w:tcPr>
          <w:p>
            <w:pPr>
              <w:widowControl/>
              <w:jc w:val="center"/>
              <w:textAlignment w:val="center"/>
              <w:rPr>
                <w:rFonts w:eastAsia="Tahoma"/>
                <w:color w:val="000000"/>
                <w:szCs w:val="21"/>
              </w:rPr>
            </w:pPr>
            <w:r>
              <w:rPr>
                <w:rFonts w:eastAsia="Tahoma"/>
                <w:color w:val="000000"/>
                <w:kern w:val="0"/>
                <w:szCs w:val="21"/>
                <w:lang/>
              </w:rPr>
              <w:t xml:space="preserve">-1.763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jc w:val="center"/>
        </w:trPr>
        <w:tc>
          <w:tcPr>
            <w:tcW w:w="1767" w:type="dxa"/>
            <w:vMerge w:val="restart"/>
            <w:vAlign w:val="center"/>
          </w:tcPr>
          <w:p>
            <w:pPr>
              <w:widowControl/>
              <w:jc w:val="center"/>
              <w:textAlignment w:val="bottom"/>
              <w:rPr>
                <w:rFonts w:eastAsia="Tahoma"/>
                <w:color w:val="000000"/>
                <w:szCs w:val="21"/>
              </w:rPr>
            </w:pPr>
            <w:r>
              <w:rPr>
                <w:rFonts w:eastAsia="Tahoma"/>
                <w:color w:val="000000"/>
                <w:kern w:val="0"/>
                <w:szCs w:val="21"/>
                <w:lang/>
              </w:rPr>
              <w:t>交通条件</w:t>
            </w:r>
          </w:p>
        </w:tc>
        <w:tc>
          <w:tcPr>
            <w:tcW w:w="2328" w:type="dxa"/>
            <w:vAlign w:val="center"/>
          </w:tcPr>
          <w:p>
            <w:pPr>
              <w:widowControl/>
              <w:jc w:val="center"/>
              <w:textAlignment w:val="bottom"/>
              <w:rPr>
                <w:rFonts w:eastAsia="Tahoma"/>
                <w:color w:val="000000"/>
                <w:szCs w:val="21"/>
              </w:rPr>
            </w:pPr>
            <w:r>
              <w:rPr>
                <w:rFonts w:eastAsia="Tahoma"/>
                <w:color w:val="000000"/>
                <w:kern w:val="0"/>
                <w:szCs w:val="21"/>
                <w:lang/>
              </w:rPr>
              <w:t>临街道路状况</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0.178</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2.987</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1.493</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 xml:space="preserve">-0.999 </w:t>
            </w:r>
          </w:p>
        </w:tc>
        <w:tc>
          <w:tcPr>
            <w:tcW w:w="883" w:type="dxa"/>
            <w:vAlign w:val="center"/>
          </w:tcPr>
          <w:p>
            <w:pPr>
              <w:widowControl/>
              <w:jc w:val="center"/>
              <w:textAlignment w:val="center"/>
              <w:rPr>
                <w:rFonts w:eastAsia="Tahoma"/>
                <w:color w:val="000000"/>
                <w:szCs w:val="21"/>
              </w:rPr>
            </w:pPr>
            <w:r>
              <w:rPr>
                <w:rFonts w:eastAsia="Tahoma"/>
                <w:color w:val="000000"/>
                <w:kern w:val="0"/>
                <w:szCs w:val="21"/>
                <w:lang/>
              </w:rPr>
              <w:t xml:space="preserve">-1.999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jc w:val="center"/>
        </w:trPr>
        <w:tc>
          <w:tcPr>
            <w:tcW w:w="1767" w:type="dxa"/>
            <w:vMerge w:val="continue"/>
            <w:vAlign w:val="center"/>
          </w:tcPr>
          <w:p>
            <w:pPr>
              <w:jc w:val="center"/>
              <w:rPr>
                <w:rFonts w:eastAsia="Tahoma"/>
                <w:color w:val="000000"/>
                <w:szCs w:val="21"/>
              </w:rPr>
            </w:pPr>
          </w:p>
        </w:tc>
        <w:tc>
          <w:tcPr>
            <w:tcW w:w="2328" w:type="dxa"/>
            <w:vAlign w:val="center"/>
          </w:tcPr>
          <w:p>
            <w:pPr>
              <w:widowControl/>
              <w:jc w:val="center"/>
              <w:textAlignment w:val="bottom"/>
              <w:rPr>
                <w:rFonts w:eastAsia="Tahoma"/>
                <w:color w:val="000000"/>
                <w:szCs w:val="21"/>
              </w:rPr>
            </w:pPr>
            <w:r>
              <w:rPr>
                <w:rFonts w:eastAsia="Tahoma"/>
                <w:color w:val="000000"/>
                <w:kern w:val="0"/>
                <w:szCs w:val="21"/>
                <w:lang/>
              </w:rPr>
              <w:t>距长途汽车站距离</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0.063</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1.057</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0.529</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 xml:space="preserve">-0.354 </w:t>
            </w:r>
          </w:p>
        </w:tc>
        <w:tc>
          <w:tcPr>
            <w:tcW w:w="883" w:type="dxa"/>
            <w:vAlign w:val="center"/>
          </w:tcPr>
          <w:p>
            <w:pPr>
              <w:widowControl/>
              <w:jc w:val="center"/>
              <w:textAlignment w:val="center"/>
              <w:rPr>
                <w:rFonts w:eastAsia="Tahoma"/>
                <w:color w:val="000000"/>
                <w:szCs w:val="21"/>
              </w:rPr>
            </w:pPr>
            <w:r>
              <w:rPr>
                <w:rFonts w:eastAsia="Tahoma"/>
                <w:color w:val="000000"/>
                <w:kern w:val="0"/>
                <w:szCs w:val="21"/>
                <w:lang/>
              </w:rPr>
              <w:t xml:space="preserve">-0.707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jc w:val="center"/>
        </w:trPr>
        <w:tc>
          <w:tcPr>
            <w:tcW w:w="1767" w:type="dxa"/>
            <w:vAlign w:val="center"/>
          </w:tcPr>
          <w:p>
            <w:pPr>
              <w:widowControl/>
              <w:jc w:val="center"/>
              <w:textAlignment w:val="bottom"/>
              <w:rPr>
                <w:rFonts w:eastAsia="Tahoma"/>
                <w:color w:val="000000"/>
                <w:szCs w:val="21"/>
              </w:rPr>
            </w:pPr>
            <w:r>
              <w:rPr>
                <w:rFonts w:eastAsia="Tahoma"/>
                <w:color w:val="000000"/>
                <w:kern w:val="0"/>
                <w:szCs w:val="21"/>
                <w:lang/>
              </w:rPr>
              <w:t>基础设施状况</w:t>
            </w:r>
          </w:p>
        </w:tc>
        <w:tc>
          <w:tcPr>
            <w:tcW w:w="2328" w:type="dxa"/>
            <w:vAlign w:val="center"/>
          </w:tcPr>
          <w:p>
            <w:pPr>
              <w:widowControl/>
              <w:jc w:val="center"/>
              <w:textAlignment w:val="bottom"/>
              <w:rPr>
                <w:rFonts w:eastAsia="Tahoma"/>
                <w:color w:val="000000"/>
                <w:szCs w:val="21"/>
              </w:rPr>
            </w:pPr>
            <w:r>
              <w:rPr>
                <w:rFonts w:eastAsia="Tahoma"/>
                <w:color w:val="000000"/>
                <w:kern w:val="0"/>
                <w:szCs w:val="21"/>
                <w:lang/>
              </w:rPr>
              <w:t>水电气综合保证率</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0.220</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3.692</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1.846</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 xml:space="preserve">-1.235 </w:t>
            </w:r>
          </w:p>
        </w:tc>
        <w:tc>
          <w:tcPr>
            <w:tcW w:w="883" w:type="dxa"/>
            <w:vAlign w:val="center"/>
          </w:tcPr>
          <w:p>
            <w:pPr>
              <w:widowControl/>
              <w:jc w:val="center"/>
              <w:textAlignment w:val="center"/>
              <w:rPr>
                <w:rFonts w:eastAsia="Tahoma"/>
                <w:color w:val="000000"/>
                <w:szCs w:val="21"/>
              </w:rPr>
            </w:pPr>
            <w:r>
              <w:rPr>
                <w:rFonts w:eastAsia="Tahoma"/>
                <w:color w:val="000000"/>
                <w:kern w:val="0"/>
                <w:szCs w:val="21"/>
                <w:lang/>
              </w:rPr>
              <w:t xml:space="preserve">-2.471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jc w:val="center"/>
        </w:trPr>
        <w:tc>
          <w:tcPr>
            <w:tcW w:w="1767" w:type="dxa"/>
            <w:vMerge w:val="restart"/>
            <w:vAlign w:val="center"/>
          </w:tcPr>
          <w:p>
            <w:pPr>
              <w:widowControl/>
              <w:jc w:val="center"/>
              <w:textAlignment w:val="bottom"/>
              <w:rPr>
                <w:rFonts w:eastAsia="Tahoma"/>
                <w:color w:val="000000"/>
                <w:szCs w:val="21"/>
              </w:rPr>
            </w:pPr>
            <w:r>
              <w:rPr>
                <w:rFonts w:eastAsia="Tahoma"/>
                <w:color w:val="000000"/>
                <w:kern w:val="0"/>
                <w:szCs w:val="21"/>
                <w:lang/>
              </w:rPr>
              <w:t>公用设施完备度</w:t>
            </w:r>
          </w:p>
        </w:tc>
        <w:tc>
          <w:tcPr>
            <w:tcW w:w="2328" w:type="dxa"/>
            <w:vAlign w:val="center"/>
          </w:tcPr>
          <w:p>
            <w:pPr>
              <w:widowControl/>
              <w:jc w:val="center"/>
              <w:textAlignment w:val="bottom"/>
              <w:rPr>
                <w:rFonts w:eastAsia="Tahoma"/>
                <w:color w:val="000000"/>
                <w:szCs w:val="21"/>
              </w:rPr>
            </w:pPr>
            <w:r>
              <w:rPr>
                <w:rFonts w:eastAsia="Tahoma"/>
                <w:color w:val="000000"/>
                <w:kern w:val="0"/>
                <w:szCs w:val="21"/>
                <w:lang/>
              </w:rPr>
              <w:t>距中小学距离</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0.043</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0.722</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0.361</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 xml:space="preserve">-0.241 </w:t>
            </w:r>
          </w:p>
        </w:tc>
        <w:tc>
          <w:tcPr>
            <w:tcW w:w="883" w:type="dxa"/>
            <w:vAlign w:val="center"/>
          </w:tcPr>
          <w:p>
            <w:pPr>
              <w:widowControl/>
              <w:jc w:val="center"/>
              <w:textAlignment w:val="center"/>
              <w:rPr>
                <w:rFonts w:eastAsia="Tahoma"/>
                <w:color w:val="000000"/>
                <w:szCs w:val="21"/>
              </w:rPr>
            </w:pPr>
            <w:r>
              <w:rPr>
                <w:rFonts w:eastAsia="Tahoma"/>
                <w:color w:val="000000"/>
                <w:kern w:val="0"/>
                <w:szCs w:val="21"/>
                <w:lang/>
              </w:rPr>
              <w:t xml:space="preserve">-0.483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jc w:val="center"/>
        </w:trPr>
        <w:tc>
          <w:tcPr>
            <w:tcW w:w="1767" w:type="dxa"/>
            <w:vMerge w:val="continue"/>
            <w:vAlign w:val="center"/>
          </w:tcPr>
          <w:p>
            <w:pPr>
              <w:jc w:val="center"/>
              <w:rPr>
                <w:rFonts w:eastAsia="Tahoma"/>
                <w:color w:val="000000"/>
                <w:szCs w:val="21"/>
              </w:rPr>
            </w:pPr>
          </w:p>
        </w:tc>
        <w:tc>
          <w:tcPr>
            <w:tcW w:w="2328" w:type="dxa"/>
            <w:vAlign w:val="center"/>
          </w:tcPr>
          <w:p>
            <w:pPr>
              <w:widowControl/>
              <w:jc w:val="center"/>
              <w:textAlignment w:val="bottom"/>
              <w:rPr>
                <w:rFonts w:eastAsia="Tahoma"/>
                <w:color w:val="000000"/>
                <w:szCs w:val="21"/>
              </w:rPr>
            </w:pPr>
            <w:r>
              <w:rPr>
                <w:rFonts w:eastAsia="Tahoma"/>
                <w:color w:val="000000"/>
                <w:kern w:val="0"/>
                <w:szCs w:val="21"/>
                <w:lang/>
              </w:rPr>
              <w:t>距农贸市场距离</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0.043</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0.722</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0.361</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 xml:space="preserve">-0.241 </w:t>
            </w:r>
          </w:p>
        </w:tc>
        <w:tc>
          <w:tcPr>
            <w:tcW w:w="883" w:type="dxa"/>
            <w:vAlign w:val="center"/>
          </w:tcPr>
          <w:p>
            <w:pPr>
              <w:widowControl/>
              <w:jc w:val="center"/>
              <w:textAlignment w:val="center"/>
              <w:rPr>
                <w:rFonts w:eastAsia="Tahoma"/>
                <w:color w:val="000000"/>
                <w:szCs w:val="21"/>
              </w:rPr>
            </w:pPr>
            <w:r>
              <w:rPr>
                <w:rFonts w:eastAsia="Tahoma"/>
                <w:color w:val="000000"/>
                <w:kern w:val="0"/>
                <w:szCs w:val="21"/>
                <w:lang/>
              </w:rPr>
              <w:t xml:space="preserve">-0.483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jc w:val="center"/>
        </w:trPr>
        <w:tc>
          <w:tcPr>
            <w:tcW w:w="1767" w:type="dxa"/>
            <w:vMerge w:val="continue"/>
            <w:vAlign w:val="center"/>
          </w:tcPr>
          <w:p>
            <w:pPr>
              <w:jc w:val="center"/>
              <w:rPr>
                <w:rFonts w:eastAsia="Tahoma"/>
                <w:color w:val="000000"/>
                <w:szCs w:val="21"/>
              </w:rPr>
            </w:pPr>
          </w:p>
        </w:tc>
        <w:tc>
          <w:tcPr>
            <w:tcW w:w="2328" w:type="dxa"/>
            <w:vAlign w:val="center"/>
          </w:tcPr>
          <w:p>
            <w:pPr>
              <w:widowControl/>
              <w:jc w:val="center"/>
              <w:textAlignment w:val="bottom"/>
              <w:rPr>
                <w:rFonts w:eastAsia="Tahoma"/>
                <w:color w:val="000000"/>
                <w:szCs w:val="21"/>
              </w:rPr>
            </w:pPr>
            <w:r>
              <w:rPr>
                <w:rFonts w:eastAsia="Tahoma"/>
                <w:color w:val="000000"/>
                <w:kern w:val="0"/>
                <w:szCs w:val="21"/>
                <w:lang/>
              </w:rPr>
              <w:t>距文体设施距离</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0.043</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0.722</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0.361</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 xml:space="preserve">-0.241 </w:t>
            </w:r>
          </w:p>
        </w:tc>
        <w:tc>
          <w:tcPr>
            <w:tcW w:w="883" w:type="dxa"/>
            <w:vAlign w:val="center"/>
          </w:tcPr>
          <w:p>
            <w:pPr>
              <w:widowControl/>
              <w:jc w:val="center"/>
              <w:textAlignment w:val="center"/>
              <w:rPr>
                <w:rFonts w:eastAsia="Tahoma"/>
                <w:color w:val="000000"/>
                <w:szCs w:val="21"/>
              </w:rPr>
            </w:pPr>
            <w:r>
              <w:rPr>
                <w:rFonts w:eastAsia="Tahoma"/>
                <w:color w:val="000000"/>
                <w:kern w:val="0"/>
                <w:szCs w:val="21"/>
                <w:lang/>
              </w:rPr>
              <w:t xml:space="preserve">-0.483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1" w:hRule="atLeast"/>
          <w:jc w:val="center"/>
        </w:trPr>
        <w:tc>
          <w:tcPr>
            <w:tcW w:w="1767" w:type="dxa"/>
            <w:vMerge w:val="continue"/>
            <w:vAlign w:val="center"/>
          </w:tcPr>
          <w:p>
            <w:pPr>
              <w:jc w:val="center"/>
              <w:rPr>
                <w:rFonts w:eastAsia="Tahoma"/>
                <w:color w:val="000000"/>
                <w:szCs w:val="21"/>
              </w:rPr>
            </w:pPr>
          </w:p>
        </w:tc>
        <w:tc>
          <w:tcPr>
            <w:tcW w:w="2328" w:type="dxa"/>
            <w:vAlign w:val="center"/>
          </w:tcPr>
          <w:p>
            <w:pPr>
              <w:widowControl/>
              <w:jc w:val="center"/>
              <w:textAlignment w:val="bottom"/>
              <w:rPr>
                <w:rFonts w:eastAsia="Tahoma"/>
                <w:color w:val="000000"/>
                <w:szCs w:val="21"/>
              </w:rPr>
            </w:pPr>
            <w:r>
              <w:rPr>
                <w:rFonts w:eastAsia="Tahoma"/>
                <w:color w:val="000000"/>
                <w:kern w:val="0"/>
                <w:szCs w:val="21"/>
                <w:lang/>
              </w:rPr>
              <w:t>距医院距离</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0.043</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0.722</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0.361</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 xml:space="preserve">-0.241 </w:t>
            </w:r>
          </w:p>
        </w:tc>
        <w:tc>
          <w:tcPr>
            <w:tcW w:w="883" w:type="dxa"/>
            <w:vAlign w:val="center"/>
          </w:tcPr>
          <w:p>
            <w:pPr>
              <w:widowControl/>
              <w:jc w:val="center"/>
              <w:textAlignment w:val="center"/>
              <w:rPr>
                <w:rFonts w:eastAsia="Tahoma"/>
                <w:color w:val="000000"/>
                <w:szCs w:val="21"/>
              </w:rPr>
            </w:pPr>
            <w:r>
              <w:rPr>
                <w:rFonts w:eastAsia="Tahoma"/>
                <w:color w:val="000000"/>
                <w:kern w:val="0"/>
                <w:szCs w:val="21"/>
                <w:lang/>
              </w:rPr>
              <w:t xml:space="preserve">-0.483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1" w:hRule="atLeast"/>
          <w:jc w:val="center"/>
        </w:trPr>
        <w:tc>
          <w:tcPr>
            <w:tcW w:w="1767" w:type="dxa"/>
            <w:vAlign w:val="center"/>
          </w:tcPr>
          <w:p>
            <w:pPr>
              <w:widowControl/>
              <w:jc w:val="center"/>
              <w:textAlignment w:val="bottom"/>
              <w:rPr>
                <w:color w:val="000000"/>
                <w:szCs w:val="21"/>
              </w:rPr>
            </w:pPr>
            <w:r>
              <w:rPr>
                <w:color w:val="000000"/>
                <w:kern w:val="0"/>
                <w:szCs w:val="21"/>
                <w:lang/>
              </w:rPr>
              <w:t>人口状况</w:t>
            </w:r>
          </w:p>
        </w:tc>
        <w:tc>
          <w:tcPr>
            <w:tcW w:w="2328" w:type="dxa"/>
            <w:vAlign w:val="center"/>
          </w:tcPr>
          <w:p>
            <w:pPr>
              <w:widowControl/>
              <w:jc w:val="center"/>
              <w:textAlignment w:val="bottom"/>
              <w:rPr>
                <w:color w:val="000000"/>
                <w:szCs w:val="21"/>
              </w:rPr>
            </w:pPr>
            <w:r>
              <w:rPr>
                <w:color w:val="000000"/>
                <w:kern w:val="0"/>
                <w:szCs w:val="21"/>
                <w:lang/>
              </w:rPr>
              <w:t>人口密度</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0.11</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1.846</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0.923</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 xml:space="preserve">-0.618 </w:t>
            </w:r>
          </w:p>
        </w:tc>
        <w:tc>
          <w:tcPr>
            <w:tcW w:w="883" w:type="dxa"/>
            <w:vAlign w:val="center"/>
          </w:tcPr>
          <w:p>
            <w:pPr>
              <w:widowControl/>
              <w:jc w:val="center"/>
              <w:textAlignment w:val="center"/>
              <w:rPr>
                <w:rFonts w:eastAsia="Tahoma"/>
                <w:color w:val="000000"/>
                <w:szCs w:val="21"/>
              </w:rPr>
            </w:pPr>
            <w:r>
              <w:rPr>
                <w:rFonts w:eastAsia="Tahoma"/>
                <w:color w:val="000000"/>
                <w:kern w:val="0"/>
                <w:szCs w:val="21"/>
                <w:lang/>
              </w:rPr>
              <w:t xml:space="preserve">-1.235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4" w:hRule="atLeast"/>
          <w:jc w:val="center"/>
        </w:trPr>
        <w:tc>
          <w:tcPr>
            <w:tcW w:w="1767" w:type="dxa"/>
            <w:vMerge w:val="restart"/>
            <w:vAlign w:val="center"/>
          </w:tcPr>
          <w:p>
            <w:pPr>
              <w:widowControl/>
              <w:jc w:val="center"/>
              <w:textAlignment w:val="center"/>
              <w:rPr>
                <w:rFonts w:eastAsia="Tahoma"/>
                <w:color w:val="000000"/>
                <w:szCs w:val="21"/>
              </w:rPr>
            </w:pPr>
            <w:r>
              <w:rPr>
                <w:rFonts w:eastAsia="Tahoma"/>
                <w:color w:val="000000"/>
                <w:kern w:val="0"/>
                <w:szCs w:val="21"/>
                <w:lang/>
              </w:rPr>
              <w:t>环境条件</w:t>
            </w:r>
          </w:p>
        </w:tc>
        <w:tc>
          <w:tcPr>
            <w:tcW w:w="2328" w:type="dxa"/>
            <w:vAlign w:val="center"/>
          </w:tcPr>
          <w:p>
            <w:pPr>
              <w:widowControl/>
              <w:jc w:val="center"/>
              <w:textAlignment w:val="center"/>
              <w:rPr>
                <w:color w:val="000000"/>
                <w:szCs w:val="21"/>
              </w:rPr>
            </w:pPr>
            <w:r>
              <w:rPr>
                <w:color w:val="000000"/>
                <w:kern w:val="0"/>
                <w:szCs w:val="21"/>
                <w:lang/>
              </w:rPr>
              <w:t>大气污染状况</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0.035</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0.587</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0.294</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 xml:space="preserve">-0.197 </w:t>
            </w:r>
          </w:p>
        </w:tc>
        <w:tc>
          <w:tcPr>
            <w:tcW w:w="883" w:type="dxa"/>
            <w:vAlign w:val="center"/>
          </w:tcPr>
          <w:p>
            <w:pPr>
              <w:widowControl/>
              <w:jc w:val="center"/>
              <w:textAlignment w:val="center"/>
              <w:rPr>
                <w:rFonts w:eastAsia="Tahoma"/>
                <w:color w:val="000000"/>
                <w:szCs w:val="21"/>
              </w:rPr>
            </w:pPr>
            <w:r>
              <w:rPr>
                <w:rFonts w:eastAsia="Tahoma"/>
                <w:color w:val="000000"/>
                <w:kern w:val="0"/>
                <w:szCs w:val="21"/>
                <w:lang/>
              </w:rPr>
              <w:t xml:space="preserve">-0.393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81" w:hRule="atLeast"/>
          <w:jc w:val="center"/>
        </w:trPr>
        <w:tc>
          <w:tcPr>
            <w:tcW w:w="1767" w:type="dxa"/>
            <w:vMerge w:val="continue"/>
            <w:vAlign w:val="center"/>
          </w:tcPr>
          <w:p>
            <w:pPr>
              <w:jc w:val="center"/>
              <w:rPr>
                <w:rFonts w:eastAsia="Tahoma"/>
                <w:color w:val="000000"/>
                <w:szCs w:val="21"/>
              </w:rPr>
            </w:pPr>
          </w:p>
        </w:tc>
        <w:tc>
          <w:tcPr>
            <w:tcW w:w="2328" w:type="dxa"/>
            <w:vAlign w:val="center"/>
          </w:tcPr>
          <w:p>
            <w:pPr>
              <w:widowControl/>
              <w:jc w:val="center"/>
              <w:textAlignment w:val="center"/>
              <w:rPr>
                <w:rFonts w:eastAsia="Tahoma"/>
                <w:color w:val="000000"/>
                <w:szCs w:val="21"/>
              </w:rPr>
            </w:pPr>
            <w:r>
              <w:rPr>
                <w:rFonts w:eastAsia="Tahoma"/>
                <w:color w:val="000000"/>
                <w:kern w:val="0"/>
                <w:szCs w:val="21"/>
                <w:lang/>
              </w:rPr>
              <w:t>噪音污染</w:t>
            </w:r>
            <w:r>
              <w:rPr>
                <w:color w:val="000000"/>
                <w:kern w:val="0"/>
                <w:szCs w:val="21"/>
                <w:lang/>
              </w:rPr>
              <w:t>状况</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0.030</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0.503</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0.252</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 xml:space="preserve">-0.168 </w:t>
            </w:r>
          </w:p>
        </w:tc>
        <w:tc>
          <w:tcPr>
            <w:tcW w:w="883" w:type="dxa"/>
            <w:vAlign w:val="center"/>
          </w:tcPr>
          <w:p>
            <w:pPr>
              <w:widowControl/>
              <w:jc w:val="center"/>
              <w:textAlignment w:val="center"/>
              <w:rPr>
                <w:rFonts w:eastAsia="Tahoma"/>
                <w:color w:val="000000"/>
                <w:szCs w:val="21"/>
              </w:rPr>
            </w:pPr>
            <w:r>
              <w:rPr>
                <w:rFonts w:eastAsia="Tahoma"/>
                <w:color w:val="000000"/>
                <w:kern w:val="0"/>
                <w:szCs w:val="21"/>
                <w:lang/>
              </w:rPr>
              <w:t xml:space="preserve">-0.337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63" w:hRule="atLeast"/>
          <w:jc w:val="center"/>
        </w:trPr>
        <w:tc>
          <w:tcPr>
            <w:tcW w:w="1767" w:type="dxa"/>
            <w:vMerge w:val="continue"/>
            <w:vAlign w:val="center"/>
          </w:tcPr>
          <w:p>
            <w:pPr>
              <w:jc w:val="center"/>
              <w:rPr>
                <w:rFonts w:eastAsia="Tahoma"/>
                <w:color w:val="000000"/>
                <w:szCs w:val="21"/>
              </w:rPr>
            </w:pPr>
          </w:p>
        </w:tc>
        <w:tc>
          <w:tcPr>
            <w:tcW w:w="2328" w:type="dxa"/>
            <w:vAlign w:val="center"/>
          </w:tcPr>
          <w:p>
            <w:pPr>
              <w:widowControl/>
              <w:jc w:val="center"/>
              <w:textAlignment w:val="center"/>
              <w:rPr>
                <w:color w:val="000000"/>
                <w:szCs w:val="21"/>
              </w:rPr>
            </w:pPr>
            <w:r>
              <w:rPr>
                <w:color w:val="000000"/>
                <w:kern w:val="0"/>
                <w:szCs w:val="21"/>
                <w:lang/>
              </w:rPr>
              <w:t>水污染状况</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0.035</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0.587</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0.294</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0</w:t>
            </w:r>
          </w:p>
        </w:tc>
        <w:tc>
          <w:tcPr>
            <w:tcW w:w="881" w:type="dxa"/>
            <w:vAlign w:val="center"/>
          </w:tcPr>
          <w:p>
            <w:pPr>
              <w:widowControl/>
              <w:jc w:val="center"/>
              <w:textAlignment w:val="center"/>
              <w:rPr>
                <w:rFonts w:eastAsia="Tahoma"/>
                <w:color w:val="000000"/>
                <w:szCs w:val="21"/>
              </w:rPr>
            </w:pPr>
            <w:r>
              <w:rPr>
                <w:rFonts w:eastAsia="Tahoma"/>
                <w:color w:val="000000"/>
                <w:kern w:val="0"/>
                <w:szCs w:val="21"/>
                <w:lang/>
              </w:rPr>
              <w:t xml:space="preserve">-0.197 </w:t>
            </w:r>
          </w:p>
        </w:tc>
        <w:tc>
          <w:tcPr>
            <w:tcW w:w="883" w:type="dxa"/>
            <w:vAlign w:val="center"/>
          </w:tcPr>
          <w:p>
            <w:pPr>
              <w:widowControl/>
              <w:jc w:val="center"/>
              <w:textAlignment w:val="center"/>
              <w:rPr>
                <w:rFonts w:eastAsia="Tahoma"/>
                <w:color w:val="000000"/>
                <w:szCs w:val="21"/>
              </w:rPr>
            </w:pPr>
            <w:r>
              <w:rPr>
                <w:rFonts w:eastAsia="Tahoma"/>
                <w:color w:val="000000"/>
                <w:kern w:val="0"/>
                <w:szCs w:val="21"/>
                <w:lang/>
              </w:rPr>
              <w:t xml:space="preserve">-0.393 </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表5-4-2</w:t>
      </w:r>
      <w:r>
        <w:rPr>
          <w:rFonts w:hint="eastAsia" w:ascii="Times New Roman" w:hAnsi="Times New Roman"/>
          <w:sz w:val="24"/>
          <w:szCs w:val="24"/>
        </w:rPr>
        <w:t>2</w:t>
      </w:r>
      <w:r>
        <w:rPr>
          <w:rFonts w:ascii="Times New Roman" w:hAnsi="Times New Roman"/>
          <w:sz w:val="24"/>
          <w:szCs w:val="24"/>
        </w:rPr>
        <w:t xml:space="preserve">  长沙县乡镇Ⅰ级住宅用地宗地地价区域因素修正系数指标说明表</w:t>
      </w:r>
    </w:p>
    <w:tbl>
      <w:tblPr>
        <w:tblW w:w="10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2099"/>
        <w:gridCol w:w="1162"/>
        <w:gridCol w:w="1299"/>
        <w:gridCol w:w="1469"/>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569"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因素</w:t>
            </w:r>
          </w:p>
        </w:tc>
        <w:tc>
          <w:tcPr>
            <w:tcW w:w="2099"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因子</w:t>
            </w:r>
          </w:p>
        </w:tc>
        <w:tc>
          <w:tcPr>
            <w:tcW w:w="1162"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优</w:t>
            </w:r>
          </w:p>
        </w:tc>
        <w:tc>
          <w:tcPr>
            <w:tcW w:w="1299"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较优</w:t>
            </w:r>
          </w:p>
        </w:tc>
        <w:tc>
          <w:tcPr>
            <w:tcW w:w="1469"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一般</w:t>
            </w:r>
          </w:p>
        </w:tc>
        <w:tc>
          <w:tcPr>
            <w:tcW w:w="1276"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较劣</w:t>
            </w:r>
          </w:p>
        </w:tc>
        <w:tc>
          <w:tcPr>
            <w:tcW w:w="113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Align w:val="center"/>
          </w:tcPr>
          <w:p>
            <w:pPr>
              <w:widowControl/>
              <w:jc w:val="center"/>
              <w:textAlignment w:val="bottom"/>
              <w:rPr>
                <w:rFonts w:eastAsia="Tahoma"/>
                <w:color w:val="000000"/>
                <w:kern w:val="0"/>
                <w:szCs w:val="21"/>
                <w:lang/>
              </w:rPr>
            </w:pPr>
            <w:r>
              <w:rPr>
                <w:rFonts w:eastAsia="Tahoma"/>
                <w:color w:val="000000"/>
                <w:kern w:val="0"/>
                <w:szCs w:val="21"/>
                <w:lang/>
              </w:rPr>
              <w:t>商服繁华度</w:t>
            </w: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距离商服中心距离（m）</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≤50</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50-100</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100-150</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150-250</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&gt;250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restart"/>
            <w:vAlign w:val="center"/>
          </w:tcPr>
          <w:p>
            <w:pPr>
              <w:widowControl/>
              <w:jc w:val="center"/>
              <w:textAlignment w:val="bottom"/>
              <w:rPr>
                <w:rFonts w:eastAsia="Tahoma"/>
                <w:color w:val="000000"/>
                <w:kern w:val="0"/>
                <w:szCs w:val="21"/>
                <w:lang/>
              </w:rPr>
            </w:pPr>
            <w:r>
              <w:rPr>
                <w:rFonts w:eastAsia="Tahoma"/>
                <w:color w:val="000000"/>
                <w:kern w:val="0"/>
                <w:szCs w:val="21"/>
                <w:lang/>
              </w:rPr>
              <w:t>交通条件</w:t>
            </w: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临街道路状况</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生活型</w:t>
            </w:r>
          </w:p>
          <w:p>
            <w:pPr>
              <w:widowControl/>
              <w:jc w:val="center"/>
              <w:textAlignment w:val="bottom"/>
              <w:rPr>
                <w:rFonts w:eastAsia="Tahoma"/>
                <w:color w:val="000000"/>
                <w:kern w:val="0"/>
                <w:szCs w:val="21"/>
                <w:lang/>
              </w:rPr>
            </w:pPr>
            <w:r>
              <w:rPr>
                <w:rFonts w:eastAsia="Tahoma"/>
                <w:color w:val="000000"/>
                <w:kern w:val="0"/>
                <w:szCs w:val="21"/>
                <w:lang/>
              </w:rPr>
              <w:t>主干道</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混合型</w:t>
            </w:r>
          </w:p>
          <w:p>
            <w:pPr>
              <w:widowControl/>
              <w:jc w:val="center"/>
              <w:textAlignment w:val="bottom"/>
              <w:rPr>
                <w:rFonts w:eastAsia="Tahoma"/>
                <w:color w:val="000000"/>
                <w:kern w:val="0"/>
                <w:szCs w:val="21"/>
                <w:lang/>
              </w:rPr>
            </w:pPr>
            <w:r>
              <w:rPr>
                <w:rFonts w:eastAsia="Tahoma"/>
                <w:color w:val="000000"/>
                <w:kern w:val="0"/>
                <w:szCs w:val="21"/>
                <w:lang/>
              </w:rPr>
              <w:t>主干道</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交通型</w:t>
            </w:r>
          </w:p>
          <w:p>
            <w:pPr>
              <w:widowControl/>
              <w:jc w:val="center"/>
              <w:textAlignment w:val="bottom"/>
              <w:rPr>
                <w:rFonts w:eastAsia="Tahoma"/>
                <w:color w:val="000000"/>
                <w:kern w:val="0"/>
                <w:szCs w:val="21"/>
                <w:lang/>
              </w:rPr>
            </w:pPr>
            <w:r>
              <w:rPr>
                <w:rFonts w:eastAsia="Tahoma"/>
                <w:color w:val="000000"/>
                <w:kern w:val="0"/>
                <w:szCs w:val="21"/>
                <w:lang/>
              </w:rPr>
              <w:t>主干道</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生活型</w:t>
            </w:r>
          </w:p>
          <w:p>
            <w:pPr>
              <w:widowControl/>
              <w:jc w:val="center"/>
              <w:textAlignment w:val="bottom"/>
              <w:rPr>
                <w:rFonts w:eastAsia="Tahoma"/>
                <w:color w:val="000000"/>
                <w:kern w:val="0"/>
                <w:szCs w:val="21"/>
                <w:lang/>
              </w:rPr>
            </w:pPr>
            <w:r>
              <w:rPr>
                <w:rFonts w:eastAsia="Tahoma"/>
                <w:color w:val="000000"/>
                <w:kern w:val="0"/>
                <w:szCs w:val="21"/>
                <w:lang/>
              </w:rPr>
              <w:t>次干道</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jc w:val="center"/>
              <w:textAlignment w:val="bottom"/>
              <w:rPr>
                <w:rFonts w:eastAsia="Tahoma"/>
                <w:color w:val="000000"/>
                <w:kern w:val="0"/>
                <w:szCs w:val="21"/>
                <w:lang/>
              </w:rPr>
            </w:pP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距长途汽车站距离（m）</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&lt;800</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800-940</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940-1130</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1130-1390</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&gt;1390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Align w:val="center"/>
          </w:tcPr>
          <w:p>
            <w:pPr>
              <w:widowControl/>
              <w:jc w:val="center"/>
              <w:textAlignment w:val="bottom"/>
              <w:rPr>
                <w:rFonts w:eastAsia="Tahoma"/>
                <w:color w:val="000000"/>
                <w:kern w:val="0"/>
                <w:szCs w:val="21"/>
                <w:lang/>
              </w:rPr>
            </w:pPr>
            <w:r>
              <w:rPr>
                <w:rFonts w:eastAsia="Tahoma"/>
                <w:color w:val="000000"/>
                <w:kern w:val="0"/>
                <w:szCs w:val="21"/>
                <w:lang/>
              </w:rPr>
              <w:t>基础设施状况</w:t>
            </w: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水电气综合保证率</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90-100%</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80-90%</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70-79%</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60-70%</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restart"/>
            <w:vAlign w:val="center"/>
          </w:tcPr>
          <w:p>
            <w:pPr>
              <w:widowControl/>
              <w:jc w:val="center"/>
              <w:textAlignment w:val="bottom"/>
              <w:rPr>
                <w:rFonts w:eastAsia="Tahoma"/>
                <w:color w:val="000000"/>
                <w:kern w:val="0"/>
                <w:szCs w:val="21"/>
                <w:lang/>
              </w:rPr>
            </w:pPr>
            <w:r>
              <w:rPr>
                <w:rFonts w:eastAsia="Tahoma"/>
                <w:color w:val="000000"/>
                <w:kern w:val="0"/>
                <w:szCs w:val="21"/>
                <w:lang/>
              </w:rPr>
              <w:t>公用设施完备度</w:t>
            </w: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距中小学距离（m）</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&lt;300</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300-580</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580-690</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690-780</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&gt;780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jc w:val="center"/>
              <w:textAlignment w:val="bottom"/>
              <w:rPr>
                <w:rFonts w:eastAsia="Tahoma"/>
                <w:color w:val="000000"/>
                <w:kern w:val="0"/>
                <w:szCs w:val="21"/>
                <w:lang/>
              </w:rPr>
            </w:pP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距农贸市场距离（m）</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&lt;560</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560-630</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630-680</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680-730</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&gt;730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jc w:val="center"/>
              <w:textAlignment w:val="bottom"/>
              <w:rPr>
                <w:rFonts w:eastAsia="Tahoma"/>
                <w:color w:val="000000"/>
                <w:kern w:val="0"/>
                <w:szCs w:val="21"/>
                <w:lang/>
              </w:rPr>
            </w:pP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距文体设施距离（m）</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&lt;400</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400-450</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450-500</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500-570</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&gt;570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jc w:val="center"/>
              <w:textAlignment w:val="bottom"/>
              <w:rPr>
                <w:rFonts w:eastAsia="Tahoma"/>
                <w:color w:val="000000"/>
                <w:kern w:val="0"/>
                <w:szCs w:val="21"/>
                <w:lang/>
              </w:rPr>
            </w:pP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距医院距离（m）</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&lt;230</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230-330</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330-420</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420-490</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&gt;490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人口状况</w:t>
            </w: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人口密度</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人口稠密</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人口较稠密</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一般</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人口较稀疏</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人口稀疏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restart"/>
            <w:vAlign w:val="center"/>
          </w:tcPr>
          <w:p>
            <w:pPr>
              <w:widowControl/>
              <w:jc w:val="center"/>
              <w:textAlignment w:val="bottom"/>
              <w:rPr>
                <w:rFonts w:eastAsia="Tahoma"/>
                <w:color w:val="000000"/>
                <w:kern w:val="0"/>
                <w:szCs w:val="21"/>
                <w:lang/>
              </w:rPr>
            </w:pPr>
            <w:r>
              <w:rPr>
                <w:rFonts w:eastAsia="Tahoma"/>
                <w:color w:val="000000"/>
                <w:kern w:val="0"/>
                <w:szCs w:val="21"/>
                <w:lang/>
              </w:rPr>
              <w:t>环境条件优劣度</w:t>
            </w: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大气污染状况</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无污染</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基本无污染</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轻度污染</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污染较重</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严重污染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jc w:val="center"/>
              <w:textAlignment w:val="bottom"/>
              <w:rPr>
                <w:rFonts w:eastAsia="Tahoma"/>
                <w:color w:val="000000"/>
                <w:kern w:val="0"/>
                <w:szCs w:val="21"/>
                <w:lang/>
              </w:rPr>
            </w:pP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噪音污染状况</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无污染</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基本无污染</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轻度污染</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污染较重</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严重污染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jc w:val="center"/>
              <w:textAlignment w:val="bottom"/>
              <w:rPr>
                <w:rFonts w:eastAsia="Tahoma"/>
                <w:color w:val="000000"/>
                <w:kern w:val="0"/>
                <w:szCs w:val="21"/>
                <w:lang/>
              </w:rPr>
            </w:pP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水污染状况</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无污染</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基本无污染</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轻度污染</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污染较重</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严重污染</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表5-4-2</w:t>
      </w:r>
      <w:r>
        <w:rPr>
          <w:rFonts w:hint="eastAsia" w:ascii="Times New Roman" w:hAnsi="Times New Roman"/>
          <w:sz w:val="24"/>
          <w:szCs w:val="24"/>
        </w:rPr>
        <w:t>3</w:t>
      </w:r>
      <w:r>
        <w:rPr>
          <w:rFonts w:ascii="Times New Roman" w:hAnsi="Times New Roman"/>
          <w:sz w:val="24"/>
          <w:szCs w:val="24"/>
        </w:rPr>
        <w:t xml:space="preserve"> 长沙县乡镇Ⅱ级住宅用地宗地地价区域因素修正系数表</w:t>
      </w:r>
    </w:p>
    <w:tbl>
      <w:tblPr>
        <w:tblW w:w="8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62"/>
        <w:gridCol w:w="1744"/>
        <w:gridCol w:w="934"/>
        <w:gridCol w:w="934"/>
        <w:gridCol w:w="934"/>
        <w:gridCol w:w="934"/>
        <w:gridCol w:w="934"/>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7" w:hRule="atLeast"/>
          <w:tblHeader/>
        </w:trPr>
        <w:tc>
          <w:tcPr>
            <w:tcW w:w="1362"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因素</w:t>
            </w:r>
          </w:p>
        </w:tc>
        <w:tc>
          <w:tcPr>
            <w:tcW w:w="174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因子</w:t>
            </w:r>
          </w:p>
        </w:tc>
        <w:tc>
          <w:tcPr>
            <w:tcW w:w="93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权重</w:t>
            </w:r>
          </w:p>
        </w:tc>
        <w:tc>
          <w:tcPr>
            <w:tcW w:w="93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优</w:t>
            </w:r>
          </w:p>
        </w:tc>
        <w:tc>
          <w:tcPr>
            <w:tcW w:w="93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较优</w:t>
            </w:r>
          </w:p>
        </w:tc>
        <w:tc>
          <w:tcPr>
            <w:tcW w:w="93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一般</w:t>
            </w:r>
          </w:p>
        </w:tc>
        <w:tc>
          <w:tcPr>
            <w:tcW w:w="93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较劣</w:t>
            </w:r>
          </w:p>
        </w:tc>
        <w:tc>
          <w:tcPr>
            <w:tcW w:w="939"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40" w:hRule="atLeast"/>
        </w:trPr>
        <w:tc>
          <w:tcPr>
            <w:tcW w:w="1362" w:type="dxa"/>
            <w:vAlign w:val="center"/>
          </w:tcPr>
          <w:p>
            <w:pPr>
              <w:widowControl/>
              <w:jc w:val="center"/>
              <w:textAlignment w:val="bottom"/>
              <w:rPr>
                <w:rFonts w:eastAsia="Tahoma"/>
                <w:color w:val="000000"/>
                <w:kern w:val="0"/>
                <w:szCs w:val="21"/>
                <w:lang/>
              </w:rPr>
            </w:pPr>
            <w:r>
              <w:rPr>
                <w:rFonts w:eastAsia="Tahoma"/>
                <w:color w:val="000000"/>
                <w:kern w:val="0"/>
                <w:szCs w:val="21"/>
                <w:lang/>
              </w:rPr>
              <w:t>商服繁华度</w:t>
            </w: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距离商服中心距离</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0.157</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2.506</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1.253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-0.695</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-1.389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trPr>
        <w:tc>
          <w:tcPr>
            <w:tcW w:w="1362" w:type="dxa"/>
            <w:vMerge w:val="restart"/>
            <w:vAlign w:val="center"/>
          </w:tcPr>
          <w:p>
            <w:pPr>
              <w:widowControl/>
              <w:jc w:val="center"/>
              <w:textAlignment w:val="bottom"/>
              <w:rPr>
                <w:rFonts w:eastAsia="Tahoma"/>
                <w:color w:val="000000"/>
                <w:kern w:val="0"/>
                <w:szCs w:val="21"/>
                <w:lang/>
              </w:rPr>
            </w:pPr>
            <w:r>
              <w:rPr>
                <w:rFonts w:eastAsia="Tahoma"/>
                <w:color w:val="000000"/>
                <w:kern w:val="0"/>
                <w:szCs w:val="21"/>
                <w:lang/>
              </w:rPr>
              <w:t>交通条件</w:t>
            </w: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临街道路状况</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0.178</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2.841</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1.420</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-0.788</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-1.575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trPr>
        <w:tc>
          <w:tcPr>
            <w:tcW w:w="1362" w:type="dxa"/>
            <w:vMerge w:val="continue"/>
            <w:vAlign w:val="center"/>
          </w:tcPr>
          <w:p>
            <w:pPr>
              <w:widowControl/>
              <w:jc w:val="center"/>
              <w:textAlignment w:val="bottom"/>
              <w:rPr>
                <w:rFonts w:eastAsia="Tahoma"/>
                <w:color w:val="000000"/>
                <w:kern w:val="0"/>
                <w:szCs w:val="21"/>
                <w:lang/>
              </w:rPr>
            </w:pP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距长途汽车站距离</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0.063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1.005</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0.503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-0.279</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-0.558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trPr>
        <w:tc>
          <w:tcPr>
            <w:tcW w:w="1362" w:type="dxa"/>
            <w:vAlign w:val="center"/>
          </w:tcPr>
          <w:p>
            <w:pPr>
              <w:widowControl/>
              <w:jc w:val="center"/>
              <w:textAlignment w:val="bottom"/>
              <w:rPr>
                <w:rFonts w:eastAsia="Tahoma"/>
                <w:color w:val="000000"/>
                <w:kern w:val="0"/>
                <w:szCs w:val="21"/>
                <w:lang/>
              </w:rPr>
            </w:pPr>
            <w:r>
              <w:rPr>
                <w:rFonts w:eastAsia="Tahoma"/>
                <w:color w:val="000000"/>
                <w:kern w:val="0"/>
                <w:szCs w:val="21"/>
                <w:lang/>
              </w:rPr>
              <w:t>基础设施状况</w:t>
            </w: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水电气综合保证率</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0.220</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3.511</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1.756</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-0.974</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trPr>
        <w:tc>
          <w:tcPr>
            <w:tcW w:w="1362" w:type="dxa"/>
            <w:vMerge w:val="restart"/>
            <w:vAlign w:val="center"/>
          </w:tcPr>
          <w:p>
            <w:pPr>
              <w:widowControl/>
              <w:jc w:val="center"/>
              <w:textAlignment w:val="bottom"/>
              <w:rPr>
                <w:rFonts w:eastAsia="Tahoma"/>
                <w:color w:val="000000"/>
                <w:kern w:val="0"/>
                <w:szCs w:val="21"/>
                <w:lang/>
              </w:rPr>
            </w:pPr>
            <w:r>
              <w:rPr>
                <w:rFonts w:eastAsia="Tahoma"/>
                <w:color w:val="000000"/>
                <w:kern w:val="0"/>
                <w:szCs w:val="21"/>
                <w:lang/>
              </w:rPr>
              <w:t>公用设施完备度</w:t>
            </w: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距中小学距离</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0.043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0.686</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0.343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-0.190</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-0.381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trPr>
        <w:tc>
          <w:tcPr>
            <w:tcW w:w="1362" w:type="dxa"/>
            <w:vMerge w:val="continue"/>
            <w:vAlign w:val="center"/>
          </w:tcPr>
          <w:p>
            <w:pPr>
              <w:widowControl/>
              <w:jc w:val="center"/>
              <w:textAlignment w:val="bottom"/>
              <w:rPr>
                <w:rFonts w:eastAsia="Tahoma"/>
                <w:color w:val="000000"/>
                <w:kern w:val="0"/>
                <w:szCs w:val="21"/>
                <w:lang/>
              </w:rPr>
            </w:pP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距农贸市场距离</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0.043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0.686</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0.343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-0.190</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-0.381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trPr>
        <w:tc>
          <w:tcPr>
            <w:tcW w:w="1362" w:type="dxa"/>
            <w:vMerge w:val="continue"/>
            <w:vAlign w:val="center"/>
          </w:tcPr>
          <w:p>
            <w:pPr>
              <w:widowControl/>
              <w:jc w:val="center"/>
              <w:textAlignment w:val="bottom"/>
              <w:rPr>
                <w:rFonts w:eastAsia="Tahoma"/>
                <w:color w:val="000000"/>
                <w:kern w:val="0"/>
                <w:szCs w:val="21"/>
                <w:lang/>
              </w:rPr>
            </w:pP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距文体设施距离</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0.043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0.686</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0.343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-0.190</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-0.381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1" w:hRule="atLeast"/>
        </w:trPr>
        <w:tc>
          <w:tcPr>
            <w:tcW w:w="1362" w:type="dxa"/>
            <w:vMerge w:val="continue"/>
            <w:vAlign w:val="center"/>
          </w:tcPr>
          <w:p>
            <w:pPr>
              <w:widowControl/>
              <w:jc w:val="center"/>
              <w:textAlignment w:val="bottom"/>
              <w:rPr>
                <w:rFonts w:eastAsia="Tahoma"/>
                <w:color w:val="000000"/>
                <w:kern w:val="0"/>
                <w:szCs w:val="21"/>
                <w:lang/>
              </w:rPr>
            </w:pP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距医院距离</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0.043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0.686</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0.343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-0.190</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-0.381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1" w:hRule="atLeast"/>
        </w:trPr>
        <w:tc>
          <w:tcPr>
            <w:tcW w:w="1362"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人口状况</w:t>
            </w: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人口密度</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0.110</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1.756</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0.878</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-0.487</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-0.974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20" w:hRule="atLeast"/>
        </w:trPr>
        <w:tc>
          <w:tcPr>
            <w:tcW w:w="1362" w:type="dxa"/>
            <w:vMerge w:val="restart"/>
            <w:vAlign w:val="center"/>
          </w:tcPr>
          <w:p>
            <w:pPr>
              <w:widowControl/>
              <w:jc w:val="center"/>
              <w:textAlignment w:val="bottom"/>
              <w:rPr>
                <w:rFonts w:eastAsia="Tahoma"/>
                <w:color w:val="000000"/>
                <w:kern w:val="0"/>
                <w:szCs w:val="21"/>
                <w:lang/>
              </w:rPr>
            </w:pPr>
            <w:r>
              <w:rPr>
                <w:rFonts w:eastAsia="Tahoma"/>
                <w:color w:val="000000"/>
                <w:kern w:val="0"/>
                <w:szCs w:val="21"/>
                <w:lang/>
              </w:rPr>
              <w:t>环境条件</w:t>
            </w: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大气污染状况</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0.035</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0.559</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0.279</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-0.155</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20" w:hRule="atLeast"/>
        </w:trPr>
        <w:tc>
          <w:tcPr>
            <w:tcW w:w="1362" w:type="dxa"/>
            <w:vMerge w:val="continue"/>
            <w:vAlign w:val="center"/>
          </w:tcPr>
          <w:p>
            <w:pPr>
              <w:widowControl/>
              <w:jc w:val="center"/>
              <w:textAlignment w:val="bottom"/>
              <w:rPr>
                <w:rFonts w:eastAsia="Tahoma"/>
                <w:color w:val="000000"/>
                <w:kern w:val="0"/>
                <w:szCs w:val="21"/>
                <w:lang/>
              </w:rPr>
            </w:pP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噪音污染状况</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0.030</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0.479</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0.239</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-0.133</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-0.266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20" w:hRule="atLeast"/>
        </w:trPr>
        <w:tc>
          <w:tcPr>
            <w:tcW w:w="1362" w:type="dxa"/>
            <w:vMerge w:val="continue"/>
            <w:vAlign w:val="center"/>
          </w:tcPr>
          <w:p>
            <w:pPr>
              <w:widowControl/>
              <w:jc w:val="center"/>
              <w:textAlignment w:val="bottom"/>
              <w:rPr>
                <w:rFonts w:eastAsia="Tahoma"/>
                <w:color w:val="000000"/>
                <w:kern w:val="0"/>
                <w:szCs w:val="21"/>
                <w:lang/>
              </w:rPr>
            </w:pP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水污染状况</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0.035</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0.559</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0.279</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-0.155</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-0.310</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表5-4-2</w:t>
      </w:r>
      <w:r>
        <w:rPr>
          <w:rFonts w:hint="eastAsia" w:ascii="Times New Roman" w:hAnsi="Times New Roman"/>
          <w:sz w:val="24"/>
          <w:szCs w:val="24"/>
        </w:rPr>
        <w:t>4</w:t>
      </w:r>
      <w:r>
        <w:rPr>
          <w:rFonts w:ascii="Times New Roman" w:hAnsi="Times New Roman"/>
          <w:sz w:val="24"/>
          <w:szCs w:val="24"/>
        </w:rPr>
        <w:t xml:space="preserve">  长沙县乡镇Ⅱ级住宅用地宗地地价区域因素修正系数指标说明表</w:t>
      </w:r>
    </w:p>
    <w:tbl>
      <w:tblPr>
        <w:tblW w:w="10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2099"/>
        <w:gridCol w:w="1162"/>
        <w:gridCol w:w="1299"/>
        <w:gridCol w:w="1469"/>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569"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因素</w:t>
            </w:r>
          </w:p>
        </w:tc>
        <w:tc>
          <w:tcPr>
            <w:tcW w:w="2099"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因子</w:t>
            </w:r>
          </w:p>
        </w:tc>
        <w:tc>
          <w:tcPr>
            <w:tcW w:w="1162"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优</w:t>
            </w:r>
          </w:p>
        </w:tc>
        <w:tc>
          <w:tcPr>
            <w:tcW w:w="1299"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较优</w:t>
            </w:r>
          </w:p>
        </w:tc>
        <w:tc>
          <w:tcPr>
            <w:tcW w:w="1469"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一般</w:t>
            </w:r>
          </w:p>
        </w:tc>
        <w:tc>
          <w:tcPr>
            <w:tcW w:w="1276"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较劣</w:t>
            </w:r>
          </w:p>
        </w:tc>
        <w:tc>
          <w:tcPr>
            <w:tcW w:w="113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Align w:val="center"/>
          </w:tcPr>
          <w:p>
            <w:pPr>
              <w:widowControl/>
              <w:jc w:val="center"/>
              <w:textAlignment w:val="bottom"/>
              <w:rPr>
                <w:rFonts w:eastAsia="Tahoma"/>
                <w:color w:val="000000"/>
                <w:kern w:val="0"/>
                <w:szCs w:val="21"/>
                <w:lang/>
              </w:rPr>
            </w:pPr>
            <w:r>
              <w:rPr>
                <w:rFonts w:eastAsia="Tahoma"/>
                <w:color w:val="000000"/>
                <w:kern w:val="0"/>
                <w:szCs w:val="21"/>
                <w:lang/>
              </w:rPr>
              <w:t>商服繁华度</w:t>
            </w: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距离商服中心距离（m）</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≤50</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50-100</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100-200</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200-300</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&gt;300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restart"/>
            <w:vAlign w:val="center"/>
          </w:tcPr>
          <w:p>
            <w:pPr>
              <w:widowControl/>
              <w:jc w:val="center"/>
              <w:textAlignment w:val="bottom"/>
              <w:rPr>
                <w:rFonts w:eastAsia="Tahoma"/>
                <w:color w:val="000000"/>
                <w:kern w:val="0"/>
                <w:szCs w:val="21"/>
                <w:lang/>
              </w:rPr>
            </w:pPr>
            <w:r>
              <w:rPr>
                <w:rFonts w:eastAsia="Tahoma"/>
                <w:color w:val="000000"/>
                <w:kern w:val="0"/>
                <w:szCs w:val="21"/>
                <w:lang/>
              </w:rPr>
              <w:t>交通条件</w:t>
            </w: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临街道路状况</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生活型</w:t>
            </w:r>
          </w:p>
          <w:p>
            <w:pPr>
              <w:widowControl/>
              <w:jc w:val="center"/>
              <w:textAlignment w:val="bottom"/>
              <w:rPr>
                <w:rFonts w:eastAsia="Tahoma"/>
                <w:color w:val="000000"/>
                <w:kern w:val="0"/>
                <w:szCs w:val="21"/>
                <w:lang/>
              </w:rPr>
            </w:pPr>
            <w:r>
              <w:rPr>
                <w:rFonts w:eastAsia="Tahoma"/>
                <w:color w:val="000000"/>
                <w:kern w:val="0"/>
                <w:szCs w:val="21"/>
                <w:lang/>
              </w:rPr>
              <w:t>主干道</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混合型</w:t>
            </w:r>
          </w:p>
          <w:p>
            <w:pPr>
              <w:widowControl/>
              <w:jc w:val="center"/>
              <w:textAlignment w:val="bottom"/>
              <w:rPr>
                <w:rFonts w:eastAsia="Tahoma"/>
                <w:color w:val="000000"/>
                <w:kern w:val="0"/>
                <w:szCs w:val="21"/>
                <w:lang/>
              </w:rPr>
            </w:pPr>
            <w:r>
              <w:rPr>
                <w:rFonts w:eastAsia="Tahoma"/>
                <w:color w:val="000000"/>
                <w:kern w:val="0"/>
                <w:szCs w:val="21"/>
                <w:lang/>
              </w:rPr>
              <w:t>主干道</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交通型</w:t>
            </w:r>
          </w:p>
          <w:p>
            <w:pPr>
              <w:widowControl/>
              <w:jc w:val="center"/>
              <w:textAlignment w:val="bottom"/>
              <w:rPr>
                <w:rFonts w:eastAsia="Tahoma"/>
                <w:color w:val="000000"/>
                <w:kern w:val="0"/>
                <w:szCs w:val="21"/>
                <w:lang/>
              </w:rPr>
            </w:pPr>
            <w:r>
              <w:rPr>
                <w:rFonts w:eastAsia="Tahoma"/>
                <w:color w:val="000000"/>
                <w:kern w:val="0"/>
                <w:szCs w:val="21"/>
                <w:lang/>
              </w:rPr>
              <w:t>主干道</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生活型</w:t>
            </w:r>
          </w:p>
          <w:p>
            <w:pPr>
              <w:widowControl/>
              <w:jc w:val="center"/>
              <w:textAlignment w:val="bottom"/>
              <w:rPr>
                <w:rFonts w:eastAsia="Tahoma"/>
                <w:color w:val="000000"/>
                <w:kern w:val="0"/>
                <w:szCs w:val="21"/>
                <w:lang/>
              </w:rPr>
            </w:pPr>
            <w:r>
              <w:rPr>
                <w:rFonts w:eastAsia="Tahoma"/>
                <w:color w:val="000000"/>
                <w:kern w:val="0"/>
                <w:szCs w:val="21"/>
                <w:lang/>
              </w:rPr>
              <w:t>次干道</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jc w:val="center"/>
              <w:textAlignment w:val="bottom"/>
              <w:rPr>
                <w:rFonts w:eastAsia="Tahoma"/>
                <w:color w:val="000000"/>
                <w:kern w:val="0"/>
                <w:szCs w:val="21"/>
                <w:lang/>
              </w:rPr>
            </w:pP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距长途汽车站距离（m）</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&lt;800</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800-1000</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1000-1200</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1200-1400</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&gt;1400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Align w:val="center"/>
          </w:tcPr>
          <w:p>
            <w:pPr>
              <w:widowControl/>
              <w:jc w:val="center"/>
              <w:textAlignment w:val="bottom"/>
              <w:rPr>
                <w:rFonts w:eastAsia="Tahoma"/>
                <w:color w:val="000000"/>
                <w:kern w:val="0"/>
                <w:szCs w:val="21"/>
                <w:lang/>
              </w:rPr>
            </w:pPr>
            <w:r>
              <w:rPr>
                <w:rFonts w:eastAsia="Tahoma"/>
                <w:color w:val="000000"/>
                <w:kern w:val="0"/>
                <w:szCs w:val="21"/>
                <w:lang/>
              </w:rPr>
              <w:t>基础设施状况</w:t>
            </w: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水电气综合保证率</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90-100%</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80-90%</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70-79%</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60-70%</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restart"/>
            <w:vAlign w:val="center"/>
          </w:tcPr>
          <w:p>
            <w:pPr>
              <w:widowControl/>
              <w:jc w:val="center"/>
              <w:textAlignment w:val="bottom"/>
              <w:rPr>
                <w:rFonts w:eastAsia="Tahoma"/>
                <w:color w:val="000000"/>
                <w:kern w:val="0"/>
                <w:szCs w:val="21"/>
                <w:lang/>
              </w:rPr>
            </w:pPr>
            <w:r>
              <w:rPr>
                <w:rFonts w:eastAsia="Tahoma"/>
                <w:color w:val="000000"/>
                <w:kern w:val="0"/>
                <w:szCs w:val="21"/>
                <w:lang/>
              </w:rPr>
              <w:t>公用设施完备度</w:t>
            </w: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距中小学距离（m）</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&lt;350</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350-600</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600-750</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750-900</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&gt;900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jc w:val="center"/>
              <w:textAlignment w:val="bottom"/>
              <w:rPr>
                <w:rFonts w:eastAsia="Tahoma"/>
                <w:color w:val="000000"/>
                <w:kern w:val="0"/>
                <w:szCs w:val="21"/>
                <w:lang/>
              </w:rPr>
            </w:pP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距农贸市场距离（m）</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&lt;600</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600-680</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680-730</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730-780</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&gt;780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jc w:val="center"/>
              <w:textAlignment w:val="bottom"/>
              <w:rPr>
                <w:rFonts w:eastAsia="Tahoma"/>
                <w:color w:val="000000"/>
                <w:kern w:val="0"/>
                <w:szCs w:val="21"/>
                <w:lang/>
              </w:rPr>
            </w:pP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距文体设施距离（m）</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&lt;500</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500-550</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550-600</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600-670</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&gt;670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jc w:val="center"/>
              <w:textAlignment w:val="bottom"/>
              <w:rPr>
                <w:rFonts w:eastAsia="Tahoma"/>
                <w:color w:val="000000"/>
                <w:kern w:val="0"/>
                <w:szCs w:val="21"/>
                <w:lang/>
              </w:rPr>
            </w:pP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距医院距离（m）</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&lt;250</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250-350</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350-450</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450-590</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&gt;590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人口状况</w:t>
            </w: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人口密度</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人口稠密</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人口较稠密</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一般</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人口较稀疏</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人口稀疏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restart"/>
            <w:vAlign w:val="center"/>
          </w:tcPr>
          <w:p>
            <w:pPr>
              <w:widowControl/>
              <w:jc w:val="center"/>
              <w:textAlignment w:val="bottom"/>
              <w:rPr>
                <w:rFonts w:eastAsia="Tahoma"/>
                <w:color w:val="000000"/>
                <w:kern w:val="0"/>
                <w:szCs w:val="21"/>
                <w:lang/>
              </w:rPr>
            </w:pPr>
            <w:r>
              <w:rPr>
                <w:rFonts w:eastAsia="Tahoma"/>
                <w:color w:val="000000"/>
                <w:kern w:val="0"/>
                <w:szCs w:val="21"/>
                <w:lang/>
              </w:rPr>
              <w:t>环境条件优劣度</w:t>
            </w: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大气污染状况</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无污染</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基本无污染</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轻度污染</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污染较重</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严重污染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jc w:val="center"/>
              <w:textAlignment w:val="bottom"/>
              <w:rPr>
                <w:rFonts w:eastAsia="Tahoma"/>
                <w:color w:val="000000"/>
                <w:kern w:val="0"/>
                <w:szCs w:val="21"/>
                <w:lang/>
              </w:rPr>
            </w:pP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噪音污染状况</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无污染</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基本无污染</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轻度污染</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污染较重</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严重污染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jc w:val="center"/>
              <w:textAlignment w:val="bottom"/>
              <w:rPr>
                <w:rFonts w:eastAsia="Tahoma"/>
                <w:color w:val="000000"/>
                <w:kern w:val="0"/>
                <w:szCs w:val="21"/>
                <w:lang/>
              </w:rPr>
            </w:pPr>
          </w:p>
        </w:tc>
        <w:tc>
          <w:tcPr>
            <w:tcW w:w="2099" w:type="dxa"/>
            <w:vAlign w:val="center"/>
          </w:tcPr>
          <w:p>
            <w:pPr>
              <w:widowControl/>
              <w:jc w:val="center"/>
              <w:textAlignment w:val="bottom"/>
              <w:rPr>
                <w:rFonts w:eastAsia="Tahoma"/>
                <w:color w:val="000000"/>
                <w:kern w:val="0"/>
                <w:szCs w:val="21"/>
                <w:lang/>
              </w:rPr>
            </w:pPr>
            <w:r>
              <w:rPr>
                <w:rFonts w:eastAsia="Tahoma"/>
                <w:color w:val="000000"/>
                <w:kern w:val="0"/>
                <w:szCs w:val="21"/>
                <w:lang/>
              </w:rPr>
              <w:t>水污染状况</w:t>
            </w:r>
          </w:p>
        </w:tc>
        <w:tc>
          <w:tcPr>
            <w:tcW w:w="1162" w:type="dxa"/>
            <w:vAlign w:val="center"/>
          </w:tcPr>
          <w:p>
            <w:pPr>
              <w:widowControl/>
              <w:jc w:val="center"/>
              <w:textAlignment w:val="bottom"/>
              <w:rPr>
                <w:rFonts w:eastAsia="Tahoma"/>
                <w:color w:val="000000"/>
                <w:kern w:val="0"/>
                <w:szCs w:val="21"/>
                <w:lang/>
              </w:rPr>
            </w:pPr>
            <w:r>
              <w:rPr>
                <w:rFonts w:eastAsia="Tahoma"/>
                <w:color w:val="000000"/>
                <w:kern w:val="0"/>
                <w:szCs w:val="21"/>
                <w:lang/>
              </w:rPr>
              <w:t>无污染</w:t>
            </w:r>
          </w:p>
        </w:tc>
        <w:tc>
          <w:tcPr>
            <w:tcW w:w="1299" w:type="dxa"/>
            <w:vAlign w:val="center"/>
          </w:tcPr>
          <w:p>
            <w:pPr>
              <w:widowControl/>
              <w:jc w:val="center"/>
              <w:textAlignment w:val="bottom"/>
              <w:rPr>
                <w:rFonts w:eastAsia="Tahoma"/>
                <w:color w:val="000000"/>
                <w:kern w:val="0"/>
                <w:szCs w:val="21"/>
                <w:lang/>
              </w:rPr>
            </w:pPr>
            <w:r>
              <w:rPr>
                <w:rFonts w:eastAsia="Tahoma"/>
                <w:color w:val="000000"/>
                <w:kern w:val="0"/>
                <w:szCs w:val="21"/>
                <w:lang/>
              </w:rPr>
              <w:t>基本无污染</w:t>
            </w:r>
          </w:p>
        </w:tc>
        <w:tc>
          <w:tcPr>
            <w:tcW w:w="1469" w:type="dxa"/>
            <w:vAlign w:val="center"/>
          </w:tcPr>
          <w:p>
            <w:pPr>
              <w:widowControl/>
              <w:jc w:val="center"/>
              <w:textAlignment w:val="bottom"/>
              <w:rPr>
                <w:rFonts w:eastAsia="Tahoma"/>
                <w:color w:val="000000"/>
                <w:kern w:val="0"/>
                <w:szCs w:val="21"/>
                <w:lang/>
              </w:rPr>
            </w:pPr>
            <w:r>
              <w:rPr>
                <w:rFonts w:eastAsia="Tahoma"/>
                <w:color w:val="000000"/>
                <w:kern w:val="0"/>
                <w:szCs w:val="21"/>
                <w:lang/>
              </w:rPr>
              <w:t>轻度污染</w:t>
            </w:r>
          </w:p>
        </w:tc>
        <w:tc>
          <w:tcPr>
            <w:tcW w:w="1276" w:type="dxa"/>
            <w:vAlign w:val="center"/>
          </w:tcPr>
          <w:p>
            <w:pPr>
              <w:widowControl/>
              <w:jc w:val="center"/>
              <w:textAlignment w:val="bottom"/>
              <w:rPr>
                <w:rFonts w:eastAsia="Tahoma"/>
                <w:color w:val="000000"/>
                <w:kern w:val="0"/>
                <w:szCs w:val="21"/>
                <w:lang/>
              </w:rPr>
            </w:pPr>
            <w:r>
              <w:rPr>
                <w:rFonts w:eastAsia="Tahoma"/>
                <w:color w:val="000000"/>
                <w:kern w:val="0"/>
                <w:szCs w:val="21"/>
                <w:lang/>
              </w:rPr>
              <w:t>污染较重</w:t>
            </w:r>
          </w:p>
        </w:tc>
        <w:tc>
          <w:tcPr>
            <w:tcW w:w="1134" w:type="dxa"/>
            <w:vAlign w:val="center"/>
          </w:tcPr>
          <w:p>
            <w:pPr>
              <w:widowControl/>
              <w:jc w:val="center"/>
              <w:textAlignment w:val="bottom"/>
              <w:rPr>
                <w:rFonts w:eastAsia="Tahoma"/>
                <w:color w:val="000000"/>
                <w:kern w:val="0"/>
                <w:szCs w:val="21"/>
                <w:lang/>
              </w:rPr>
            </w:pPr>
            <w:r>
              <w:rPr>
                <w:rFonts w:eastAsia="Tahoma"/>
                <w:color w:val="000000"/>
                <w:kern w:val="0"/>
                <w:szCs w:val="21"/>
                <w:lang/>
              </w:rPr>
              <w:t>严重污染</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表5-4-2</w:t>
      </w:r>
      <w:r>
        <w:rPr>
          <w:rFonts w:hint="eastAsia" w:ascii="Times New Roman" w:hAnsi="Times New Roman"/>
          <w:sz w:val="24"/>
          <w:szCs w:val="24"/>
        </w:rPr>
        <w:t>5</w:t>
      </w:r>
      <w:r>
        <w:rPr>
          <w:rFonts w:ascii="Times New Roman" w:hAnsi="Times New Roman"/>
          <w:sz w:val="24"/>
          <w:szCs w:val="24"/>
        </w:rPr>
        <w:t xml:space="preserve"> 长沙县乡镇Ⅲ级住宅用地宗地地价区域因素修正系数表</w:t>
      </w:r>
    </w:p>
    <w:tbl>
      <w:tblPr>
        <w:tblW w:w="8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62"/>
        <w:gridCol w:w="1744"/>
        <w:gridCol w:w="934"/>
        <w:gridCol w:w="934"/>
        <w:gridCol w:w="934"/>
        <w:gridCol w:w="934"/>
        <w:gridCol w:w="934"/>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7" w:hRule="atLeast"/>
          <w:tblHeader/>
        </w:trPr>
        <w:tc>
          <w:tcPr>
            <w:tcW w:w="1362"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因素</w:t>
            </w:r>
          </w:p>
        </w:tc>
        <w:tc>
          <w:tcPr>
            <w:tcW w:w="174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因子</w:t>
            </w:r>
          </w:p>
        </w:tc>
        <w:tc>
          <w:tcPr>
            <w:tcW w:w="93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权重</w:t>
            </w:r>
          </w:p>
        </w:tc>
        <w:tc>
          <w:tcPr>
            <w:tcW w:w="93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优</w:t>
            </w:r>
          </w:p>
        </w:tc>
        <w:tc>
          <w:tcPr>
            <w:tcW w:w="93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较优</w:t>
            </w:r>
          </w:p>
        </w:tc>
        <w:tc>
          <w:tcPr>
            <w:tcW w:w="93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一般</w:t>
            </w:r>
          </w:p>
        </w:tc>
        <w:tc>
          <w:tcPr>
            <w:tcW w:w="93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较劣</w:t>
            </w:r>
          </w:p>
        </w:tc>
        <w:tc>
          <w:tcPr>
            <w:tcW w:w="939"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40" w:hRule="atLeast"/>
        </w:trPr>
        <w:tc>
          <w:tcPr>
            <w:tcW w:w="1362" w:type="dxa"/>
            <w:vAlign w:val="center"/>
          </w:tcPr>
          <w:p>
            <w:pPr>
              <w:widowControl/>
              <w:jc w:val="center"/>
              <w:textAlignment w:val="bottom"/>
              <w:rPr>
                <w:rFonts w:eastAsia="Tahoma"/>
                <w:color w:val="000000"/>
                <w:kern w:val="0"/>
                <w:szCs w:val="21"/>
                <w:lang/>
              </w:rPr>
            </w:pPr>
            <w:r>
              <w:rPr>
                <w:rFonts w:eastAsia="Tahoma"/>
                <w:color w:val="000000"/>
                <w:kern w:val="0"/>
                <w:szCs w:val="21"/>
                <w:lang/>
              </w:rPr>
              <w:t>商服繁华度</w:t>
            </w: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距离商服中心距离</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0.157</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2.141</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1.071</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-0.544 </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-1.088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trPr>
        <w:tc>
          <w:tcPr>
            <w:tcW w:w="1362" w:type="dxa"/>
            <w:vMerge w:val="restart"/>
            <w:vAlign w:val="center"/>
          </w:tcPr>
          <w:p>
            <w:pPr>
              <w:widowControl/>
              <w:jc w:val="center"/>
              <w:textAlignment w:val="bottom"/>
              <w:rPr>
                <w:rFonts w:eastAsia="Tahoma"/>
                <w:color w:val="000000"/>
                <w:kern w:val="0"/>
                <w:szCs w:val="21"/>
                <w:lang/>
              </w:rPr>
            </w:pPr>
            <w:r>
              <w:rPr>
                <w:rFonts w:eastAsia="Tahoma"/>
                <w:color w:val="000000"/>
                <w:kern w:val="0"/>
                <w:szCs w:val="21"/>
                <w:lang/>
              </w:rPr>
              <w:t>交通条件</w:t>
            </w: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临街道路状况</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0.178</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2.428</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1.214</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-0.617 </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-1.234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trPr>
        <w:tc>
          <w:tcPr>
            <w:tcW w:w="1362" w:type="dxa"/>
            <w:vMerge w:val="continue"/>
            <w:vAlign w:val="center"/>
          </w:tcPr>
          <w:p>
            <w:pPr>
              <w:widowControl/>
              <w:jc w:val="center"/>
              <w:textAlignment w:val="bottom"/>
              <w:rPr>
                <w:rFonts w:eastAsia="Tahoma"/>
                <w:color w:val="000000"/>
                <w:kern w:val="0"/>
                <w:szCs w:val="21"/>
                <w:lang/>
              </w:rPr>
            </w:pP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距长途汽车站距离</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0.063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0.859</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0.430</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-0.218 </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-0.437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trPr>
        <w:tc>
          <w:tcPr>
            <w:tcW w:w="1362" w:type="dxa"/>
            <w:vAlign w:val="center"/>
          </w:tcPr>
          <w:p>
            <w:pPr>
              <w:widowControl/>
              <w:jc w:val="center"/>
              <w:textAlignment w:val="bottom"/>
              <w:rPr>
                <w:rFonts w:eastAsia="Tahoma"/>
                <w:color w:val="000000"/>
                <w:kern w:val="0"/>
                <w:szCs w:val="21"/>
                <w:lang/>
              </w:rPr>
            </w:pPr>
            <w:r>
              <w:rPr>
                <w:rFonts w:eastAsia="Tahoma"/>
                <w:color w:val="000000"/>
                <w:kern w:val="0"/>
                <w:szCs w:val="21"/>
                <w:lang/>
              </w:rPr>
              <w:t>基础设施状况</w:t>
            </w: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水电气综合保证率</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0.220</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3.001</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1.500</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-0.762 </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-1.525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trPr>
        <w:tc>
          <w:tcPr>
            <w:tcW w:w="1362" w:type="dxa"/>
            <w:vMerge w:val="restart"/>
            <w:vAlign w:val="center"/>
          </w:tcPr>
          <w:p>
            <w:pPr>
              <w:widowControl/>
              <w:jc w:val="center"/>
              <w:textAlignment w:val="bottom"/>
              <w:rPr>
                <w:rFonts w:eastAsia="Tahoma"/>
                <w:color w:val="000000"/>
                <w:kern w:val="0"/>
                <w:szCs w:val="21"/>
                <w:lang/>
              </w:rPr>
            </w:pPr>
            <w:r>
              <w:rPr>
                <w:rFonts w:eastAsia="Tahoma"/>
                <w:color w:val="000000"/>
                <w:kern w:val="0"/>
                <w:szCs w:val="21"/>
                <w:lang/>
              </w:rPr>
              <w:t>公用设施完备度</w:t>
            </w: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距中小学距离</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0.043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0.587</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0.293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-0.149 </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-0.298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trPr>
        <w:tc>
          <w:tcPr>
            <w:tcW w:w="1362" w:type="dxa"/>
            <w:vMerge w:val="continue"/>
            <w:vAlign w:val="center"/>
          </w:tcPr>
          <w:p>
            <w:pPr>
              <w:widowControl/>
              <w:jc w:val="center"/>
              <w:textAlignment w:val="bottom"/>
              <w:rPr>
                <w:rFonts w:eastAsia="Tahoma"/>
                <w:color w:val="000000"/>
                <w:kern w:val="0"/>
                <w:szCs w:val="21"/>
                <w:lang/>
              </w:rPr>
            </w:pP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距农贸市场距离</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0.043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0.587</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0.293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-0.149 </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-0.298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trPr>
        <w:tc>
          <w:tcPr>
            <w:tcW w:w="1362" w:type="dxa"/>
            <w:vMerge w:val="continue"/>
            <w:vAlign w:val="center"/>
          </w:tcPr>
          <w:p>
            <w:pPr>
              <w:widowControl/>
              <w:jc w:val="center"/>
              <w:textAlignment w:val="bottom"/>
              <w:rPr>
                <w:rFonts w:eastAsia="Tahoma"/>
                <w:color w:val="000000"/>
                <w:kern w:val="0"/>
                <w:szCs w:val="21"/>
                <w:lang/>
              </w:rPr>
            </w:pP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距文体设施距离</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0.043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0.587</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0.293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-0.149 </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-0.298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1" w:hRule="atLeast"/>
        </w:trPr>
        <w:tc>
          <w:tcPr>
            <w:tcW w:w="1362" w:type="dxa"/>
            <w:vMerge w:val="continue"/>
            <w:vAlign w:val="center"/>
          </w:tcPr>
          <w:p>
            <w:pPr>
              <w:widowControl/>
              <w:jc w:val="center"/>
              <w:textAlignment w:val="bottom"/>
              <w:rPr>
                <w:rFonts w:eastAsia="Tahoma"/>
                <w:color w:val="000000"/>
                <w:kern w:val="0"/>
                <w:szCs w:val="21"/>
                <w:lang/>
              </w:rPr>
            </w:pP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距医院距离</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0.043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0.587</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0.293</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-0.149 </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-0.298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1" w:hRule="atLeast"/>
        </w:trPr>
        <w:tc>
          <w:tcPr>
            <w:tcW w:w="1362"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人口状况</w:t>
            </w: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人口密度</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0.110</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1.500</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0.750</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-0.381 </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-0.762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20" w:hRule="atLeast"/>
        </w:trPr>
        <w:tc>
          <w:tcPr>
            <w:tcW w:w="1362" w:type="dxa"/>
            <w:vMerge w:val="restart"/>
            <w:vAlign w:val="center"/>
          </w:tcPr>
          <w:p>
            <w:pPr>
              <w:widowControl/>
              <w:jc w:val="center"/>
              <w:textAlignment w:val="bottom"/>
              <w:rPr>
                <w:rFonts w:eastAsia="Tahoma"/>
                <w:color w:val="000000"/>
                <w:kern w:val="0"/>
                <w:szCs w:val="21"/>
                <w:lang/>
              </w:rPr>
            </w:pPr>
            <w:r>
              <w:rPr>
                <w:rFonts w:eastAsia="Tahoma"/>
                <w:color w:val="000000"/>
                <w:kern w:val="0"/>
                <w:szCs w:val="21"/>
                <w:lang/>
              </w:rPr>
              <w:t>环境条件</w:t>
            </w: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大气污染状况</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0.035</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0.477</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0.239</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-0.121 </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-0.243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20" w:hRule="atLeast"/>
        </w:trPr>
        <w:tc>
          <w:tcPr>
            <w:tcW w:w="1362" w:type="dxa"/>
            <w:vMerge w:val="continue"/>
            <w:vAlign w:val="center"/>
          </w:tcPr>
          <w:p>
            <w:pPr>
              <w:widowControl/>
              <w:jc w:val="center"/>
              <w:textAlignment w:val="bottom"/>
              <w:rPr>
                <w:rFonts w:eastAsia="Tahoma"/>
                <w:color w:val="000000"/>
                <w:kern w:val="0"/>
                <w:szCs w:val="21"/>
                <w:lang/>
              </w:rPr>
            </w:pP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噪音污染状况</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0.030</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0.409</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0.205</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-0.104 </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-0.208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20" w:hRule="atLeast"/>
        </w:trPr>
        <w:tc>
          <w:tcPr>
            <w:tcW w:w="1362" w:type="dxa"/>
            <w:vMerge w:val="continue"/>
            <w:vAlign w:val="center"/>
          </w:tcPr>
          <w:p>
            <w:pPr>
              <w:widowControl/>
              <w:jc w:val="center"/>
              <w:textAlignment w:val="bottom"/>
              <w:rPr>
                <w:rFonts w:eastAsia="Tahoma"/>
                <w:color w:val="000000"/>
                <w:kern w:val="0"/>
                <w:szCs w:val="21"/>
                <w:lang/>
              </w:rPr>
            </w:pPr>
          </w:p>
        </w:tc>
        <w:tc>
          <w:tcPr>
            <w:tcW w:w="1744" w:type="dxa"/>
            <w:vAlign w:val="center"/>
          </w:tcPr>
          <w:p>
            <w:pPr>
              <w:widowControl/>
              <w:jc w:val="center"/>
              <w:textAlignment w:val="bottom"/>
              <w:rPr>
                <w:rFonts w:eastAsia="Tahoma"/>
                <w:color w:val="000000"/>
                <w:kern w:val="0"/>
                <w:szCs w:val="21"/>
                <w:lang/>
              </w:rPr>
            </w:pPr>
            <w:r>
              <w:rPr>
                <w:rFonts w:eastAsia="Tahoma"/>
                <w:color w:val="000000"/>
                <w:kern w:val="0"/>
                <w:szCs w:val="21"/>
                <w:lang/>
              </w:rPr>
              <w:t>水污染状况</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0.035</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0.477</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0.239</w:t>
            </w:r>
          </w:p>
        </w:tc>
        <w:tc>
          <w:tcPr>
            <w:tcW w:w="934" w:type="dxa"/>
            <w:vAlign w:val="center"/>
          </w:tcPr>
          <w:p>
            <w:pPr>
              <w:widowControl/>
              <w:jc w:val="center"/>
              <w:textAlignment w:val="bottom"/>
              <w:rPr>
                <w:rFonts w:eastAsia="Tahoma"/>
                <w:color w:val="000000"/>
                <w:kern w:val="0"/>
                <w:szCs w:val="21"/>
                <w:lang/>
              </w:rPr>
            </w:pPr>
            <w:r>
              <w:rPr>
                <w:rFonts w:eastAsia="Tahoma"/>
                <w:color w:val="000000"/>
                <w:kern w:val="0"/>
                <w:szCs w:val="21"/>
                <w:lang/>
              </w:rPr>
              <w:t>0</w:t>
            </w:r>
          </w:p>
        </w:tc>
        <w:tc>
          <w:tcPr>
            <w:tcW w:w="934"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-0.121 </w:t>
            </w:r>
          </w:p>
        </w:tc>
        <w:tc>
          <w:tcPr>
            <w:tcW w:w="939" w:type="dxa"/>
            <w:vAlign w:val="center"/>
          </w:tcPr>
          <w:p>
            <w:pPr>
              <w:widowControl/>
              <w:jc w:val="center"/>
              <w:textAlignment w:val="center"/>
              <w:rPr>
                <w:rFonts w:eastAsia="Tahoma"/>
                <w:color w:val="000000"/>
                <w:kern w:val="0"/>
                <w:szCs w:val="21"/>
                <w:lang/>
              </w:rPr>
            </w:pPr>
            <w:r>
              <w:rPr>
                <w:rFonts w:eastAsia="Tahoma"/>
                <w:color w:val="000000"/>
                <w:kern w:val="0"/>
                <w:szCs w:val="21"/>
                <w:lang/>
              </w:rPr>
              <w:t xml:space="preserve">-0.243 </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表5-4-2</w:t>
      </w:r>
      <w:r>
        <w:rPr>
          <w:rFonts w:hint="eastAsia" w:ascii="Times New Roman" w:hAnsi="Times New Roman"/>
          <w:sz w:val="24"/>
          <w:szCs w:val="24"/>
        </w:rPr>
        <w:t>6</w:t>
      </w:r>
      <w:r>
        <w:rPr>
          <w:rFonts w:ascii="Times New Roman" w:hAnsi="Times New Roman"/>
          <w:sz w:val="24"/>
          <w:szCs w:val="24"/>
        </w:rPr>
        <w:t xml:space="preserve">  长沙县乡镇Ⅲ级住宅用地宗地地价区域因素修正系数指标说明表</w:t>
      </w:r>
    </w:p>
    <w:tbl>
      <w:tblPr>
        <w:tblW w:w="10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2099"/>
        <w:gridCol w:w="1162"/>
        <w:gridCol w:w="1299"/>
        <w:gridCol w:w="1469"/>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569"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因素</w:t>
            </w:r>
          </w:p>
        </w:tc>
        <w:tc>
          <w:tcPr>
            <w:tcW w:w="2099"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因子</w:t>
            </w:r>
          </w:p>
        </w:tc>
        <w:tc>
          <w:tcPr>
            <w:tcW w:w="1162"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优</w:t>
            </w:r>
          </w:p>
        </w:tc>
        <w:tc>
          <w:tcPr>
            <w:tcW w:w="1299"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较优</w:t>
            </w:r>
          </w:p>
        </w:tc>
        <w:tc>
          <w:tcPr>
            <w:tcW w:w="1469"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一般</w:t>
            </w:r>
          </w:p>
        </w:tc>
        <w:tc>
          <w:tcPr>
            <w:tcW w:w="1276"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较劣</w:t>
            </w:r>
          </w:p>
        </w:tc>
        <w:tc>
          <w:tcPr>
            <w:tcW w:w="113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jc w:val="center"/>
        </w:trPr>
        <w:tc>
          <w:tcPr>
            <w:tcW w:w="156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商服繁华度</w:t>
            </w:r>
          </w:p>
        </w:tc>
        <w:tc>
          <w:tcPr>
            <w:tcW w:w="20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距离商服中心距离（m）</w:t>
            </w:r>
          </w:p>
        </w:tc>
        <w:tc>
          <w:tcPr>
            <w:tcW w:w="1162"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≤100</w:t>
            </w:r>
          </w:p>
        </w:tc>
        <w:tc>
          <w:tcPr>
            <w:tcW w:w="12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100-200</w:t>
            </w:r>
          </w:p>
        </w:tc>
        <w:tc>
          <w:tcPr>
            <w:tcW w:w="146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200-400</w:t>
            </w:r>
          </w:p>
        </w:tc>
        <w:tc>
          <w:tcPr>
            <w:tcW w:w="1276"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400-600</w:t>
            </w:r>
          </w:p>
        </w:tc>
        <w:tc>
          <w:tcPr>
            <w:tcW w:w="1134"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&gt;600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jc w:val="center"/>
        </w:trPr>
        <w:tc>
          <w:tcPr>
            <w:tcW w:w="1569" w:type="dxa"/>
            <w:vMerge w:val="restart"/>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交通条件</w:t>
            </w:r>
          </w:p>
        </w:tc>
        <w:tc>
          <w:tcPr>
            <w:tcW w:w="20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临街道路状况</w:t>
            </w:r>
          </w:p>
        </w:tc>
        <w:tc>
          <w:tcPr>
            <w:tcW w:w="1162"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生活型</w:t>
            </w:r>
          </w:p>
          <w:p>
            <w:pPr>
              <w:widowControl/>
              <w:spacing w:line="360" w:lineRule="exact"/>
              <w:jc w:val="center"/>
              <w:textAlignment w:val="bottom"/>
              <w:rPr>
                <w:rFonts w:eastAsia="Tahoma"/>
                <w:color w:val="000000"/>
                <w:kern w:val="0"/>
                <w:szCs w:val="21"/>
                <w:lang/>
              </w:rPr>
            </w:pPr>
            <w:r>
              <w:rPr>
                <w:rFonts w:eastAsia="Tahoma"/>
                <w:color w:val="000000"/>
                <w:kern w:val="0"/>
                <w:szCs w:val="21"/>
                <w:lang/>
              </w:rPr>
              <w:t>主干道</w:t>
            </w:r>
          </w:p>
        </w:tc>
        <w:tc>
          <w:tcPr>
            <w:tcW w:w="12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混合型</w:t>
            </w:r>
          </w:p>
          <w:p>
            <w:pPr>
              <w:widowControl/>
              <w:spacing w:line="360" w:lineRule="exact"/>
              <w:jc w:val="center"/>
              <w:textAlignment w:val="bottom"/>
              <w:rPr>
                <w:rFonts w:eastAsia="Tahoma"/>
                <w:color w:val="000000"/>
                <w:kern w:val="0"/>
                <w:szCs w:val="21"/>
                <w:lang/>
              </w:rPr>
            </w:pPr>
            <w:r>
              <w:rPr>
                <w:rFonts w:eastAsia="Tahoma"/>
                <w:color w:val="000000"/>
                <w:kern w:val="0"/>
                <w:szCs w:val="21"/>
                <w:lang/>
              </w:rPr>
              <w:t>主干道</w:t>
            </w:r>
          </w:p>
        </w:tc>
        <w:tc>
          <w:tcPr>
            <w:tcW w:w="146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交通型</w:t>
            </w:r>
          </w:p>
          <w:p>
            <w:pPr>
              <w:widowControl/>
              <w:spacing w:line="360" w:lineRule="exact"/>
              <w:jc w:val="center"/>
              <w:textAlignment w:val="bottom"/>
              <w:rPr>
                <w:rFonts w:eastAsia="Tahoma"/>
                <w:color w:val="000000"/>
                <w:kern w:val="0"/>
                <w:szCs w:val="21"/>
                <w:lang/>
              </w:rPr>
            </w:pPr>
            <w:r>
              <w:rPr>
                <w:rFonts w:eastAsia="Tahoma"/>
                <w:color w:val="000000"/>
                <w:kern w:val="0"/>
                <w:szCs w:val="21"/>
                <w:lang/>
              </w:rPr>
              <w:t>主干道</w:t>
            </w:r>
          </w:p>
        </w:tc>
        <w:tc>
          <w:tcPr>
            <w:tcW w:w="1276"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生活型</w:t>
            </w:r>
          </w:p>
          <w:p>
            <w:pPr>
              <w:widowControl/>
              <w:spacing w:line="360" w:lineRule="exact"/>
              <w:jc w:val="center"/>
              <w:textAlignment w:val="bottom"/>
              <w:rPr>
                <w:rFonts w:eastAsia="Tahoma"/>
                <w:color w:val="000000"/>
                <w:kern w:val="0"/>
                <w:szCs w:val="21"/>
                <w:lang/>
              </w:rPr>
            </w:pPr>
            <w:r>
              <w:rPr>
                <w:rFonts w:eastAsia="Tahoma"/>
                <w:color w:val="000000"/>
                <w:kern w:val="0"/>
                <w:szCs w:val="21"/>
                <w:lang/>
              </w:rPr>
              <w:t>次干道</w:t>
            </w:r>
          </w:p>
        </w:tc>
        <w:tc>
          <w:tcPr>
            <w:tcW w:w="1134"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4" w:hRule="atLeast"/>
          <w:jc w:val="center"/>
        </w:trPr>
        <w:tc>
          <w:tcPr>
            <w:tcW w:w="1569" w:type="dxa"/>
            <w:vMerge w:val="continue"/>
            <w:vAlign w:val="center"/>
          </w:tcPr>
          <w:p>
            <w:pPr>
              <w:widowControl/>
              <w:spacing w:line="360" w:lineRule="exact"/>
              <w:jc w:val="center"/>
              <w:textAlignment w:val="bottom"/>
              <w:rPr>
                <w:rFonts w:eastAsia="Tahoma"/>
                <w:color w:val="000000"/>
                <w:kern w:val="0"/>
                <w:szCs w:val="21"/>
                <w:lang/>
              </w:rPr>
            </w:pPr>
          </w:p>
        </w:tc>
        <w:tc>
          <w:tcPr>
            <w:tcW w:w="20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距长途汽车站距离（m）</w:t>
            </w:r>
          </w:p>
        </w:tc>
        <w:tc>
          <w:tcPr>
            <w:tcW w:w="1162"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&lt;1000</w:t>
            </w:r>
          </w:p>
        </w:tc>
        <w:tc>
          <w:tcPr>
            <w:tcW w:w="12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1000-1400</w:t>
            </w:r>
          </w:p>
        </w:tc>
        <w:tc>
          <w:tcPr>
            <w:tcW w:w="146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1400-1800</w:t>
            </w:r>
          </w:p>
        </w:tc>
        <w:tc>
          <w:tcPr>
            <w:tcW w:w="1276"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1800-2200</w:t>
            </w:r>
          </w:p>
        </w:tc>
        <w:tc>
          <w:tcPr>
            <w:tcW w:w="1134"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&gt;2200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基础设施状况</w:t>
            </w:r>
          </w:p>
        </w:tc>
        <w:tc>
          <w:tcPr>
            <w:tcW w:w="20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水电气综合保证率</w:t>
            </w:r>
          </w:p>
        </w:tc>
        <w:tc>
          <w:tcPr>
            <w:tcW w:w="1162"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90-100%</w:t>
            </w:r>
          </w:p>
        </w:tc>
        <w:tc>
          <w:tcPr>
            <w:tcW w:w="12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80-90%</w:t>
            </w:r>
          </w:p>
        </w:tc>
        <w:tc>
          <w:tcPr>
            <w:tcW w:w="146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70-79%</w:t>
            </w:r>
          </w:p>
        </w:tc>
        <w:tc>
          <w:tcPr>
            <w:tcW w:w="1276"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60-70%</w:t>
            </w:r>
          </w:p>
        </w:tc>
        <w:tc>
          <w:tcPr>
            <w:tcW w:w="1134"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&lt;60%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restart"/>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公用设施完备度</w:t>
            </w:r>
          </w:p>
        </w:tc>
        <w:tc>
          <w:tcPr>
            <w:tcW w:w="20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距中小学距离（m）</w:t>
            </w:r>
          </w:p>
        </w:tc>
        <w:tc>
          <w:tcPr>
            <w:tcW w:w="1162"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&lt;600</w:t>
            </w:r>
          </w:p>
        </w:tc>
        <w:tc>
          <w:tcPr>
            <w:tcW w:w="12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600-780</w:t>
            </w:r>
          </w:p>
        </w:tc>
        <w:tc>
          <w:tcPr>
            <w:tcW w:w="146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780-990</w:t>
            </w:r>
          </w:p>
        </w:tc>
        <w:tc>
          <w:tcPr>
            <w:tcW w:w="1276"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990-1180</w:t>
            </w:r>
          </w:p>
        </w:tc>
        <w:tc>
          <w:tcPr>
            <w:tcW w:w="1134"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&gt;1180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spacing w:line="360" w:lineRule="exact"/>
              <w:jc w:val="center"/>
              <w:textAlignment w:val="bottom"/>
              <w:rPr>
                <w:rFonts w:eastAsia="Tahoma"/>
                <w:color w:val="000000"/>
                <w:kern w:val="0"/>
                <w:szCs w:val="21"/>
                <w:lang/>
              </w:rPr>
            </w:pPr>
          </w:p>
        </w:tc>
        <w:tc>
          <w:tcPr>
            <w:tcW w:w="20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距农贸市场距离（m）</w:t>
            </w:r>
          </w:p>
        </w:tc>
        <w:tc>
          <w:tcPr>
            <w:tcW w:w="1162"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&lt;560</w:t>
            </w:r>
          </w:p>
        </w:tc>
        <w:tc>
          <w:tcPr>
            <w:tcW w:w="12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560-630</w:t>
            </w:r>
          </w:p>
        </w:tc>
        <w:tc>
          <w:tcPr>
            <w:tcW w:w="146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630-680</w:t>
            </w:r>
          </w:p>
        </w:tc>
        <w:tc>
          <w:tcPr>
            <w:tcW w:w="1276"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680-730</w:t>
            </w:r>
          </w:p>
        </w:tc>
        <w:tc>
          <w:tcPr>
            <w:tcW w:w="1134"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&gt;730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spacing w:line="360" w:lineRule="exact"/>
              <w:jc w:val="center"/>
              <w:textAlignment w:val="bottom"/>
              <w:rPr>
                <w:rFonts w:eastAsia="Tahoma"/>
                <w:color w:val="000000"/>
                <w:kern w:val="0"/>
                <w:szCs w:val="21"/>
                <w:lang/>
              </w:rPr>
            </w:pPr>
          </w:p>
        </w:tc>
        <w:tc>
          <w:tcPr>
            <w:tcW w:w="20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距文体设施距离（m）</w:t>
            </w:r>
          </w:p>
        </w:tc>
        <w:tc>
          <w:tcPr>
            <w:tcW w:w="1162"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&lt;450</w:t>
            </w:r>
          </w:p>
        </w:tc>
        <w:tc>
          <w:tcPr>
            <w:tcW w:w="12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450-500</w:t>
            </w:r>
          </w:p>
        </w:tc>
        <w:tc>
          <w:tcPr>
            <w:tcW w:w="146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500-550</w:t>
            </w:r>
          </w:p>
        </w:tc>
        <w:tc>
          <w:tcPr>
            <w:tcW w:w="1276"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550-650</w:t>
            </w:r>
          </w:p>
        </w:tc>
        <w:tc>
          <w:tcPr>
            <w:tcW w:w="1134"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&gt;650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spacing w:line="360" w:lineRule="exact"/>
              <w:jc w:val="center"/>
              <w:textAlignment w:val="bottom"/>
              <w:rPr>
                <w:rFonts w:eastAsia="Tahoma"/>
                <w:color w:val="000000"/>
                <w:kern w:val="0"/>
                <w:szCs w:val="21"/>
                <w:lang/>
              </w:rPr>
            </w:pPr>
          </w:p>
        </w:tc>
        <w:tc>
          <w:tcPr>
            <w:tcW w:w="20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距医院距离（m）</w:t>
            </w:r>
          </w:p>
        </w:tc>
        <w:tc>
          <w:tcPr>
            <w:tcW w:w="1162"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&lt;300</w:t>
            </w:r>
          </w:p>
        </w:tc>
        <w:tc>
          <w:tcPr>
            <w:tcW w:w="12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300-400</w:t>
            </w:r>
          </w:p>
        </w:tc>
        <w:tc>
          <w:tcPr>
            <w:tcW w:w="146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400-500</w:t>
            </w:r>
          </w:p>
        </w:tc>
        <w:tc>
          <w:tcPr>
            <w:tcW w:w="1276"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500-600</w:t>
            </w:r>
          </w:p>
        </w:tc>
        <w:tc>
          <w:tcPr>
            <w:tcW w:w="1134"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&gt;600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人口状况</w:t>
            </w:r>
          </w:p>
        </w:tc>
        <w:tc>
          <w:tcPr>
            <w:tcW w:w="20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人口密度</w:t>
            </w:r>
          </w:p>
        </w:tc>
        <w:tc>
          <w:tcPr>
            <w:tcW w:w="1162"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人口稠密</w:t>
            </w:r>
          </w:p>
        </w:tc>
        <w:tc>
          <w:tcPr>
            <w:tcW w:w="12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人口较稠密</w:t>
            </w:r>
          </w:p>
        </w:tc>
        <w:tc>
          <w:tcPr>
            <w:tcW w:w="146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一般</w:t>
            </w:r>
          </w:p>
        </w:tc>
        <w:tc>
          <w:tcPr>
            <w:tcW w:w="1276"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人口较稀疏</w:t>
            </w:r>
          </w:p>
        </w:tc>
        <w:tc>
          <w:tcPr>
            <w:tcW w:w="1134"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人口稀疏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restart"/>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环境条件优劣度</w:t>
            </w:r>
          </w:p>
        </w:tc>
        <w:tc>
          <w:tcPr>
            <w:tcW w:w="20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大气污染状况</w:t>
            </w:r>
          </w:p>
        </w:tc>
        <w:tc>
          <w:tcPr>
            <w:tcW w:w="1162"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无污染</w:t>
            </w:r>
          </w:p>
        </w:tc>
        <w:tc>
          <w:tcPr>
            <w:tcW w:w="12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基本无污染</w:t>
            </w:r>
          </w:p>
        </w:tc>
        <w:tc>
          <w:tcPr>
            <w:tcW w:w="146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轻度污染</w:t>
            </w:r>
          </w:p>
        </w:tc>
        <w:tc>
          <w:tcPr>
            <w:tcW w:w="1276"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污染较重</w:t>
            </w:r>
          </w:p>
        </w:tc>
        <w:tc>
          <w:tcPr>
            <w:tcW w:w="1134"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严重污染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spacing w:line="360" w:lineRule="exact"/>
              <w:jc w:val="center"/>
              <w:textAlignment w:val="bottom"/>
              <w:rPr>
                <w:rFonts w:eastAsia="Tahoma"/>
                <w:color w:val="000000"/>
                <w:kern w:val="0"/>
                <w:szCs w:val="21"/>
                <w:lang/>
              </w:rPr>
            </w:pPr>
          </w:p>
        </w:tc>
        <w:tc>
          <w:tcPr>
            <w:tcW w:w="20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噪音污染状况</w:t>
            </w:r>
          </w:p>
        </w:tc>
        <w:tc>
          <w:tcPr>
            <w:tcW w:w="1162"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无污染</w:t>
            </w:r>
          </w:p>
        </w:tc>
        <w:tc>
          <w:tcPr>
            <w:tcW w:w="12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基本无污染</w:t>
            </w:r>
          </w:p>
        </w:tc>
        <w:tc>
          <w:tcPr>
            <w:tcW w:w="146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轻度污染</w:t>
            </w:r>
          </w:p>
        </w:tc>
        <w:tc>
          <w:tcPr>
            <w:tcW w:w="1276"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污染较重</w:t>
            </w:r>
          </w:p>
        </w:tc>
        <w:tc>
          <w:tcPr>
            <w:tcW w:w="1134"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严重污染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9" w:type="dxa"/>
            <w:vMerge w:val="continue"/>
            <w:vAlign w:val="center"/>
          </w:tcPr>
          <w:p>
            <w:pPr>
              <w:widowControl/>
              <w:spacing w:line="360" w:lineRule="exact"/>
              <w:jc w:val="center"/>
              <w:textAlignment w:val="bottom"/>
              <w:rPr>
                <w:rFonts w:eastAsia="Tahoma"/>
                <w:color w:val="000000"/>
                <w:kern w:val="0"/>
                <w:szCs w:val="21"/>
                <w:lang/>
              </w:rPr>
            </w:pPr>
          </w:p>
        </w:tc>
        <w:tc>
          <w:tcPr>
            <w:tcW w:w="20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水污染状况</w:t>
            </w:r>
          </w:p>
        </w:tc>
        <w:tc>
          <w:tcPr>
            <w:tcW w:w="1162"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无污染</w:t>
            </w:r>
          </w:p>
        </w:tc>
        <w:tc>
          <w:tcPr>
            <w:tcW w:w="129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基本无污染</w:t>
            </w:r>
          </w:p>
        </w:tc>
        <w:tc>
          <w:tcPr>
            <w:tcW w:w="1469"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轻度污染</w:t>
            </w:r>
          </w:p>
        </w:tc>
        <w:tc>
          <w:tcPr>
            <w:tcW w:w="1276"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污染较重</w:t>
            </w:r>
          </w:p>
        </w:tc>
        <w:tc>
          <w:tcPr>
            <w:tcW w:w="1134" w:type="dxa"/>
            <w:vAlign w:val="center"/>
          </w:tcPr>
          <w:p>
            <w:pPr>
              <w:widowControl/>
              <w:spacing w:line="360" w:lineRule="exact"/>
              <w:jc w:val="center"/>
              <w:textAlignment w:val="bottom"/>
              <w:rPr>
                <w:rFonts w:eastAsia="Tahoma"/>
                <w:color w:val="000000"/>
                <w:kern w:val="0"/>
                <w:szCs w:val="21"/>
                <w:lang/>
              </w:rPr>
            </w:pPr>
            <w:r>
              <w:rPr>
                <w:rFonts w:eastAsia="Tahoma"/>
                <w:color w:val="000000"/>
                <w:kern w:val="0"/>
                <w:szCs w:val="21"/>
                <w:lang/>
              </w:rPr>
              <w:t>严重污染</w:t>
            </w:r>
          </w:p>
        </w:tc>
      </w:tr>
    </w:tbl>
    <w:p>
      <w:pPr>
        <w:numPr>
          <w:ilvl w:val="0"/>
          <w:numId w:val="7"/>
        </w:numPr>
        <w:spacing w:line="480" w:lineRule="exact"/>
        <w:ind w:firstLine="480" w:firstLineChars="200"/>
        <w:rPr>
          <w:sz w:val="24"/>
          <w:lang w:val="zh-CN"/>
        </w:rPr>
      </w:pPr>
      <w:r>
        <w:rPr>
          <w:sz w:val="24"/>
          <w:lang w:val="zh-CN"/>
        </w:rPr>
        <w:t>工矿仓储用地宗地地价区域因素修正</w:t>
      </w:r>
    </w:p>
    <w:p>
      <w:pPr>
        <w:pStyle w:val="131"/>
        <w:spacing w:beforeLines="50" w:afterLines="50"/>
        <w:ind w:firstLine="0" w:firstLineChars="0"/>
        <w:rPr>
          <w:rFonts w:ascii="Times New Roman" w:hAnsi="Times New Roman" w:eastAsia="黑体"/>
          <w:sz w:val="24"/>
        </w:rPr>
      </w:pPr>
      <w:r>
        <w:rPr>
          <w:rFonts w:ascii="Times New Roman" w:hAnsi="Times New Roman"/>
          <w:sz w:val="24"/>
          <w:szCs w:val="24"/>
        </w:rPr>
        <w:t>表5-4-2</w:t>
      </w:r>
      <w:r>
        <w:rPr>
          <w:rFonts w:hint="eastAsia" w:ascii="Times New Roman" w:hAnsi="Times New Roman"/>
          <w:sz w:val="24"/>
          <w:szCs w:val="24"/>
        </w:rPr>
        <w:t>7</w:t>
      </w:r>
      <w:r>
        <w:rPr>
          <w:rFonts w:ascii="Times New Roman" w:hAnsi="Times New Roman"/>
          <w:sz w:val="24"/>
          <w:szCs w:val="24"/>
        </w:rPr>
        <w:t xml:space="preserve">  长沙县乡镇Ⅰ级工矿仓储用地宗地地价区域因素修正系数表</w:t>
      </w:r>
    </w:p>
    <w:tbl>
      <w:tblPr>
        <w:tblW w:w="10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2410"/>
        <w:gridCol w:w="1089"/>
        <w:gridCol w:w="974"/>
        <w:gridCol w:w="974"/>
        <w:gridCol w:w="798"/>
        <w:gridCol w:w="1044"/>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29"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因素</w:t>
            </w: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因子</w:t>
            </w:r>
          </w:p>
        </w:tc>
        <w:tc>
          <w:tcPr>
            <w:tcW w:w="1089"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权重</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优</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较优</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一般</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较劣</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29" w:type="dxa"/>
            <w:vMerge w:val="restart"/>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交通条件</w:t>
            </w: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临街道路状况</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0.228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2.104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1.052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-0.764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-1.528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29" w:type="dxa"/>
            <w:vMerge w:val="continue"/>
            <w:vAlign w:val="center"/>
          </w:tcPr>
          <w:p>
            <w:pPr>
              <w:widowControl/>
              <w:spacing w:line="400" w:lineRule="exact"/>
              <w:jc w:val="center"/>
              <w:textAlignment w:val="bottom"/>
              <w:rPr>
                <w:rFonts w:eastAsia="Tahoma"/>
                <w:color w:val="000000"/>
                <w:kern w:val="0"/>
                <w:szCs w:val="21"/>
                <w:lang/>
              </w:rPr>
            </w:pP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临货运汽车站距离</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0.118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1.225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0.612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-0.445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-0.889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29"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基本设施完备度</w:t>
            </w: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水电气综合保证率</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0.280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4.396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2.198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-1.596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-3.192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29"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产业集聚效益</w:t>
            </w: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产业集聚影响度</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0.144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1.727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0.864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-0.627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-1.254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29" w:type="dxa"/>
            <w:vMerge w:val="restart"/>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环境条件优劣度</w:t>
            </w: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地形状况</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0.120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0.895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0.447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-0.325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-0.650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29" w:type="dxa"/>
            <w:vMerge w:val="continue"/>
            <w:vAlign w:val="center"/>
          </w:tcPr>
          <w:p>
            <w:pPr>
              <w:widowControl/>
              <w:spacing w:line="400" w:lineRule="exact"/>
              <w:jc w:val="center"/>
              <w:textAlignment w:val="bottom"/>
              <w:rPr>
                <w:rFonts w:eastAsia="Tahoma"/>
                <w:color w:val="000000"/>
                <w:kern w:val="0"/>
                <w:szCs w:val="21"/>
                <w:lang/>
              </w:rPr>
            </w:pP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地质状况</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0.110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0.502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0.251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0</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-0.182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-0.365 </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br w:type="page"/>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表5-4-2</w:t>
      </w:r>
      <w:r>
        <w:rPr>
          <w:rFonts w:hint="eastAsia" w:ascii="Times New Roman" w:hAnsi="Times New Roman"/>
          <w:sz w:val="24"/>
          <w:szCs w:val="24"/>
        </w:rPr>
        <w:t>8</w:t>
      </w:r>
      <w:r>
        <w:rPr>
          <w:rFonts w:ascii="Times New Roman" w:hAnsi="Times New Roman"/>
          <w:sz w:val="24"/>
          <w:szCs w:val="24"/>
        </w:rPr>
        <w:t>长沙县乡镇Ⅰ级工矿仓储用地宗地地价区域因素修正系数指标说明表</w:t>
      </w:r>
    </w:p>
    <w:tbl>
      <w:tblPr>
        <w:tblW w:w="10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2362"/>
        <w:gridCol w:w="1276"/>
        <w:gridCol w:w="1340"/>
        <w:gridCol w:w="1372"/>
        <w:gridCol w:w="1257"/>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541"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因素</w:t>
            </w:r>
          </w:p>
        </w:tc>
        <w:tc>
          <w:tcPr>
            <w:tcW w:w="2362"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因子</w:t>
            </w:r>
          </w:p>
        </w:tc>
        <w:tc>
          <w:tcPr>
            <w:tcW w:w="1276"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优</w:t>
            </w:r>
          </w:p>
        </w:tc>
        <w:tc>
          <w:tcPr>
            <w:tcW w:w="134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较优</w:t>
            </w:r>
          </w:p>
        </w:tc>
        <w:tc>
          <w:tcPr>
            <w:tcW w:w="1372"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一般</w:t>
            </w:r>
          </w:p>
        </w:tc>
        <w:tc>
          <w:tcPr>
            <w:tcW w:w="1257"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较劣</w:t>
            </w:r>
          </w:p>
        </w:tc>
        <w:tc>
          <w:tcPr>
            <w:tcW w:w="1057"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41" w:type="dxa"/>
            <w:vMerge w:val="restart"/>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交通条件</w:t>
            </w:r>
          </w:p>
        </w:tc>
        <w:tc>
          <w:tcPr>
            <w:tcW w:w="236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临街道路状况</w:t>
            </w:r>
          </w:p>
        </w:tc>
        <w:tc>
          <w:tcPr>
            <w:tcW w:w="1276"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主要</w:t>
            </w:r>
          </w:p>
          <w:p>
            <w:pPr>
              <w:widowControl/>
              <w:spacing w:line="400" w:lineRule="exact"/>
              <w:jc w:val="center"/>
              <w:textAlignment w:val="bottom"/>
              <w:rPr>
                <w:rFonts w:eastAsia="Tahoma"/>
                <w:color w:val="000000"/>
                <w:kern w:val="0"/>
                <w:szCs w:val="21"/>
                <w:lang/>
              </w:rPr>
            </w:pPr>
            <w:r>
              <w:rPr>
                <w:rFonts w:eastAsia="Tahoma"/>
                <w:color w:val="000000"/>
                <w:kern w:val="0"/>
                <w:szCs w:val="21"/>
                <w:lang/>
              </w:rPr>
              <w:t>主干道</w:t>
            </w:r>
          </w:p>
        </w:tc>
        <w:tc>
          <w:tcPr>
            <w:tcW w:w="134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一般</w:t>
            </w:r>
          </w:p>
          <w:p>
            <w:pPr>
              <w:widowControl/>
              <w:spacing w:line="400" w:lineRule="exact"/>
              <w:jc w:val="center"/>
              <w:textAlignment w:val="bottom"/>
              <w:rPr>
                <w:rFonts w:eastAsia="Tahoma"/>
                <w:color w:val="000000"/>
                <w:kern w:val="0"/>
                <w:szCs w:val="21"/>
                <w:lang/>
              </w:rPr>
            </w:pPr>
            <w:r>
              <w:rPr>
                <w:rFonts w:eastAsia="Tahoma"/>
                <w:color w:val="000000"/>
                <w:kern w:val="0"/>
                <w:szCs w:val="21"/>
                <w:lang/>
              </w:rPr>
              <w:t>主干道</w:t>
            </w:r>
          </w:p>
        </w:tc>
        <w:tc>
          <w:tcPr>
            <w:tcW w:w="137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次干道</w:t>
            </w:r>
          </w:p>
        </w:tc>
        <w:tc>
          <w:tcPr>
            <w:tcW w:w="12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支路</w:t>
            </w:r>
          </w:p>
        </w:tc>
        <w:tc>
          <w:tcPr>
            <w:tcW w:w="10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巷道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41" w:type="dxa"/>
            <w:vMerge w:val="continue"/>
            <w:vAlign w:val="center"/>
          </w:tcPr>
          <w:p>
            <w:pPr>
              <w:widowControl/>
              <w:spacing w:line="400" w:lineRule="exact"/>
              <w:jc w:val="center"/>
              <w:textAlignment w:val="bottom"/>
              <w:rPr>
                <w:rFonts w:eastAsia="Tahoma"/>
                <w:color w:val="000000"/>
                <w:kern w:val="0"/>
                <w:szCs w:val="21"/>
                <w:lang/>
              </w:rPr>
            </w:pPr>
          </w:p>
        </w:tc>
        <w:tc>
          <w:tcPr>
            <w:tcW w:w="236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临货运汽车站距离（m）</w:t>
            </w:r>
          </w:p>
        </w:tc>
        <w:tc>
          <w:tcPr>
            <w:tcW w:w="1276"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≤200</w:t>
            </w:r>
          </w:p>
        </w:tc>
        <w:tc>
          <w:tcPr>
            <w:tcW w:w="134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200-300</w:t>
            </w:r>
          </w:p>
        </w:tc>
        <w:tc>
          <w:tcPr>
            <w:tcW w:w="137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300-500</w:t>
            </w:r>
          </w:p>
        </w:tc>
        <w:tc>
          <w:tcPr>
            <w:tcW w:w="12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500-600</w:t>
            </w:r>
          </w:p>
        </w:tc>
        <w:tc>
          <w:tcPr>
            <w:tcW w:w="10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&gt;600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41"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基本设施完备度</w:t>
            </w:r>
          </w:p>
        </w:tc>
        <w:tc>
          <w:tcPr>
            <w:tcW w:w="236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水电气综合保证率</w:t>
            </w:r>
          </w:p>
        </w:tc>
        <w:tc>
          <w:tcPr>
            <w:tcW w:w="1276"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90-100%</w:t>
            </w:r>
          </w:p>
        </w:tc>
        <w:tc>
          <w:tcPr>
            <w:tcW w:w="134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80-90%</w:t>
            </w:r>
          </w:p>
        </w:tc>
        <w:tc>
          <w:tcPr>
            <w:tcW w:w="137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70-79%</w:t>
            </w:r>
          </w:p>
        </w:tc>
        <w:tc>
          <w:tcPr>
            <w:tcW w:w="12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60-70%</w:t>
            </w:r>
          </w:p>
        </w:tc>
        <w:tc>
          <w:tcPr>
            <w:tcW w:w="10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41"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产业集聚效益</w:t>
            </w:r>
          </w:p>
        </w:tc>
        <w:tc>
          <w:tcPr>
            <w:tcW w:w="236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产业集聚影响度</w:t>
            </w:r>
          </w:p>
        </w:tc>
        <w:tc>
          <w:tcPr>
            <w:tcW w:w="1276"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高新技术产业联系紧密区</w:t>
            </w:r>
          </w:p>
        </w:tc>
        <w:tc>
          <w:tcPr>
            <w:tcW w:w="134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高新技术产业联系一般区，一般产业联系紧密区</w:t>
            </w:r>
          </w:p>
        </w:tc>
        <w:tc>
          <w:tcPr>
            <w:tcW w:w="137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高新技术产业联系松散区，一般产业联系一般区</w:t>
            </w:r>
          </w:p>
        </w:tc>
        <w:tc>
          <w:tcPr>
            <w:tcW w:w="12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一般产业联系松散区</w:t>
            </w:r>
          </w:p>
        </w:tc>
        <w:tc>
          <w:tcPr>
            <w:tcW w:w="10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独立分布区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41" w:type="dxa"/>
            <w:vMerge w:val="restart"/>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环境条件优劣度</w:t>
            </w:r>
          </w:p>
        </w:tc>
        <w:tc>
          <w:tcPr>
            <w:tcW w:w="236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地形状况</w:t>
            </w:r>
          </w:p>
        </w:tc>
        <w:tc>
          <w:tcPr>
            <w:tcW w:w="1276"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地势平坦</w:t>
            </w:r>
          </w:p>
        </w:tc>
        <w:tc>
          <w:tcPr>
            <w:tcW w:w="134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较平坦，对建筑物无影响</w:t>
            </w:r>
          </w:p>
        </w:tc>
        <w:tc>
          <w:tcPr>
            <w:tcW w:w="137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较平坦，对建筑物影响较小</w:t>
            </w:r>
          </w:p>
        </w:tc>
        <w:tc>
          <w:tcPr>
            <w:tcW w:w="12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不平坦，需考虑坡度影响</w:t>
            </w:r>
          </w:p>
        </w:tc>
        <w:tc>
          <w:tcPr>
            <w:tcW w:w="10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不平坦，需经平整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41" w:type="dxa"/>
            <w:vMerge w:val="continue"/>
            <w:vAlign w:val="center"/>
          </w:tcPr>
          <w:p>
            <w:pPr>
              <w:widowControl/>
              <w:spacing w:line="400" w:lineRule="exact"/>
              <w:jc w:val="center"/>
              <w:textAlignment w:val="bottom"/>
              <w:rPr>
                <w:rFonts w:eastAsia="Tahoma"/>
                <w:color w:val="000000"/>
                <w:kern w:val="0"/>
                <w:szCs w:val="21"/>
                <w:lang/>
              </w:rPr>
            </w:pPr>
          </w:p>
        </w:tc>
        <w:tc>
          <w:tcPr>
            <w:tcW w:w="236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地质状况(T/m2)</w:t>
            </w:r>
          </w:p>
        </w:tc>
        <w:tc>
          <w:tcPr>
            <w:tcW w:w="1276"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&gt;25</w:t>
            </w:r>
          </w:p>
        </w:tc>
        <w:tc>
          <w:tcPr>
            <w:tcW w:w="134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22-25</w:t>
            </w:r>
          </w:p>
        </w:tc>
        <w:tc>
          <w:tcPr>
            <w:tcW w:w="137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18-22</w:t>
            </w:r>
          </w:p>
        </w:tc>
        <w:tc>
          <w:tcPr>
            <w:tcW w:w="12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15-18</w:t>
            </w:r>
          </w:p>
        </w:tc>
        <w:tc>
          <w:tcPr>
            <w:tcW w:w="10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&lt;15</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表5-4-2</w:t>
      </w:r>
      <w:r>
        <w:rPr>
          <w:rFonts w:hint="eastAsia" w:ascii="Times New Roman" w:hAnsi="Times New Roman"/>
          <w:sz w:val="24"/>
          <w:szCs w:val="24"/>
        </w:rPr>
        <w:t>9</w:t>
      </w:r>
      <w:r>
        <w:rPr>
          <w:rFonts w:ascii="Times New Roman" w:hAnsi="Times New Roman"/>
          <w:sz w:val="24"/>
          <w:szCs w:val="24"/>
        </w:rPr>
        <w:t xml:space="preserve">  长沙县乡镇Ⅱ级工矿仓储用地宗地地价区域因素修正系数表</w:t>
      </w:r>
    </w:p>
    <w:tbl>
      <w:tblPr>
        <w:tblW w:w="10062" w:type="dxa"/>
        <w:jc w:val="center"/>
        <w:tblInd w:w="-14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2410"/>
        <w:gridCol w:w="1089"/>
        <w:gridCol w:w="974"/>
        <w:gridCol w:w="974"/>
        <w:gridCol w:w="798"/>
        <w:gridCol w:w="1044"/>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29"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因素</w:t>
            </w:r>
          </w:p>
        </w:tc>
        <w:tc>
          <w:tcPr>
            <w:tcW w:w="2410"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因子</w:t>
            </w:r>
          </w:p>
        </w:tc>
        <w:tc>
          <w:tcPr>
            <w:tcW w:w="1089"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权重</w:t>
            </w:r>
          </w:p>
        </w:tc>
        <w:tc>
          <w:tcPr>
            <w:tcW w:w="97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优</w:t>
            </w:r>
          </w:p>
        </w:tc>
        <w:tc>
          <w:tcPr>
            <w:tcW w:w="97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较优</w:t>
            </w:r>
          </w:p>
        </w:tc>
        <w:tc>
          <w:tcPr>
            <w:tcW w:w="798"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一般</w:t>
            </w:r>
          </w:p>
        </w:tc>
        <w:tc>
          <w:tcPr>
            <w:tcW w:w="104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较劣</w:t>
            </w:r>
          </w:p>
        </w:tc>
        <w:tc>
          <w:tcPr>
            <w:tcW w:w="104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29" w:type="dxa"/>
            <w:vMerge w:val="restart"/>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交通条件</w:t>
            </w: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临街道路状况</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0.228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2.104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1.052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-0.764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-1.528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29" w:type="dxa"/>
            <w:vMerge w:val="continue"/>
            <w:vAlign w:val="center"/>
          </w:tcPr>
          <w:p>
            <w:pPr>
              <w:widowControl/>
              <w:spacing w:line="400" w:lineRule="exact"/>
              <w:jc w:val="center"/>
              <w:textAlignment w:val="bottom"/>
              <w:rPr>
                <w:rFonts w:eastAsia="Tahoma"/>
                <w:color w:val="000000"/>
                <w:kern w:val="0"/>
                <w:szCs w:val="21"/>
                <w:lang/>
              </w:rPr>
            </w:pP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临货运汽车站距离</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0.118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1.225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0.612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-0.445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-0.889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29"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基本设施完备度</w:t>
            </w: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水电气综合保证率</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0.280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4.396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2.198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-1.596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-3.192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29"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产业集聚效益</w:t>
            </w: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产业集聚影响度</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0.144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1.727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0.864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-0.627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-1.254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29" w:type="dxa"/>
            <w:vMerge w:val="restart"/>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环境条件优劣度</w:t>
            </w: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地形状况</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0.120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0.895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0.447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-0.325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-0.650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29" w:type="dxa"/>
            <w:vMerge w:val="continue"/>
            <w:vAlign w:val="center"/>
          </w:tcPr>
          <w:p>
            <w:pPr>
              <w:widowControl/>
              <w:spacing w:line="400" w:lineRule="exact"/>
              <w:jc w:val="center"/>
              <w:textAlignment w:val="bottom"/>
              <w:rPr>
                <w:rFonts w:eastAsia="Tahoma"/>
                <w:color w:val="000000"/>
                <w:kern w:val="0"/>
                <w:szCs w:val="21"/>
                <w:lang/>
              </w:rPr>
            </w:pP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地质状况</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0.110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0.502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0.251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0</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-0.182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-0.365 </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w:t>
      </w:r>
      <w:r>
        <w:rPr>
          <w:rFonts w:hint="eastAsia" w:ascii="Times New Roman" w:hAnsi="Times New Roman"/>
          <w:sz w:val="24"/>
          <w:szCs w:val="24"/>
        </w:rPr>
        <w:t>30</w:t>
      </w:r>
      <w:r>
        <w:rPr>
          <w:rFonts w:ascii="Times New Roman" w:hAnsi="Times New Roman"/>
          <w:sz w:val="24"/>
          <w:szCs w:val="24"/>
        </w:rPr>
        <w:t xml:space="preserve"> 长沙县乡镇Ⅱ级工矿仓储用地宗地地价区域因素修正系数指标说明表</w:t>
      </w:r>
    </w:p>
    <w:tbl>
      <w:tblPr>
        <w:tblW w:w="10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2362"/>
        <w:gridCol w:w="1192"/>
        <w:gridCol w:w="1424"/>
        <w:gridCol w:w="1372"/>
        <w:gridCol w:w="1257"/>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541"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因素</w:t>
            </w:r>
          </w:p>
        </w:tc>
        <w:tc>
          <w:tcPr>
            <w:tcW w:w="2362"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因子</w:t>
            </w:r>
          </w:p>
        </w:tc>
        <w:tc>
          <w:tcPr>
            <w:tcW w:w="1192"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优</w:t>
            </w:r>
          </w:p>
        </w:tc>
        <w:tc>
          <w:tcPr>
            <w:tcW w:w="1424"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较优</w:t>
            </w:r>
          </w:p>
        </w:tc>
        <w:tc>
          <w:tcPr>
            <w:tcW w:w="1372"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一般</w:t>
            </w:r>
          </w:p>
        </w:tc>
        <w:tc>
          <w:tcPr>
            <w:tcW w:w="1257"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较劣</w:t>
            </w:r>
          </w:p>
        </w:tc>
        <w:tc>
          <w:tcPr>
            <w:tcW w:w="1057" w:type="dxa"/>
            <w:vAlign w:val="center"/>
          </w:tcPr>
          <w:p>
            <w:pPr>
              <w:widowControl/>
              <w:spacing w:line="400" w:lineRule="exact"/>
              <w:jc w:val="center"/>
              <w:textAlignment w:val="bottom"/>
              <w:rPr>
                <w:rFonts w:eastAsia="Tahoma"/>
                <w:b/>
                <w:bCs/>
                <w:color w:val="000000"/>
                <w:kern w:val="0"/>
                <w:szCs w:val="21"/>
                <w:lang/>
              </w:rPr>
            </w:pPr>
            <w:r>
              <w:rPr>
                <w:rFonts w:eastAsia="Tahoma"/>
                <w:b/>
                <w:bCs/>
                <w:color w:val="000000"/>
                <w:kern w:val="0"/>
                <w:szCs w:val="21"/>
                <w:lang/>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41" w:type="dxa"/>
            <w:vMerge w:val="restart"/>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交通条件</w:t>
            </w:r>
          </w:p>
        </w:tc>
        <w:tc>
          <w:tcPr>
            <w:tcW w:w="236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临街道路状况</w:t>
            </w:r>
          </w:p>
        </w:tc>
        <w:tc>
          <w:tcPr>
            <w:tcW w:w="119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主要</w:t>
            </w:r>
          </w:p>
          <w:p>
            <w:pPr>
              <w:widowControl/>
              <w:spacing w:line="400" w:lineRule="exact"/>
              <w:jc w:val="center"/>
              <w:textAlignment w:val="bottom"/>
              <w:rPr>
                <w:rFonts w:eastAsia="Tahoma"/>
                <w:color w:val="000000"/>
                <w:kern w:val="0"/>
                <w:szCs w:val="21"/>
                <w:lang/>
              </w:rPr>
            </w:pPr>
            <w:r>
              <w:rPr>
                <w:rFonts w:eastAsia="Tahoma"/>
                <w:color w:val="000000"/>
                <w:kern w:val="0"/>
                <w:szCs w:val="21"/>
                <w:lang/>
              </w:rPr>
              <w:t>主干道</w:t>
            </w:r>
          </w:p>
        </w:tc>
        <w:tc>
          <w:tcPr>
            <w:tcW w:w="142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一般</w:t>
            </w:r>
          </w:p>
          <w:p>
            <w:pPr>
              <w:widowControl/>
              <w:spacing w:line="400" w:lineRule="exact"/>
              <w:jc w:val="center"/>
              <w:textAlignment w:val="bottom"/>
              <w:rPr>
                <w:rFonts w:eastAsia="Tahoma"/>
                <w:color w:val="000000"/>
                <w:kern w:val="0"/>
                <w:szCs w:val="21"/>
                <w:lang/>
              </w:rPr>
            </w:pPr>
            <w:r>
              <w:rPr>
                <w:rFonts w:eastAsia="Tahoma"/>
                <w:color w:val="000000"/>
                <w:kern w:val="0"/>
                <w:szCs w:val="21"/>
                <w:lang/>
              </w:rPr>
              <w:t>主干道</w:t>
            </w:r>
          </w:p>
        </w:tc>
        <w:tc>
          <w:tcPr>
            <w:tcW w:w="137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次干道</w:t>
            </w:r>
          </w:p>
        </w:tc>
        <w:tc>
          <w:tcPr>
            <w:tcW w:w="12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支路</w:t>
            </w:r>
          </w:p>
        </w:tc>
        <w:tc>
          <w:tcPr>
            <w:tcW w:w="10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巷道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1541" w:type="dxa"/>
            <w:vMerge w:val="continue"/>
            <w:vAlign w:val="center"/>
          </w:tcPr>
          <w:p>
            <w:pPr>
              <w:widowControl/>
              <w:spacing w:line="400" w:lineRule="exact"/>
              <w:jc w:val="center"/>
              <w:textAlignment w:val="bottom"/>
              <w:rPr>
                <w:rFonts w:eastAsia="Tahoma"/>
                <w:color w:val="000000"/>
                <w:kern w:val="0"/>
                <w:szCs w:val="21"/>
                <w:lang/>
              </w:rPr>
            </w:pPr>
          </w:p>
        </w:tc>
        <w:tc>
          <w:tcPr>
            <w:tcW w:w="236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临货运汽车站距离（m）</w:t>
            </w:r>
          </w:p>
        </w:tc>
        <w:tc>
          <w:tcPr>
            <w:tcW w:w="119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≤250</w:t>
            </w:r>
          </w:p>
        </w:tc>
        <w:tc>
          <w:tcPr>
            <w:tcW w:w="142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250-350</w:t>
            </w:r>
          </w:p>
        </w:tc>
        <w:tc>
          <w:tcPr>
            <w:tcW w:w="137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350-550</w:t>
            </w:r>
          </w:p>
        </w:tc>
        <w:tc>
          <w:tcPr>
            <w:tcW w:w="12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550-700</w:t>
            </w:r>
          </w:p>
        </w:tc>
        <w:tc>
          <w:tcPr>
            <w:tcW w:w="10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&gt;700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41"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基本设施完备度</w:t>
            </w:r>
          </w:p>
        </w:tc>
        <w:tc>
          <w:tcPr>
            <w:tcW w:w="236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水电气综合保证率</w:t>
            </w:r>
          </w:p>
        </w:tc>
        <w:tc>
          <w:tcPr>
            <w:tcW w:w="119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90-100%</w:t>
            </w:r>
          </w:p>
        </w:tc>
        <w:tc>
          <w:tcPr>
            <w:tcW w:w="142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80-90%</w:t>
            </w:r>
          </w:p>
        </w:tc>
        <w:tc>
          <w:tcPr>
            <w:tcW w:w="137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70-79%</w:t>
            </w:r>
          </w:p>
        </w:tc>
        <w:tc>
          <w:tcPr>
            <w:tcW w:w="12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60-70%</w:t>
            </w:r>
          </w:p>
        </w:tc>
        <w:tc>
          <w:tcPr>
            <w:tcW w:w="10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4" w:hRule="atLeast"/>
          <w:jc w:val="center"/>
        </w:trPr>
        <w:tc>
          <w:tcPr>
            <w:tcW w:w="1541" w:type="dxa"/>
            <w:vAlign w:val="center"/>
          </w:tcPr>
          <w:p>
            <w:pPr>
              <w:widowControl/>
              <w:jc w:val="center"/>
              <w:textAlignment w:val="bottom"/>
              <w:rPr>
                <w:rFonts w:eastAsia="Tahoma"/>
                <w:color w:val="000000"/>
                <w:kern w:val="0"/>
                <w:szCs w:val="21"/>
                <w:lang/>
              </w:rPr>
            </w:pPr>
            <w:r>
              <w:rPr>
                <w:rFonts w:eastAsia="Tahoma"/>
                <w:color w:val="000000"/>
                <w:kern w:val="0"/>
                <w:szCs w:val="21"/>
                <w:lang/>
              </w:rPr>
              <w:t>产业集聚效益</w:t>
            </w:r>
          </w:p>
        </w:tc>
        <w:tc>
          <w:tcPr>
            <w:tcW w:w="2362" w:type="dxa"/>
            <w:vAlign w:val="center"/>
          </w:tcPr>
          <w:p>
            <w:pPr>
              <w:widowControl/>
              <w:jc w:val="center"/>
              <w:textAlignment w:val="bottom"/>
              <w:rPr>
                <w:rFonts w:eastAsia="Tahoma"/>
                <w:color w:val="000000"/>
                <w:kern w:val="0"/>
                <w:szCs w:val="21"/>
                <w:lang/>
              </w:rPr>
            </w:pPr>
            <w:r>
              <w:rPr>
                <w:rFonts w:eastAsia="Tahoma"/>
                <w:color w:val="000000"/>
                <w:kern w:val="0"/>
                <w:szCs w:val="21"/>
                <w:lang/>
              </w:rPr>
              <w:t>产业集聚影响度</w:t>
            </w:r>
          </w:p>
        </w:tc>
        <w:tc>
          <w:tcPr>
            <w:tcW w:w="1192" w:type="dxa"/>
            <w:vAlign w:val="center"/>
          </w:tcPr>
          <w:p>
            <w:pPr>
              <w:widowControl/>
              <w:jc w:val="center"/>
              <w:textAlignment w:val="bottom"/>
              <w:rPr>
                <w:rFonts w:eastAsia="Tahoma"/>
                <w:color w:val="000000"/>
                <w:kern w:val="0"/>
                <w:szCs w:val="21"/>
                <w:lang/>
              </w:rPr>
            </w:pPr>
            <w:r>
              <w:rPr>
                <w:rFonts w:eastAsia="Tahoma"/>
                <w:color w:val="000000"/>
                <w:kern w:val="0"/>
                <w:szCs w:val="21"/>
                <w:lang/>
              </w:rPr>
              <w:t>高新技术产业联系紧密区</w:t>
            </w:r>
          </w:p>
        </w:tc>
        <w:tc>
          <w:tcPr>
            <w:tcW w:w="1424" w:type="dxa"/>
            <w:vAlign w:val="center"/>
          </w:tcPr>
          <w:p>
            <w:pPr>
              <w:widowControl/>
              <w:jc w:val="center"/>
              <w:textAlignment w:val="bottom"/>
              <w:rPr>
                <w:rFonts w:eastAsia="Tahoma"/>
                <w:color w:val="000000"/>
                <w:kern w:val="0"/>
                <w:szCs w:val="21"/>
                <w:lang/>
              </w:rPr>
            </w:pPr>
            <w:r>
              <w:rPr>
                <w:rFonts w:eastAsia="Tahoma"/>
                <w:color w:val="000000"/>
                <w:kern w:val="0"/>
                <w:szCs w:val="21"/>
                <w:lang/>
              </w:rPr>
              <w:t>高新技术产业联系一般区，一般产业联系紧密区</w:t>
            </w:r>
          </w:p>
        </w:tc>
        <w:tc>
          <w:tcPr>
            <w:tcW w:w="1372" w:type="dxa"/>
            <w:vAlign w:val="center"/>
          </w:tcPr>
          <w:p>
            <w:pPr>
              <w:widowControl/>
              <w:jc w:val="center"/>
              <w:textAlignment w:val="bottom"/>
              <w:rPr>
                <w:rFonts w:eastAsia="Tahoma"/>
                <w:color w:val="000000"/>
                <w:kern w:val="0"/>
                <w:szCs w:val="21"/>
                <w:lang/>
              </w:rPr>
            </w:pPr>
            <w:r>
              <w:rPr>
                <w:rFonts w:eastAsia="Tahoma"/>
                <w:color w:val="000000"/>
                <w:kern w:val="0"/>
                <w:szCs w:val="21"/>
                <w:lang/>
              </w:rPr>
              <w:t>高新技术产业联系松散区，一般产业联系一般区</w:t>
            </w:r>
          </w:p>
        </w:tc>
        <w:tc>
          <w:tcPr>
            <w:tcW w:w="1257" w:type="dxa"/>
            <w:vAlign w:val="center"/>
          </w:tcPr>
          <w:p>
            <w:pPr>
              <w:widowControl/>
              <w:jc w:val="center"/>
              <w:textAlignment w:val="bottom"/>
              <w:rPr>
                <w:rFonts w:eastAsia="Tahoma"/>
                <w:color w:val="000000"/>
                <w:kern w:val="0"/>
                <w:szCs w:val="21"/>
                <w:lang/>
              </w:rPr>
            </w:pPr>
            <w:r>
              <w:rPr>
                <w:rFonts w:eastAsia="Tahoma"/>
                <w:color w:val="000000"/>
                <w:kern w:val="0"/>
                <w:szCs w:val="21"/>
                <w:lang/>
              </w:rPr>
              <w:t>一般产业联系松散区</w:t>
            </w:r>
          </w:p>
        </w:tc>
        <w:tc>
          <w:tcPr>
            <w:tcW w:w="1057" w:type="dxa"/>
            <w:vAlign w:val="center"/>
          </w:tcPr>
          <w:p>
            <w:pPr>
              <w:widowControl/>
              <w:jc w:val="center"/>
              <w:textAlignment w:val="bottom"/>
              <w:rPr>
                <w:rFonts w:eastAsia="Tahoma"/>
                <w:color w:val="000000"/>
                <w:kern w:val="0"/>
                <w:szCs w:val="21"/>
                <w:lang/>
              </w:rPr>
            </w:pPr>
            <w:r>
              <w:rPr>
                <w:rFonts w:eastAsia="Tahoma"/>
                <w:color w:val="000000"/>
                <w:kern w:val="0"/>
                <w:szCs w:val="21"/>
                <w:lang/>
              </w:rPr>
              <w:t>独立分布区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41" w:type="dxa"/>
            <w:vMerge w:val="restart"/>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环境条件优劣度</w:t>
            </w:r>
          </w:p>
        </w:tc>
        <w:tc>
          <w:tcPr>
            <w:tcW w:w="236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地形状况</w:t>
            </w:r>
          </w:p>
        </w:tc>
        <w:tc>
          <w:tcPr>
            <w:tcW w:w="119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地势平坦</w:t>
            </w:r>
          </w:p>
        </w:tc>
        <w:tc>
          <w:tcPr>
            <w:tcW w:w="142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较平坦，对建筑物无影响</w:t>
            </w:r>
          </w:p>
        </w:tc>
        <w:tc>
          <w:tcPr>
            <w:tcW w:w="137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较平坦，对建筑物影响较小</w:t>
            </w:r>
          </w:p>
        </w:tc>
        <w:tc>
          <w:tcPr>
            <w:tcW w:w="12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不平坦，需考虑坡度影响</w:t>
            </w:r>
          </w:p>
        </w:tc>
        <w:tc>
          <w:tcPr>
            <w:tcW w:w="10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不平坦，需经平整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1541" w:type="dxa"/>
            <w:vMerge w:val="continue"/>
            <w:vAlign w:val="center"/>
          </w:tcPr>
          <w:p>
            <w:pPr>
              <w:widowControl/>
              <w:spacing w:line="400" w:lineRule="exact"/>
              <w:jc w:val="center"/>
              <w:textAlignment w:val="bottom"/>
              <w:rPr>
                <w:rFonts w:eastAsia="Tahoma"/>
                <w:color w:val="000000"/>
                <w:kern w:val="0"/>
                <w:szCs w:val="21"/>
                <w:lang/>
              </w:rPr>
            </w:pPr>
          </w:p>
        </w:tc>
        <w:tc>
          <w:tcPr>
            <w:tcW w:w="236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地质状况(T/m2)</w:t>
            </w:r>
          </w:p>
        </w:tc>
        <w:tc>
          <w:tcPr>
            <w:tcW w:w="119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&gt;25</w:t>
            </w:r>
          </w:p>
        </w:tc>
        <w:tc>
          <w:tcPr>
            <w:tcW w:w="142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22-25</w:t>
            </w:r>
          </w:p>
        </w:tc>
        <w:tc>
          <w:tcPr>
            <w:tcW w:w="1372"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18-22</w:t>
            </w:r>
          </w:p>
        </w:tc>
        <w:tc>
          <w:tcPr>
            <w:tcW w:w="12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15-18</w:t>
            </w:r>
          </w:p>
        </w:tc>
        <w:tc>
          <w:tcPr>
            <w:tcW w:w="1057"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&lt;15</w:t>
            </w:r>
          </w:p>
        </w:tc>
      </w:tr>
    </w:tbl>
    <w:p>
      <w:pPr>
        <w:shd w:val="clear" w:color="auto" w:fill="FFFFFF"/>
        <w:ind w:firstLine="482" w:firstLineChars="200"/>
        <w:jc w:val="center"/>
        <w:rPr>
          <w:b/>
          <w:sz w:val="24"/>
          <w:szCs w:val="24"/>
        </w:rPr>
      </w:pPr>
      <w:r>
        <w:rPr>
          <w:b/>
          <w:sz w:val="24"/>
          <w:szCs w:val="24"/>
        </w:rPr>
        <w:t>表5-4-</w:t>
      </w:r>
      <w:r>
        <w:rPr>
          <w:rFonts w:hint="eastAsia"/>
          <w:b/>
          <w:sz w:val="24"/>
          <w:szCs w:val="24"/>
        </w:rPr>
        <w:t>31</w:t>
      </w:r>
      <w:r>
        <w:rPr>
          <w:b/>
          <w:sz w:val="24"/>
          <w:szCs w:val="24"/>
        </w:rPr>
        <w:t xml:space="preserve"> 长沙县乡镇Ⅲ级工矿仓储用地宗地地价区域因素修正系数表</w:t>
      </w:r>
    </w:p>
    <w:tbl>
      <w:tblPr>
        <w:tblW w:w="10062" w:type="dxa"/>
        <w:jc w:val="center"/>
        <w:tblInd w:w="-14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2410"/>
        <w:gridCol w:w="1089"/>
        <w:gridCol w:w="974"/>
        <w:gridCol w:w="974"/>
        <w:gridCol w:w="798"/>
        <w:gridCol w:w="1044"/>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29"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因素</w:t>
            </w: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因子</w:t>
            </w:r>
          </w:p>
        </w:tc>
        <w:tc>
          <w:tcPr>
            <w:tcW w:w="1089"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权重</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优</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较优</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一般</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较劣</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29" w:type="dxa"/>
            <w:vMerge w:val="restart"/>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交通条件</w:t>
            </w: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临街道路状况</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0.228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2.104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1.052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-0.764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-1.528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29" w:type="dxa"/>
            <w:vMerge w:val="continue"/>
            <w:vAlign w:val="center"/>
          </w:tcPr>
          <w:p>
            <w:pPr>
              <w:widowControl/>
              <w:spacing w:line="400" w:lineRule="exact"/>
              <w:jc w:val="center"/>
              <w:textAlignment w:val="bottom"/>
              <w:rPr>
                <w:rFonts w:eastAsia="Tahoma"/>
                <w:color w:val="000000"/>
                <w:kern w:val="0"/>
                <w:szCs w:val="21"/>
                <w:lang/>
              </w:rPr>
            </w:pP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临货运汽车站距离</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0.118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1.225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0.612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-0.445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-0.889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29"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基本设施完备度</w:t>
            </w: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水电气综合保证率</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0.280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4.396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2.198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-1.596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-3.192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29"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产业集聚效益</w:t>
            </w: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产业集聚影响度</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0.144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1.727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0.864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-0.627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-1.254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29" w:type="dxa"/>
            <w:vMerge w:val="restart"/>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环境条件优劣度</w:t>
            </w: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地形状况</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0.120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0.895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0.447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-0.325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-0.650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29" w:type="dxa"/>
            <w:vMerge w:val="continue"/>
            <w:vAlign w:val="center"/>
          </w:tcPr>
          <w:p>
            <w:pPr>
              <w:widowControl/>
              <w:spacing w:line="400" w:lineRule="exact"/>
              <w:jc w:val="center"/>
              <w:textAlignment w:val="bottom"/>
              <w:rPr>
                <w:rFonts w:eastAsia="Tahoma"/>
                <w:color w:val="000000"/>
                <w:kern w:val="0"/>
                <w:szCs w:val="21"/>
                <w:lang/>
              </w:rPr>
            </w:pPr>
          </w:p>
        </w:tc>
        <w:tc>
          <w:tcPr>
            <w:tcW w:w="2410"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地质状况</w:t>
            </w:r>
          </w:p>
        </w:tc>
        <w:tc>
          <w:tcPr>
            <w:tcW w:w="1089" w:type="dxa"/>
            <w:vAlign w:val="bottom"/>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0.110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0.502 </w:t>
            </w:r>
          </w:p>
        </w:tc>
        <w:tc>
          <w:tcPr>
            <w:tcW w:w="97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0.251 </w:t>
            </w:r>
          </w:p>
        </w:tc>
        <w:tc>
          <w:tcPr>
            <w:tcW w:w="798"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0</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-0.182 </w:t>
            </w:r>
          </w:p>
        </w:tc>
        <w:tc>
          <w:tcPr>
            <w:tcW w:w="1044" w:type="dxa"/>
            <w:vAlign w:val="center"/>
          </w:tcPr>
          <w:p>
            <w:pPr>
              <w:widowControl/>
              <w:spacing w:line="400" w:lineRule="exact"/>
              <w:jc w:val="center"/>
              <w:textAlignment w:val="bottom"/>
              <w:rPr>
                <w:rFonts w:eastAsia="Tahoma"/>
                <w:color w:val="000000"/>
                <w:kern w:val="0"/>
                <w:szCs w:val="21"/>
                <w:lang/>
              </w:rPr>
            </w:pPr>
            <w:r>
              <w:rPr>
                <w:rFonts w:eastAsia="Tahoma"/>
                <w:color w:val="000000"/>
                <w:kern w:val="0"/>
                <w:szCs w:val="21"/>
                <w:lang/>
              </w:rPr>
              <w:t xml:space="preserve">-0.365 </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表5-4-3</w:t>
      </w:r>
      <w:r>
        <w:rPr>
          <w:rFonts w:hint="eastAsia" w:ascii="Times New Roman" w:hAnsi="Times New Roman"/>
          <w:sz w:val="24"/>
          <w:szCs w:val="24"/>
        </w:rPr>
        <w:t>2</w:t>
      </w:r>
      <w:r>
        <w:rPr>
          <w:rFonts w:ascii="Times New Roman" w:hAnsi="Times New Roman"/>
          <w:sz w:val="24"/>
          <w:szCs w:val="24"/>
        </w:rPr>
        <w:t xml:space="preserve"> 长沙县乡镇Ⅲ级工矿仓储用地宗地地价区域因素修正系数指标说明表</w:t>
      </w:r>
    </w:p>
    <w:tbl>
      <w:tblPr>
        <w:tblW w:w="10205" w:type="dxa"/>
        <w:jc w:val="center"/>
        <w:tblInd w:w="-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41"/>
        <w:gridCol w:w="2362"/>
        <w:gridCol w:w="1276"/>
        <w:gridCol w:w="1340"/>
        <w:gridCol w:w="1372"/>
        <w:gridCol w:w="1257"/>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tblHeader/>
          <w:jc w:val="center"/>
        </w:trPr>
        <w:tc>
          <w:tcPr>
            <w:tcW w:w="154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b/>
                <w:color w:val="000000"/>
                <w:kern w:val="0"/>
                <w:szCs w:val="21"/>
              </w:rPr>
            </w:pPr>
            <w:r>
              <w:rPr>
                <w:b/>
                <w:color w:val="000000"/>
                <w:kern w:val="0"/>
                <w:szCs w:val="21"/>
              </w:rPr>
              <w:t>因素</w:t>
            </w:r>
          </w:p>
        </w:tc>
        <w:tc>
          <w:tcPr>
            <w:tcW w:w="2362" w:type="dxa"/>
            <w:tcBorders>
              <w:top w:val="single" w:color="auto" w:sz="4" w:space="0"/>
              <w:left w:val="nil"/>
              <w:bottom w:val="single" w:color="auto" w:sz="4" w:space="0"/>
              <w:right w:val="single" w:color="auto" w:sz="4" w:space="0"/>
            </w:tcBorders>
            <w:vAlign w:val="center"/>
          </w:tcPr>
          <w:p>
            <w:pPr>
              <w:widowControl/>
              <w:spacing w:line="400" w:lineRule="exact"/>
              <w:jc w:val="center"/>
              <w:rPr>
                <w:b/>
                <w:color w:val="000000"/>
                <w:kern w:val="0"/>
                <w:szCs w:val="21"/>
              </w:rPr>
            </w:pPr>
            <w:r>
              <w:rPr>
                <w:b/>
                <w:color w:val="000000"/>
                <w:kern w:val="0"/>
                <w:szCs w:val="21"/>
              </w:rPr>
              <w:t>因子</w:t>
            </w:r>
          </w:p>
        </w:tc>
        <w:tc>
          <w:tcPr>
            <w:tcW w:w="1276" w:type="dxa"/>
            <w:tcBorders>
              <w:top w:val="single" w:color="auto" w:sz="4" w:space="0"/>
              <w:left w:val="nil"/>
              <w:bottom w:val="single" w:color="auto" w:sz="4" w:space="0"/>
              <w:right w:val="single" w:color="auto" w:sz="4" w:space="0"/>
            </w:tcBorders>
            <w:vAlign w:val="center"/>
          </w:tcPr>
          <w:p>
            <w:pPr>
              <w:widowControl/>
              <w:spacing w:line="400" w:lineRule="exact"/>
              <w:jc w:val="center"/>
              <w:rPr>
                <w:b/>
                <w:color w:val="000000"/>
                <w:kern w:val="0"/>
                <w:szCs w:val="21"/>
              </w:rPr>
            </w:pPr>
            <w:r>
              <w:rPr>
                <w:b/>
                <w:color w:val="000000"/>
                <w:kern w:val="0"/>
                <w:szCs w:val="21"/>
              </w:rPr>
              <w:t>优</w:t>
            </w:r>
          </w:p>
        </w:tc>
        <w:tc>
          <w:tcPr>
            <w:tcW w:w="1340" w:type="dxa"/>
            <w:tcBorders>
              <w:top w:val="single" w:color="auto" w:sz="4" w:space="0"/>
              <w:left w:val="nil"/>
              <w:bottom w:val="single" w:color="auto" w:sz="4" w:space="0"/>
              <w:right w:val="single" w:color="auto" w:sz="4" w:space="0"/>
            </w:tcBorders>
            <w:vAlign w:val="center"/>
          </w:tcPr>
          <w:p>
            <w:pPr>
              <w:widowControl/>
              <w:spacing w:line="400" w:lineRule="exact"/>
              <w:jc w:val="center"/>
              <w:rPr>
                <w:b/>
                <w:color w:val="000000"/>
                <w:kern w:val="0"/>
                <w:szCs w:val="21"/>
              </w:rPr>
            </w:pPr>
            <w:r>
              <w:rPr>
                <w:b/>
                <w:color w:val="000000"/>
                <w:kern w:val="0"/>
                <w:szCs w:val="21"/>
              </w:rPr>
              <w:t>较优</w:t>
            </w:r>
          </w:p>
        </w:tc>
        <w:tc>
          <w:tcPr>
            <w:tcW w:w="1372" w:type="dxa"/>
            <w:tcBorders>
              <w:top w:val="single" w:color="auto" w:sz="4" w:space="0"/>
              <w:left w:val="nil"/>
              <w:bottom w:val="single" w:color="auto" w:sz="4" w:space="0"/>
              <w:right w:val="single" w:color="auto" w:sz="4" w:space="0"/>
            </w:tcBorders>
            <w:vAlign w:val="center"/>
          </w:tcPr>
          <w:p>
            <w:pPr>
              <w:widowControl/>
              <w:spacing w:line="400" w:lineRule="exact"/>
              <w:jc w:val="center"/>
              <w:rPr>
                <w:b/>
                <w:color w:val="000000"/>
                <w:kern w:val="0"/>
                <w:szCs w:val="21"/>
              </w:rPr>
            </w:pPr>
            <w:r>
              <w:rPr>
                <w:b/>
                <w:color w:val="000000"/>
                <w:kern w:val="0"/>
                <w:szCs w:val="21"/>
              </w:rPr>
              <w:t>一般</w:t>
            </w:r>
          </w:p>
        </w:tc>
        <w:tc>
          <w:tcPr>
            <w:tcW w:w="1257" w:type="dxa"/>
            <w:tcBorders>
              <w:top w:val="single" w:color="auto" w:sz="4" w:space="0"/>
              <w:left w:val="nil"/>
              <w:bottom w:val="single" w:color="auto" w:sz="4" w:space="0"/>
              <w:right w:val="single" w:color="auto" w:sz="4" w:space="0"/>
            </w:tcBorders>
            <w:vAlign w:val="center"/>
          </w:tcPr>
          <w:p>
            <w:pPr>
              <w:widowControl/>
              <w:spacing w:line="400" w:lineRule="exact"/>
              <w:jc w:val="center"/>
              <w:rPr>
                <w:b/>
                <w:color w:val="000000"/>
                <w:kern w:val="0"/>
                <w:szCs w:val="21"/>
              </w:rPr>
            </w:pPr>
            <w:r>
              <w:rPr>
                <w:b/>
                <w:color w:val="000000"/>
                <w:kern w:val="0"/>
                <w:szCs w:val="21"/>
              </w:rPr>
              <w:t>较劣</w:t>
            </w:r>
          </w:p>
        </w:tc>
        <w:tc>
          <w:tcPr>
            <w:tcW w:w="1057" w:type="dxa"/>
            <w:tcBorders>
              <w:top w:val="single" w:color="auto" w:sz="4" w:space="0"/>
              <w:left w:val="nil"/>
              <w:bottom w:val="single" w:color="auto" w:sz="4" w:space="0"/>
              <w:right w:val="single" w:color="auto" w:sz="4" w:space="0"/>
            </w:tcBorders>
            <w:vAlign w:val="center"/>
          </w:tcPr>
          <w:p>
            <w:pPr>
              <w:widowControl/>
              <w:spacing w:line="400" w:lineRule="exact"/>
              <w:jc w:val="center"/>
              <w:rPr>
                <w:b/>
                <w:color w:val="000000"/>
                <w:kern w:val="0"/>
                <w:szCs w:val="21"/>
              </w:rPr>
            </w:pPr>
            <w:r>
              <w:rPr>
                <w:b/>
                <w:color w:val="000000"/>
                <w:kern w:val="0"/>
                <w:szCs w:val="21"/>
              </w:rPr>
              <w:t>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4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交通条件</w:t>
            </w:r>
          </w:p>
        </w:tc>
        <w:tc>
          <w:tcPr>
            <w:tcW w:w="2362"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临街道路状况</w:t>
            </w:r>
          </w:p>
        </w:tc>
        <w:tc>
          <w:tcPr>
            <w:tcW w:w="1276"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主要</w:t>
            </w:r>
          </w:p>
          <w:p>
            <w:pPr>
              <w:widowControl/>
              <w:jc w:val="center"/>
              <w:textAlignment w:val="bottom"/>
              <w:rPr>
                <w:rFonts w:eastAsia="Tahoma"/>
                <w:color w:val="000000"/>
                <w:kern w:val="0"/>
                <w:szCs w:val="21"/>
                <w:lang/>
              </w:rPr>
            </w:pPr>
            <w:r>
              <w:rPr>
                <w:rFonts w:eastAsia="Tahoma"/>
                <w:color w:val="000000"/>
                <w:kern w:val="0"/>
                <w:szCs w:val="21"/>
                <w:lang/>
              </w:rPr>
              <w:t>主干道</w:t>
            </w:r>
          </w:p>
        </w:tc>
        <w:tc>
          <w:tcPr>
            <w:tcW w:w="1340"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一般</w:t>
            </w:r>
          </w:p>
          <w:p>
            <w:pPr>
              <w:widowControl/>
              <w:jc w:val="center"/>
              <w:textAlignment w:val="bottom"/>
              <w:rPr>
                <w:rFonts w:eastAsia="Tahoma"/>
                <w:color w:val="000000"/>
                <w:kern w:val="0"/>
                <w:szCs w:val="21"/>
                <w:lang/>
              </w:rPr>
            </w:pPr>
            <w:r>
              <w:rPr>
                <w:rFonts w:eastAsia="Tahoma"/>
                <w:color w:val="000000"/>
                <w:kern w:val="0"/>
                <w:szCs w:val="21"/>
                <w:lang/>
              </w:rPr>
              <w:t>主干道</w:t>
            </w:r>
          </w:p>
        </w:tc>
        <w:tc>
          <w:tcPr>
            <w:tcW w:w="1372"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次干道</w:t>
            </w:r>
          </w:p>
        </w:tc>
        <w:tc>
          <w:tcPr>
            <w:tcW w:w="1257"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支路</w:t>
            </w:r>
          </w:p>
        </w:tc>
        <w:tc>
          <w:tcPr>
            <w:tcW w:w="1057"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巷道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9" w:hRule="atLeast"/>
          <w:jc w:val="center"/>
        </w:trPr>
        <w:tc>
          <w:tcPr>
            <w:tcW w:w="154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p>
        </w:tc>
        <w:tc>
          <w:tcPr>
            <w:tcW w:w="2362"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临货运汽车站距离（m）</w:t>
            </w:r>
          </w:p>
        </w:tc>
        <w:tc>
          <w:tcPr>
            <w:tcW w:w="1276"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≤300</w:t>
            </w:r>
          </w:p>
        </w:tc>
        <w:tc>
          <w:tcPr>
            <w:tcW w:w="1340"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300-400</w:t>
            </w:r>
          </w:p>
        </w:tc>
        <w:tc>
          <w:tcPr>
            <w:tcW w:w="1372"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400-500</w:t>
            </w:r>
          </w:p>
        </w:tc>
        <w:tc>
          <w:tcPr>
            <w:tcW w:w="1257"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500-800</w:t>
            </w:r>
          </w:p>
        </w:tc>
        <w:tc>
          <w:tcPr>
            <w:tcW w:w="1057"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&gt;800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基本设施完备度</w:t>
            </w:r>
          </w:p>
        </w:tc>
        <w:tc>
          <w:tcPr>
            <w:tcW w:w="2362"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水电气综合保证率</w:t>
            </w:r>
          </w:p>
        </w:tc>
        <w:tc>
          <w:tcPr>
            <w:tcW w:w="1276"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90-100%</w:t>
            </w:r>
          </w:p>
        </w:tc>
        <w:tc>
          <w:tcPr>
            <w:tcW w:w="1340"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80-90%</w:t>
            </w:r>
          </w:p>
        </w:tc>
        <w:tc>
          <w:tcPr>
            <w:tcW w:w="1372"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70-79%</w:t>
            </w:r>
          </w:p>
        </w:tc>
        <w:tc>
          <w:tcPr>
            <w:tcW w:w="1257"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60-70%</w:t>
            </w:r>
          </w:p>
        </w:tc>
        <w:tc>
          <w:tcPr>
            <w:tcW w:w="1057"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产业集聚效益</w:t>
            </w:r>
          </w:p>
        </w:tc>
        <w:tc>
          <w:tcPr>
            <w:tcW w:w="2362" w:type="dxa"/>
            <w:tcBorders>
              <w:top w:val="single" w:color="auto" w:sz="4" w:space="0"/>
              <w:left w:val="nil"/>
              <w:bottom w:val="single" w:color="auto" w:sz="4" w:space="0"/>
              <w:right w:val="nil"/>
            </w:tcBorders>
            <w:vAlign w:val="center"/>
          </w:tcPr>
          <w:p>
            <w:pPr>
              <w:widowControl/>
              <w:jc w:val="center"/>
              <w:textAlignment w:val="bottom"/>
              <w:rPr>
                <w:rFonts w:eastAsia="Tahoma"/>
                <w:color w:val="000000"/>
                <w:kern w:val="0"/>
                <w:szCs w:val="21"/>
                <w:lang/>
              </w:rPr>
            </w:pPr>
            <w:r>
              <w:rPr>
                <w:rFonts w:eastAsia="Tahoma"/>
                <w:color w:val="000000"/>
                <w:kern w:val="0"/>
                <w:szCs w:val="21"/>
                <w:lang/>
              </w:rPr>
              <w:t>产业集聚影响度</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高新技术产业联系紧密区</w:t>
            </w:r>
          </w:p>
        </w:tc>
        <w:tc>
          <w:tcPr>
            <w:tcW w:w="1340"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高新技术产业联系一般区，一般产业联系紧密区</w:t>
            </w:r>
          </w:p>
        </w:tc>
        <w:tc>
          <w:tcPr>
            <w:tcW w:w="1372"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高新技术产业联系松散区，一般产业联系一般区</w:t>
            </w:r>
          </w:p>
        </w:tc>
        <w:tc>
          <w:tcPr>
            <w:tcW w:w="1257"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一般产业联系松散区</w:t>
            </w:r>
          </w:p>
        </w:tc>
        <w:tc>
          <w:tcPr>
            <w:tcW w:w="1057"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独立分布区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jc w:val="center"/>
        </w:trPr>
        <w:tc>
          <w:tcPr>
            <w:tcW w:w="154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环境条件优劣度</w:t>
            </w:r>
          </w:p>
        </w:tc>
        <w:tc>
          <w:tcPr>
            <w:tcW w:w="2362" w:type="dxa"/>
            <w:tcBorders>
              <w:top w:val="single" w:color="auto" w:sz="4" w:space="0"/>
              <w:left w:val="nil"/>
              <w:bottom w:val="single" w:color="auto" w:sz="4" w:space="0"/>
              <w:right w:val="nil"/>
            </w:tcBorders>
            <w:vAlign w:val="center"/>
          </w:tcPr>
          <w:p>
            <w:pPr>
              <w:widowControl/>
              <w:jc w:val="center"/>
              <w:textAlignment w:val="bottom"/>
              <w:rPr>
                <w:rFonts w:eastAsia="Tahoma"/>
                <w:color w:val="000000"/>
                <w:kern w:val="0"/>
                <w:szCs w:val="21"/>
                <w:lang/>
              </w:rPr>
            </w:pPr>
            <w:r>
              <w:rPr>
                <w:rFonts w:eastAsia="Tahoma"/>
                <w:color w:val="000000"/>
                <w:kern w:val="0"/>
                <w:szCs w:val="21"/>
                <w:lang/>
              </w:rPr>
              <w:t>地形状况</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地势平坦</w:t>
            </w:r>
          </w:p>
        </w:tc>
        <w:tc>
          <w:tcPr>
            <w:tcW w:w="1340"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较平坦，对建筑物无影响</w:t>
            </w:r>
          </w:p>
        </w:tc>
        <w:tc>
          <w:tcPr>
            <w:tcW w:w="1372"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较平坦，对建筑物影响较小</w:t>
            </w:r>
          </w:p>
        </w:tc>
        <w:tc>
          <w:tcPr>
            <w:tcW w:w="1257"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不平坦，需考虑坡度影响</w:t>
            </w:r>
          </w:p>
        </w:tc>
        <w:tc>
          <w:tcPr>
            <w:tcW w:w="1057"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不平坦，需经平整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1" w:hRule="atLeast"/>
          <w:jc w:val="center"/>
        </w:trPr>
        <w:tc>
          <w:tcPr>
            <w:tcW w:w="1541"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textAlignment w:val="bottom"/>
              <w:rPr>
                <w:rFonts w:eastAsia="Tahoma"/>
                <w:color w:val="000000"/>
                <w:kern w:val="0"/>
                <w:szCs w:val="21"/>
                <w:lang/>
              </w:rPr>
            </w:pPr>
          </w:p>
        </w:tc>
        <w:tc>
          <w:tcPr>
            <w:tcW w:w="2362" w:type="dxa"/>
            <w:tcBorders>
              <w:top w:val="single" w:color="auto" w:sz="4" w:space="0"/>
              <w:left w:val="nil"/>
              <w:bottom w:val="single" w:color="auto" w:sz="4" w:space="0"/>
              <w:right w:val="nil"/>
            </w:tcBorders>
            <w:vAlign w:val="center"/>
          </w:tcPr>
          <w:p>
            <w:pPr>
              <w:widowControl/>
              <w:jc w:val="center"/>
              <w:textAlignment w:val="bottom"/>
              <w:rPr>
                <w:rFonts w:eastAsia="Tahoma"/>
                <w:color w:val="000000"/>
                <w:kern w:val="0"/>
                <w:szCs w:val="21"/>
                <w:lang/>
              </w:rPr>
            </w:pPr>
            <w:r>
              <w:rPr>
                <w:rFonts w:eastAsia="Tahoma"/>
                <w:color w:val="000000"/>
                <w:kern w:val="0"/>
                <w:szCs w:val="21"/>
                <w:lang/>
              </w:rPr>
              <w:t>地质状况(T/m2)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&gt;25</w:t>
            </w:r>
          </w:p>
        </w:tc>
        <w:tc>
          <w:tcPr>
            <w:tcW w:w="1340"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22-25</w:t>
            </w:r>
          </w:p>
        </w:tc>
        <w:tc>
          <w:tcPr>
            <w:tcW w:w="1372"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18-22</w:t>
            </w:r>
          </w:p>
        </w:tc>
        <w:tc>
          <w:tcPr>
            <w:tcW w:w="1257"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15-18</w:t>
            </w:r>
          </w:p>
        </w:tc>
        <w:tc>
          <w:tcPr>
            <w:tcW w:w="1057" w:type="dxa"/>
            <w:tcBorders>
              <w:top w:val="single" w:color="auto" w:sz="4" w:space="0"/>
              <w:left w:val="nil"/>
              <w:bottom w:val="single" w:color="auto" w:sz="4" w:space="0"/>
              <w:right w:val="single" w:color="auto" w:sz="4" w:space="0"/>
            </w:tcBorders>
            <w:vAlign w:val="center"/>
          </w:tcPr>
          <w:p>
            <w:pPr>
              <w:widowControl/>
              <w:jc w:val="center"/>
              <w:textAlignment w:val="bottom"/>
              <w:rPr>
                <w:rFonts w:eastAsia="Tahoma"/>
                <w:color w:val="000000"/>
                <w:kern w:val="0"/>
                <w:szCs w:val="21"/>
                <w:lang/>
              </w:rPr>
            </w:pPr>
            <w:r>
              <w:rPr>
                <w:rFonts w:eastAsia="Tahoma"/>
                <w:color w:val="000000"/>
                <w:kern w:val="0"/>
                <w:szCs w:val="21"/>
                <w:lang/>
              </w:rPr>
              <w:t>&lt;15</w:t>
            </w:r>
          </w:p>
        </w:tc>
      </w:tr>
    </w:tbl>
    <w:p>
      <w:pPr>
        <w:numPr>
          <w:ilvl w:val="0"/>
          <w:numId w:val="7"/>
        </w:numPr>
        <w:spacing w:line="360" w:lineRule="auto"/>
        <w:ind w:firstLine="480" w:firstLineChars="200"/>
        <w:rPr>
          <w:bCs/>
          <w:kern w:val="0"/>
          <w:sz w:val="24"/>
        </w:rPr>
      </w:pPr>
      <w:r>
        <w:rPr>
          <w:sz w:val="24"/>
          <w:lang w:val="zh-CN"/>
        </w:rPr>
        <w:t>公共管理与公共服务用地宗地地价区域因素修正</w:t>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br w:type="page"/>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表5-4-3</w:t>
      </w:r>
      <w:r>
        <w:rPr>
          <w:rFonts w:hint="eastAsia" w:ascii="Times New Roman" w:hAnsi="Times New Roman"/>
          <w:sz w:val="24"/>
          <w:szCs w:val="24"/>
        </w:rPr>
        <w:t>3</w:t>
      </w:r>
      <w:r>
        <w:rPr>
          <w:rFonts w:ascii="Times New Roman" w:hAnsi="Times New Roman"/>
          <w:sz w:val="24"/>
          <w:szCs w:val="24"/>
        </w:rPr>
        <w:t>长沙县乡镇Ⅰ级公共管理与公共服务一类用地宗地地价区域因素</w:t>
      </w:r>
    </w:p>
    <w:p>
      <w:pPr>
        <w:shd w:val="clear" w:color="auto" w:fill="FFFFFF"/>
        <w:ind w:firstLine="482" w:firstLineChars="200"/>
        <w:jc w:val="center"/>
        <w:rPr>
          <w:b/>
          <w:sz w:val="24"/>
          <w:szCs w:val="24"/>
        </w:rPr>
      </w:pPr>
      <w:r>
        <w:rPr>
          <w:b/>
          <w:sz w:val="24"/>
          <w:szCs w:val="24"/>
        </w:rPr>
        <w:t>修正系数表（%）</w:t>
      </w:r>
    </w:p>
    <w:tbl>
      <w:tblPr>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2229"/>
        <w:gridCol w:w="851"/>
        <w:gridCol w:w="851"/>
        <w:gridCol w:w="851"/>
        <w:gridCol w:w="851"/>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047" w:type="dxa"/>
            <w:vAlign w:val="center"/>
          </w:tcPr>
          <w:p>
            <w:pPr>
              <w:widowControl/>
              <w:spacing w:line="400" w:lineRule="exact"/>
              <w:jc w:val="center"/>
              <w:rPr>
                <w:b/>
                <w:color w:val="000000"/>
                <w:kern w:val="0"/>
                <w:szCs w:val="21"/>
              </w:rPr>
            </w:pPr>
            <w:r>
              <w:rPr>
                <w:b/>
                <w:color w:val="000000"/>
                <w:kern w:val="0"/>
                <w:szCs w:val="21"/>
              </w:rPr>
              <w:t>因素层</w:t>
            </w:r>
          </w:p>
        </w:tc>
        <w:tc>
          <w:tcPr>
            <w:tcW w:w="2229" w:type="dxa"/>
            <w:vAlign w:val="center"/>
          </w:tcPr>
          <w:p>
            <w:pPr>
              <w:widowControl/>
              <w:spacing w:line="400" w:lineRule="exact"/>
              <w:jc w:val="center"/>
              <w:rPr>
                <w:b/>
                <w:color w:val="000000"/>
                <w:kern w:val="0"/>
                <w:szCs w:val="21"/>
              </w:rPr>
            </w:pPr>
            <w:r>
              <w:rPr>
                <w:b/>
                <w:color w:val="000000"/>
                <w:kern w:val="0"/>
                <w:szCs w:val="21"/>
              </w:rPr>
              <w:t>因子层</w:t>
            </w:r>
          </w:p>
        </w:tc>
        <w:tc>
          <w:tcPr>
            <w:tcW w:w="851" w:type="dxa"/>
            <w:vAlign w:val="center"/>
          </w:tcPr>
          <w:p>
            <w:pPr>
              <w:widowControl/>
              <w:spacing w:line="400" w:lineRule="exact"/>
              <w:jc w:val="center"/>
              <w:rPr>
                <w:b/>
                <w:color w:val="000000"/>
                <w:kern w:val="0"/>
                <w:szCs w:val="21"/>
              </w:rPr>
            </w:pPr>
            <w:r>
              <w:rPr>
                <w:b/>
                <w:color w:val="000000"/>
                <w:kern w:val="0"/>
                <w:szCs w:val="21"/>
              </w:rPr>
              <w:t>优</w:t>
            </w:r>
          </w:p>
        </w:tc>
        <w:tc>
          <w:tcPr>
            <w:tcW w:w="851" w:type="dxa"/>
            <w:vAlign w:val="center"/>
          </w:tcPr>
          <w:p>
            <w:pPr>
              <w:widowControl/>
              <w:spacing w:line="400" w:lineRule="exact"/>
              <w:jc w:val="center"/>
              <w:rPr>
                <w:b/>
                <w:color w:val="000000"/>
                <w:kern w:val="0"/>
                <w:szCs w:val="21"/>
              </w:rPr>
            </w:pPr>
            <w:r>
              <w:rPr>
                <w:b/>
                <w:color w:val="000000"/>
                <w:kern w:val="0"/>
                <w:szCs w:val="21"/>
              </w:rPr>
              <w:t>较优</w:t>
            </w:r>
          </w:p>
        </w:tc>
        <w:tc>
          <w:tcPr>
            <w:tcW w:w="851" w:type="dxa"/>
            <w:vAlign w:val="center"/>
          </w:tcPr>
          <w:p>
            <w:pPr>
              <w:widowControl/>
              <w:spacing w:line="400" w:lineRule="exact"/>
              <w:jc w:val="center"/>
              <w:rPr>
                <w:b/>
                <w:color w:val="000000"/>
                <w:kern w:val="0"/>
                <w:szCs w:val="21"/>
              </w:rPr>
            </w:pPr>
            <w:r>
              <w:rPr>
                <w:b/>
                <w:color w:val="000000"/>
                <w:kern w:val="0"/>
                <w:szCs w:val="21"/>
              </w:rPr>
              <w:t>一般</w:t>
            </w:r>
          </w:p>
        </w:tc>
        <w:tc>
          <w:tcPr>
            <w:tcW w:w="851" w:type="dxa"/>
            <w:vAlign w:val="center"/>
          </w:tcPr>
          <w:p>
            <w:pPr>
              <w:widowControl/>
              <w:spacing w:line="400" w:lineRule="exact"/>
              <w:jc w:val="center"/>
              <w:rPr>
                <w:b/>
                <w:color w:val="000000"/>
                <w:kern w:val="0"/>
                <w:szCs w:val="21"/>
              </w:rPr>
            </w:pPr>
            <w:r>
              <w:rPr>
                <w:b/>
                <w:color w:val="000000"/>
                <w:kern w:val="0"/>
                <w:szCs w:val="21"/>
              </w:rPr>
              <w:t>较劣</w:t>
            </w:r>
          </w:p>
        </w:tc>
        <w:tc>
          <w:tcPr>
            <w:tcW w:w="848" w:type="dxa"/>
            <w:vAlign w:val="center"/>
          </w:tcPr>
          <w:p>
            <w:pPr>
              <w:widowControl/>
              <w:spacing w:line="400" w:lineRule="exact"/>
              <w:jc w:val="center"/>
              <w:rPr>
                <w:b/>
                <w:color w:val="000000"/>
                <w:kern w:val="0"/>
                <w:szCs w:val="21"/>
              </w:rPr>
            </w:pPr>
            <w:r>
              <w:rPr>
                <w:b/>
                <w:color w:val="000000"/>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47" w:type="dxa"/>
            <w:vAlign w:val="center"/>
          </w:tcPr>
          <w:p>
            <w:pPr>
              <w:widowControl/>
              <w:spacing w:line="400" w:lineRule="exact"/>
              <w:jc w:val="center"/>
              <w:rPr>
                <w:bCs/>
                <w:color w:val="000000"/>
                <w:kern w:val="0"/>
                <w:szCs w:val="21"/>
              </w:rPr>
            </w:pPr>
            <w:r>
              <w:rPr>
                <w:bCs/>
                <w:color w:val="000000"/>
                <w:kern w:val="0"/>
                <w:szCs w:val="21"/>
              </w:rPr>
              <w:t>繁华程度</w:t>
            </w:r>
          </w:p>
        </w:tc>
        <w:tc>
          <w:tcPr>
            <w:tcW w:w="2229" w:type="dxa"/>
            <w:vAlign w:val="center"/>
          </w:tcPr>
          <w:p>
            <w:pPr>
              <w:widowControl/>
              <w:spacing w:line="400" w:lineRule="exact"/>
              <w:jc w:val="center"/>
              <w:rPr>
                <w:bCs/>
                <w:color w:val="000000"/>
                <w:kern w:val="0"/>
                <w:szCs w:val="21"/>
              </w:rPr>
            </w:pPr>
            <w:r>
              <w:rPr>
                <w:bCs/>
                <w:color w:val="000000"/>
                <w:kern w:val="0"/>
                <w:szCs w:val="21"/>
              </w:rPr>
              <w:t>距商服中心距离</w:t>
            </w:r>
          </w:p>
        </w:tc>
        <w:tc>
          <w:tcPr>
            <w:tcW w:w="851" w:type="dxa"/>
            <w:vAlign w:val="center"/>
          </w:tcPr>
          <w:p>
            <w:pPr>
              <w:widowControl/>
              <w:spacing w:line="400" w:lineRule="exact"/>
              <w:jc w:val="center"/>
              <w:rPr>
                <w:bCs/>
                <w:color w:val="000000"/>
                <w:kern w:val="0"/>
                <w:szCs w:val="21"/>
              </w:rPr>
            </w:pPr>
            <w:r>
              <w:rPr>
                <w:bCs/>
                <w:color w:val="000000"/>
                <w:kern w:val="0"/>
                <w:szCs w:val="21"/>
              </w:rPr>
              <w:t>4.88</w:t>
            </w:r>
          </w:p>
        </w:tc>
        <w:tc>
          <w:tcPr>
            <w:tcW w:w="851" w:type="dxa"/>
            <w:vAlign w:val="center"/>
          </w:tcPr>
          <w:p>
            <w:pPr>
              <w:widowControl/>
              <w:spacing w:line="400" w:lineRule="exact"/>
              <w:jc w:val="center"/>
              <w:rPr>
                <w:bCs/>
                <w:color w:val="000000"/>
                <w:kern w:val="0"/>
                <w:szCs w:val="21"/>
              </w:rPr>
            </w:pPr>
            <w:r>
              <w:rPr>
                <w:bCs/>
                <w:color w:val="000000"/>
                <w:kern w:val="0"/>
                <w:szCs w:val="21"/>
              </w:rPr>
              <w:t>2.44</w:t>
            </w:r>
          </w:p>
        </w:tc>
        <w:tc>
          <w:tcPr>
            <w:tcW w:w="851" w:type="dxa"/>
            <w:vAlign w:val="center"/>
          </w:tcPr>
          <w:p>
            <w:pPr>
              <w:widowControl/>
              <w:spacing w:line="400" w:lineRule="exact"/>
              <w:jc w:val="center"/>
              <w:rPr>
                <w:bCs/>
                <w:color w:val="000000"/>
                <w:kern w:val="0"/>
                <w:szCs w:val="21"/>
              </w:rPr>
            </w:pPr>
            <w:r>
              <w:rPr>
                <w:bCs/>
                <w:color w:val="000000"/>
                <w:kern w:val="0"/>
                <w:szCs w:val="21"/>
              </w:rPr>
              <w:t>0</w:t>
            </w:r>
          </w:p>
        </w:tc>
        <w:tc>
          <w:tcPr>
            <w:tcW w:w="851" w:type="dxa"/>
            <w:vAlign w:val="center"/>
          </w:tcPr>
          <w:p>
            <w:pPr>
              <w:widowControl/>
              <w:spacing w:line="400" w:lineRule="exact"/>
              <w:jc w:val="center"/>
              <w:rPr>
                <w:bCs/>
                <w:color w:val="000000"/>
                <w:kern w:val="0"/>
                <w:szCs w:val="21"/>
              </w:rPr>
            </w:pPr>
            <w:r>
              <w:rPr>
                <w:bCs/>
                <w:color w:val="000000"/>
                <w:kern w:val="0"/>
                <w:szCs w:val="21"/>
              </w:rPr>
              <w:t>-2.25</w:t>
            </w:r>
          </w:p>
        </w:tc>
        <w:tc>
          <w:tcPr>
            <w:tcW w:w="848" w:type="dxa"/>
            <w:vAlign w:val="center"/>
          </w:tcPr>
          <w:p>
            <w:pPr>
              <w:widowControl/>
              <w:spacing w:line="400" w:lineRule="exact"/>
              <w:jc w:val="center"/>
              <w:rPr>
                <w:bCs/>
                <w:color w:val="000000"/>
                <w:kern w:val="0"/>
                <w:szCs w:val="21"/>
              </w:rPr>
            </w:pPr>
            <w:r>
              <w:rPr>
                <w:bCs/>
                <w:color w:val="000000"/>
                <w:kern w:val="0"/>
                <w:szCs w:val="21"/>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47" w:type="dxa"/>
            <w:vMerge w:val="restart"/>
            <w:vAlign w:val="center"/>
          </w:tcPr>
          <w:p>
            <w:pPr>
              <w:widowControl/>
              <w:spacing w:line="400" w:lineRule="exact"/>
              <w:jc w:val="center"/>
              <w:rPr>
                <w:bCs/>
                <w:color w:val="000000"/>
                <w:kern w:val="0"/>
                <w:szCs w:val="21"/>
              </w:rPr>
            </w:pPr>
            <w:r>
              <w:rPr>
                <w:bCs/>
                <w:color w:val="000000"/>
                <w:kern w:val="0"/>
                <w:szCs w:val="21"/>
              </w:rPr>
              <w:t>交通条件</w:t>
            </w:r>
          </w:p>
        </w:tc>
        <w:tc>
          <w:tcPr>
            <w:tcW w:w="2229" w:type="dxa"/>
            <w:vAlign w:val="center"/>
          </w:tcPr>
          <w:p>
            <w:pPr>
              <w:widowControl/>
              <w:spacing w:line="400" w:lineRule="exact"/>
              <w:jc w:val="center"/>
              <w:rPr>
                <w:bCs/>
                <w:color w:val="000000"/>
                <w:kern w:val="0"/>
                <w:szCs w:val="21"/>
              </w:rPr>
            </w:pPr>
            <w:r>
              <w:rPr>
                <w:bCs/>
                <w:color w:val="000000"/>
                <w:kern w:val="0"/>
                <w:szCs w:val="21"/>
              </w:rPr>
              <w:t>临近道路状况</w:t>
            </w:r>
          </w:p>
        </w:tc>
        <w:tc>
          <w:tcPr>
            <w:tcW w:w="851" w:type="dxa"/>
            <w:vAlign w:val="center"/>
          </w:tcPr>
          <w:p>
            <w:pPr>
              <w:widowControl/>
              <w:spacing w:line="400" w:lineRule="exact"/>
              <w:jc w:val="center"/>
              <w:rPr>
                <w:bCs/>
                <w:color w:val="000000"/>
                <w:kern w:val="0"/>
                <w:szCs w:val="21"/>
              </w:rPr>
            </w:pPr>
            <w:r>
              <w:rPr>
                <w:bCs/>
                <w:color w:val="000000"/>
                <w:kern w:val="0"/>
                <w:szCs w:val="21"/>
              </w:rPr>
              <w:t>1.33</w:t>
            </w:r>
          </w:p>
        </w:tc>
        <w:tc>
          <w:tcPr>
            <w:tcW w:w="851" w:type="dxa"/>
            <w:vAlign w:val="center"/>
          </w:tcPr>
          <w:p>
            <w:pPr>
              <w:widowControl/>
              <w:spacing w:line="400" w:lineRule="exact"/>
              <w:jc w:val="center"/>
              <w:rPr>
                <w:bCs/>
                <w:color w:val="000000"/>
                <w:kern w:val="0"/>
                <w:szCs w:val="21"/>
              </w:rPr>
            </w:pPr>
            <w:r>
              <w:rPr>
                <w:bCs/>
                <w:color w:val="000000"/>
                <w:kern w:val="0"/>
                <w:szCs w:val="21"/>
              </w:rPr>
              <w:t>0.66</w:t>
            </w:r>
          </w:p>
        </w:tc>
        <w:tc>
          <w:tcPr>
            <w:tcW w:w="851" w:type="dxa"/>
            <w:vAlign w:val="center"/>
          </w:tcPr>
          <w:p>
            <w:pPr>
              <w:widowControl/>
              <w:spacing w:line="400" w:lineRule="exact"/>
              <w:jc w:val="center"/>
              <w:rPr>
                <w:bCs/>
                <w:color w:val="000000"/>
                <w:kern w:val="0"/>
                <w:szCs w:val="21"/>
              </w:rPr>
            </w:pPr>
            <w:r>
              <w:rPr>
                <w:bCs/>
                <w:color w:val="000000"/>
                <w:kern w:val="0"/>
                <w:szCs w:val="21"/>
              </w:rPr>
              <w:t>0</w:t>
            </w:r>
          </w:p>
        </w:tc>
        <w:tc>
          <w:tcPr>
            <w:tcW w:w="851" w:type="dxa"/>
            <w:vAlign w:val="center"/>
          </w:tcPr>
          <w:p>
            <w:pPr>
              <w:widowControl/>
              <w:spacing w:line="400" w:lineRule="exact"/>
              <w:jc w:val="center"/>
              <w:rPr>
                <w:bCs/>
                <w:color w:val="000000"/>
                <w:kern w:val="0"/>
                <w:szCs w:val="21"/>
              </w:rPr>
            </w:pPr>
            <w:r>
              <w:rPr>
                <w:bCs/>
                <w:color w:val="000000"/>
                <w:kern w:val="0"/>
                <w:szCs w:val="21"/>
              </w:rPr>
              <w:t>-0.61</w:t>
            </w:r>
          </w:p>
        </w:tc>
        <w:tc>
          <w:tcPr>
            <w:tcW w:w="848" w:type="dxa"/>
            <w:vAlign w:val="center"/>
          </w:tcPr>
          <w:p>
            <w:pPr>
              <w:widowControl/>
              <w:spacing w:line="400" w:lineRule="exact"/>
              <w:jc w:val="center"/>
              <w:rPr>
                <w:bCs/>
                <w:color w:val="000000"/>
                <w:kern w:val="0"/>
                <w:szCs w:val="21"/>
              </w:rPr>
            </w:pPr>
            <w:r>
              <w:rPr>
                <w:bCs/>
                <w:color w:val="000000"/>
                <w:kern w:val="0"/>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47" w:type="dxa"/>
            <w:vMerge w:val="continue"/>
            <w:vAlign w:val="center"/>
          </w:tcPr>
          <w:p>
            <w:pPr>
              <w:widowControl/>
              <w:spacing w:line="400" w:lineRule="exact"/>
              <w:jc w:val="center"/>
              <w:rPr>
                <w:bCs/>
                <w:color w:val="000000"/>
                <w:kern w:val="0"/>
                <w:szCs w:val="21"/>
              </w:rPr>
            </w:pPr>
          </w:p>
        </w:tc>
        <w:tc>
          <w:tcPr>
            <w:tcW w:w="2229" w:type="dxa"/>
            <w:vAlign w:val="center"/>
          </w:tcPr>
          <w:p>
            <w:pPr>
              <w:widowControl/>
              <w:spacing w:line="400" w:lineRule="exact"/>
              <w:jc w:val="center"/>
              <w:rPr>
                <w:bCs/>
                <w:color w:val="000000"/>
                <w:kern w:val="0"/>
                <w:szCs w:val="21"/>
              </w:rPr>
            </w:pPr>
            <w:r>
              <w:rPr>
                <w:bCs/>
                <w:color w:val="000000"/>
                <w:kern w:val="0"/>
                <w:szCs w:val="21"/>
              </w:rPr>
              <w:t>公交便捷度</w:t>
            </w:r>
          </w:p>
        </w:tc>
        <w:tc>
          <w:tcPr>
            <w:tcW w:w="851" w:type="dxa"/>
            <w:vAlign w:val="center"/>
          </w:tcPr>
          <w:p>
            <w:pPr>
              <w:widowControl/>
              <w:spacing w:line="400" w:lineRule="exact"/>
              <w:jc w:val="center"/>
              <w:rPr>
                <w:bCs/>
                <w:color w:val="000000"/>
                <w:kern w:val="0"/>
                <w:szCs w:val="21"/>
              </w:rPr>
            </w:pPr>
            <w:r>
              <w:rPr>
                <w:bCs/>
                <w:color w:val="000000"/>
                <w:kern w:val="0"/>
                <w:szCs w:val="21"/>
              </w:rPr>
              <w:t>1.33</w:t>
            </w:r>
          </w:p>
        </w:tc>
        <w:tc>
          <w:tcPr>
            <w:tcW w:w="851" w:type="dxa"/>
            <w:vAlign w:val="center"/>
          </w:tcPr>
          <w:p>
            <w:pPr>
              <w:widowControl/>
              <w:spacing w:line="400" w:lineRule="exact"/>
              <w:jc w:val="center"/>
              <w:rPr>
                <w:bCs/>
                <w:color w:val="000000"/>
                <w:kern w:val="0"/>
                <w:szCs w:val="21"/>
              </w:rPr>
            </w:pPr>
            <w:r>
              <w:rPr>
                <w:bCs/>
                <w:color w:val="000000"/>
                <w:kern w:val="0"/>
                <w:szCs w:val="21"/>
              </w:rPr>
              <w:t>0.66</w:t>
            </w:r>
          </w:p>
        </w:tc>
        <w:tc>
          <w:tcPr>
            <w:tcW w:w="851" w:type="dxa"/>
            <w:vAlign w:val="center"/>
          </w:tcPr>
          <w:p>
            <w:pPr>
              <w:widowControl/>
              <w:spacing w:line="400" w:lineRule="exact"/>
              <w:jc w:val="center"/>
              <w:rPr>
                <w:bCs/>
                <w:color w:val="000000"/>
                <w:kern w:val="0"/>
                <w:szCs w:val="21"/>
              </w:rPr>
            </w:pPr>
            <w:r>
              <w:rPr>
                <w:bCs/>
                <w:color w:val="000000"/>
                <w:kern w:val="0"/>
                <w:szCs w:val="21"/>
              </w:rPr>
              <w:t>0</w:t>
            </w:r>
          </w:p>
        </w:tc>
        <w:tc>
          <w:tcPr>
            <w:tcW w:w="851" w:type="dxa"/>
            <w:vAlign w:val="center"/>
          </w:tcPr>
          <w:p>
            <w:pPr>
              <w:widowControl/>
              <w:spacing w:line="400" w:lineRule="exact"/>
              <w:jc w:val="center"/>
              <w:rPr>
                <w:bCs/>
                <w:color w:val="000000"/>
                <w:kern w:val="0"/>
                <w:szCs w:val="21"/>
              </w:rPr>
            </w:pPr>
            <w:r>
              <w:rPr>
                <w:bCs/>
                <w:color w:val="000000"/>
                <w:kern w:val="0"/>
                <w:szCs w:val="21"/>
              </w:rPr>
              <w:t>-0.61</w:t>
            </w:r>
          </w:p>
        </w:tc>
        <w:tc>
          <w:tcPr>
            <w:tcW w:w="848" w:type="dxa"/>
            <w:vAlign w:val="center"/>
          </w:tcPr>
          <w:p>
            <w:pPr>
              <w:widowControl/>
              <w:spacing w:line="400" w:lineRule="exact"/>
              <w:jc w:val="center"/>
              <w:rPr>
                <w:bCs/>
                <w:color w:val="000000"/>
                <w:kern w:val="0"/>
                <w:szCs w:val="21"/>
              </w:rPr>
            </w:pPr>
            <w:r>
              <w:rPr>
                <w:bCs/>
                <w:color w:val="000000"/>
                <w:kern w:val="0"/>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47" w:type="dxa"/>
            <w:vMerge w:val="continue"/>
            <w:vAlign w:val="center"/>
          </w:tcPr>
          <w:p>
            <w:pPr>
              <w:widowControl/>
              <w:spacing w:line="400" w:lineRule="exact"/>
              <w:jc w:val="center"/>
              <w:rPr>
                <w:bCs/>
                <w:color w:val="000000"/>
                <w:kern w:val="0"/>
                <w:szCs w:val="21"/>
              </w:rPr>
            </w:pPr>
          </w:p>
        </w:tc>
        <w:tc>
          <w:tcPr>
            <w:tcW w:w="2229" w:type="dxa"/>
            <w:vAlign w:val="center"/>
          </w:tcPr>
          <w:p>
            <w:pPr>
              <w:widowControl/>
              <w:spacing w:line="400" w:lineRule="exact"/>
              <w:jc w:val="center"/>
              <w:rPr>
                <w:bCs/>
                <w:color w:val="000000"/>
                <w:kern w:val="0"/>
                <w:szCs w:val="21"/>
              </w:rPr>
            </w:pPr>
            <w:r>
              <w:rPr>
                <w:bCs/>
                <w:color w:val="000000"/>
                <w:kern w:val="0"/>
                <w:szCs w:val="21"/>
              </w:rPr>
              <w:t>距最近汽车站距离</w:t>
            </w:r>
          </w:p>
        </w:tc>
        <w:tc>
          <w:tcPr>
            <w:tcW w:w="851" w:type="dxa"/>
            <w:vAlign w:val="center"/>
          </w:tcPr>
          <w:p>
            <w:pPr>
              <w:widowControl/>
              <w:spacing w:line="400" w:lineRule="exact"/>
              <w:jc w:val="center"/>
              <w:rPr>
                <w:bCs/>
                <w:color w:val="000000"/>
                <w:kern w:val="0"/>
                <w:szCs w:val="21"/>
              </w:rPr>
            </w:pPr>
            <w:r>
              <w:rPr>
                <w:bCs/>
                <w:color w:val="000000"/>
                <w:kern w:val="0"/>
                <w:szCs w:val="21"/>
              </w:rPr>
              <w:t>1.33</w:t>
            </w:r>
          </w:p>
        </w:tc>
        <w:tc>
          <w:tcPr>
            <w:tcW w:w="851" w:type="dxa"/>
            <w:vAlign w:val="center"/>
          </w:tcPr>
          <w:p>
            <w:pPr>
              <w:widowControl/>
              <w:spacing w:line="400" w:lineRule="exact"/>
              <w:jc w:val="center"/>
              <w:rPr>
                <w:bCs/>
                <w:color w:val="000000"/>
                <w:kern w:val="0"/>
                <w:szCs w:val="21"/>
              </w:rPr>
            </w:pPr>
            <w:r>
              <w:rPr>
                <w:bCs/>
                <w:color w:val="000000"/>
                <w:kern w:val="0"/>
                <w:szCs w:val="21"/>
              </w:rPr>
              <w:t>0.66</w:t>
            </w:r>
          </w:p>
        </w:tc>
        <w:tc>
          <w:tcPr>
            <w:tcW w:w="851" w:type="dxa"/>
            <w:vAlign w:val="center"/>
          </w:tcPr>
          <w:p>
            <w:pPr>
              <w:widowControl/>
              <w:spacing w:line="400" w:lineRule="exact"/>
              <w:jc w:val="center"/>
              <w:rPr>
                <w:bCs/>
                <w:color w:val="000000"/>
                <w:kern w:val="0"/>
                <w:szCs w:val="21"/>
              </w:rPr>
            </w:pPr>
            <w:r>
              <w:rPr>
                <w:bCs/>
                <w:color w:val="000000"/>
                <w:kern w:val="0"/>
                <w:szCs w:val="21"/>
              </w:rPr>
              <w:t>0</w:t>
            </w:r>
          </w:p>
        </w:tc>
        <w:tc>
          <w:tcPr>
            <w:tcW w:w="851" w:type="dxa"/>
            <w:vAlign w:val="center"/>
          </w:tcPr>
          <w:p>
            <w:pPr>
              <w:widowControl/>
              <w:spacing w:line="400" w:lineRule="exact"/>
              <w:jc w:val="center"/>
              <w:rPr>
                <w:bCs/>
                <w:color w:val="000000"/>
                <w:kern w:val="0"/>
                <w:szCs w:val="21"/>
              </w:rPr>
            </w:pPr>
            <w:r>
              <w:rPr>
                <w:bCs/>
                <w:color w:val="000000"/>
                <w:kern w:val="0"/>
                <w:szCs w:val="21"/>
              </w:rPr>
              <w:t>-0.61</w:t>
            </w:r>
          </w:p>
        </w:tc>
        <w:tc>
          <w:tcPr>
            <w:tcW w:w="848" w:type="dxa"/>
            <w:vAlign w:val="center"/>
          </w:tcPr>
          <w:p>
            <w:pPr>
              <w:widowControl/>
              <w:spacing w:line="400" w:lineRule="exact"/>
              <w:jc w:val="center"/>
              <w:rPr>
                <w:bCs/>
                <w:color w:val="000000"/>
                <w:kern w:val="0"/>
                <w:szCs w:val="21"/>
              </w:rPr>
            </w:pPr>
            <w:r>
              <w:rPr>
                <w:bCs/>
                <w:color w:val="000000"/>
                <w:kern w:val="0"/>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47" w:type="dxa"/>
            <w:vAlign w:val="center"/>
          </w:tcPr>
          <w:p>
            <w:pPr>
              <w:widowControl/>
              <w:spacing w:line="400" w:lineRule="exact"/>
              <w:jc w:val="center"/>
              <w:rPr>
                <w:bCs/>
                <w:color w:val="000000"/>
                <w:kern w:val="0"/>
                <w:szCs w:val="21"/>
              </w:rPr>
            </w:pPr>
            <w:r>
              <w:rPr>
                <w:bCs/>
                <w:color w:val="000000"/>
                <w:kern w:val="0"/>
                <w:szCs w:val="21"/>
              </w:rPr>
              <w:t>公用设施完备度</w:t>
            </w:r>
          </w:p>
        </w:tc>
        <w:tc>
          <w:tcPr>
            <w:tcW w:w="2229" w:type="dxa"/>
            <w:vAlign w:val="center"/>
          </w:tcPr>
          <w:p>
            <w:pPr>
              <w:widowControl/>
              <w:spacing w:line="400" w:lineRule="exact"/>
              <w:jc w:val="center"/>
              <w:rPr>
                <w:bCs/>
                <w:color w:val="000000"/>
                <w:kern w:val="0"/>
                <w:szCs w:val="21"/>
              </w:rPr>
            </w:pPr>
            <w:r>
              <w:rPr>
                <w:bCs/>
                <w:color w:val="000000"/>
                <w:kern w:val="0"/>
                <w:szCs w:val="21"/>
              </w:rPr>
              <w:t>距文体设施用地距离</w:t>
            </w:r>
          </w:p>
        </w:tc>
        <w:tc>
          <w:tcPr>
            <w:tcW w:w="851" w:type="dxa"/>
            <w:vAlign w:val="center"/>
          </w:tcPr>
          <w:p>
            <w:pPr>
              <w:widowControl/>
              <w:spacing w:line="400" w:lineRule="exact"/>
              <w:jc w:val="center"/>
              <w:rPr>
                <w:bCs/>
                <w:color w:val="000000"/>
                <w:kern w:val="0"/>
                <w:szCs w:val="21"/>
              </w:rPr>
            </w:pPr>
            <w:r>
              <w:rPr>
                <w:bCs/>
                <w:color w:val="000000"/>
                <w:kern w:val="0"/>
                <w:szCs w:val="21"/>
              </w:rPr>
              <w:t>2.73</w:t>
            </w:r>
          </w:p>
        </w:tc>
        <w:tc>
          <w:tcPr>
            <w:tcW w:w="851" w:type="dxa"/>
            <w:vAlign w:val="center"/>
          </w:tcPr>
          <w:p>
            <w:pPr>
              <w:widowControl/>
              <w:spacing w:line="400" w:lineRule="exact"/>
              <w:jc w:val="center"/>
              <w:rPr>
                <w:bCs/>
                <w:color w:val="000000"/>
                <w:kern w:val="0"/>
                <w:szCs w:val="21"/>
              </w:rPr>
            </w:pPr>
            <w:r>
              <w:rPr>
                <w:bCs/>
                <w:color w:val="000000"/>
                <w:kern w:val="0"/>
                <w:szCs w:val="21"/>
              </w:rPr>
              <w:t>1.37</w:t>
            </w:r>
          </w:p>
        </w:tc>
        <w:tc>
          <w:tcPr>
            <w:tcW w:w="851" w:type="dxa"/>
            <w:vAlign w:val="center"/>
          </w:tcPr>
          <w:p>
            <w:pPr>
              <w:widowControl/>
              <w:spacing w:line="400" w:lineRule="exact"/>
              <w:jc w:val="center"/>
              <w:rPr>
                <w:bCs/>
                <w:color w:val="000000"/>
                <w:kern w:val="0"/>
                <w:szCs w:val="21"/>
              </w:rPr>
            </w:pPr>
            <w:r>
              <w:rPr>
                <w:bCs/>
                <w:color w:val="000000"/>
                <w:kern w:val="0"/>
                <w:szCs w:val="21"/>
              </w:rPr>
              <w:t>0</w:t>
            </w:r>
          </w:p>
        </w:tc>
        <w:tc>
          <w:tcPr>
            <w:tcW w:w="851" w:type="dxa"/>
            <w:vAlign w:val="center"/>
          </w:tcPr>
          <w:p>
            <w:pPr>
              <w:widowControl/>
              <w:spacing w:line="400" w:lineRule="exact"/>
              <w:jc w:val="center"/>
              <w:rPr>
                <w:bCs/>
                <w:color w:val="000000"/>
                <w:kern w:val="0"/>
                <w:szCs w:val="21"/>
              </w:rPr>
            </w:pPr>
            <w:r>
              <w:rPr>
                <w:bCs/>
                <w:color w:val="000000"/>
                <w:kern w:val="0"/>
                <w:szCs w:val="21"/>
              </w:rPr>
              <w:t>-1.26</w:t>
            </w:r>
          </w:p>
        </w:tc>
        <w:tc>
          <w:tcPr>
            <w:tcW w:w="848" w:type="dxa"/>
            <w:vAlign w:val="center"/>
          </w:tcPr>
          <w:p>
            <w:pPr>
              <w:widowControl/>
              <w:spacing w:line="400" w:lineRule="exact"/>
              <w:jc w:val="center"/>
              <w:rPr>
                <w:bCs/>
                <w:color w:val="000000"/>
                <w:kern w:val="0"/>
                <w:szCs w:val="21"/>
              </w:rPr>
            </w:pPr>
            <w:r>
              <w:rPr>
                <w:bCs/>
                <w:color w:val="000000"/>
                <w:kern w:val="0"/>
                <w:szCs w:val="21"/>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47" w:type="dxa"/>
            <w:vAlign w:val="center"/>
          </w:tcPr>
          <w:p>
            <w:pPr>
              <w:widowControl/>
              <w:spacing w:line="400" w:lineRule="exact"/>
              <w:jc w:val="center"/>
              <w:rPr>
                <w:bCs/>
                <w:color w:val="000000"/>
                <w:kern w:val="0"/>
                <w:szCs w:val="21"/>
              </w:rPr>
            </w:pPr>
            <w:r>
              <w:rPr>
                <w:bCs/>
                <w:color w:val="000000"/>
                <w:kern w:val="0"/>
                <w:szCs w:val="21"/>
              </w:rPr>
              <w:t>人口状况</w:t>
            </w:r>
          </w:p>
        </w:tc>
        <w:tc>
          <w:tcPr>
            <w:tcW w:w="2229" w:type="dxa"/>
            <w:vAlign w:val="center"/>
          </w:tcPr>
          <w:p>
            <w:pPr>
              <w:widowControl/>
              <w:spacing w:line="400" w:lineRule="exact"/>
              <w:jc w:val="center"/>
              <w:rPr>
                <w:bCs/>
                <w:color w:val="000000"/>
                <w:kern w:val="0"/>
                <w:szCs w:val="21"/>
              </w:rPr>
            </w:pPr>
            <w:r>
              <w:rPr>
                <w:bCs/>
                <w:color w:val="000000"/>
                <w:kern w:val="0"/>
                <w:szCs w:val="21"/>
              </w:rPr>
              <w:t>人口密度</w:t>
            </w:r>
          </w:p>
        </w:tc>
        <w:tc>
          <w:tcPr>
            <w:tcW w:w="851" w:type="dxa"/>
            <w:vAlign w:val="center"/>
          </w:tcPr>
          <w:p>
            <w:pPr>
              <w:widowControl/>
              <w:spacing w:line="400" w:lineRule="exact"/>
              <w:jc w:val="center"/>
              <w:rPr>
                <w:bCs/>
                <w:color w:val="000000"/>
                <w:kern w:val="0"/>
                <w:szCs w:val="21"/>
              </w:rPr>
            </w:pPr>
            <w:r>
              <w:rPr>
                <w:bCs/>
                <w:color w:val="000000"/>
                <w:kern w:val="0"/>
                <w:szCs w:val="21"/>
              </w:rPr>
              <w:t>2.29</w:t>
            </w:r>
          </w:p>
        </w:tc>
        <w:tc>
          <w:tcPr>
            <w:tcW w:w="851" w:type="dxa"/>
            <w:vAlign w:val="center"/>
          </w:tcPr>
          <w:p>
            <w:pPr>
              <w:widowControl/>
              <w:spacing w:line="400" w:lineRule="exact"/>
              <w:jc w:val="center"/>
              <w:rPr>
                <w:bCs/>
                <w:color w:val="000000"/>
                <w:kern w:val="0"/>
                <w:szCs w:val="21"/>
              </w:rPr>
            </w:pPr>
            <w:r>
              <w:rPr>
                <w:bCs/>
                <w:color w:val="000000"/>
                <w:kern w:val="0"/>
                <w:szCs w:val="21"/>
              </w:rPr>
              <w:t>1.15</w:t>
            </w:r>
          </w:p>
        </w:tc>
        <w:tc>
          <w:tcPr>
            <w:tcW w:w="851" w:type="dxa"/>
            <w:vAlign w:val="center"/>
          </w:tcPr>
          <w:p>
            <w:pPr>
              <w:widowControl/>
              <w:spacing w:line="400" w:lineRule="exact"/>
              <w:jc w:val="center"/>
              <w:rPr>
                <w:bCs/>
                <w:color w:val="000000"/>
                <w:kern w:val="0"/>
                <w:szCs w:val="21"/>
              </w:rPr>
            </w:pPr>
            <w:r>
              <w:rPr>
                <w:bCs/>
                <w:color w:val="000000"/>
                <w:kern w:val="0"/>
                <w:szCs w:val="21"/>
              </w:rPr>
              <w:t>0</w:t>
            </w:r>
          </w:p>
        </w:tc>
        <w:tc>
          <w:tcPr>
            <w:tcW w:w="851" w:type="dxa"/>
            <w:vAlign w:val="center"/>
          </w:tcPr>
          <w:p>
            <w:pPr>
              <w:widowControl/>
              <w:spacing w:line="400" w:lineRule="exact"/>
              <w:jc w:val="center"/>
              <w:rPr>
                <w:bCs/>
                <w:color w:val="000000"/>
                <w:kern w:val="0"/>
                <w:szCs w:val="21"/>
              </w:rPr>
            </w:pPr>
            <w:r>
              <w:rPr>
                <w:bCs/>
                <w:color w:val="000000"/>
                <w:kern w:val="0"/>
                <w:szCs w:val="21"/>
              </w:rPr>
              <w:t>-1.06</w:t>
            </w:r>
          </w:p>
        </w:tc>
        <w:tc>
          <w:tcPr>
            <w:tcW w:w="848" w:type="dxa"/>
            <w:vAlign w:val="center"/>
          </w:tcPr>
          <w:p>
            <w:pPr>
              <w:widowControl/>
              <w:spacing w:line="400" w:lineRule="exact"/>
              <w:jc w:val="center"/>
              <w:rPr>
                <w:bCs/>
                <w:color w:val="000000"/>
                <w:kern w:val="0"/>
                <w:szCs w:val="21"/>
              </w:rPr>
            </w:pPr>
            <w:r>
              <w:rPr>
                <w:bCs/>
                <w:color w:val="000000"/>
                <w:kern w:val="0"/>
                <w:szCs w:val="21"/>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47" w:type="dxa"/>
            <w:vAlign w:val="center"/>
          </w:tcPr>
          <w:p>
            <w:pPr>
              <w:widowControl/>
              <w:spacing w:line="400" w:lineRule="exact"/>
              <w:jc w:val="center"/>
              <w:rPr>
                <w:bCs/>
                <w:color w:val="000000"/>
                <w:kern w:val="0"/>
                <w:szCs w:val="21"/>
              </w:rPr>
            </w:pPr>
            <w:r>
              <w:rPr>
                <w:bCs/>
                <w:color w:val="000000"/>
                <w:kern w:val="0"/>
                <w:szCs w:val="21"/>
              </w:rPr>
              <w:t>城市规划</w:t>
            </w:r>
          </w:p>
        </w:tc>
        <w:tc>
          <w:tcPr>
            <w:tcW w:w="2229" w:type="dxa"/>
            <w:vAlign w:val="center"/>
          </w:tcPr>
          <w:p>
            <w:pPr>
              <w:widowControl/>
              <w:spacing w:line="400" w:lineRule="exact"/>
              <w:jc w:val="center"/>
              <w:rPr>
                <w:bCs/>
                <w:color w:val="000000"/>
                <w:kern w:val="0"/>
                <w:szCs w:val="21"/>
              </w:rPr>
            </w:pPr>
            <w:r>
              <w:rPr>
                <w:bCs/>
                <w:color w:val="000000"/>
                <w:kern w:val="0"/>
                <w:szCs w:val="21"/>
              </w:rPr>
              <w:t>用地规划</w:t>
            </w:r>
          </w:p>
        </w:tc>
        <w:tc>
          <w:tcPr>
            <w:tcW w:w="851" w:type="dxa"/>
            <w:vAlign w:val="center"/>
          </w:tcPr>
          <w:p>
            <w:pPr>
              <w:widowControl/>
              <w:spacing w:line="400" w:lineRule="exact"/>
              <w:jc w:val="center"/>
              <w:rPr>
                <w:bCs/>
                <w:color w:val="000000"/>
                <w:kern w:val="0"/>
                <w:szCs w:val="21"/>
              </w:rPr>
            </w:pPr>
            <w:r>
              <w:rPr>
                <w:bCs/>
                <w:color w:val="000000"/>
                <w:kern w:val="0"/>
                <w:szCs w:val="21"/>
              </w:rPr>
              <w:t>1.72</w:t>
            </w:r>
          </w:p>
        </w:tc>
        <w:tc>
          <w:tcPr>
            <w:tcW w:w="851" w:type="dxa"/>
            <w:vAlign w:val="center"/>
          </w:tcPr>
          <w:p>
            <w:pPr>
              <w:widowControl/>
              <w:spacing w:line="400" w:lineRule="exact"/>
              <w:jc w:val="center"/>
              <w:rPr>
                <w:bCs/>
                <w:color w:val="000000"/>
                <w:kern w:val="0"/>
                <w:szCs w:val="21"/>
              </w:rPr>
            </w:pPr>
            <w:r>
              <w:rPr>
                <w:bCs/>
                <w:color w:val="000000"/>
                <w:kern w:val="0"/>
                <w:szCs w:val="21"/>
              </w:rPr>
              <w:t>0.86</w:t>
            </w:r>
          </w:p>
        </w:tc>
        <w:tc>
          <w:tcPr>
            <w:tcW w:w="851" w:type="dxa"/>
            <w:vAlign w:val="center"/>
          </w:tcPr>
          <w:p>
            <w:pPr>
              <w:widowControl/>
              <w:spacing w:line="400" w:lineRule="exact"/>
              <w:jc w:val="center"/>
              <w:rPr>
                <w:bCs/>
                <w:color w:val="000000"/>
                <w:kern w:val="0"/>
                <w:szCs w:val="21"/>
              </w:rPr>
            </w:pPr>
            <w:r>
              <w:rPr>
                <w:bCs/>
                <w:color w:val="000000"/>
                <w:kern w:val="0"/>
                <w:szCs w:val="21"/>
              </w:rPr>
              <w:t>0</w:t>
            </w:r>
          </w:p>
        </w:tc>
        <w:tc>
          <w:tcPr>
            <w:tcW w:w="851" w:type="dxa"/>
            <w:vAlign w:val="center"/>
          </w:tcPr>
          <w:p>
            <w:pPr>
              <w:widowControl/>
              <w:spacing w:line="400" w:lineRule="exact"/>
              <w:jc w:val="center"/>
              <w:rPr>
                <w:bCs/>
                <w:color w:val="000000"/>
                <w:kern w:val="0"/>
                <w:szCs w:val="21"/>
              </w:rPr>
            </w:pPr>
            <w:r>
              <w:rPr>
                <w:bCs/>
                <w:color w:val="000000"/>
                <w:kern w:val="0"/>
                <w:szCs w:val="21"/>
              </w:rPr>
              <w:t>-0.79</w:t>
            </w:r>
          </w:p>
        </w:tc>
        <w:tc>
          <w:tcPr>
            <w:tcW w:w="848" w:type="dxa"/>
            <w:vAlign w:val="center"/>
          </w:tcPr>
          <w:p>
            <w:pPr>
              <w:widowControl/>
              <w:spacing w:line="400" w:lineRule="exact"/>
              <w:jc w:val="center"/>
              <w:rPr>
                <w:bCs/>
                <w:color w:val="000000"/>
                <w:kern w:val="0"/>
                <w:szCs w:val="21"/>
              </w:rPr>
            </w:pPr>
            <w:r>
              <w:rPr>
                <w:bCs/>
                <w:color w:val="000000"/>
                <w:kern w:val="0"/>
                <w:szCs w:val="21"/>
              </w:rPr>
              <w:t>-1.58</w:t>
            </w:r>
          </w:p>
        </w:tc>
      </w:tr>
    </w:tbl>
    <w:p>
      <w:pPr>
        <w:widowControl/>
        <w:spacing w:line="400" w:lineRule="exact"/>
        <w:jc w:val="center"/>
        <w:rPr>
          <w:b/>
          <w:color w:val="000000"/>
          <w:kern w:val="0"/>
          <w:szCs w:val="21"/>
        </w:rPr>
      </w:pPr>
      <w:r>
        <w:rPr>
          <w:b/>
          <w:sz w:val="24"/>
          <w:szCs w:val="24"/>
        </w:rPr>
        <w:t>表5-4-3</w:t>
      </w:r>
      <w:r>
        <w:rPr>
          <w:rFonts w:hint="eastAsia"/>
          <w:b/>
          <w:sz w:val="24"/>
          <w:szCs w:val="24"/>
        </w:rPr>
        <w:t>4</w:t>
      </w:r>
      <w:r>
        <w:rPr>
          <w:b/>
          <w:sz w:val="24"/>
          <w:szCs w:val="24"/>
        </w:rPr>
        <w:t>长沙县乡镇Ⅰ级公共管理与公共服务一类用地宗地地价区域因素修正系数指标说明表</w:t>
      </w:r>
    </w:p>
    <w:tbl>
      <w:tblPr>
        <w:tblW w:w="9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2186"/>
        <w:gridCol w:w="1100"/>
        <w:gridCol w:w="1114"/>
        <w:gridCol w:w="1183"/>
        <w:gridCol w:w="1311"/>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115" w:type="dxa"/>
            <w:vAlign w:val="center"/>
          </w:tcPr>
          <w:p>
            <w:pPr>
              <w:widowControl/>
              <w:spacing w:line="400" w:lineRule="exact"/>
              <w:jc w:val="center"/>
              <w:rPr>
                <w:b/>
                <w:color w:val="000000"/>
                <w:kern w:val="0"/>
                <w:szCs w:val="21"/>
              </w:rPr>
            </w:pPr>
            <w:r>
              <w:rPr>
                <w:b/>
                <w:color w:val="000000"/>
                <w:kern w:val="0"/>
                <w:szCs w:val="21"/>
              </w:rPr>
              <w:t>因素层</w:t>
            </w:r>
          </w:p>
        </w:tc>
        <w:tc>
          <w:tcPr>
            <w:tcW w:w="2186" w:type="dxa"/>
            <w:vAlign w:val="center"/>
          </w:tcPr>
          <w:p>
            <w:pPr>
              <w:widowControl/>
              <w:spacing w:line="400" w:lineRule="exact"/>
              <w:jc w:val="center"/>
              <w:rPr>
                <w:b/>
                <w:color w:val="000000"/>
                <w:kern w:val="0"/>
                <w:szCs w:val="21"/>
              </w:rPr>
            </w:pPr>
            <w:r>
              <w:rPr>
                <w:b/>
                <w:color w:val="000000"/>
                <w:kern w:val="0"/>
                <w:szCs w:val="21"/>
              </w:rPr>
              <w:t>因子层</w:t>
            </w:r>
          </w:p>
        </w:tc>
        <w:tc>
          <w:tcPr>
            <w:tcW w:w="1100" w:type="dxa"/>
            <w:vAlign w:val="center"/>
          </w:tcPr>
          <w:p>
            <w:pPr>
              <w:widowControl/>
              <w:spacing w:line="400" w:lineRule="exact"/>
              <w:jc w:val="center"/>
              <w:rPr>
                <w:b/>
                <w:color w:val="000000"/>
                <w:kern w:val="0"/>
                <w:szCs w:val="21"/>
              </w:rPr>
            </w:pPr>
            <w:r>
              <w:rPr>
                <w:b/>
                <w:color w:val="000000"/>
                <w:kern w:val="0"/>
                <w:szCs w:val="21"/>
              </w:rPr>
              <w:t>优</w:t>
            </w:r>
          </w:p>
        </w:tc>
        <w:tc>
          <w:tcPr>
            <w:tcW w:w="1114" w:type="dxa"/>
            <w:vAlign w:val="center"/>
          </w:tcPr>
          <w:p>
            <w:pPr>
              <w:widowControl/>
              <w:spacing w:line="400" w:lineRule="exact"/>
              <w:jc w:val="center"/>
              <w:rPr>
                <w:b/>
                <w:color w:val="000000"/>
                <w:kern w:val="0"/>
                <w:szCs w:val="21"/>
              </w:rPr>
            </w:pPr>
            <w:r>
              <w:rPr>
                <w:b/>
                <w:color w:val="000000"/>
                <w:kern w:val="0"/>
                <w:szCs w:val="21"/>
              </w:rPr>
              <w:t>较优</w:t>
            </w:r>
          </w:p>
        </w:tc>
        <w:tc>
          <w:tcPr>
            <w:tcW w:w="1183" w:type="dxa"/>
            <w:vAlign w:val="center"/>
          </w:tcPr>
          <w:p>
            <w:pPr>
              <w:widowControl/>
              <w:spacing w:line="400" w:lineRule="exact"/>
              <w:jc w:val="center"/>
              <w:rPr>
                <w:b/>
                <w:color w:val="000000"/>
                <w:kern w:val="0"/>
                <w:szCs w:val="21"/>
              </w:rPr>
            </w:pPr>
            <w:r>
              <w:rPr>
                <w:b/>
                <w:color w:val="000000"/>
                <w:kern w:val="0"/>
                <w:szCs w:val="21"/>
              </w:rPr>
              <w:t>一般</w:t>
            </w:r>
          </w:p>
        </w:tc>
        <w:tc>
          <w:tcPr>
            <w:tcW w:w="1311" w:type="dxa"/>
            <w:vAlign w:val="center"/>
          </w:tcPr>
          <w:p>
            <w:pPr>
              <w:widowControl/>
              <w:spacing w:line="400" w:lineRule="exact"/>
              <w:jc w:val="center"/>
              <w:rPr>
                <w:b/>
                <w:color w:val="000000"/>
                <w:kern w:val="0"/>
                <w:szCs w:val="21"/>
              </w:rPr>
            </w:pPr>
            <w:r>
              <w:rPr>
                <w:b/>
                <w:color w:val="000000"/>
                <w:kern w:val="0"/>
                <w:szCs w:val="21"/>
              </w:rPr>
              <w:t>较劣</w:t>
            </w:r>
          </w:p>
        </w:tc>
        <w:tc>
          <w:tcPr>
            <w:tcW w:w="1366" w:type="dxa"/>
            <w:vAlign w:val="center"/>
          </w:tcPr>
          <w:p>
            <w:pPr>
              <w:widowControl/>
              <w:spacing w:line="400" w:lineRule="exact"/>
              <w:jc w:val="center"/>
              <w:rPr>
                <w:b/>
                <w:color w:val="000000"/>
                <w:kern w:val="0"/>
                <w:szCs w:val="21"/>
              </w:rPr>
            </w:pPr>
            <w:r>
              <w:rPr>
                <w:b/>
                <w:color w:val="000000"/>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5" w:type="dxa"/>
            <w:vAlign w:val="center"/>
          </w:tcPr>
          <w:p>
            <w:pPr>
              <w:widowControl/>
              <w:spacing w:line="400" w:lineRule="exact"/>
              <w:jc w:val="center"/>
              <w:rPr>
                <w:bCs/>
                <w:color w:val="000000"/>
                <w:kern w:val="0"/>
                <w:szCs w:val="21"/>
              </w:rPr>
            </w:pPr>
            <w:r>
              <w:rPr>
                <w:bCs/>
                <w:color w:val="000000"/>
                <w:kern w:val="0"/>
                <w:szCs w:val="21"/>
              </w:rPr>
              <w:t>繁华程度</w:t>
            </w:r>
          </w:p>
        </w:tc>
        <w:tc>
          <w:tcPr>
            <w:tcW w:w="2186" w:type="dxa"/>
            <w:vAlign w:val="center"/>
          </w:tcPr>
          <w:p>
            <w:pPr>
              <w:widowControl/>
              <w:spacing w:line="400" w:lineRule="exact"/>
              <w:jc w:val="center"/>
              <w:rPr>
                <w:bCs/>
                <w:color w:val="000000"/>
                <w:kern w:val="0"/>
                <w:szCs w:val="21"/>
              </w:rPr>
            </w:pPr>
            <w:r>
              <w:rPr>
                <w:bCs/>
                <w:color w:val="000000"/>
                <w:kern w:val="0"/>
                <w:szCs w:val="21"/>
              </w:rPr>
              <w:t>距商服中心距离</w:t>
            </w:r>
          </w:p>
        </w:tc>
        <w:tc>
          <w:tcPr>
            <w:tcW w:w="1100" w:type="dxa"/>
            <w:vAlign w:val="center"/>
          </w:tcPr>
          <w:p>
            <w:pPr>
              <w:widowControl/>
              <w:spacing w:line="400" w:lineRule="exact"/>
              <w:jc w:val="center"/>
              <w:rPr>
                <w:bCs/>
                <w:color w:val="000000"/>
                <w:kern w:val="0"/>
                <w:szCs w:val="21"/>
              </w:rPr>
            </w:pPr>
            <w:r>
              <w:rPr>
                <w:bCs/>
                <w:color w:val="000000"/>
                <w:kern w:val="0"/>
                <w:szCs w:val="21"/>
              </w:rPr>
              <w:t>≤50</w:t>
            </w:r>
          </w:p>
        </w:tc>
        <w:tc>
          <w:tcPr>
            <w:tcW w:w="1114" w:type="dxa"/>
            <w:vAlign w:val="center"/>
          </w:tcPr>
          <w:p>
            <w:pPr>
              <w:widowControl/>
              <w:spacing w:line="400" w:lineRule="exact"/>
              <w:jc w:val="center"/>
              <w:rPr>
                <w:bCs/>
                <w:color w:val="000000"/>
                <w:kern w:val="0"/>
                <w:szCs w:val="21"/>
              </w:rPr>
            </w:pPr>
            <w:r>
              <w:rPr>
                <w:bCs/>
                <w:color w:val="000000"/>
                <w:kern w:val="0"/>
                <w:szCs w:val="21"/>
              </w:rPr>
              <w:t>50-150</w:t>
            </w:r>
          </w:p>
        </w:tc>
        <w:tc>
          <w:tcPr>
            <w:tcW w:w="1183" w:type="dxa"/>
            <w:vAlign w:val="center"/>
          </w:tcPr>
          <w:p>
            <w:pPr>
              <w:widowControl/>
              <w:spacing w:line="400" w:lineRule="exact"/>
              <w:jc w:val="center"/>
              <w:rPr>
                <w:bCs/>
                <w:color w:val="000000"/>
                <w:kern w:val="0"/>
                <w:szCs w:val="21"/>
              </w:rPr>
            </w:pPr>
            <w:r>
              <w:rPr>
                <w:bCs/>
                <w:color w:val="000000"/>
                <w:kern w:val="0"/>
                <w:szCs w:val="21"/>
              </w:rPr>
              <w:t>150-250</w:t>
            </w:r>
          </w:p>
        </w:tc>
        <w:tc>
          <w:tcPr>
            <w:tcW w:w="1311" w:type="dxa"/>
            <w:vAlign w:val="center"/>
          </w:tcPr>
          <w:p>
            <w:pPr>
              <w:widowControl/>
              <w:spacing w:line="400" w:lineRule="exact"/>
              <w:jc w:val="center"/>
              <w:rPr>
                <w:bCs/>
                <w:color w:val="000000"/>
                <w:kern w:val="0"/>
                <w:szCs w:val="21"/>
              </w:rPr>
            </w:pPr>
            <w:r>
              <w:rPr>
                <w:bCs/>
                <w:color w:val="000000"/>
                <w:kern w:val="0"/>
                <w:szCs w:val="21"/>
              </w:rPr>
              <w:t>250-350</w:t>
            </w:r>
          </w:p>
        </w:tc>
        <w:tc>
          <w:tcPr>
            <w:tcW w:w="1366" w:type="dxa"/>
            <w:vAlign w:val="center"/>
          </w:tcPr>
          <w:p>
            <w:pPr>
              <w:widowControl/>
              <w:spacing w:line="400" w:lineRule="exact"/>
              <w:jc w:val="center"/>
              <w:rPr>
                <w:bCs/>
                <w:color w:val="000000"/>
                <w:kern w:val="0"/>
                <w:szCs w:val="21"/>
              </w:rPr>
            </w:pPr>
            <w:r>
              <w:rPr>
                <w:bCs/>
                <w:color w:val="000000"/>
                <w:kern w:val="0"/>
                <w:szCs w:val="21"/>
              </w:rPr>
              <w:t>&gt;350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1115" w:type="dxa"/>
            <w:vMerge w:val="restart"/>
            <w:vAlign w:val="center"/>
          </w:tcPr>
          <w:p>
            <w:pPr>
              <w:widowControl/>
              <w:spacing w:line="400" w:lineRule="exact"/>
              <w:jc w:val="center"/>
              <w:rPr>
                <w:bCs/>
                <w:color w:val="000000"/>
                <w:kern w:val="0"/>
                <w:szCs w:val="21"/>
              </w:rPr>
            </w:pPr>
            <w:r>
              <w:rPr>
                <w:bCs/>
                <w:color w:val="000000"/>
                <w:kern w:val="0"/>
                <w:szCs w:val="21"/>
              </w:rPr>
              <w:t>交通条件</w:t>
            </w:r>
          </w:p>
        </w:tc>
        <w:tc>
          <w:tcPr>
            <w:tcW w:w="2186" w:type="dxa"/>
            <w:vAlign w:val="center"/>
          </w:tcPr>
          <w:p>
            <w:pPr>
              <w:widowControl/>
              <w:spacing w:line="400" w:lineRule="exact"/>
              <w:jc w:val="center"/>
              <w:rPr>
                <w:bCs/>
                <w:color w:val="000000"/>
                <w:kern w:val="0"/>
                <w:szCs w:val="21"/>
              </w:rPr>
            </w:pPr>
            <w:r>
              <w:rPr>
                <w:bCs/>
                <w:color w:val="000000"/>
                <w:kern w:val="0"/>
                <w:szCs w:val="21"/>
              </w:rPr>
              <w:t>临近道路状况</w:t>
            </w:r>
          </w:p>
        </w:tc>
        <w:tc>
          <w:tcPr>
            <w:tcW w:w="1100" w:type="dxa"/>
            <w:vAlign w:val="center"/>
          </w:tcPr>
          <w:p>
            <w:pPr>
              <w:widowControl/>
              <w:spacing w:line="400" w:lineRule="exact"/>
              <w:jc w:val="center"/>
              <w:rPr>
                <w:bCs/>
                <w:color w:val="000000"/>
                <w:kern w:val="0"/>
                <w:szCs w:val="21"/>
              </w:rPr>
            </w:pPr>
            <w:r>
              <w:rPr>
                <w:bCs/>
                <w:color w:val="000000"/>
                <w:kern w:val="0"/>
                <w:szCs w:val="21"/>
              </w:rPr>
              <w:t>临繁华主干道</w:t>
            </w:r>
          </w:p>
        </w:tc>
        <w:tc>
          <w:tcPr>
            <w:tcW w:w="1114" w:type="dxa"/>
            <w:vAlign w:val="center"/>
          </w:tcPr>
          <w:p>
            <w:pPr>
              <w:widowControl/>
              <w:spacing w:line="400" w:lineRule="exact"/>
              <w:jc w:val="center"/>
              <w:rPr>
                <w:bCs/>
                <w:color w:val="000000"/>
                <w:kern w:val="0"/>
                <w:szCs w:val="21"/>
              </w:rPr>
            </w:pPr>
            <w:r>
              <w:rPr>
                <w:bCs/>
                <w:color w:val="000000"/>
                <w:kern w:val="0"/>
                <w:szCs w:val="21"/>
              </w:rPr>
              <w:t>临主干道</w:t>
            </w:r>
          </w:p>
        </w:tc>
        <w:tc>
          <w:tcPr>
            <w:tcW w:w="1183" w:type="dxa"/>
            <w:vAlign w:val="center"/>
          </w:tcPr>
          <w:p>
            <w:pPr>
              <w:widowControl/>
              <w:spacing w:line="400" w:lineRule="exact"/>
              <w:jc w:val="center"/>
              <w:rPr>
                <w:bCs/>
                <w:color w:val="000000"/>
                <w:kern w:val="0"/>
                <w:szCs w:val="21"/>
              </w:rPr>
            </w:pPr>
            <w:r>
              <w:rPr>
                <w:bCs/>
                <w:color w:val="000000"/>
                <w:kern w:val="0"/>
                <w:szCs w:val="21"/>
              </w:rPr>
              <w:t>临次干道</w:t>
            </w:r>
          </w:p>
        </w:tc>
        <w:tc>
          <w:tcPr>
            <w:tcW w:w="1311" w:type="dxa"/>
            <w:vAlign w:val="center"/>
          </w:tcPr>
          <w:p>
            <w:pPr>
              <w:widowControl/>
              <w:spacing w:line="400" w:lineRule="exact"/>
              <w:jc w:val="center"/>
              <w:rPr>
                <w:bCs/>
                <w:color w:val="000000"/>
                <w:kern w:val="0"/>
                <w:szCs w:val="21"/>
              </w:rPr>
            </w:pPr>
            <w:r>
              <w:rPr>
                <w:bCs/>
                <w:color w:val="000000"/>
                <w:kern w:val="0"/>
                <w:szCs w:val="21"/>
              </w:rPr>
              <w:t>临支路</w:t>
            </w:r>
          </w:p>
        </w:tc>
        <w:tc>
          <w:tcPr>
            <w:tcW w:w="1366" w:type="dxa"/>
            <w:vAlign w:val="center"/>
          </w:tcPr>
          <w:p>
            <w:pPr>
              <w:widowControl/>
              <w:spacing w:line="400" w:lineRule="exact"/>
              <w:jc w:val="center"/>
              <w:rPr>
                <w:bCs/>
                <w:color w:val="000000"/>
                <w:kern w:val="0"/>
                <w:szCs w:val="21"/>
              </w:rPr>
            </w:pPr>
            <w:r>
              <w:rPr>
                <w:bCs/>
                <w:color w:val="000000"/>
                <w:kern w:val="0"/>
                <w:szCs w:val="21"/>
              </w:rPr>
              <w:t>临巷道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5" w:type="dxa"/>
            <w:vMerge w:val="continue"/>
            <w:vAlign w:val="center"/>
          </w:tcPr>
          <w:p>
            <w:pPr>
              <w:widowControl/>
              <w:spacing w:line="400" w:lineRule="exact"/>
              <w:jc w:val="center"/>
              <w:rPr>
                <w:bCs/>
                <w:color w:val="000000"/>
                <w:kern w:val="0"/>
                <w:szCs w:val="21"/>
              </w:rPr>
            </w:pPr>
          </w:p>
        </w:tc>
        <w:tc>
          <w:tcPr>
            <w:tcW w:w="2186" w:type="dxa"/>
            <w:vAlign w:val="center"/>
          </w:tcPr>
          <w:p>
            <w:pPr>
              <w:widowControl/>
              <w:spacing w:line="400" w:lineRule="exact"/>
              <w:jc w:val="center"/>
              <w:rPr>
                <w:bCs/>
                <w:color w:val="000000"/>
                <w:kern w:val="0"/>
                <w:szCs w:val="21"/>
              </w:rPr>
            </w:pPr>
            <w:r>
              <w:rPr>
                <w:bCs/>
                <w:color w:val="000000"/>
                <w:kern w:val="0"/>
                <w:szCs w:val="21"/>
              </w:rPr>
              <w:t>公交便捷度</w:t>
            </w:r>
          </w:p>
        </w:tc>
        <w:tc>
          <w:tcPr>
            <w:tcW w:w="1100" w:type="dxa"/>
            <w:vAlign w:val="center"/>
          </w:tcPr>
          <w:p>
            <w:pPr>
              <w:widowControl/>
              <w:spacing w:line="400" w:lineRule="exact"/>
              <w:jc w:val="center"/>
              <w:rPr>
                <w:bCs/>
                <w:color w:val="000000"/>
                <w:kern w:val="0"/>
                <w:szCs w:val="21"/>
              </w:rPr>
            </w:pPr>
            <w:r>
              <w:rPr>
                <w:bCs/>
                <w:color w:val="000000"/>
                <w:kern w:val="0"/>
                <w:szCs w:val="21"/>
              </w:rPr>
              <w:t>非常便捷</w:t>
            </w:r>
          </w:p>
        </w:tc>
        <w:tc>
          <w:tcPr>
            <w:tcW w:w="1114" w:type="dxa"/>
            <w:vAlign w:val="center"/>
          </w:tcPr>
          <w:p>
            <w:pPr>
              <w:widowControl/>
              <w:spacing w:line="400" w:lineRule="exact"/>
              <w:jc w:val="center"/>
              <w:rPr>
                <w:bCs/>
                <w:color w:val="000000"/>
                <w:kern w:val="0"/>
                <w:szCs w:val="21"/>
              </w:rPr>
            </w:pPr>
            <w:r>
              <w:rPr>
                <w:bCs/>
                <w:color w:val="000000"/>
                <w:kern w:val="0"/>
                <w:szCs w:val="21"/>
              </w:rPr>
              <w:t>比较便捷</w:t>
            </w:r>
          </w:p>
        </w:tc>
        <w:tc>
          <w:tcPr>
            <w:tcW w:w="1183" w:type="dxa"/>
            <w:vAlign w:val="center"/>
          </w:tcPr>
          <w:p>
            <w:pPr>
              <w:widowControl/>
              <w:spacing w:line="400" w:lineRule="exact"/>
              <w:jc w:val="center"/>
              <w:rPr>
                <w:bCs/>
                <w:color w:val="000000"/>
                <w:kern w:val="0"/>
                <w:szCs w:val="21"/>
              </w:rPr>
            </w:pPr>
            <w:r>
              <w:rPr>
                <w:bCs/>
                <w:color w:val="000000"/>
                <w:kern w:val="0"/>
                <w:szCs w:val="21"/>
              </w:rPr>
              <w:t>一般</w:t>
            </w:r>
          </w:p>
        </w:tc>
        <w:tc>
          <w:tcPr>
            <w:tcW w:w="1311" w:type="dxa"/>
            <w:vAlign w:val="center"/>
          </w:tcPr>
          <w:p>
            <w:pPr>
              <w:widowControl/>
              <w:spacing w:line="400" w:lineRule="exact"/>
              <w:jc w:val="center"/>
              <w:rPr>
                <w:bCs/>
                <w:color w:val="000000"/>
                <w:kern w:val="0"/>
                <w:szCs w:val="21"/>
              </w:rPr>
            </w:pPr>
            <w:r>
              <w:rPr>
                <w:bCs/>
                <w:color w:val="000000"/>
                <w:kern w:val="0"/>
                <w:szCs w:val="21"/>
              </w:rPr>
              <w:t>比较不方便</w:t>
            </w:r>
          </w:p>
        </w:tc>
        <w:tc>
          <w:tcPr>
            <w:tcW w:w="1366" w:type="dxa"/>
            <w:vAlign w:val="center"/>
          </w:tcPr>
          <w:p>
            <w:pPr>
              <w:widowControl/>
              <w:spacing w:line="400" w:lineRule="exact"/>
              <w:jc w:val="center"/>
              <w:rPr>
                <w:bCs/>
                <w:color w:val="000000"/>
                <w:kern w:val="0"/>
                <w:szCs w:val="21"/>
              </w:rPr>
            </w:pPr>
            <w:r>
              <w:rPr>
                <w:bCs/>
                <w:color w:val="000000"/>
                <w:kern w:val="0"/>
                <w:szCs w:val="21"/>
              </w:rPr>
              <w:t>非常不方便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5" w:type="dxa"/>
            <w:vMerge w:val="continue"/>
            <w:vAlign w:val="center"/>
          </w:tcPr>
          <w:p>
            <w:pPr>
              <w:widowControl/>
              <w:spacing w:line="400" w:lineRule="exact"/>
              <w:jc w:val="center"/>
              <w:rPr>
                <w:bCs/>
                <w:color w:val="000000"/>
                <w:kern w:val="0"/>
                <w:szCs w:val="21"/>
              </w:rPr>
            </w:pPr>
          </w:p>
        </w:tc>
        <w:tc>
          <w:tcPr>
            <w:tcW w:w="2186" w:type="dxa"/>
            <w:vAlign w:val="center"/>
          </w:tcPr>
          <w:p>
            <w:pPr>
              <w:widowControl/>
              <w:spacing w:line="400" w:lineRule="exact"/>
              <w:jc w:val="center"/>
              <w:rPr>
                <w:bCs/>
                <w:color w:val="000000"/>
                <w:kern w:val="0"/>
                <w:szCs w:val="21"/>
              </w:rPr>
            </w:pPr>
            <w:r>
              <w:rPr>
                <w:bCs/>
                <w:color w:val="000000"/>
                <w:kern w:val="0"/>
                <w:szCs w:val="21"/>
              </w:rPr>
              <w:t>距最近汽车站距离</w:t>
            </w:r>
          </w:p>
        </w:tc>
        <w:tc>
          <w:tcPr>
            <w:tcW w:w="1100" w:type="dxa"/>
            <w:vAlign w:val="center"/>
          </w:tcPr>
          <w:p>
            <w:pPr>
              <w:widowControl/>
              <w:spacing w:line="400" w:lineRule="exact"/>
              <w:jc w:val="center"/>
              <w:rPr>
                <w:bCs/>
                <w:color w:val="000000"/>
                <w:kern w:val="0"/>
                <w:szCs w:val="21"/>
              </w:rPr>
            </w:pPr>
            <w:r>
              <w:rPr>
                <w:bCs/>
                <w:color w:val="000000"/>
                <w:kern w:val="0"/>
                <w:szCs w:val="21"/>
              </w:rPr>
              <w:t>≤100</w:t>
            </w:r>
          </w:p>
        </w:tc>
        <w:tc>
          <w:tcPr>
            <w:tcW w:w="1114" w:type="dxa"/>
            <w:vAlign w:val="center"/>
          </w:tcPr>
          <w:p>
            <w:pPr>
              <w:widowControl/>
              <w:spacing w:line="400" w:lineRule="exact"/>
              <w:jc w:val="center"/>
              <w:rPr>
                <w:bCs/>
                <w:color w:val="000000"/>
                <w:kern w:val="0"/>
                <w:szCs w:val="21"/>
              </w:rPr>
            </w:pPr>
            <w:r>
              <w:rPr>
                <w:bCs/>
                <w:color w:val="000000"/>
                <w:kern w:val="0"/>
                <w:szCs w:val="21"/>
              </w:rPr>
              <w:t>100-250</w:t>
            </w:r>
          </w:p>
        </w:tc>
        <w:tc>
          <w:tcPr>
            <w:tcW w:w="1183" w:type="dxa"/>
            <w:vAlign w:val="center"/>
          </w:tcPr>
          <w:p>
            <w:pPr>
              <w:widowControl/>
              <w:spacing w:line="400" w:lineRule="exact"/>
              <w:jc w:val="center"/>
              <w:rPr>
                <w:bCs/>
                <w:color w:val="000000"/>
                <w:kern w:val="0"/>
                <w:szCs w:val="21"/>
              </w:rPr>
            </w:pPr>
            <w:r>
              <w:rPr>
                <w:bCs/>
                <w:color w:val="000000"/>
                <w:kern w:val="0"/>
                <w:szCs w:val="21"/>
              </w:rPr>
              <w:t>250-350</w:t>
            </w:r>
          </w:p>
        </w:tc>
        <w:tc>
          <w:tcPr>
            <w:tcW w:w="1311" w:type="dxa"/>
            <w:vAlign w:val="center"/>
          </w:tcPr>
          <w:p>
            <w:pPr>
              <w:widowControl/>
              <w:spacing w:line="400" w:lineRule="exact"/>
              <w:jc w:val="center"/>
              <w:rPr>
                <w:bCs/>
                <w:color w:val="000000"/>
                <w:kern w:val="0"/>
                <w:szCs w:val="21"/>
              </w:rPr>
            </w:pPr>
            <w:r>
              <w:rPr>
                <w:bCs/>
                <w:color w:val="000000"/>
                <w:kern w:val="0"/>
                <w:szCs w:val="21"/>
              </w:rPr>
              <w:t>350-500</w:t>
            </w:r>
          </w:p>
        </w:tc>
        <w:tc>
          <w:tcPr>
            <w:tcW w:w="1366" w:type="dxa"/>
            <w:vAlign w:val="center"/>
          </w:tcPr>
          <w:p>
            <w:pPr>
              <w:widowControl/>
              <w:spacing w:line="400" w:lineRule="exact"/>
              <w:jc w:val="center"/>
              <w:rPr>
                <w:bCs/>
                <w:color w:val="000000"/>
                <w:kern w:val="0"/>
                <w:szCs w:val="21"/>
              </w:rPr>
            </w:pPr>
            <w:r>
              <w:rPr>
                <w:bCs/>
                <w:color w:val="000000"/>
                <w:kern w:val="0"/>
                <w:szCs w:val="21"/>
              </w:rPr>
              <w:t>&gt;500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5" w:type="dxa"/>
            <w:vAlign w:val="center"/>
          </w:tcPr>
          <w:p>
            <w:pPr>
              <w:widowControl/>
              <w:spacing w:line="400" w:lineRule="exact"/>
              <w:jc w:val="center"/>
              <w:rPr>
                <w:bCs/>
                <w:color w:val="000000"/>
                <w:kern w:val="0"/>
                <w:szCs w:val="21"/>
              </w:rPr>
            </w:pPr>
            <w:r>
              <w:rPr>
                <w:bCs/>
                <w:color w:val="000000"/>
                <w:kern w:val="0"/>
                <w:szCs w:val="21"/>
              </w:rPr>
              <w:t>公用设施完备度</w:t>
            </w:r>
          </w:p>
        </w:tc>
        <w:tc>
          <w:tcPr>
            <w:tcW w:w="2186" w:type="dxa"/>
            <w:vAlign w:val="center"/>
          </w:tcPr>
          <w:p>
            <w:pPr>
              <w:widowControl/>
              <w:spacing w:line="400" w:lineRule="exact"/>
              <w:jc w:val="center"/>
              <w:rPr>
                <w:bCs/>
                <w:color w:val="000000"/>
                <w:kern w:val="0"/>
                <w:szCs w:val="21"/>
              </w:rPr>
            </w:pPr>
            <w:r>
              <w:rPr>
                <w:bCs/>
                <w:color w:val="000000"/>
                <w:kern w:val="0"/>
                <w:szCs w:val="21"/>
              </w:rPr>
              <w:t>距文体设施用地距离</w:t>
            </w:r>
          </w:p>
        </w:tc>
        <w:tc>
          <w:tcPr>
            <w:tcW w:w="1100" w:type="dxa"/>
            <w:vAlign w:val="center"/>
          </w:tcPr>
          <w:p>
            <w:pPr>
              <w:widowControl/>
              <w:spacing w:line="400" w:lineRule="exact"/>
              <w:jc w:val="center"/>
              <w:rPr>
                <w:bCs/>
                <w:color w:val="000000"/>
                <w:kern w:val="0"/>
                <w:szCs w:val="21"/>
              </w:rPr>
            </w:pPr>
            <w:r>
              <w:rPr>
                <w:bCs/>
                <w:color w:val="000000"/>
                <w:kern w:val="0"/>
                <w:szCs w:val="21"/>
              </w:rPr>
              <w:t>≤250</w:t>
            </w:r>
          </w:p>
        </w:tc>
        <w:tc>
          <w:tcPr>
            <w:tcW w:w="1114" w:type="dxa"/>
            <w:vAlign w:val="center"/>
          </w:tcPr>
          <w:p>
            <w:pPr>
              <w:widowControl/>
              <w:spacing w:line="400" w:lineRule="exact"/>
              <w:jc w:val="center"/>
              <w:rPr>
                <w:bCs/>
                <w:color w:val="000000"/>
                <w:kern w:val="0"/>
                <w:szCs w:val="21"/>
              </w:rPr>
            </w:pPr>
            <w:r>
              <w:rPr>
                <w:bCs/>
                <w:color w:val="000000"/>
                <w:kern w:val="0"/>
                <w:szCs w:val="21"/>
              </w:rPr>
              <w:t>250-400</w:t>
            </w:r>
          </w:p>
        </w:tc>
        <w:tc>
          <w:tcPr>
            <w:tcW w:w="1183" w:type="dxa"/>
            <w:vAlign w:val="center"/>
          </w:tcPr>
          <w:p>
            <w:pPr>
              <w:widowControl/>
              <w:spacing w:line="400" w:lineRule="exact"/>
              <w:jc w:val="center"/>
              <w:rPr>
                <w:bCs/>
                <w:color w:val="000000"/>
                <w:kern w:val="0"/>
                <w:szCs w:val="21"/>
              </w:rPr>
            </w:pPr>
            <w:r>
              <w:rPr>
                <w:bCs/>
                <w:color w:val="000000"/>
                <w:kern w:val="0"/>
                <w:szCs w:val="21"/>
              </w:rPr>
              <w:t>400-550</w:t>
            </w:r>
          </w:p>
        </w:tc>
        <w:tc>
          <w:tcPr>
            <w:tcW w:w="1311" w:type="dxa"/>
            <w:vAlign w:val="center"/>
          </w:tcPr>
          <w:p>
            <w:pPr>
              <w:widowControl/>
              <w:spacing w:line="400" w:lineRule="exact"/>
              <w:jc w:val="center"/>
              <w:rPr>
                <w:bCs/>
                <w:color w:val="000000"/>
                <w:kern w:val="0"/>
                <w:szCs w:val="21"/>
              </w:rPr>
            </w:pPr>
            <w:r>
              <w:rPr>
                <w:bCs/>
                <w:color w:val="000000"/>
                <w:kern w:val="0"/>
                <w:szCs w:val="21"/>
              </w:rPr>
              <w:t>550-700</w:t>
            </w:r>
          </w:p>
        </w:tc>
        <w:tc>
          <w:tcPr>
            <w:tcW w:w="1366" w:type="dxa"/>
            <w:vAlign w:val="center"/>
          </w:tcPr>
          <w:p>
            <w:pPr>
              <w:widowControl/>
              <w:spacing w:line="400" w:lineRule="exact"/>
              <w:jc w:val="center"/>
              <w:rPr>
                <w:bCs/>
                <w:color w:val="000000"/>
                <w:kern w:val="0"/>
                <w:szCs w:val="21"/>
              </w:rPr>
            </w:pPr>
            <w:r>
              <w:rPr>
                <w:bCs/>
                <w:color w:val="000000"/>
                <w:kern w:val="0"/>
                <w:szCs w:val="21"/>
              </w:rPr>
              <w:t>&gt;700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5" w:type="dxa"/>
            <w:vAlign w:val="center"/>
          </w:tcPr>
          <w:p>
            <w:pPr>
              <w:widowControl/>
              <w:spacing w:line="400" w:lineRule="exact"/>
              <w:jc w:val="center"/>
              <w:rPr>
                <w:bCs/>
                <w:color w:val="000000"/>
                <w:kern w:val="0"/>
                <w:szCs w:val="21"/>
              </w:rPr>
            </w:pPr>
            <w:r>
              <w:rPr>
                <w:bCs/>
                <w:color w:val="000000"/>
                <w:kern w:val="0"/>
                <w:szCs w:val="21"/>
              </w:rPr>
              <w:t>人口状况</w:t>
            </w:r>
          </w:p>
        </w:tc>
        <w:tc>
          <w:tcPr>
            <w:tcW w:w="2186" w:type="dxa"/>
            <w:vAlign w:val="center"/>
          </w:tcPr>
          <w:p>
            <w:pPr>
              <w:widowControl/>
              <w:spacing w:line="400" w:lineRule="exact"/>
              <w:jc w:val="center"/>
              <w:rPr>
                <w:bCs/>
                <w:color w:val="000000"/>
                <w:kern w:val="0"/>
                <w:szCs w:val="21"/>
              </w:rPr>
            </w:pPr>
            <w:r>
              <w:rPr>
                <w:bCs/>
                <w:color w:val="000000"/>
                <w:kern w:val="0"/>
                <w:szCs w:val="21"/>
              </w:rPr>
              <w:t>人口密度</w:t>
            </w:r>
          </w:p>
        </w:tc>
        <w:tc>
          <w:tcPr>
            <w:tcW w:w="1100" w:type="dxa"/>
            <w:vAlign w:val="center"/>
          </w:tcPr>
          <w:p>
            <w:pPr>
              <w:widowControl/>
              <w:spacing w:line="400" w:lineRule="exact"/>
              <w:jc w:val="center"/>
              <w:rPr>
                <w:bCs/>
                <w:color w:val="000000"/>
                <w:kern w:val="0"/>
                <w:szCs w:val="21"/>
              </w:rPr>
            </w:pPr>
            <w:r>
              <w:rPr>
                <w:bCs/>
                <w:color w:val="000000"/>
                <w:kern w:val="0"/>
                <w:szCs w:val="21"/>
              </w:rPr>
              <w:t>人口稠密</w:t>
            </w:r>
          </w:p>
        </w:tc>
        <w:tc>
          <w:tcPr>
            <w:tcW w:w="1114" w:type="dxa"/>
            <w:vAlign w:val="center"/>
          </w:tcPr>
          <w:p>
            <w:pPr>
              <w:widowControl/>
              <w:spacing w:line="400" w:lineRule="exact"/>
              <w:jc w:val="center"/>
              <w:rPr>
                <w:bCs/>
                <w:color w:val="000000"/>
                <w:kern w:val="0"/>
                <w:szCs w:val="21"/>
              </w:rPr>
            </w:pPr>
            <w:r>
              <w:rPr>
                <w:bCs/>
                <w:color w:val="000000"/>
                <w:kern w:val="0"/>
                <w:szCs w:val="21"/>
              </w:rPr>
              <w:t>人口较稠密</w:t>
            </w:r>
          </w:p>
        </w:tc>
        <w:tc>
          <w:tcPr>
            <w:tcW w:w="1183" w:type="dxa"/>
            <w:vAlign w:val="center"/>
          </w:tcPr>
          <w:p>
            <w:pPr>
              <w:widowControl/>
              <w:spacing w:line="400" w:lineRule="exact"/>
              <w:jc w:val="center"/>
              <w:rPr>
                <w:bCs/>
                <w:color w:val="000000"/>
                <w:kern w:val="0"/>
                <w:szCs w:val="21"/>
              </w:rPr>
            </w:pPr>
            <w:r>
              <w:rPr>
                <w:bCs/>
                <w:color w:val="000000"/>
                <w:kern w:val="0"/>
                <w:szCs w:val="21"/>
              </w:rPr>
              <w:t>一般</w:t>
            </w:r>
          </w:p>
        </w:tc>
        <w:tc>
          <w:tcPr>
            <w:tcW w:w="1311" w:type="dxa"/>
            <w:vAlign w:val="center"/>
          </w:tcPr>
          <w:p>
            <w:pPr>
              <w:widowControl/>
              <w:spacing w:line="400" w:lineRule="exact"/>
              <w:jc w:val="center"/>
              <w:rPr>
                <w:bCs/>
                <w:color w:val="000000"/>
                <w:kern w:val="0"/>
                <w:szCs w:val="21"/>
              </w:rPr>
            </w:pPr>
            <w:r>
              <w:rPr>
                <w:bCs/>
                <w:color w:val="000000"/>
                <w:kern w:val="0"/>
                <w:szCs w:val="21"/>
              </w:rPr>
              <w:t>人口较稀疏</w:t>
            </w:r>
          </w:p>
        </w:tc>
        <w:tc>
          <w:tcPr>
            <w:tcW w:w="1366" w:type="dxa"/>
            <w:vAlign w:val="center"/>
          </w:tcPr>
          <w:p>
            <w:pPr>
              <w:widowControl/>
              <w:spacing w:line="400" w:lineRule="exact"/>
              <w:jc w:val="center"/>
              <w:rPr>
                <w:bCs/>
                <w:color w:val="000000"/>
                <w:kern w:val="0"/>
                <w:szCs w:val="21"/>
              </w:rPr>
            </w:pPr>
            <w:r>
              <w:rPr>
                <w:bCs/>
                <w:color w:val="000000"/>
                <w:kern w:val="0"/>
                <w:szCs w:val="21"/>
              </w:rPr>
              <w:t>人口稀疏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5" w:type="dxa"/>
            <w:vAlign w:val="center"/>
          </w:tcPr>
          <w:p>
            <w:pPr>
              <w:widowControl/>
              <w:spacing w:line="400" w:lineRule="exact"/>
              <w:jc w:val="center"/>
              <w:rPr>
                <w:bCs/>
                <w:color w:val="000000"/>
                <w:kern w:val="0"/>
                <w:szCs w:val="21"/>
              </w:rPr>
            </w:pPr>
            <w:r>
              <w:rPr>
                <w:bCs/>
                <w:color w:val="000000"/>
                <w:kern w:val="0"/>
                <w:szCs w:val="21"/>
              </w:rPr>
              <w:t>城市规划</w:t>
            </w:r>
          </w:p>
        </w:tc>
        <w:tc>
          <w:tcPr>
            <w:tcW w:w="2186" w:type="dxa"/>
            <w:vAlign w:val="center"/>
          </w:tcPr>
          <w:p>
            <w:pPr>
              <w:widowControl/>
              <w:spacing w:line="400" w:lineRule="exact"/>
              <w:jc w:val="center"/>
              <w:rPr>
                <w:bCs/>
                <w:color w:val="000000"/>
                <w:kern w:val="0"/>
                <w:szCs w:val="21"/>
              </w:rPr>
            </w:pPr>
            <w:r>
              <w:rPr>
                <w:bCs/>
                <w:color w:val="000000"/>
                <w:kern w:val="0"/>
                <w:szCs w:val="21"/>
              </w:rPr>
              <w:t>用地规划</w:t>
            </w:r>
          </w:p>
        </w:tc>
        <w:tc>
          <w:tcPr>
            <w:tcW w:w="1100" w:type="dxa"/>
            <w:vAlign w:val="center"/>
          </w:tcPr>
          <w:p>
            <w:pPr>
              <w:widowControl/>
              <w:spacing w:line="400" w:lineRule="exact"/>
              <w:jc w:val="center"/>
              <w:rPr>
                <w:bCs/>
                <w:color w:val="000000"/>
                <w:kern w:val="0"/>
                <w:szCs w:val="21"/>
              </w:rPr>
            </w:pPr>
            <w:r>
              <w:rPr>
                <w:bCs/>
                <w:color w:val="000000"/>
                <w:kern w:val="0"/>
                <w:szCs w:val="21"/>
              </w:rPr>
              <w:t>最佳用途</w:t>
            </w:r>
          </w:p>
        </w:tc>
        <w:tc>
          <w:tcPr>
            <w:tcW w:w="1114" w:type="dxa"/>
            <w:vAlign w:val="center"/>
          </w:tcPr>
          <w:p>
            <w:pPr>
              <w:widowControl/>
              <w:spacing w:line="400" w:lineRule="exact"/>
              <w:jc w:val="center"/>
              <w:rPr>
                <w:bCs/>
                <w:color w:val="000000"/>
                <w:kern w:val="0"/>
                <w:szCs w:val="21"/>
              </w:rPr>
            </w:pPr>
            <w:r>
              <w:rPr>
                <w:bCs/>
                <w:color w:val="000000"/>
                <w:kern w:val="0"/>
                <w:szCs w:val="21"/>
              </w:rPr>
              <w:t>较适用途</w:t>
            </w:r>
          </w:p>
        </w:tc>
        <w:tc>
          <w:tcPr>
            <w:tcW w:w="1183" w:type="dxa"/>
            <w:vAlign w:val="center"/>
          </w:tcPr>
          <w:p>
            <w:pPr>
              <w:widowControl/>
              <w:spacing w:line="400" w:lineRule="exact"/>
              <w:jc w:val="center"/>
              <w:rPr>
                <w:bCs/>
                <w:color w:val="000000"/>
                <w:kern w:val="0"/>
                <w:szCs w:val="21"/>
              </w:rPr>
            </w:pPr>
            <w:r>
              <w:rPr>
                <w:bCs/>
                <w:color w:val="000000"/>
                <w:kern w:val="0"/>
                <w:szCs w:val="21"/>
              </w:rPr>
              <w:t>一般用途</w:t>
            </w:r>
          </w:p>
        </w:tc>
        <w:tc>
          <w:tcPr>
            <w:tcW w:w="1311" w:type="dxa"/>
            <w:vAlign w:val="center"/>
          </w:tcPr>
          <w:p>
            <w:pPr>
              <w:widowControl/>
              <w:spacing w:line="400" w:lineRule="exact"/>
              <w:jc w:val="center"/>
              <w:rPr>
                <w:bCs/>
                <w:color w:val="000000"/>
                <w:kern w:val="0"/>
                <w:szCs w:val="21"/>
              </w:rPr>
            </w:pPr>
            <w:r>
              <w:rPr>
                <w:bCs/>
                <w:color w:val="000000"/>
                <w:kern w:val="0"/>
                <w:szCs w:val="21"/>
              </w:rPr>
              <w:t>不太适</w:t>
            </w:r>
          </w:p>
          <w:p>
            <w:pPr>
              <w:widowControl/>
              <w:spacing w:line="400" w:lineRule="exact"/>
              <w:jc w:val="center"/>
              <w:rPr>
                <w:bCs/>
                <w:color w:val="000000"/>
                <w:kern w:val="0"/>
                <w:szCs w:val="21"/>
              </w:rPr>
            </w:pPr>
            <w:r>
              <w:rPr>
                <w:bCs/>
                <w:color w:val="000000"/>
                <w:kern w:val="0"/>
                <w:szCs w:val="21"/>
              </w:rPr>
              <w:t>合用途</w:t>
            </w:r>
          </w:p>
        </w:tc>
        <w:tc>
          <w:tcPr>
            <w:tcW w:w="1366" w:type="dxa"/>
            <w:vAlign w:val="center"/>
          </w:tcPr>
          <w:p>
            <w:pPr>
              <w:widowControl/>
              <w:spacing w:line="400" w:lineRule="exact"/>
              <w:jc w:val="center"/>
              <w:rPr>
                <w:bCs/>
                <w:color w:val="000000"/>
                <w:kern w:val="0"/>
                <w:szCs w:val="21"/>
              </w:rPr>
            </w:pPr>
            <w:r>
              <w:rPr>
                <w:bCs/>
                <w:color w:val="000000"/>
                <w:kern w:val="0"/>
                <w:szCs w:val="21"/>
              </w:rPr>
              <w:t>不适合用途</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表5-4-3</w:t>
      </w:r>
      <w:r>
        <w:rPr>
          <w:rFonts w:hint="eastAsia" w:ascii="Times New Roman" w:hAnsi="Times New Roman"/>
          <w:sz w:val="24"/>
          <w:szCs w:val="24"/>
        </w:rPr>
        <w:t>5</w:t>
      </w:r>
      <w:r>
        <w:rPr>
          <w:rFonts w:ascii="Times New Roman" w:hAnsi="Times New Roman"/>
          <w:sz w:val="24"/>
          <w:szCs w:val="24"/>
        </w:rPr>
        <w:t>长沙县乡镇Ⅰ级公共管理与公共服务二类用地宗地地价区域因素</w:t>
      </w:r>
    </w:p>
    <w:p>
      <w:pPr>
        <w:shd w:val="clear" w:color="auto" w:fill="FFFFFF"/>
        <w:ind w:firstLine="482" w:firstLineChars="200"/>
        <w:jc w:val="center"/>
        <w:rPr>
          <w:b/>
          <w:sz w:val="24"/>
          <w:szCs w:val="24"/>
        </w:rPr>
      </w:pPr>
      <w:r>
        <w:rPr>
          <w:b/>
          <w:sz w:val="24"/>
          <w:szCs w:val="24"/>
        </w:rPr>
        <w:t>修正系数表（%）</w:t>
      </w:r>
    </w:p>
    <w:tbl>
      <w:tblPr>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2229"/>
        <w:gridCol w:w="851"/>
        <w:gridCol w:w="851"/>
        <w:gridCol w:w="851"/>
        <w:gridCol w:w="851"/>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047" w:type="dxa"/>
            <w:vAlign w:val="center"/>
          </w:tcPr>
          <w:p>
            <w:pPr>
              <w:widowControl/>
              <w:spacing w:line="400" w:lineRule="exact"/>
              <w:jc w:val="center"/>
              <w:rPr>
                <w:bCs/>
                <w:color w:val="000000"/>
                <w:kern w:val="0"/>
                <w:szCs w:val="21"/>
              </w:rPr>
            </w:pPr>
            <w:r>
              <w:rPr>
                <w:bCs/>
                <w:color w:val="000000"/>
                <w:kern w:val="0"/>
                <w:szCs w:val="21"/>
              </w:rPr>
              <w:t>因素层</w:t>
            </w:r>
          </w:p>
        </w:tc>
        <w:tc>
          <w:tcPr>
            <w:tcW w:w="2229" w:type="dxa"/>
            <w:vAlign w:val="center"/>
          </w:tcPr>
          <w:p>
            <w:pPr>
              <w:widowControl/>
              <w:spacing w:line="400" w:lineRule="exact"/>
              <w:jc w:val="center"/>
              <w:rPr>
                <w:bCs/>
                <w:color w:val="000000"/>
                <w:kern w:val="0"/>
                <w:szCs w:val="21"/>
              </w:rPr>
            </w:pPr>
            <w:r>
              <w:rPr>
                <w:bCs/>
                <w:color w:val="000000"/>
                <w:kern w:val="0"/>
                <w:szCs w:val="21"/>
              </w:rPr>
              <w:t>因子层</w:t>
            </w:r>
          </w:p>
        </w:tc>
        <w:tc>
          <w:tcPr>
            <w:tcW w:w="851" w:type="dxa"/>
            <w:vAlign w:val="center"/>
          </w:tcPr>
          <w:p>
            <w:pPr>
              <w:spacing w:line="400" w:lineRule="exact"/>
              <w:jc w:val="center"/>
              <w:rPr>
                <w:bCs/>
                <w:color w:val="000000"/>
                <w:szCs w:val="21"/>
              </w:rPr>
            </w:pPr>
            <w:r>
              <w:rPr>
                <w:bCs/>
                <w:color w:val="000000"/>
                <w:szCs w:val="21"/>
              </w:rPr>
              <w:t>优</w:t>
            </w:r>
          </w:p>
        </w:tc>
        <w:tc>
          <w:tcPr>
            <w:tcW w:w="851" w:type="dxa"/>
            <w:vAlign w:val="center"/>
          </w:tcPr>
          <w:p>
            <w:pPr>
              <w:spacing w:line="400" w:lineRule="exact"/>
              <w:jc w:val="center"/>
              <w:rPr>
                <w:bCs/>
                <w:color w:val="000000"/>
                <w:szCs w:val="21"/>
              </w:rPr>
            </w:pPr>
            <w:r>
              <w:rPr>
                <w:bCs/>
                <w:color w:val="000000"/>
                <w:szCs w:val="21"/>
              </w:rPr>
              <w:t>较优</w:t>
            </w:r>
          </w:p>
        </w:tc>
        <w:tc>
          <w:tcPr>
            <w:tcW w:w="851" w:type="dxa"/>
            <w:vAlign w:val="center"/>
          </w:tcPr>
          <w:p>
            <w:pPr>
              <w:spacing w:line="400" w:lineRule="exact"/>
              <w:jc w:val="center"/>
              <w:rPr>
                <w:bCs/>
                <w:color w:val="000000"/>
                <w:szCs w:val="21"/>
              </w:rPr>
            </w:pPr>
            <w:r>
              <w:rPr>
                <w:bCs/>
                <w:color w:val="000000"/>
                <w:szCs w:val="21"/>
              </w:rPr>
              <w:t>一般</w:t>
            </w:r>
          </w:p>
        </w:tc>
        <w:tc>
          <w:tcPr>
            <w:tcW w:w="851" w:type="dxa"/>
            <w:vAlign w:val="center"/>
          </w:tcPr>
          <w:p>
            <w:pPr>
              <w:spacing w:line="400" w:lineRule="exact"/>
              <w:jc w:val="center"/>
              <w:rPr>
                <w:bCs/>
                <w:color w:val="000000"/>
                <w:szCs w:val="21"/>
              </w:rPr>
            </w:pPr>
            <w:r>
              <w:rPr>
                <w:bCs/>
                <w:color w:val="000000"/>
                <w:szCs w:val="21"/>
              </w:rPr>
              <w:t>较劣</w:t>
            </w:r>
          </w:p>
        </w:tc>
        <w:tc>
          <w:tcPr>
            <w:tcW w:w="848" w:type="dxa"/>
            <w:vAlign w:val="center"/>
          </w:tcPr>
          <w:p>
            <w:pPr>
              <w:spacing w:line="400" w:lineRule="exact"/>
              <w:jc w:val="center"/>
              <w:rPr>
                <w:bCs/>
                <w:color w:val="000000"/>
                <w:szCs w:val="21"/>
              </w:rPr>
            </w:pPr>
            <w:r>
              <w:rPr>
                <w:bCs/>
                <w:color w:val="00000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047" w:type="dxa"/>
            <w:vMerge w:val="restart"/>
            <w:vAlign w:val="center"/>
          </w:tcPr>
          <w:p>
            <w:pPr>
              <w:widowControl/>
              <w:spacing w:line="400" w:lineRule="exact"/>
              <w:jc w:val="center"/>
              <w:rPr>
                <w:color w:val="000000"/>
                <w:kern w:val="0"/>
                <w:szCs w:val="21"/>
              </w:rPr>
            </w:pPr>
            <w:r>
              <w:rPr>
                <w:color w:val="000000"/>
                <w:kern w:val="0"/>
                <w:szCs w:val="21"/>
              </w:rPr>
              <w:t>交通条件</w:t>
            </w:r>
          </w:p>
        </w:tc>
        <w:tc>
          <w:tcPr>
            <w:tcW w:w="2229" w:type="dxa"/>
            <w:vAlign w:val="center"/>
          </w:tcPr>
          <w:p>
            <w:pPr>
              <w:spacing w:line="400" w:lineRule="exact"/>
              <w:jc w:val="center"/>
              <w:rPr>
                <w:color w:val="000000"/>
                <w:sz w:val="24"/>
                <w:szCs w:val="24"/>
              </w:rPr>
            </w:pPr>
            <w:r>
              <w:rPr>
                <w:color w:val="000000"/>
              </w:rPr>
              <w:t>临近道路状况</w:t>
            </w:r>
          </w:p>
        </w:tc>
        <w:tc>
          <w:tcPr>
            <w:tcW w:w="851" w:type="dxa"/>
            <w:vAlign w:val="center"/>
          </w:tcPr>
          <w:p>
            <w:pPr>
              <w:spacing w:line="400" w:lineRule="exact"/>
              <w:jc w:val="center"/>
              <w:rPr>
                <w:color w:val="000000"/>
                <w:sz w:val="22"/>
                <w:szCs w:val="22"/>
              </w:rPr>
            </w:pPr>
            <w:r>
              <w:rPr>
                <w:color w:val="000000"/>
                <w:sz w:val="22"/>
                <w:szCs w:val="22"/>
              </w:rPr>
              <w:t>1.96</w:t>
            </w:r>
          </w:p>
        </w:tc>
        <w:tc>
          <w:tcPr>
            <w:tcW w:w="851" w:type="dxa"/>
            <w:vAlign w:val="center"/>
          </w:tcPr>
          <w:p>
            <w:pPr>
              <w:spacing w:line="400" w:lineRule="exact"/>
              <w:jc w:val="center"/>
              <w:rPr>
                <w:color w:val="000000"/>
                <w:sz w:val="22"/>
                <w:szCs w:val="22"/>
              </w:rPr>
            </w:pPr>
            <w:r>
              <w:rPr>
                <w:color w:val="000000"/>
                <w:sz w:val="22"/>
                <w:szCs w:val="22"/>
              </w:rPr>
              <w:t>0.98</w:t>
            </w:r>
          </w:p>
        </w:tc>
        <w:tc>
          <w:tcPr>
            <w:tcW w:w="851" w:type="dxa"/>
            <w:vAlign w:val="center"/>
          </w:tcPr>
          <w:p>
            <w:pPr>
              <w:spacing w:line="400" w:lineRule="exact"/>
              <w:jc w:val="center"/>
              <w:rPr>
                <w:color w:val="000000"/>
                <w:szCs w:val="21"/>
              </w:rPr>
            </w:pPr>
            <w:r>
              <w:rPr>
                <w:color w:val="000000"/>
                <w:szCs w:val="21"/>
              </w:rPr>
              <w:t>0</w:t>
            </w:r>
          </w:p>
        </w:tc>
        <w:tc>
          <w:tcPr>
            <w:tcW w:w="851" w:type="dxa"/>
            <w:vAlign w:val="center"/>
          </w:tcPr>
          <w:p>
            <w:pPr>
              <w:spacing w:line="400" w:lineRule="exact"/>
              <w:jc w:val="center"/>
              <w:rPr>
                <w:color w:val="000000"/>
                <w:sz w:val="22"/>
                <w:szCs w:val="22"/>
              </w:rPr>
            </w:pPr>
            <w:r>
              <w:rPr>
                <w:color w:val="000000"/>
                <w:sz w:val="22"/>
                <w:szCs w:val="22"/>
              </w:rPr>
              <w:t>-0.89</w:t>
            </w:r>
          </w:p>
        </w:tc>
        <w:tc>
          <w:tcPr>
            <w:tcW w:w="848" w:type="dxa"/>
            <w:vAlign w:val="center"/>
          </w:tcPr>
          <w:p>
            <w:pPr>
              <w:spacing w:line="400" w:lineRule="exact"/>
              <w:jc w:val="center"/>
              <w:rPr>
                <w:color w:val="000000"/>
                <w:sz w:val="22"/>
                <w:szCs w:val="22"/>
              </w:rPr>
            </w:pPr>
            <w:r>
              <w:rPr>
                <w:color w:val="000000"/>
                <w:sz w:val="22"/>
                <w:szCs w:val="22"/>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047" w:type="dxa"/>
            <w:vMerge w:val="continue"/>
            <w:vAlign w:val="center"/>
          </w:tcPr>
          <w:p>
            <w:pPr>
              <w:widowControl/>
              <w:spacing w:line="400" w:lineRule="exact"/>
              <w:jc w:val="center"/>
              <w:rPr>
                <w:color w:val="000000"/>
                <w:kern w:val="0"/>
                <w:szCs w:val="21"/>
              </w:rPr>
            </w:pPr>
          </w:p>
        </w:tc>
        <w:tc>
          <w:tcPr>
            <w:tcW w:w="2229" w:type="dxa"/>
            <w:vAlign w:val="center"/>
          </w:tcPr>
          <w:p>
            <w:pPr>
              <w:spacing w:line="400" w:lineRule="exact"/>
              <w:jc w:val="center"/>
              <w:rPr>
                <w:color w:val="000000"/>
                <w:sz w:val="24"/>
                <w:szCs w:val="24"/>
              </w:rPr>
            </w:pPr>
            <w:r>
              <w:rPr>
                <w:kern w:val="0"/>
                <w:szCs w:val="21"/>
              </w:rPr>
              <w:t>公交便捷度</w:t>
            </w:r>
          </w:p>
        </w:tc>
        <w:tc>
          <w:tcPr>
            <w:tcW w:w="851" w:type="dxa"/>
            <w:vAlign w:val="center"/>
          </w:tcPr>
          <w:p>
            <w:pPr>
              <w:spacing w:line="400" w:lineRule="exact"/>
              <w:jc w:val="center"/>
              <w:rPr>
                <w:color w:val="000000"/>
                <w:sz w:val="22"/>
                <w:szCs w:val="22"/>
              </w:rPr>
            </w:pPr>
            <w:r>
              <w:rPr>
                <w:color w:val="000000"/>
                <w:sz w:val="22"/>
                <w:szCs w:val="22"/>
              </w:rPr>
              <w:t>1.96</w:t>
            </w:r>
          </w:p>
        </w:tc>
        <w:tc>
          <w:tcPr>
            <w:tcW w:w="851" w:type="dxa"/>
            <w:vAlign w:val="center"/>
          </w:tcPr>
          <w:p>
            <w:pPr>
              <w:spacing w:line="400" w:lineRule="exact"/>
              <w:jc w:val="center"/>
              <w:rPr>
                <w:color w:val="000000"/>
                <w:sz w:val="22"/>
                <w:szCs w:val="22"/>
              </w:rPr>
            </w:pPr>
            <w:r>
              <w:rPr>
                <w:color w:val="000000"/>
                <w:sz w:val="22"/>
                <w:szCs w:val="22"/>
              </w:rPr>
              <w:t>0.98</w:t>
            </w:r>
          </w:p>
        </w:tc>
        <w:tc>
          <w:tcPr>
            <w:tcW w:w="851" w:type="dxa"/>
            <w:vAlign w:val="center"/>
          </w:tcPr>
          <w:p>
            <w:pPr>
              <w:spacing w:line="400" w:lineRule="exact"/>
              <w:jc w:val="center"/>
              <w:rPr>
                <w:color w:val="000000"/>
                <w:szCs w:val="21"/>
              </w:rPr>
            </w:pPr>
            <w:r>
              <w:rPr>
                <w:color w:val="000000"/>
                <w:szCs w:val="21"/>
              </w:rPr>
              <w:t>0</w:t>
            </w:r>
          </w:p>
        </w:tc>
        <w:tc>
          <w:tcPr>
            <w:tcW w:w="851" w:type="dxa"/>
            <w:vAlign w:val="center"/>
          </w:tcPr>
          <w:p>
            <w:pPr>
              <w:spacing w:line="400" w:lineRule="exact"/>
              <w:jc w:val="center"/>
              <w:rPr>
                <w:color w:val="000000"/>
                <w:sz w:val="22"/>
                <w:szCs w:val="22"/>
              </w:rPr>
            </w:pPr>
            <w:r>
              <w:rPr>
                <w:color w:val="000000"/>
                <w:sz w:val="22"/>
                <w:szCs w:val="22"/>
              </w:rPr>
              <w:t>-0.89</w:t>
            </w:r>
          </w:p>
        </w:tc>
        <w:tc>
          <w:tcPr>
            <w:tcW w:w="848" w:type="dxa"/>
            <w:vAlign w:val="center"/>
          </w:tcPr>
          <w:p>
            <w:pPr>
              <w:spacing w:line="400" w:lineRule="exact"/>
              <w:jc w:val="center"/>
              <w:rPr>
                <w:color w:val="000000"/>
                <w:sz w:val="22"/>
                <w:szCs w:val="22"/>
              </w:rPr>
            </w:pPr>
            <w:r>
              <w:rPr>
                <w:color w:val="000000"/>
                <w:sz w:val="22"/>
                <w:szCs w:val="22"/>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047" w:type="dxa"/>
            <w:vMerge w:val="restart"/>
            <w:vAlign w:val="center"/>
          </w:tcPr>
          <w:p>
            <w:pPr>
              <w:spacing w:line="400" w:lineRule="exact"/>
              <w:jc w:val="center"/>
              <w:rPr>
                <w:color w:val="000000"/>
                <w:kern w:val="0"/>
                <w:szCs w:val="21"/>
              </w:rPr>
            </w:pPr>
            <w:r>
              <w:rPr>
                <w:color w:val="000000"/>
                <w:kern w:val="0"/>
                <w:szCs w:val="21"/>
              </w:rPr>
              <w:t>基本设施状况</w:t>
            </w:r>
          </w:p>
        </w:tc>
        <w:tc>
          <w:tcPr>
            <w:tcW w:w="2229" w:type="dxa"/>
            <w:vAlign w:val="center"/>
          </w:tcPr>
          <w:p>
            <w:pPr>
              <w:autoSpaceDE w:val="0"/>
              <w:autoSpaceDN w:val="0"/>
              <w:spacing w:line="400" w:lineRule="exact"/>
              <w:jc w:val="center"/>
              <w:rPr>
                <w:szCs w:val="21"/>
              </w:rPr>
            </w:pPr>
            <w:r>
              <w:rPr>
                <w:szCs w:val="21"/>
              </w:rPr>
              <w:t>给排水状况</w:t>
            </w:r>
          </w:p>
        </w:tc>
        <w:tc>
          <w:tcPr>
            <w:tcW w:w="851" w:type="dxa"/>
            <w:vAlign w:val="center"/>
          </w:tcPr>
          <w:p>
            <w:pPr>
              <w:spacing w:line="400" w:lineRule="exact"/>
              <w:jc w:val="center"/>
              <w:rPr>
                <w:color w:val="000000"/>
                <w:sz w:val="22"/>
                <w:szCs w:val="22"/>
              </w:rPr>
            </w:pPr>
            <w:r>
              <w:rPr>
                <w:color w:val="000000"/>
                <w:sz w:val="22"/>
                <w:szCs w:val="22"/>
              </w:rPr>
              <w:t>2.17</w:t>
            </w:r>
          </w:p>
        </w:tc>
        <w:tc>
          <w:tcPr>
            <w:tcW w:w="851" w:type="dxa"/>
            <w:vAlign w:val="center"/>
          </w:tcPr>
          <w:p>
            <w:pPr>
              <w:spacing w:line="400" w:lineRule="exact"/>
              <w:jc w:val="center"/>
              <w:rPr>
                <w:color w:val="000000"/>
                <w:sz w:val="22"/>
                <w:szCs w:val="22"/>
              </w:rPr>
            </w:pPr>
            <w:r>
              <w:rPr>
                <w:color w:val="000000"/>
                <w:sz w:val="22"/>
                <w:szCs w:val="22"/>
              </w:rPr>
              <w:t>1.08</w:t>
            </w:r>
          </w:p>
        </w:tc>
        <w:tc>
          <w:tcPr>
            <w:tcW w:w="851" w:type="dxa"/>
            <w:vAlign w:val="center"/>
          </w:tcPr>
          <w:p>
            <w:pPr>
              <w:spacing w:line="400" w:lineRule="exact"/>
              <w:jc w:val="center"/>
              <w:rPr>
                <w:color w:val="000000"/>
                <w:szCs w:val="21"/>
              </w:rPr>
            </w:pPr>
            <w:r>
              <w:rPr>
                <w:color w:val="000000"/>
                <w:szCs w:val="21"/>
              </w:rPr>
              <w:t>0</w:t>
            </w:r>
          </w:p>
        </w:tc>
        <w:tc>
          <w:tcPr>
            <w:tcW w:w="851" w:type="dxa"/>
            <w:vAlign w:val="center"/>
          </w:tcPr>
          <w:p>
            <w:pPr>
              <w:spacing w:line="400" w:lineRule="exact"/>
              <w:jc w:val="center"/>
              <w:rPr>
                <w:color w:val="000000"/>
                <w:sz w:val="22"/>
                <w:szCs w:val="22"/>
              </w:rPr>
            </w:pPr>
            <w:r>
              <w:rPr>
                <w:color w:val="000000"/>
                <w:sz w:val="22"/>
                <w:szCs w:val="22"/>
              </w:rPr>
              <w:t>-0.99</w:t>
            </w:r>
          </w:p>
        </w:tc>
        <w:tc>
          <w:tcPr>
            <w:tcW w:w="848" w:type="dxa"/>
            <w:vAlign w:val="center"/>
          </w:tcPr>
          <w:p>
            <w:pPr>
              <w:spacing w:line="400" w:lineRule="exact"/>
              <w:jc w:val="center"/>
              <w:rPr>
                <w:color w:val="000000"/>
                <w:sz w:val="22"/>
                <w:szCs w:val="22"/>
              </w:rPr>
            </w:pPr>
            <w:r>
              <w:rPr>
                <w:color w:val="000000"/>
                <w:sz w:val="22"/>
                <w:szCs w:val="22"/>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047" w:type="dxa"/>
            <w:vMerge w:val="continue"/>
            <w:vAlign w:val="center"/>
          </w:tcPr>
          <w:p>
            <w:pPr>
              <w:widowControl/>
              <w:spacing w:line="400" w:lineRule="exact"/>
              <w:jc w:val="center"/>
              <w:rPr>
                <w:color w:val="000000"/>
                <w:kern w:val="0"/>
                <w:szCs w:val="21"/>
              </w:rPr>
            </w:pPr>
          </w:p>
        </w:tc>
        <w:tc>
          <w:tcPr>
            <w:tcW w:w="2229" w:type="dxa"/>
            <w:vAlign w:val="center"/>
          </w:tcPr>
          <w:p>
            <w:pPr>
              <w:autoSpaceDE w:val="0"/>
              <w:autoSpaceDN w:val="0"/>
              <w:spacing w:line="400" w:lineRule="exact"/>
              <w:jc w:val="center"/>
              <w:rPr>
                <w:szCs w:val="21"/>
              </w:rPr>
            </w:pPr>
            <w:r>
              <w:rPr>
                <w:szCs w:val="21"/>
              </w:rPr>
              <w:t>供电状况</w:t>
            </w:r>
          </w:p>
        </w:tc>
        <w:tc>
          <w:tcPr>
            <w:tcW w:w="851" w:type="dxa"/>
            <w:vAlign w:val="center"/>
          </w:tcPr>
          <w:p>
            <w:pPr>
              <w:spacing w:line="400" w:lineRule="exact"/>
              <w:jc w:val="center"/>
              <w:rPr>
                <w:color w:val="000000"/>
                <w:sz w:val="22"/>
                <w:szCs w:val="22"/>
              </w:rPr>
            </w:pPr>
            <w:r>
              <w:rPr>
                <w:color w:val="000000"/>
                <w:sz w:val="22"/>
                <w:szCs w:val="22"/>
              </w:rPr>
              <w:t>2.17</w:t>
            </w:r>
          </w:p>
        </w:tc>
        <w:tc>
          <w:tcPr>
            <w:tcW w:w="851" w:type="dxa"/>
            <w:vAlign w:val="center"/>
          </w:tcPr>
          <w:p>
            <w:pPr>
              <w:spacing w:line="400" w:lineRule="exact"/>
              <w:jc w:val="center"/>
              <w:rPr>
                <w:color w:val="000000"/>
                <w:sz w:val="22"/>
                <w:szCs w:val="22"/>
              </w:rPr>
            </w:pPr>
            <w:r>
              <w:rPr>
                <w:color w:val="000000"/>
                <w:sz w:val="22"/>
                <w:szCs w:val="22"/>
              </w:rPr>
              <w:t>1.08</w:t>
            </w:r>
          </w:p>
        </w:tc>
        <w:tc>
          <w:tcPr>
            <w:tcW w:w="851" w:type="dxa"/>
            <w:vAlign w:val="center"/>
          </w:tcPr>
          <w:p>
            <w:pPr>
              <w:spacing w:line="400" w:lineRule="exact"/>
              <w:jc w:val="center"/>
              <w:rPr>
                <w:color w:val="000000"/>
                <w:szCs w:val="21"/>
              </w:rPr>
            </w:pPr>
            <w:r>
              <w:rPr>
                <w:color w:val="000000"/>
                <w:szCs w:val="21"/>
              </w:rPr>
              <w:t>0</w:t>
            </w:r>
          </w:p>
        </w:tc>
        <w:tc>
          <w:tcPr>
            <w:tcW w:w="851" w:type="dxa"/>
            <w:vAlign w:val="center"/>
          </w:tcPr>
          <w:p>
            <w:pPr>
              <w:spacing w:line="400" w:lineRule="exact"/>
              <w:jc w:val="center"/>
              <w:rPr>
                <w:color w:val="000000"/>
                <w:sz w:val="22"/>
                <w:szCs w:val="22"/>
              </w:rPr>
            </w:pPr>
            <w:r>
              <w:rPr>
                <w:color w:val="000000"/>
                <w:sz w:val="22"/>
                <w:szCs w:val="22"/>
              </w:rPr>
              <w:t>-0.99</w:t>
            </w:r>
          </w:p>
        </w:tc>
        <w:tc>
          <w:tcPr>
            <w:tcW w:w="848" w:type="dxa"/>
            <w:vAlign w:val="center"/>
          </w:tcPr>
          <w:p>
            <w:pPr>
              <w:spacing w:line="400" w:lineRule="exact"/>
              <w:jc w:val="center"/>
              <w:rPr>
                <w:color w:val="000000"/>
                <w:sz w:val="22"/>
                <w:szCs w:val="22"/>
              </w:rPr>
            </w:pPr>
            <w:r>
              <w:rPr>
                <w:color w:val="000000"/>
                <w:sz w:val="22"/>
                <w:szCs w:val="22"/>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047" w:type="dxa"/>
            <w:vAlign w:val="center"/>
          </w:tcPr>
          <w:p>
            <w:pPr>
              <w:widowControl/>
              <w:spacing w:line="400" w:lineRule="exact"/>
              <w:jc w:val="center"/>
              <w:rPr>
                <w:color w:val="000000"/>
                <w:kern w:val="0"/>
                <w:szCs w:val="21"/>
              </w:rPr>
            </w:pPr>
            <w:r>
              <w:rPr>
                <w:color w:val="000000"/>
                <w:kern w:val="0"/>
                <w:szCs w:val="21"/>
              </w:rPr>
              <w:t>环境状况</w:t>
            </w:r>
          </w:p>
        </w:tc>
        <w:tc>
          <w:tcPr>
            <w:tcW w:w="2229" w:type="dxa"/>
            <w:vAlign w:val="center"/>
          </w:tcPr>
          <w:p>
            <w:pPr>
              <w:spacing w:line="400" w:lineRule="exact"/>
              <w:jc w:val="center"/>
              <w:rPr>
                <w:color w:val="000000"/>
              </w:rPr>
            </w:pPr>
            <w:r>
              <w:rPr>
                <w:color w:val="000000"/>
              </w:rPr>
              <w:t>地形状况</w:t>
            </w:r>
          </w:p>
        </w:tc>
        <w:tc>
          <w:tcPr>
            <w:tcW w:w="851" w:type="dxa"/>
            <w:vAlign w:val="center"/>
          </w:tcPr>
          <w:p>
            <w:pPr>
              <w:spacing w:line="400" w:lineRule="exact"/>
              <w:jc w:val="center"/>
              <w:rPr>
                <w:color w:val="000000"/>
                <w:sz w:val="22"/>
                <w:szCs w:val="22"/>
              </w:rPr>
            </w:pPr>
            <w:r>
              <w:rPr>
                <w:color w:val="000000"/>
                <w:sz w:val="22"/>
                <w:szCs w:val="22"/>
              </w:rPr>
              <w:t>2.93</w:t>
            </w:r>
          </w:p>
        </w:tc>
        <w:tc>
          <w:tcPr>
            <w:tcW w:w="851" w:type="dxa"/>
            <w:vAlign w:val="center"/>
          </w:tcPr>
          <w:p>
            <w:pPr>
              <w:spacing w:line="400" w:lineRule="exact"/>
              <w:jc w:val="center"/>
              <w:rPr>
                <w:color w:val="000000"/>
                <w:sz w:val="22"/>
                <w:szCs w:val="22"/>
              </w:rPr>
            </w:pPr>
            <w:r>
              <w:rPr>
                <w:color w:val="000000"/>
                <w:sz w:val="22"/>
                <w:szCs w:val="22"/>
              </w:rPr>
              <w:t>1.46</w:t>
            </w:r>
          </w:p>
        </w:tc>
        <w:tc>
          <w:tcPr>
            <w:tcW w:w="851" w:type="dxa"/>
            <w:vAlign w:val="center"/>
          </w:tcPr>
          <w:p>
            <w:pPr>
              <w:spacing w:line="400" w:lineRule="exact"/>
              <w:jc w:val="center"/>
              <w:rPr>
                <w:color w:val="000000"/>
                <w:szCs w:val="21"/>
              </w:rPr>
            </w:pPr>
            <w:r>
              <w:rPr>
                <w:color w:val="000000"/>
                <w:szCs w:val="21"/>
              </w:rPr>
              <w:t>0</w:t>
            </w:r>
          </w:p>
        </w:tc>
        <w:tc>
          <w:tcPr>
            <w:tcW w:w="851" w:type="dxa"/>
            <w:vAlign w:val="center"/>
          </w:tcPr>
          <w:p>
            <w:pPr>
              <w:spacing w:line="400" w:lineRule="exact"/>
              <w:jc w:val="center"/>
              <w:rPr>
                <w:color w:val="000000"/>
                <w:sz w:val="22"/>
                <w:szCs w:val="22"/>
              </w:rPr>
            </w:pPr>
            <w:r>
              <w:rPr>
                <w:color w:val="000000"/>
                <w:sz w:val="22"/>
                <w:szCs w:val="22"/>
              </w:rPr>
              <w:t>-1.34</w:t>
            </w:r>
          </w:p>
        </w:tc>
        <w:tc>
          <w:tcPr>
            <w:tcW w:w="848" w:type="dxa"/>
            <w:vAlign w:val="center"/>
          </w:tcPr>
          <w:p>
            <w:pPr>
              <w:spacing w:line="400" w:lineRule="exact"/>
              <w:jc w:val="center"/>
              <w:rPr>
                <w:color w:val="000000"/>
                <w:sz w:val="22"/>
                <w:szCs w:val="22"/>
              </w:rPr>
            </w:pPr>
            <w:r>
              <w:rPr>
                <w:color w:val="000000"/>
                <w:sz w:val="22"/>
                <w:szCs w:val="22"/>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047" w:type="dxa"/>
            <w:vAlign w:val="center"/>
          </w:tcPr>
          <w:p>
            <w:pPr>
              <w:widowControl/>
              <w:spacing w:line="400" w:lineRule="exact"/>
              <w:jc w:val="center"/>
              <w:rPr>
                <w:color w:val="000000"/>
                <w:kern w:val="0"/>
                <w:szCs w:val="21"/>
              </w:rPr>
            </w:pPr>
            <w:r>
              <w:rPr>
                <w:color w:val="000000"/>
                <w:kern w:val="0"/>
                <w:szCs w:val="21"/>
              </w:rPr>
              <w:t>人口状况</w:t>
            </w:r>
          </w:p>
        </w:tc>
        <w:tc>
          <w:tcPr>
            <w:tcW w:w="2229" w:type="dxa"/>
            <w:vAlign w:val="center"/>
          </w:tcPr>
          <w:p>
            <w:pPr>
              <w:spacing w:line="400" w:lineRule="exact"/>
              <w:jc w:val="center"/>
              <w:rPr>
                <w:color w:val="000000"/>
                <w:sz w:val="24"/>
                <w:szCs w:val="24"/>
              </w:rPr>
            </w:pPr>
            <w:r>
              <w:rPr>
                <w:color w:val="000000"/>
              </w:rPr>
              <w:t>人口密度</w:t>
            </w:r>
          </w:p>
        </w:tc>
        <w:tc>
          <w:tcPr>
            <w:tcW w:w="851" w:type="dxa"/>
            <w:vAlign w:val="center"/>
          </w:tcPr>
          <w:p>
            <w:pPr>
              <w:spacing w:line="400" w:lineRule="exact"/>
              <w:jc w:val="center"/>
              <w:rPr>
                <w:color w:val="000000"/>
                <w:sz w:val="22"/>
                <w:szCs w:val="22"/>
              </w:rPr>
            </w:pPr>
            <w:r>
              <w:rPr>
                <w:color w:val="000000"/>
                <w:sz w:val="22"/>
                <w:szCs w:val="22"/>
              </w:rPr>
              <w:t>1.16</w:t>
            </w:r>
          </w:p>
        </w:tc>
        <w:tc>
          <w:tcPr>
            <w:tcW w:w="851" w:type="dxa"/>
            <w:vAlign w:val="center"/>
          </w:tcPr>
          <w:p>
            <w:pPr>
              <w:spacing w:line="400" w:lineRule="exact"/>
              <w:jc w:val="center"/>
              <w:rPr>
                <w:color w:val="000000"/>
                <w:sz w:val="22"/>
                <w:szCs w:val="22"/>
              </w:rPr>
            </w:pPr>
            <w:r>
              <w:rPr>
                <w:color w:val="000000"/>
                <w:sz w:val="22"/>
                <w:szCs w:val="22"/>
              </w:rPr>
              <w:t>0.58</w:t>
            </w:r>
          </w:p>
        </w:tc>
        <w:tc>
          <w:tcPr>
            <w:tcW w:w="851" w:type="dxa"/>
            <w:vAlign w:val="center"/>
          </w:tcPr>
          <w:p>
            <w:pPr>
              <w:spacing w:line="400" w:lineRule="exact"/>
              <w:jc w:val="center"/>
              <w:rPr>
                <w:color w:val="000000"/>
                <w:szCs w:val="21"/>
              </w:rPr>
            </w:pPr>
            <w:r>
              <w:rPr>
                <w:color w:val="000000"/>
                <w:szCs w:val="21"/>
              </w:rPr>
              <w:t>0</w:t>
            </w:r>
          </w:p>
        </w:tc>
        <w:tc>
          <w:tcPr>
            <w:tcW w:w="851" w:type="dxa"/>
            <w:vAlign w:val="center"/>
          </w:tcPr>
          <w:p>
            <w:pPr>
              <w:spacing w:line="400" w:lineRule="exact"/>
              <w:jc w:val="center"/>
              <w:rPr>
                <w:color w:val="000000"/>
                <w:sz w:val="22"/>
                <w:szCs w:val="22"/>
              </w:rPr>
            </w:pPr>
            <w:r>
              <w:rPr>
                <w:color w:val="000000"/>
                <w:sz w:val="22"/>
                <w:szCs w:val="22"/>
              </w:rPr>
              <w:t>-0.53</w:t>
            </w:r>
          </w:p>
        </w:tc>
        <w:tc>
          <w:tcPr>
            <w:tcW w:w="848" w:type="dxa"/>
            <w:vAlign w:val="center"/>
          </w:tcPr>
          <w:p>
            <w:pPr>
              <w:spacing w:line="400" w:lineRule="exact"/>
              <w:jc w:val="center"/>
              <w:rPr>
                <w:color w:val="000000"/>
                <w:sz w:val="22"/>
                <w:szCs w:val="22"/>
              </w:rPr>
            </w:pPr>
            <w:r>
              <w:rPr>
                <w:color w:val="000000"/>
                <w:sz w:val="22"/>
                <w:szCs w:val="22"/>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047" w:type="dxa"/>
            <w:vAlign w:val="center"/>
          </w:tcPr>
          <w:p>
            <w:pPr>
              <w:widowControl/>
              <w:spacing w:line="400" w:lineRule="exact"/>
              <w:jc w:val="center"/>
              <w:rPr>
                <w:color w:val="000000"/>
                <w:kern w:val="0"/>
                <w:szCs w:val="21"/>
              </w:rPr>
            </w:pPr>
            <w:r>
              <w:rPr>
                <w:color w:val="000000"/>
                <w:kern w:val="0"/>
                <w:szCs w:val="21"/>
              </w:rPr>
              <w:t>城市规划</w:t>
            </w:r>
          </w:p>
        </w:tc>
        <w:tc>
          <w:tcPr>
            <w:tcW w:w="2229" w:type="dxa"/>
            <w:vAlign w:val="center"/>
          </w:tcPr>
          <w:p>
            <w:pPr>
              <w:spacing w:line="400" w:lineRule="exact"/>
              <w:jc w:val="center"/>
              <w:rPr>
                <w:color w:val="000000"/>
                <w:sz w:val="24"/>
                <w:szCs w:val="24"/>
              </w:rPr>
            </w:pPr>
            <w:r>
              <w:rPr>
                <w:color w:val="000000"/>
              </w:rPr>
              <w:t>道路规划</w:t>
            </w:r>
          </w:p>
        </w:tc>
        <w:tc>
          <w:tcPr>
            <w:tcW w:w="851" w:type="dxa"/>
            <w:vAlign w:val="center"/>
          </w:tcPr>
          <w:p>
            <w:pPr>
              <w:spacing w:line="400" w:lineRule="exact"/>
              <w:jc w:val="center"/>
              <w:rPr>
                <w:color w:val="000000"/>
                <w:sz w:val="22"/>
                <w:szCs w:val="22"/>
              </w:rPr>
            </w:pPr>
            <w:r>
              <w:rPr>
                <w:color w:val="000000"/>
                <w:sz w:val="22"/>
                <w:szCs w:val="22"/>
              </w:rPr>
              <w:t>1.46</w:t>
            </w:r>
          </w:p>
        </w:tc>
        <w:tc>
          <w:tcPr>
            <w:tcW w:w="851" w:type="dxa"/>
            <w:vAlign w:val="center"/>
          </w:tcPr>
          <w:p>
            <w:pPr>
              <w:spacing w:line="400" w:lineRule="exact"/>
              <w:jc w:val="center"/>
              <w:rPr>
                <w:color w:val="000000"/>
                <w:sz w:val="22"/>
                <w:szCs w:val="22"/>
              </w:rPr>
            </w:pPr>
            <w:r>
              <w:rPr>
                <w:color w:val="000000"/>
                <w:sz w:val="22"/>
                <w:szCs w:val="22"/>
              </w:rPr>
              <w:t>0.73</w:t>
            </w:r>
          </w:p>
        </w:tc>
        <w:tc>
          <w:tcPr>
            <w:tcW w:w="851" w:type="dxa"/>
            <w:vAlign w:val="center"/>
          </w:tcPr>
          <w:p>
            <w:pPr>
              <w:spacing w:line="400" w:lineRule="exact"/>
              <w:jc w:val="center"/>
              <w:rPr>
                <w:color w:val="000000"/>
                <w:szCs w:val="21"/>
              </w:rPr>
            </w:pPr>
            <w:r>
              <w:rPr>
                <w:color w:val="000000"/>
                <w:szCs w:val="21"/>
              </w:rPr>
              <w:t>0</w:t>
            </w:r>
          </w:p>
        </w:tc>
        <w:tc>
          <w:tcPr>
            <w:tcW w:w="851" w:type="dxa"/>
            <w:vAlign w:val="center"/>
          </w:tcPr>
          <w:p>
            <w:pPr>
              <w:spacing w:line="400" w:lineRule="exact"/>
              <w:jc w:val="center"/>
              <w:rPr>
                <w:color w:val="000000"/>
                <w:sz w:val="22"/>
                <w:szCs w:val="22"/>
              </w:rPr>
            </w:pPr>
            <w:r>
              <w:rPr>
                <w:color w:val="000000"/>
                <w:sz w:val="22"/>
                <w:szCs w:val="22"/>
              </w:rPr>
              <w:t>-0.67</w:t>
            </w:r>
          </w:p>
        </w:tc>
        <w:tc>
          <w:tcPr>
            <w:tcW w:w="848" w:type="dxa"/>
            <w:vAlign w:val="center"/>
          </w:tcPr>
          <w:p>
            <w:pPr>
              <w:spacing w:line="400" w:lineRule="exact"/>
              <w:jc w:val="center"/>
              <w:rPr>
                <w:color w:val="000000"/>
                <w:sz w:val="22"/>
                <w:szCs w:val="22"/>
              </w:rPr>
            </w:pPr>
            <w:r>
              <w:rPr>
                <w:color w:val="000000"/>
                <w:sz w:val="22"/>
                <w:szCs w:val="22"/>
              </w:rPr>
              <w:t>-1.34</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表5-4-3</w:t>
      </w:r>
      <w:r>
        <w:rPr>
          <w:rFonts w:hint="eastAsia" w:ascii="Times New Roman" w:hAnsi="Times New Roman"/>
          <w:sz w:val="24"/>
          <w:szCs w:val="24"/>
        </w:rPr>
        <w:t>6</w:t>
      </w:r>
      <w:r>
        <w:rPr>
          <w:rFonts w:ascii="Times New Roman" w:hAnsi="Times New Roman"/>
          <w:sz w:val="24"/>
          <w:szCs w:val="24"/>
        </w:rPr>
        <w:t>长沙县乡镇Ⅰ级公共管理与公共服务二类用地宗地地价区域因素修正系数指标说明表</w:t>
      </w:r>
    </w:p>
    <w:tbl>
      <w:tblPr>
        <w:tblW w:w="8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735"/>
        <w:gridCol w:w="1006"/>
        <w:gridCol w:w="1272"/>
        <w:gridCol w:w="1163"/>
        <w:gridCol w:w="1163"/>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89" w:type="dxa"/>
            <w:vAlign w:val="center"/>
          </w:tcPr>
          <w:p>
            <w:pPr>
              <w:widowControl/>
              <w:spacing w:line="400" w:lineRule="exact"/>
              <w:jc w:val="center"/>
              <w:rPr>
                <w:b/>
                <w:color w:val="000000"/>
                <w:kern w:val="0"/>
                <w:szCs w:val="21"/>
              </w:rPr>
            </w:pPr>
            <w:r>
              <w:rPr>
                <w:b/>
                <w:color w:val="000000"/>
                <w:kern w:val="0"/>
                <w:szCs w:val="21"/>
              </w:rPr>
              <w:t>因素层</w:t>
            </w:r>
          </w:p>
        </w:tc>
        <w:tc>
          <w:tcPr>
            <w:tcW w:w="1735" w:type="dxa"/>
            <w:vAlign w:val="center"/>
          </w:tcPr>
          <w:p>
            <w:pPr>
              <w:widowControl/>
              <w:spacing w:line="400" w:lineRule="exact"/>
              <w:jc w:val="center"/>
              <w:rPr>
                <w:b/>
                <w:color w:val="000000"/>
                <w:kern w:val="0"/>
                <w:szCs w:val="21"/>
              </w:rPr>
            </w:pPr>
            <w:r>
              <w:rPr>
                <w:b/>
                <w:color w:val="000000"/>
                <w:kern w:val="0"/>
                <w:szCs w:val="21"/>
              </w:rPr>
              <w:t>因子层</w:t>
            </w:r>
          </w:p>
        </w:tc>
        <w:tc>
          <w:tcPr>
            <w:tcW w:w="1006" w:type="dxa"/>
            <w:vAlign w:val="center"/>
          </w:tcPr>
          <w:p>
            <w:pPr>
              <w:widowControl/>
              <w:spacing w:line="400" w:lineRule="exact"/>
              <w:jc w:val="center"/>
              <w:rPr>
                <w:b/>
                <w:color w:val="000000"/>
                <w:kern w:val="0"/>
                <w:szCs w:val="21"/>
              </w:rPr>
            </w:pPr>
            <w:r>
              <w:rPr>
                <w:b/>
                <w:color w:val="000000"/>
                <w:kern w:val="0"/>
                <w:szCs w:val="21"/>
              </w:rPr>
              <w:t>优</w:t>
            </w:r>
          </w:p>
        </w:tc>
        <w:tc>
          <w:tcPr>
            <w:tcW w:w="1272" w:type="dxa"/>
            <w:vAlign w:val="center"/>
          </w:tcPr>
          <w:p>
            <w:pPr>
              <w:widowControl/>
              <w:spacing w:line="400" w:lineRule="exact"/>
              <w:jc w:val="center"/>
              <w:rPr>
                <w:b/>
                <w:color w:val="000000"/>
                <w:kern w:val="0"/>
                <w:szCs w:val="21"/>
              </w:rPr>
            </w:pPr>
            <w:r>
              <w:rPr>
                <w:b/>
                <w:color w:val="000000"/>
                <w:kern w:val="0"/>
                <w:szCs w:val="21"/>
              </w:rPr>
              <w:t>较优</w:t>
            </w:r>
          </w:p>
        </w:tc>
        <w:tc>
          <w:tcPr>
            <w:tcW w:w="1163" w:type="dxa"/>
            <w:vAlign w:val="center"/>
          </w:tcPr>
          <w:p>
            <w:pPr>
              <w:widowControl/>
              <w:spacing w:line="400" w:lineRule="exact"/>
              <w:jc w:val="center"/>
              <w:rPr>
                <w:b/>
                <w:color w:val="000000"/>
                <w:kern w:val="0"/>
                <w:szCs w:val="21"/>
              </w:rPr>
            </w:pPr>
            <w:r>
              <w:rPr>
                <w:b/>
                <w:color w:val="000000"/>
                <w:kern w:val="0"/>
                <w:szCs w:val="21"/>
              </w:rPr>
              <w:t>一般</w:t>
            </w:r>
          </w:p>
        </w:tc>
        <w:tc>
          <w:tcPr>
            <w:tcW w:w="1163" w:type="dxa"/>
            <w:vAlign w:val="center"/>
          </w:tcPr>
          <w:p>
            <w:pPr>
              <w:widowControl/>
              <w:spacing w:line="400" w:lineRule="exact"/>
              <w:jc w:val="center"/>
              <w:rPr>
                <w:b/>
                <w:color w:val="000000"/>
                <w:kern w:val="0"/>
                <w:szCs w:val="21"/>
              </w:rPr>
            </w:pPr>
            <w:r>
              <w:rPr>
                <w:b/>
                <w:color w:val="000000"/>
                <w:kern w:val="0"/>
                <w:szCs w:val="21"/>
              </w:rPr>
              <w:t>较劣</w:t>
            </w:r>
          </w:p>
        </w:tc>
        <w:tc>
          <w:tcPr>
            <w:tcW w:w="962" w:type="dxa"/>
            <w:vAlign w:val="center"/>
          </w:tcPr>
          <w:p>
            <w:pPr>
              <w:widowControl/>
              <w:spacing w:line="400" w:lineRule="exact"/>
              <w:jc w:val="center"/>
              <w:rPr>
                <w:b/>
                <w:color w:val="000000"/>
                <w:kern w:val="0"/>
                <w:szCs w:val="21"/>
              </w:rPr>
            </w:pPr>
            <w:r>
              <w:rPr>
                <w:b/>
                <w:color w:val="000000"/>
                <w:kern w:val="0"/>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9" w:type="dxa"/>
            <w:vMerge w:val="restart"/>
            <w:vAlign w:val="center"/>
          </w:tcPr>
          <w:p>
            <w:pPr>
              <w:widowControl/>
              <w:spacing w:line="400" w:lineRule="exact"/>
              <w:jc w:val="center"/>
              <w:rPr>
                <w:bCs/>
                <w:color w:val="000000"/>
                <w:kern w:val="0"/>
                <w:szCs w:val="21"/>
              </w:rPr>
            </w:pPr>
            <w:r>
              <w:rPr>
                <w:bCs/>
                <w:color w:val="000000"/>
                <w:kern w:val="0"/>
                <w:szCs w:val="21"/>
              </w:rPr>
              <w:t>交通条件</w:t>
            </w:r>
          </w:p>
        </w:tc>
        <w:tc>
          <w:tcPr>
            <w:tcW w:w="1735" w:type="dxa"/>
            <w:vAlign w:val="center"/>
          </w:tcPr>
          <w:p>
            <w:pPr>
              <w:widowControl/>
              <w:spacing w:line="400" w:lineRule="exact"/>
              <w:jc w:val="center"/>
              <w:rPr>
                <w:bCs/>
                <w:color w:val="000000"/>
                <w:kern w:val="0"/>
                <w:szCs w:val="21"/>
              </w:rPr>
            </w:pPr>
            <w:r>
              <w:rPr>
                <w:bCs/>
                <w:color w:val="000000"/>
                <w:kern w:val="0"/>
                <w:szCs w:val="21"/>
              </w:rPr>
              <w:t>临近道路状况</w:t>
            </w:r>
          </w:p>
        </w:tc>
        <w:tc>
          <w:tcPr>
            <w:tcW w:w="1006" w:type="dxa"/>
            <w:vAlign w:val="center"/>
          </w:tcPr>
          <w:p>
            <w:pPr>
              <w:widowControl/>
              <w:spacing w:line="400" w:lineRule="exact"/>
              <w:jc w:val="center"/>
              <w:rPr>
                <w:bCs/>
                <w:color w:val="000000"/>
                <w:kern w:val="0"/>
                <w:szCs w:val="21"/>
              </w:rPr>
            </w:pPr>
            <w:r>
              <w:rPr>
                <w:bCs/>
                <w:color w:val="000000"/>
                <w:kern w:val="0"/>
                <w:szCs w:val="21"/>
              </w:rPr>
              <w:t>临繁华主干道</w:t>
            </w:r>
          </w:p>
        </w:tc>
        <w:tc>
          <w:tcPr>
            <w:tcW w:w="1272" w:type="dxa"/>
            <w:vAlign w:val="center"/>
          </w:tcPr>
          <w:p>
            <w:pPr>
              <w:widowControl/>
              <w:spacing w:line="400" w:lineRule="exact"/>
              <w:jc w:val="center"/>
              <w:rPr>
                <w:bCs/>
                <w:color w:val="000000"/>
                <w:kern w:val="0"/>
                <w:szCs w:val="21"/>
              </w:rPr>
            </w:pPr>
            <w:r>
              <w:rPr>
                <w:bCs/>
                <w:color w:val="000000"/>
                <w:kern w:val="0"/>
                <w:szCs w:val="21"/>
              </w:rPr>
              <w:t>临主干道</w:t>
            </w:r>
          </w:p>
        </w:tc>
        <w:tc>
          <w:tcPr>
            <w:tcW w:w="1163" w:type="dxa"/>
            <w:vAlign w:val="center"/>
          </w:tcPr>
          <w:p>
            <w:pPr>
              <w:widowControl/>
              <w:spacing w:line="400" w:lineRule="exact"/>
              <w:jc w:val="center"/>
              <w:rPr>
                <w:bCs/>
                <w:color w:val="000000"/>
                <w:kern w:val="0"/>
                <w:szCs w:val="21"/>
              </w:rPr>
            </w:pPr>
            <w:r>
              <w:rPr>
                <w:bCs/>
                <w:color w:val="000000"/>
                <w:kern w:val="0"/>
                <w:szCs w:val="21"/>
              </w:rPr>
              <w:t>临次干道</w:t>
            </w:r>
          </w:p>
        </w:tc>
        <w:tc>
          <w:tcPr>
            <w:tcW w:w="1163" w:type="dxa"/>
            <w:vAlign w:val="center"/>
          </w:tcPr>
          <w:p>
            <w:pPr>
              <w:widowControl/>
              <w:spacing w:line="400" w:lineRule="exact"/>
              <w:jc w:val="center"/>
              <w:rPr>
                <w:bCs/>
                <w:color w:val="000000"/>
                <w:kern w:val="0"/>
                <w:szCs w:val="21"/>
              </w:rPr>
            </w:pPr>
            <w:r>
              <w:rPr>
                <w:bCs/>
                <w:color w:val="000000"/>
                <w:kern w:val="0"/>
                <w:szCs w:val="21"/>
              </w:rPr>
              <w:t>临支路</w:t>
            </w:r>
          </w:p>
        </w:tc>
        <w:tc>
          <w:tcPr>
            <w:tcW w:w="962" w:type="dxa"/>
            <w:vAlign w:val="center"/>
          </w:tcPr>
          <w:p>
            <w:pPr>
              <w:widowControl/>
              <w:spacing w:line="400" w:lineRule="exact"/>
              <w:jc w:val="center"/>
              <w:rPr>
                <w:bCs/>
                <w:color w:val="000000"/>
                <w:kern w:val="0"/>
                <w:szCs w:val="21"/>
              </w:rPr>
            </w:pPr>
            <w:r>
              <w:rPr>
                <w:bCs/>
                <w:color w:val="000000"/>
                <w:kern w:val="0"/>
                <w:szCs w:val="21"/>
              </w:rPr>
              <w:t>临巷道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9" w:type="dxa"/>
            <w:vMerge w:val="continue"/>
            <w:vAlign w:val="center"/>
          </w:tcPr>
          <w:p>
            <w:pPr>
              <w:widowControl/>
              <w:spacing w:line="400" w:lineRule="exact"/>
              <w:jc w:val="center"/>
              <w:rPr>
                <w:bCs/>
                <w:color w:val="000000"/>
                <w:kern w:val="0"/>
                <w:szCs w:val="21"/>
              </w:rPr>
            </w:pPr>
          </w:p>
        </w:tc>
        <w:tc>
          <w:tcPr>
            <w:tcW w:w="1735" w:type="dxa"/>
            <w:vAlign w:val="center"/>
          </w:tcPr>
          <w:p>
            <w:pPr>
              <w:widowControl/>
              <w:spacing w:line="400" w:lineRule="exact"/>
              <w:jc w:val="center"/>
              <w:rPr>
                <w:bCs/>
                <w:color w:val="000000"/>
                <w:kern w:val="0"/>
                <w:szCs w:val="21"/>
              </w:rPr>
            </w:pPr>
            <w:r>
              <w:rPr>
                <w:bCs/>
                <w:color w:val="000000"/>
                <w:kern w:val="0"/>
                <w:szCs w:val="21"/>
              </w:rPr>
              <w:t>公交便捷度</w:t>
            </w:r>
          </w:p>
        </w:tc>
        <w:tc>
          <w:tcPr>
            <w:tcW w:w="1006" w:type="dxa"/>
            <w:vAlign w:val="center"/>
          </w:tcPr>
          <w:p>
            <w:pPr>
              <w:widowControl/>
              <w:spacing w:line="400" w:lineRule="exact"/>
              <w:jc w:val="center"/>
              <w:rPr>
                <w:bCs/>
                <w:color w:val="000000"/>
                <w:kern w:val="0"/>
                <w:szCs w:val="21"/>
              </w:rPr>
            </w:pPr>
            <w:r>
              <w:rPr>
                <w:bCs/>
                <w:color w:val="000000"/>
                <w:kern w:val="0"/>
                <w:szCs w:val="21"/>
              </w:rPr>
              <w:t>非常便捷</w:t>
            </w:r>
          </w:p>
        </w:tc>
        <w:tc>
          <w:tcPr>
            <w:tcW w:w="1272" w:type="dxa"/>
            <w:vAlign w:val="center"/>
          </w:tcPr>
          <w:p>
            <w:pPr>
              <w:widowControl/>
              <w:spacing w:line="400" w:lineRule="exact"/>
              <w:jc w:val="center"/>
              <w:rPr>
                <w:bCs/>
                <w:color w:val="000000"/>
                <w:kern w:val="0"/>
                <w:szCs w:val="21"/>
              </w:rPr>
            </w:pPr>
            <w:r>
              <w:rPr>
                <w:bCs/>
                <w:color w:val="000000"/>
                <w:kern w:val="0"/>
                <w:szCs w:val="21"/>
              </w:rPr>
              <w:t>比较便捷</w:t>
            </w:r>
          </w:p>
        </w:tc>
        <w:tc>
          <w:tcPr>
            <w:tcW w:w="1163" w:type="dxa"/>
            <w:vAlign w:val="center"/>
          </w:tcPr>
          <w:p>
            <w:pPr>
              <w:widowControl/>
              <w:spacing w:line="400" w:lineRule="exact"/>
              <w:jc w:val="center"/>
              <w:rPr>
                <w:bCs/>
                <w:color w:val="000000"/>
                <w:kern w:val="0"/>
                <w:szCs w:val="21"/>
              </w:rPr>
            </w:pPr>
            <w:r>
              <w:rPr>
                <w:bCs/>
                <w:color w:val="000000"/>
                <w:kern w:val="0"/>
                <w:szCs w:val="21"/>
              </w:rPr>
              <w:t>一般</w:t>
            </w:r>
          </w:p>
        </w:tc>
        <w:tc>
          <w:tcPr>
            <w:tcW w:w="1163" w:type="dxa"/>
            <w:vAlign w:val="center"/>
          </w:tcPr>
          <w:p>
            <w:pPr>
              <w:widowControl/>
              <w:spacing w:line="400" w:lineRule="exact"/>
              <w:jc w:val="center"/>
              <w:rPr>
                <w:bCs/>
                <w:color w:val="000000"/>
                <w:kern w:val="0"/>
                <w:szCs w:val="21"/>
              </w:rPr>
            </w:pPr>
            <w:r>
              <w:rPr>
                <w:bCs/>
                <w:color w:val="000000"/>
                <w:kern w:val="0"/>
                <w:szCs w:val="21"/>
              </w:rPr>
              <w:t>比较不方便</w:t>
            </w:r>
          </w:p>
        </w:tc>
        <w:tc>
          <w:tcPr>
            <w:tcW w:w="962" w:type="dxa"/>
            <w:vAlign w:val="center"/>
          </w:tcPr>
          <w:p>
            <w:pPr>
              <w:widowControl/>
              <w:spacing w:line="400" w:lineRule="exact"/>
              <w:jc w:val="center"/>
              <w:rPr>
                <w:bCs/>
                <w:color w:val="000000"/>
                <w:kern w:val="0"/>
                <w:szCs w:val="21"/>
              </w:rPr>
            </w:pPr>
            <w:r>
              <w:rPr>
                <w:bCs/>
                <w:color w:val="000000"/>
                <w:kern w:val="0"/>
                <w:szCs w:val="21"/>
              </w:rPr>
              <w:t>非常不方便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9" w:type="dxa"/>
            <w:vMerge w:val="restart"/>
            <w:vAlign w:val="center"/>
          </w:tcPr>
          <w:p>
            <w:pPr>
              <w:widowControl/>
              <w:spacing w:line="400" w:lineRule="exact"/>
              <w:jc w:val="center"/>
              <w:rPr>
                <w:bCs/>
                <w:color w:val="000000"/>
                <w:kern w:val="0"/>
                <w:szCs w:val="21"/>
              </w:rPr>
            </w:pPr>
            <w:r>
              <w:rPr>
                <w:bCs/>
                <w:color w:val="000000"/>
                <w:kern w:val="0"/>
                <w:szCs w:val="21"/>
              </w:rPr>
              <w:t>基本设施状况</w:t>
            </w:r>
          </w:p>
        </w:tc>
        <w:tc>
          <w:tcPr>
            <w:tcW w:w="1735" w:type="dxa"/>
            <w:vAlign w:val="center"/>
          </w:tcPr>
          <w:p>
            <w:pPr>
              <w:widowControl/>
              <w:spacing w:line="400" w:lineRule="exact"/>
              <w:jc w:val="center"/>
              <w:rPr>
                <w:bCs/>
                <w:color w:val="000000"/>
                <w:kern w:val="0"/>
                <w:szCs w:val="21"/>
              </w:rPr>
            </w:pPr>
            <w:r>
              <w:rPr>
                <w:bCs/>
                <w:color w:val="000000"/>
                <w:kern w:val="0"/>
                <w:szCs w:val="21"/>
              </w:rPr>
              <w:t>给排水状况</w:t>
            </w:r>
          </w:p>
        </w:tc>
        <w:tc>
          <w:tcPr>
            <w:tcW w:w="1006" w:type="dxa"/>
            <w:vAlign w:val="center"/>
          </w:tcPr>
          <w:p>
            <w:pPr>
              <w:widowControl/>
              <w:spacing w:line="400" w:lineRule="exact"/>
              <w:jc w:val="center"/>
              <w:rPr>
                <w:bCs/>
                <w:color w:val="000000"/>
                <w:kern w:val="0"/>
                <w:szCs w:val="21"/>
              </w:rPr>
            </w:pPr>
            <w:r>
              <w:rPr>
                <w:bCs/>
                <w:color w:val="000000"/>
                <w:kern w:val="0"/>
                <w:szCs w:val="21"/>
              </w:rPr>
              <w:t>完善</w:t>
            </w:r>
          </w:p>
        </w:tc>
        <w:tc>
          <w:tcPr>
            <w:tcW w:w="1272" w:type="dxa"/>
            <w:vAlign w:val="center"/>
          </w:tcPr>
          <w:p>
            <w:pPr>
              <w:widowControl/>
              <w:spacing w:line="400" w:lineRule="exact"/>
              <w:jc w:val="center"/>
              <w:rPr>
                <w:bCs/>
                <w:color w:val="000000"/>
                <w:kern w:val="0"/>
                <w:szCs w:val="21"/>
              </w:rPr>
            </w:pPr>
            <w:r>
              <w:rPr>
                <w:bCs/>
                <w:color w:val="000000"/>
                <w:kern w:val="0"/>
                <w:szCs w:val="21"/>
              </w:rPr>
              <w:t>较完善</w:t>
            </w:r>
          </w:p>
        </w:tc>
        <w:tc>
          <w:tcPr>
            <w:tcW w:w="1163" w:type="dxa"/>
            <w:vAlign w:val="center"/>
          </w:tcPr>
          <w:p>
            <w:pPr>
              <w:widowControl/>
              <w:spacing w:line="400" w:lineRule="exact"/>
              <w:jc w:val="center"/>
              <w:rPr>
                <w:bCs/>
                <w:color w:val="000000"/>
                <w:kern w:val="0"/>
                <w:szCs w:val="21"/>
              </w:rPr>
            </w:pPr>
            <w:r>
              <w:rPr>
                <w:bCs/>
                <w:color w:val="000000"/>
                <w:kern w:val="0"/>
                <w:szCs w:val="21"/>
              </w:rPr>
              <w:t>一般</w:t>
            </w:r>
          </w:p>
        </w:tc>
        <w:tc>
          <w:tcPr>
            <w:tcW w:w="1163" w:type="dxa"/>
            <w:vAlign w:val="center"/>
          </w:tcPr>
          <w:p>
            <w:pPr>
              <w:widowControl/>
              <w:spacing w:line="400" w:lineRule="exact"/>
              <w:jc w:val="center"/>
              <w:rPr>
                <w:bCs/>
                <w:color w:val="000000"/>
                <w:kern w:val="0"/>
                <w:szCs w:val="21"/>
              </w:rPr>
            </w:pPr>
            <w:r>
              <w:rPr>
                <w:bCs/>
                <w:color w:val="000000"/>
                <w:kern w:val="0"/>
                <w:szCs w:val="21"/>
              </w:rPr>
              <w:t>较差</w:t>
            </w:r>
          </w:p>
        </w:tc>
        <w:tc>
          <w:tcPr>
            <w:tcW w:w="962" w:type="dxa"/>
            <w:vAlign w:val="center"/>
          </w:tcPr>
          <w:p>
            <w:pPr>
              <w:widowControl/>
              <w:spacing w:line="400" w:lineRule="exact"/>
              <w:jc w:val="center"/>
              <w:rPr>
                <w:bCs/>
                <w:color w:val="000000"/>
                <w:kern w:val="0"/>
                <w:szCs w:val="21"/>
              </w:rPr>
            </w:pPr>
            <w:r>
              <w:rPr>
                <w:bCs/>
                <w:color w:val="000000"/>
                <w:kern w:val="0"/>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9" w:type="dxa"/>
            <w:vMerge w:val="continue"/>
            <w:vAlign w:val="center"/>
          </w:tcPr>
          <w:p>
            <w:pPr>
              <w:widowControl/>
              <w:spacing w:line="400" w:lineRule="exact"/>
              <w:jc w:val="center"/>
              <w:rPr>
                <w:bCs/>
                <w:color w:val="000000"/>
                <w:kern w:val="0"/>
                <w:szCs w:val="21"/>
              </w:rPr>
            </w:pPr>
          </w:p>
        </w:tc>
        <w:tc>
          <w:tcPr>
            <w:tcW w:w="1735" w:type="dxa"/>
            <w:vAlign w:val="center"/>
          </w:tcPr>
          <w:p>
            <w:pPr>
              <w:widowControl/>
              <w:spacing w:line="400" w:lineRule="exact"/>
              <w:jc w:val="center"/>
              <w:rPr>
                <w:bCs/>
                <w:color w:val="000000"/>
                <w:kern w:val="0"/>
                <w:szCs w:val="21"/>
              </w:rPr>
            </w:pPr>
            <w:r>
              <w:rPr>
                <w:bCs/>
                <w:color w:val="000000"/>
                <w:kern w:val="0"/>
                <w:szCs w:val="21"/>
              </w:rPr>
              <w:t>供电状况</w:t>
            </w:r>
          </w:p>
        </w:tc>
        <w:tc>
          <w:tcPr>
            <w:tcW w:w="1006" w:type="dxa"/>
            <w:vAlign w:val="center"/>
          </w:tcPr>
          <w:p>
            <w:pPr>
              <w:widowControl/>
              <w:spacing w:line="400" w:lineRule="exact"/>
              <w:jc w:val="center"/>
              <w:rPr>
                <w:bCs/>
                <w:color w:val="000000"/>
                <w:kern w:val="0"/>
                <w:szCs w:val="21"/>
              </w:rPr>
            </w:pPr>
            <w:r>
              <w:rPr>
                <w:bCs/>
                <w:color w:val="000000"/>
                <w:kern w:val="0"/>
                <w:szCs w:val="21"/>
              </w:rPr>
              <w:t>完善</w:t>
            </w:r>
          </w:p>
        </w:tc>
        <w:tc>
          <w:tcPr>
            <w:tcW w:w="1272" w:type="dxa"/>
            <w:vAlign w:val="center"/>
          </w:tcPr>
          <w:p>
            <w:pPr>
              <w:widowControl/>
              <w:spacing w:line="400" w:lineRule="exact"/>
              <w:jc w:val="center"/>
              <w:rPr>
                <w:bCs/>
                <w:color w:val="000000"/>
                <w:kern w:val="0"/>
                <w:szCs w:val="21"/>
              </w:rPr>
            </w:pPr>
            <w:r>
              <w:rPr>
                <w:bCs/>
                <w:color w:val="000000"/>
                <w:kern w:val="0"/>
                <w:szCs w:val="21"/>
              </w:rPr>
              <w:t>较完善</w:t>
            </w:r>
          </w:p>
        </w:tc>
        <w:tc>
          <w:tcPr>
            <w:tcW w:w="1163" w:type="dxa"/>
            <w:vAlign w:val="center"/>
          </w:tcPr>
          <w:p>
            <w:pPr>
              <w:widowControl/>
              <w:spacing w:line="400" w:lineRule="exact"/>
              <w:jc w:val="center"/>
              <w:rPr>
                <w:bCs/>
                <w:color w:val="000000"/>
                <w:kern w:val="0"/>
                <w:szCs w:val="21"/>
              </w:rPr>
            </w:pPr>
            <w:r>
              <w:rPr>
                <w:bCs/>
                <w:color w:val="000000"/>
                <w:kern w:val="0"/>
                <w:szCs w:val="21"/>
              </w:rPr>
              <w:t>一般</w:t>
            </w:r>
          </w:p>
        </w:tc>
        <w:tc>
          <w:tcPr>
            <w:tcW w:w="1163" w:type="dxa"/>
            <w:vAlign w:val="center"/>
          </w:tcPr>
          <w:p>
            <w:pPr>
              <w:widowControl/>
              <w:spacing w:line="400" w:lineRule="exact"/>
              <w:jc w:val="center"/>
              <w:rPr>
                <w:bCs/>
                <w:color w:val="000000"/>
                <w:kern w:val="0"/>
                <w:szCs w:val="21"/>
              </w:rPr>
            </w:pPr>
            <w:r>
              <w:rPr>
                <w:bCs/>
                <w:color w:val="000000"/>
                <w:kern w:val="0"/>
                <w:szCs w:val="21"/>
              </w:rPr>
              <w:t>较差</w:t>
            </w:r>
          </w:p>
        </w:tc>
        <w:tc>
          <w:tcPr>
            <w:tcW w:w="962" w:type="dxa"/>
            <w:vAlign w:val="center"/>
          </w:tcPr>
          <w:p>
            <w:pPr>
              <w:widowControl/>
              <w:spacing w:line="400" w:lineRule="exact"/>
              <w:jc w:val="center"/>
              <w:rPr>
                <w:bCs/>
                <w:color w:val="000000"/>
                <w:kern w:val="0"/>
                <w:szCs w:val="21"/>
              </w:rPr>
            </w:pPr>
            <w:r>
              <w:rPr>
                <w:bCs/>
                <w:color w:val="000000"/>
                <w:kern w:val="0"/>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9" w:type="dxa"/>
            <w:vAlign w:val="center"/>
          </w:tcPr>
          <w:p>
            <w:pPr>
              <w:widowControl/>
              <w:spacing w:line="400" w:lineRule="exact"/>
              <w:jc w:val="center"/>
              <w:rPr>
                <w:bCs/>
                <w:color w:val="000000"/>
                <w:kern w:val="0"/>
                <w:szCs w:val="21"/>
              </w:rPr>
            </w:pPr>
            <w:r>
              <w:rPr>
                <w:bCs/>
                <w:color w:val="000000"/>
                <w:kern w:val="0"/>
                <w:szCs w:val="21"/>
              </w:rPr>
              <w:t>环境条件</w:t>
            </w:r>
          </w:p>
        </w:tc>
        <w:tc>
          <w:tcPr>
            <w:tcW w:w="1735" w:type="dxa"/>
            <w:vAlign w:val="center"/>
          </w:tcPr>
          <w:p>
            <w:pPr>
              <w:widowControl/>
              <w:spacing w:line="400" w:lineRule="exact"/>
              <w:jc w:val="center"/>
              <w:rPr>
                <w:bCs/>
                <w:color w:val="000000"/>
                <w:kern w:val="0"/>
                <w:szCs w:val="21"/>
              </w:rPr>
            </w:pPr>
            <w:r>
              <w:rPr>
                <w:bCs/>
                <w:color w:val="000000"/>
                <w:kern w:val="0"/>
                <w:szCs w:val="21"/>
              </w:rPr>
              <w:t>地形状况</w:t>
            </w:r>
          </w:p>
        </w:tc>
        <w:tc>
          <w:tcPr>
            <w:tcW w:w="1006" w:type="dxa"/>
            <w:vAlign w:val="center"/>
          </w:tcPr>
          <w:p>
            <w:pPr>
              <w:widowControl/>
              <w:spacing w:line="400" w:lineRule="exact"/>
              <w:jc w:val="center"/>
              <w:rPr>
                <w:bCs/>
                <w:color w:val="000000"/>
                <w:kern w:val="0"/>
                <w:szCs w:val="21"/>
              </w:rPr>
            </w:pPr>
            <w:r>
              <w:rPr>
                <w:bCs/>
                <w:color w:val="000000"/>
                <w:kern w:val="0"/>
                <w:szCs w:val="21"/>
              </w:rPr>
              <w:t>地势平坦</w:t>
            </w:r>
          </w:p>
        </w:tc>
        <w:tc>
          <w:tcPr>
            <w:tcW w:w="1272" w:type="dxa"/>
            <w:vAlign w:val="center"/>
          </w:tcPr>
          <w:p>
            <w:pPr>
              <w:widowControl/>
              <w:spacing w:line="400" w:lineRule="exact"/>
              <w:jc w:val="center"/>
              <w:rPr>
                <w:bCs/>
                <w:color w:val="000000"/>
                <w:kern w:val="0"/>
                <w:szCs w:val="21"/>
              </w:rPr>
            </w:pPr>
            <w:r>
              <w:rPr>
                <w:bCs/>
                <w:color w:val="000000"/>
                <w:kern w:val="0"/>
                <w:szCs w:val="21"/>
              </w:rPr>
              <w:t>较平坦，对建筑物无影响</w:t>
            </w:r>
          </w:p>
        </w:tc>
        <w:tc>
          <w:tcPr>
            <w:tcW w:w="1163" w:type="dxa"/>
            <w:vAlign w:val="center"/>
          </w:tcPr>
          <w:p>
            <w:pPr>
              <w:widowControl/>
              <w:spacing w:line="400" w:lineRule="exact"/>
              <w:jc w:val="center"/>
              <w:rPr>
                <w:bCs/>
                <w:color w:val="000000"/>
                <w:kern w:val="0"/>
                <w:szCs w:val="21"/>
              </w:rPr>
            </w:pPr>
            <w:r>
              <w:rPr>
                <w:bCs/>
                <w:color w:val="000000"/>
                <w:kern w:val="0"/>
                <w:szCs w:val="21"/>
              </w:rPr>
              <w:t>较平坦，对建筑物影响较小</w:t>
            </w:r>
          </w:p>
        </w:tc>
        <w:tc>
          <w:tcPr>
            <w:tcW w:w="1163" w:type="dxa"/>
            <w:vAlign w:val="center"/>
          </w:tcPr>
          <w:p>
            <w:pPr>
              <w:widowControl/>
              <w:spacing w:line="400" w:lineRule="exact"/>
              <w:jc w:val="center"/>
              <w:rPr>
                <w:bCs/>
                <w:color w:val="000000"/>
                <w:kern w:val="0"/>
                <w:szCs w:val="21"/>
              </w:rPr>
            </w:pPr>
            <w:r>
              <w:rPr>
                <w:bCs/>
                <w:color w:val="000000"/>
                <w:kern w:val="0"/>
                <w:szCs w:val="21"/>
              </w:rPr>
              <w:t>不平坦，需考虑坡度影响</w:t>
            </w:r>
          </w:p>
        </w:tc>
        <w:tc>
          <w:tcPr>
            <w:tcW w:w="962" w:type="dxa"/>
            <w:vAlign w:val="center"/>
          </w:tcPr>
          <w:p>
            <w:pPr>
              <w:widowControl/>
              <w:spacing w:line="400" w:lineRule="exact"/>
              <w:jc w:val="center"/>
              <w:rPr>
                <w:bCs/>
                <w:color w:val="000000"/>
                <w:kern w:val="0"/>
                <w:szCs w:val="21"/>
              </w:rPr>
            </w:pPr>
            <w:r>
              <w:rPr>
                <w:bCs/>
                <w:color w:val="000000"/>
                <w:kern w:val="0"/>
                <w:szCs w:val="21"/>
              </w:rPr>
              <w:t>不平坦，需经平整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9" w:type="dxa"/>
            <w:vAlign w:val="center"/>
          </w:tcPr>
          <w:p>
            <w:pPr>
              <w:widowControl/>
              <w:spacing w:line="400" w:lineRule="exact"/>
              <w:jc w:val="center"/>
              <w:rPr>
                <w:bCs/>
                <w:color w:val="000000"/>
                <w:kern w:val="0"/>
                <w:szCs w:val="21"/>
              </w:rPr>
            </w:pPr>
            <w:r>
              <w:rPr>
                <w:bCs/>
                <w:color w:val="000000"/>
                <w:kern w:val="0"/>
                <w:szCs w:val="21"/>
              </w:rPr>
              <w:t>人口状况</w:t>
            </w:r>
          </w:p>
        </w:tc>
        <w:tc>
          <w:tcPr>
            <w:tcW w:w="1735" w:type="dxa"/>
            <w:vAlign w:val="center"/>
          </w:tcPr>
          <w:p>
            <w:pPr>
              <w:widowControl/>
              <w:spacing w:line="400" w:lineRule="exact"/>
              <w:jc w:val="center"/>
              <w:rPr>
                <w:bCs/>
                <w:color w:val="000000"/>
                <w:kern w:val="0"/>
                <w:szCs w:val="21"/>
              </w:rPr>
            </w:pPr>
            <w:r>
              <w:rPr>
                <w:bCs/>
                <w:color w:val="000000"/>
                <w:kern w:val="0"/>
                <w:szCs w:val="21"/>
              </w:rPr>
              <w:t>人口密度</w:t>
            </w:r>
          </w:p>
        </w:tc>
        <w:tc>
          <w:tcPr>
            <w:tcW w:w="1006" w:type="dxa"/>
            <w:vAlign w:val="center"/>
          </w:tcPr>
          <w:p>
            <w:pPr>
              <w:widowControl/>
              <w:spacing w:line="400" w:lineRule="exact"/>
              <w:jc w:val="center"/>
              <w:rPr>
                <w:bCs/>
                <w:color w:val="000000"/>
                <w:kern w:val="0"/>
                <w:szCs w:val="21"/>
              </w:rPr>
            </w:pPr>
            <w:r>
              <w:rPr>
                <w:bCs/>
                <w:color w:val="000000"/>
                <w:kern w:val="0"/>
                <w:szCs w:val="21"/>
              </w:rPr>
              <w:t>人口稠密</w:t>
            </w:r>
          </w:p>
        </w:tc>
        <w:tc>
          <w:tcPr>
            <w:tcW w:w="1272" w:type="dxa"/>
            <w:vAlign w:val="center"/>
          </w:tcPr>
          <w:p>
            <w:pPr>
              <w:widowControl/>
              <w:spacing w:line="400" w:lineRule="exact"/>
              <w:jc w:val="center"/>
              <w:rPr>
                <w:bCs/>
                <w:color w:val="000000"/>
                <w:kern w:val="0"/>
                <w:szCs w:val="21"/>
              </w:rPr>
            </w:pPr>
            <w:r>
              <w:rPr>
                <w:bCs/>
                <w:color w:val="000000"/>
                <w:kern w:val="0"/>
                <w:szCs w:val="21"/>
              </w:rPr>
              <w:t>人口较稠密</w:t>
            </w:r>
          </w:p>
        </w:tc>
        <w:tc>
          <w:tcPr>
            <w:tcW w:w="1163" w:type="dxa"/>
            <w:vAlign w:val="center"/>
          </w:tcPr>
          <w:p>
            <w:pPr>
              <w:widowControl/>
              <w:spacing w:line="400" w:lineRule="exact"/>
              <w:jc w:val="center"/>
              <w:rPr>
                <w:bCs/>
                <w:color w:val="000000"/>
                <w:kern w:val="0"/>
                <w:szCs w:val="21"/>
              </w:rPr>
            </w:pPr>
            <w:r>
              <w:rPr>
                <w:bCs/>
                <w:color w:val="000000"/>
                <w:kern w:val="0"/>
                <w:szCs w:val="21"/>
              </w:rPr>
              <w:t>一般</w:t>
            </w:r>
          </w:p>
        </w:tc>
        <w:tc>
          <w:tcPr>
            <w:tcW w:w="1163" w:type="dxa"/>
            <w:vAlign w:val="center"/>
          </w:tcPr>
          <w:p>
            <w:pPr>
              <w:widowControl/>
              <w:spacing w:line="400" w:lineRule="exact"/>
              <w:jc w:val="center"/>
              <w:rPr>
                <w:bCs/>
                <w:color w:val="000000"/>
                <w:kern w:val="0"/>
                <w:szCs w:val="21"/>
              </w:rPr>
            </w:pPr>
            <w:r>
              <w:rPr>
                <w:bCs/>
                <w:color w:val="000000"/>
                <w:kern w:val="0"/>
                <w:szCs w:val="21"/>
              </w:rPr>
              <w:t>人口较稀疏</w:t>
            </w:r>
          </w:p>
        </w:tc>
        <w:tc>
          <w:tcPr>
            <w:tcW w:w="962" w:type="dxa"/>
            <w:vAlign w:val="center"/>
          </w:tcPr>
          <w:p>
            <w:pPr>
              <w:widowControl/>
              <w:spacing w:line="400" w:lineRule="exact"/>
              <w:jc w:val="center"/>
              <w:rPr>
                <w:bCs/>
                <w:color w:val="000000"/>
                <w:kern w:val="0"/>
                <w:szCs w:val="21"/>
              </w:rPr>
            </w:pPr>
            <w:r>
              <w:rPr>
                <w:bCs/>
                <w:color w:val="000000"/>
                <w:kern w:val="0"/>
                <w:szCs w:val="21"/>
              </w:rPr>
              <w:t>人口稀疏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9" w:type="dxa"/>
            <w:vAlign w:val="center"/>
          </w:tcPr>
          <w:p>
            <w:pPr>
              <w:widowControl/>
              <w:spacing w:line="400" w:lineRule="exact"/>
              <w:jc w:val="center"/>
              <w:rPr>
                <w:bCs/>
                <w:color w:val="000000"/>
                <w:kern w:val="0"/>
                <w:szCs w:val="21"/>
              </w:rPr>
            </w:pPr>
            <w:r>
              <w:rPr>
                <w:bCs/>
                <w:color w:val="000000"/>
                <w:kern w:val="0"/>
                <w:szCs w:val="21"/>
              </w:rPr>
              <w:t>城市规划</w:t>
            </w:r>
          </w:p>
        </w:tc>
        <w:tc>
          <w:tcPr>
            <w:tcW w:w="1735" w:type="dxa"/>
            <w:vAlign w:val="center"/>
          </w:tcPr>
          <w:p>
            <w:pPr>
              <w:widowControl/>
              <w:spacing w:line="400" w:lineRule="exact"/>
              <w:jc w:val="center"/>
              <w:rPr>
                <w:bCs/>
                <w:color w:val="000000"/>
                <w:kern w:val="0"/>
                <w:szCs w:val="21"/>
              </w:rPr>
            </w:pPr>
            <w:r>
              <w:rPr>
                <w:bCs/>
                <w:color w:val="000000"/>
                <w:kern w:val="0"/>
                <w:szCs w:val="21"/>
              </w:rPr>
              <w:t>道路规划</w:t>
            </w:r>
          </w:p>
        </w:tc>
        <w:tc>
          <w:tcPr>
            <w:tcW w:w="1006" w:type="dxa"/>
            <w:vAlign w:val="center"/>
          </w:tcPr>
          <w:p>
            <w:pPr>
              <w:widowControl/>
              <w:spacing w:line="400" w:lineRule="exact"/>
              <w:jc w:val="center"/>
              <w:rPr>
                <w:bCs/>
                <w:color w:val="000000"/>
                <w:kern w:val="0"/>
                <w:szCs w:val="21"/>
              </w:rPr>
            </w:pPr>
            <w:r>
              <w:rPr>
                <w:bCs/>
                <w:color w:val="000000"/>
                <w:kern w:val="0"/>
                <w:szCs w:val="21"/>
              </w:rPr>
              <w:t>繁华主干道</w:t>
            </w:r>
          </w:p>
        </w:tc>
        <w:tc>
          <w:tcPr>
            <w:tcW w:w="1272" w:type="dxa"/>
            <w:vAlign w:val="center"/>
          </w:tcPr>
          <w:p>
            <w:pPr>
              <w:widowControl/>
              <w:spacing w:line="400" w:lineRule="exact"/>
              <w:jc w:val="center"/>
              <w:rPr>
                <w:bCs/>
                <w:color w:val="000000"/>
                <w:kern w:val="0"/>
                <w:szCs w:val="21"/>
              </w:rPr>
            </w:pPr>
            <w:r>
              <w:rPr>
                <w:bCs/>
                <w:color w:val="000000"/>
                <w:kern w:val="0"/>
                <w:szCs w:val="21"/>
              </w:rPr>
              <w:t>主干道</w:t>
            </w:r>
          </w:p>
        </w:tc>
        <w:tc>
          <w:tcPr>
            <w:tcW w:w="1163" w:type="dxa"/>
            <w:vAlign w:val="center"/>
          </w:tcPr>
          <w:p>
            <w:pPr>
              <w:widowControl/>
              <w:spacing w:line="400" w:lineRule="exact"/>
              <w:jc w:val="center"/>
              <w:rPr>
                <w:bCs/>
                <w:color w:val="000000"/>
                <w:kern w:val="0"/>
                <w:szCs w:val="21"/>
              </w:rPr>
            </w:pPr>
            <w:r>
              <w:rPr>
                <w:bCs/>
                <w:color w:val="000000"/>
                <w:kern w:val="0"/>
                <w:szCs w:val="21"/>
              </w:rPr>
              <w:t>次干道</w:t>
            </w:r>
          </w:p>
        </w:tc>
        <w:tc>
          <w:tcPr>
            <w:tcW w:w="1163" w:type="dxa"/>
            <w:vAlign w:val="center"/>
          </w:tcPr>
          <w:p>
            <w:pPr>
              <w:widowControl/>
              <w:spacing w:line="400" w:lineRule="exact"/>
              <w:jc w:val="center"/>
              <w:rPr>
                <w:bCs/>
                <w:color w:val="000000"/>
                <w:kern w:val="0"/>
                <w:szCs w:val="21"/>
              </w:rPr>
            </w:pPr>
            <w:r>
              <w:rPr>
                <w:bCs/>
                <w:color w:val="000000"/>
                <w:kern w:val="0"/>
                <w:szCs w:val="21"/>
              </w:rPr>
              <w:t>支路</w:t>
            </w:r>
          </w:p>
        </w:tc>
        <w:tc>
          <w:tcPr>
            <w:tcW w:w="962" w:type="dxa"/>
            <w:vAlign w:val="center"/>
          </w:tcPr>
          <w:p>
            <w:pPr>
              <w:widowControl/>
              <w:spacing w:line="400" w:lineRule="exact"/>
              <w:jc w:val="center"/>
              <w:rPr>
                <w:bCs/>
                <w:color w:val="000000"/>
                <w:kern w:val="0"/>
                <w:szCs w:val="21"/>
              </w:rPr>
            </w:pPr>
            <w:r>
              <w:rPr>
                <w:bCs/>
                <w:color w:val="000000"/>
                <w:kern w:val="0"/>
                <w:szCs w:val="21"/>
              </w:rPr>
              <w:t>巷道</w:t>
            </w:r>
          </w:p>
        </w:tc>
      </w:tr>
    </w:tbl>
    <w:p>
      <w:pPr>
        <w:spacing w:line="360" w:lineRule="auto"/>
        <w:ind w:firstLine="480" w:firstLineChars="200"/>
        <w:rPr>
          <w:sz w:val="24"/>
          <w:lang w:val="zh-CN"/>
        </w:rPr>
      </w:pPr>
      <w:r>
        <w:rPr>
          <w:sz w:val="24"/>
          <w:lang w:val="zh-CN"/>
        </w:rPr>
        <w:t>2、容积率修正</w:t>
      </w:r>
    </w:p>
    <w:p>
      <w:pPr>
        <w:shd w:val="clear" w:color="auto" w:fill="FFFFFF"/>
        <w:tabs>
          <w:tab w:val="right" w:pos="9298"/>
        </w:tabs>
        <w:spacing w:line="460" w:lineRule="exact"/>
        <w:ind w:firstLine="573"/>
        <w:rPr>
          <w:sz w:val="24"/>
        </w:rPr>
      </w:pPr>
      <w:r>
        <w:rPr>
          <w:sz w:val="24"/>
        </w:rPr>
        <w:t>各乡镇容积率修系数由宗地实际容积率与级别内涵设定容积率差值确定，由于容积率对工矿仓储用地的地价影响较小，在评估时一般不进行容积率修正，所以只对商服</w:t>
      </w:r>
      <w:r>
        <w:rPr>
          <w:rFonts w:hint="eastAsia"/>
          <w:sz w:val="24"/>
        </w:rPr>
        <w:t>、</w:t>
      </w:r>
      <w:r>
        <w:rPr>
          <w:sz w:val="24"/>
        </w:rPr>
        <w:t>住宅</w:t>
      </w:r>
      <w:r>
        <w:rPr>
          <w:rFonts w:hint="eastAsia"/>
          <w:sz w:val="24"/>
        </w:rPr>
        <w:t>和公共管理与公共服务</w:t>
      </w:r>
      <w:r>
        <w:rPr>
          <w:sz w:val="24"/>
        </w:rPr>
        <w:t>用地进行容积率修正。</w:t>
      </w:r>
    </w:p>
    <w:p>
      <w:pPr>
        <w:shd w:val="clear" w:color="auto" w:fill="FFFFFF"/>
        <w:tabs>
          <w:tab w:val="right" w:pos="9298"/>
        </w:tabs>
        <w:spacing w:line="460" w:lineRule="exact"/>
        <w:ind w:firstLine="573"/>
        <w:rPr>
          <w:sz w:val="24"/>
          <w:szCs w:val="22"/>
        </w:rPr>
      </w:pPr>
      <w:r>
        <w:rPr>
          <w:rFonts w:hint="eastAsia"/>
          <w:sz w:val="24"/>
          <w:szCs w:val="22"/>
        </w:rPr>
        <w:t>（1）</w:t>
      </w:r>
      <w:r>
        <w:rPr>
          <w:sz w:val="24"/>
          <w:szCs w:val="22"/>
        </w:rPr>
        <w:t>与市区对接的重点区域</w:t>
      </w:r>
      <w:r>
        <w:rPr>
          <w:rFonts w:hint="eastAsia"/>
          <w:sz w:val="24"/>
          <w:szCs w:val="22"/>
        </w:rPr>
        <w:t>和一等镇容积率修正</w:t>
      </w:r>
    </w:p>
    <w:p>
      <w:pPr>
        <w:shd w:val="clear" w:color="auto" w:fill="FFFFFF"/>
        <w:tabs>
          <w:tab w:val="right" w:pos="9298"/>
        </w:tabs>
        <w:spacing w:line="460" w:lineRule="exact"/>
        <w:ind w:firstLine="573"/>
        <w:rPr>
          <w:sz w:val="24"/>
          <w:szCs w:val="22"/>
        </w:rPr>
      </w:pPr>
      <w:r>
        <w:rPr>
          <w:rFonts w:hint="eastAsia"/>
          <w:sz w:val="24"/>
          <w:szCs w:val="22"/>
        </w:rPr>
        <w:t xml:space="preserve">① </w:t>
      </w:r>
      <w:r>
        <w:rPr>
          <w:sz w:val="24"/>
          <w:szCs w:val="22"/>
        </w:rPr>
        <w:t>商业用地宗地地价区域因素修正体系</w:t>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5-4-37  与市区对接的重点区域和一等镇Ⅰ</w:t>
      </w:r>
      <w:r>
        <w:rPr>
          <w:rFonts w:ascii="Times New Roman" w:hAnsi="Times New Roman"/>
          <w:sz w:val="24"/>
          <w:szCs w:val="24"/>
        </w:rPr>
        <w:t>级商业用地容积率修正系数表</w:t>
      </w:r>
    </w:p>
    <w:tbl>
      <w:tblPr>
        <w:tblW w:w="101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8"/>
        <w:gridCol w:w="899"/>
        <w:gridCol w:w="899"/>
        <w:gridCol w:w="914"/>
        <w:gridCol w:w="899"/>
        <w:gridCol w:w="902"/>
        <w:gridCol w:w="899"/>
        <w:gridCol w:w="916"/>
        <w:gridCol w:w="900"/>
        <w:gridCol w:w="914"/>
        <w:gridCol w:w="1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8" w:type="dxa"/>
            <w:tcBorders>
              <w:top w:val="single" w:color="auto" w:sz="8" w:space="0"/>
              <w:left w:val="single" w:color="auto" w:sz="8" w:space="0"/>
              <w:bottom w:val="single" w:color="auto" w:sz="8" w:space="0"/>
              <w:right w:val="single" w:color="auto" w:sz="8" w:space="0"/>
            </w:tcBorders>
            <w:vAlign w:val="bottom"/>
          </w:tcPr>
          <w:p>
            <w:pPr>
              <w:shd w:val="clear" w:color="auto" w:fill="FFFFFF"/>
              <w:spacing w:line="300" w:lineRule="exact"/>
              <w:ind w:left="-105" w:leftChars="-50" w:right="-105" w:rightChars="-50"/>
              <w:jc w:val="center"/>
            </w:pPr>
            <w:r>
              <w:t>容积率</w:t>
            </w:r>
          </w:p>
        </w:tc>
        <w:tc>
          <w:tcPr>
            <w:tcW w:w="899" w:type="dxa"/>
            <w:tcBorders>
              <w:top w:val="single" w:color="auto" w:sz="8" w:space="0"/>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≤0.5</w:t>
            </w:r>
          </w:p>
        </w:tc>
        <w:tc>
          <w:tcPr>
            <w:tcW w:w="899" w:type="dxa"/>
            <w:tcBorders>
              <w:top w:val="single" w:color="auto" w:sz="8" w:space="0"/>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0.6</w:t>
            </w:r>
          </w:p>
        </w:tc>
        <w:tc>
          <w:tcPr>
            <w:tcW w:w="914" w:type="dxa"/>
            <w:tcBorders>
              <w:top w:val="single" w:color="auto" w:sz="8" w:space="0"/>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0.7</w:t>
            </w:r>
          </w:p>
        </w:tc>
        <w:tc>
          <w:tcPr>
            <w:tcW w:w="899" w:type="dxa"/>
            <w:tcBorders>
              <w:top w:val="single" w:color="auto" w:sz="8" w:space="0"/>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0.8</w:t>
            </w:r>
          </w:p>
        </w:tc>
        <w:tc>
          <w:tcPr>
            <w:tcW w:w="902" w:type="dxa"/>
            <w:tcBorders>
              <w:top w:val="single" w:color="auto" w:sz="8" w:space="0"/>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0.9</w:t>
            </w:r>
          </w:p>
        </w:tc>
        <w:tc>
          <w:tcPr>
            <w:tcW w:w="899" w:type="dxa"/>
            <w:tcBorders>
              <w:top w:val="single" w:color="auto" w:sz="8" w:space="0"/>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1</w:t>
            </w:r>
          </w:p>
        </w:tc>
        <w:tc>
          <w:tcPr>
            <w:tcW w:w="916" w:type="dxa"/>
            <w:tcBorders>
              <w:top w:val="single" w:color="auto" w:sz="8" w:space="0"/>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1.1</w:t>
            </w:r>
          </w:p>
        </w:tc>
        <w:tc>
          <w:tcPr>
            <w:tcW w:w="900" w:type="dxa"/>
            <w:tcBorders>
              <w:top w:val="single" w:color="auto" w:sz="8" w:space="0"/>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1.2</w:t>
            </w:r>
          </w:p>
        </w:tc>
        <w:tc>
          <w:tcPr>
            <w:tcW w:w="914" w:type="dxa"/>
            <w:tcBorders>
              <w:top w:val="single" w:color="auto" w:sz="8" w:space="0"/>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1.3</w:t>
            </w:r>
          </w:p>
        </w:tc>
        <w:tc>
          <w:tcPr>
            <w:tcW w:w="1014" w:type="dxa"/>
            <w:tcBorders>
              <w:top w:val="single" w:color="auto" w:sz="8" w:space="0"/>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8" w:type="dxa"/>
            <w:tcBorders>
              <w:top w:val="nil"/>
              <w:left w:val="single" w:color="auto" w:sz="8" w:space="0"/>
              <w:bottom w:val="single" w:color="auto" w:sz="8" w:space="0"/>
              <w:right w:val="single" w:color="auto" w:sz="8" w:space="0"/>
            </w:tcBorders>
            <w:vAlign w:val="bottom"/>
          </w:tcPr>
          <w:p>
            <w:pPr>
              <w:shd w:val="clear" w:color="auto" w:fill="FFFFFF"/>
              <w:spacing w:line="300" w:lineRule="exact"/>
              <w:ind w:left="-105" w:leftChars="-50" w:right="-105" w:rightChars="-50"/>
              <w:jc w:val="center"/>
            </w:pPr>
            <w:r>
              <w:t>比值</w:t>
            </w:r>
          </w:p>
        </w:tc>
        <w:tc>
          <w:tcPr>
            <w:tcW w:w="899"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0.605</w:t>
            </w:r>
          </w:p>
        </w:tc>
        <w:tc>
          <w:tcPr>
            <w:tcW w:w="899"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0.636</w:t>
            </w:r>
          </w:p>
        </w:tc>
        <w:tc>
          <w:tcPr>
            <w:tcW w:w="914"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0.668</w:t>
            </w:r>
          </w:p>
        </w:tc>
        <w:tc>
          <w:tcPr>
            <w:tcW w:w="899"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0.701</w:t>
            </w:r>
          </w:p>
        </w:tc>
        <w:tc>
          <w:tcPr>
            <w:tcW w:w="902"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0.732</w:t>
            </w:r>
          </w:p>
        </w:tc>
        <w:tc>
          <w:tcPr>
            <w:tcW w:w="899"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0.763</w:t>
            </w:r>
          </w:p>
        </w:tc>
        <w:tc>
          <w:tcPr>
            <w:tcW w:w="916"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0.795</w:t>
            </w:r>
          </w:p>
        </w:tc>
        <w:tc>
          <w:tcPr>
            <w:tcW w:w="900"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0.825</w:t>
            </w:r>
          </w:p>
        </w:tc>
        <w:tc>
          <w:tcPr>
            <w:tcW w:w="914"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0.855</w:t>
            </w:r>
          </w:p>
        </w:tc>
        <w:tc>
          <w:tcPr>
            <w:tcW w:w="1014"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0.884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8" w:type="dxa"/>
            <w:tcBorders>
              <w:top w:val="nil"/>
              <w:left w:val="single" w:color="auto" w:sz="8" w:space="0"/>
              <w:bottom w:val="single" w:color="auto" w:sz="8" w:space="0"/>
              <w:right w:val="single" w:color="auto" w:sz="8" w:space="0"/>
            </w:tcBorders>
            <w:vAlign w:val="bottom"/>
          </w:tcPr>
          <w:p>
            <w:pPr>
              <w:shd w:val="clear" w:color="auto" w:fill="FFFFFF"/>
              <w:spacing w:line="300" w:lineRule="exact"/>
              <w:ind w:left="-105" w:leftChars="-50" w:right="-105" w:rightChars="-50"/>
              <w:jc w:val="center"/>
            </w:pPr>
            <w:r>
              <w:t>容积率</w:t>
            </w:r>
          </w:p>
        </w:tc>
        <w:tc>
          <w:tcPr>
            <w:tcW w:w="899"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1.5</w:t>
            </w:r>
          </w:p>
        </w:tc>
        <w:tc>
          <w:tcPr>
            <w:tcW w:w="899"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1.6</w:t>
            </w:r>
          </w:p>
        </w:tc>
        <w:tc>
          <w:tcPr>
            <w:tcW w:w="914"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1.7</w:t>
            </w:r>
          </w:p>
        </w:tc>
        <w:tc>
          <w:tcPr>
            <w:tcW w:w="899"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1.8</w:t>
            </w:r>
          </w:p>
        </w:tc>
        <w:tc>
          <w:tcPr>
            <w:tcW w:w="902"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1.9</w:t>
            </w:r>
          </w:p>
        </w:tc>
        <w:tc>
          <w:tcPr>
            <w:tcW w:w="899"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2</w:t>
            </w:r>
          </w:p>
        </w:tc>
        <w:tc>
          <w:tcPr>
            <w:tcW w:w="916"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2.1</w:t>
            </w:r>
          </w:p>
        </w:tc>
        <w:tc>
          <w:tcPr>
            <w:tcW w:w="900"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2.2</w:t>
            </w:r>
          </w:p>
        </w:tc>
        <w:tc>
          <w:tcPr>
            <w:tcW w:w="914"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2.3</w:t>
            </w:r>
          </w:p>
        </w:tc>
        <w:tc>
          <w:tcPr>
            <w:tcW w:w="1014"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8" w:type="dxa"/>
            <w:tcBorders>
              <w:top w:val="nil"/>
              <w:left w:val="single" w:color="auto" w:sz="8" w:space="0"/>
              <w:bottom w:val="single" w:color="auto" w:sz="8" w:space="0"/>
              <w:right w:val="single" w:color="auto" w:sz="8" w:space="0"/>
            </w:tcBorders>
            <w:vAlign w:val="bottom"/>
          </w:tcPr>
          <w:p>
            <w:pPr>
              <w:shd w:val="clear" w:color="auto" w:fill="FFFFFF"/>
              <w:spacing w:line="300" w:lineRule="exact"/>
              <w:ind w:left="-105" w:leftChars="-50" w:right="-105" w:rightChars="-50"/>
              <w:jc w:val="center"/>
            </w:pPr>
            <w:r>
              <w:t>比值</w:t>
            </w:r>
          </w:p>
        </w:tc>
        <w:tc>
          <w:tcPr>
            <w:tcW w:w="899"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0.914 </w:t>
            </w:r>
          </w:p>
        </w:tc>
        <w:tc>
          <w:tcPr>
            <w:tcW w:w="899"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0.942 </w:t>
            </w:r>
          </w:p>
        </w:tc>
        <w:tc>
          <w:tcPr>
            <w:tcW w:w="914"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0.971 </w:t>
            </w:r>
          </w:p>
        </w:tc>
        <w:tc>
          <w:tcPr>
            <w:tcW w:w="899"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1.000 </w:t>
            </w:r>
          </w:p>
        </w:tc>
        <w:tc>
          <w:tcPr>
            <w:tcW w:w="902"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1.026 </w:t>
            </w:r>
          </w:p>
        </w:tc>
        <w:tc>
          <w:tcPr>
            <w:tcW w:w="899"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1.053 </w:t>
            </w:r>
          </w:p>
        </w:tc>
        <w:tc>
          <w:tcPr>
            <w:tcW w:w="916"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1.079 </w:t>
            </w:r>
          </w:p>
        </w:tc>
        <w:tc>
          <w:tcPr>
            <w:tcW w:w="900"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1.100 </w:t>
            </w:r>
          </w:p>
        </w:tc>
        <w:tc>
          <w:tcPr>
            <w:tcW w:w="914"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1.120 </w:t>
            </w:r>
          </w:p>
        </w:tc>
        <w:tc>
          <w:tcPr>
            <w:tcW w:w="1014"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1.143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8" w:type="dxa"/>
            <w:tcBorders>
              <w:top w:val="nil"/>
              <w:left w:val="single" w:color="auto" w:sz="8" w:space="0"/>
              <w:bottom w:val="single" w:color="auto" w:sz="8" w:space="0"/>
              <w:right w:val="single" w:color="auto" w:sz="8" w:space="0"/>
            </w:tcBorders>
            <w:vAlign w:val="bottom"/>
          </w:tcPr>
          <w:p>
            <w:pPr>
              <w:shd w:val="clear" w:color="auto" w:fill="FFFFFF"/>
              <w:spacing w:line="300" w:lineRule="exact"/>
              <w:ind w:left="-105" w:leftChars="-50" w:right="-105" w:rightChars="-50"/>
              <w:jc w:val="center"/>
            </w:pPr>
            <w:r>
              <w:t>容积率</w:t>
            </w:r>
          </w:p>
        </w:tc>
        <w:tc>
          <w:tcPr>
            <w:tcW w:w="899"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2.5</w:t>
            </w:r>
          </w:p>
        </w:tc>
        <w:tc>
          <w:tcPr>
            <w:tcW w:w="899"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2.6</w:t>
            </w:r>
          </w:p>
        </w:tc>
        <w:tc>
          <w:tcPr>
            <w:tcW w:w="914"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2.7</w:t>
            </w:r>
          </w:p>
        </w:tc>
        <w:tc>
          <w:tcPr>
            <w:tcW w:w="899" w:type="dxa"/>
            <w:tcBorders>
              <w:top w:val="nil"/>
              <w:left w:val="nil"/>
              <w:bottom w:val="single" w:color="auto" w:sz="8" w:space="0"/>
              <w:right w:val="single" w:color="auto" w:sz="8" w:space="0"/>
            </w:tcBorders>
            <w:vAlign w:val="bottom"/>
          </w:tcPr>
          <w:p>
            <w:pPr>
              <w:shd w:val="clear" w:color="auto" w:fill="FFFFFF"/>
              <w:jc w:val="center"/>
              <w:rPr>
                <w:szCs w:val="21"/>
              </w:rPr>
            </w:pPr>
            <w:r>
              <w:rPr>
                <w:szCs w:val="21"/>
              </w:rPr>
              <w:t>2.8</w:t>
            </w:r>
          </w:p>
        </w:tc>
        <w:tc>
          <w:tcPr>
            <w:tcW w:w="902"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2.9</w:t>
            </w:r>
          </w:p>
        </w:tc>
        <w:tc>
          <w:tcPr>
            <w:tcW w:w="899"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3</w:t>
            </w:r>
          </w:p>
        </w:tc>
        <w:tc>
          <w:tcPr>
            <w:tcW w:w="916"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3.1</w:t>
            </w:r>
          </w:p>
        </w:tc>
        <w:tc>
          <w:tcPr>
            <w:tcW w:w="900"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3.2</w:t>
            </w:r>
          </w:p>
        </w:tc>
        <w:tc>
          <w:tcPr>
            <w:tcW w:w="914"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3.3</w:t>
            </w:r>
          </w:p>
        </w:tc>
        <w:tc>
          <w:tcPr>
            <w:tcW w:w="1014"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8" w:type="dxa"/>
            <w:tcBorders>
              <w:top w:val="nil"/>
              <w:left w:val="single" w:color="auto" w:sz="8" w:space="0"/>
              <w:bottom w:val="single" w:color="auto" w:sz="8" w:space="0"/>
              <w:right w:val="single" w:color="auto" w:sz="8" w:space="0"/>
            </w:tcBorders>
            <w:vAlign w:val="bottom"/>
          </w:tcPr>
          <w:p>
            <w:pPr>
              <w:shd w:val="clear" w:color="auto" w:fill="FFFFFF"/>
              <w:spacing w:line="300" w:lineRule="exact"/>
              <w:ind w:left="-105" w:leftChars="-50" w:right="-105" w:rightChars="-50"/>
              <w:jc w:val="center"/>
            </w:pPr>
            <w:r>
              <w:t>比值</w:t>
            </w:r>
          </w:p>
        </w:tc>
        <w:tc>
          <w:tcPr>
            <w:tcW w:w="899"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1.160</w:t>
            </w:r>
          </w:p>
        </w:tc>
        <w:tc>
          <w:tcPr>
            <w:tcW w:w="899"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1.181</w:t>
            </w:r>
          </w:p>
        </w:tc>
        <w:tc>
          <w:tcPr>
            <w:tcW w:w="914"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1.199</w:t>
            </w:r>
          </w:p>
        </w:tc>
        <w:tc>
          <w:tcPr>
            <w:tcW w:w="899"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1.219</w:t>
            </w:r>
          </w:p>
        </w:tc>
        <w:tc>
          <w:tcPr>
            <w:tcW w:w="902"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1.237</w:t>
            </w:r>
          </w:p>
        </w:tc>
        <w:tc>
          <w:tcPr>
            <w:tcW w:w="899"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1.255</w:t>
            </w:r>
          </w:p>
        </w:tc>
        <w:tc>
          <w:tcPr>
            <w:tcW w:w="916"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1.273</w:t>
            </w:r>
          </w:p>
        </w:tc>
        <w:tc>
          <w:tcPr>
            <w:tcW w:w="900"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1.291</w:t>
            </w:r>
          </w:p>
        </w:tc>
        <w:tc>
          <w:tcPr>
            <w:tcW w:w="914"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1.308</w:t>
            </w:r>
          </w:p>
        </w:tc>
        <w:tc>
          <w:tcPr>
            <w:tcW w:w="1014"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1.324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8" w:type="dxa"/>
            <w:tcBorders>
              <w:top w:val="nil"/>
              <w:left w:val="single" w:color="auto" w:sz="8" w:space="0"/>
              <w:bottom w:val="single" w:color="auto" w:sz="8" w:space="0"/>
              <w:right w:val="single" w:color="auto" w:sz="8" w:space="0"/>
            </w:tcBorders>
            <w:vAlign w:val="bottom"/>
          </w:tcPr>
          <w:p>
            <w:pPr>
              <w:shd w:val="clear" w:color="auto" w:fill="FFFFFF"/>
              <w:spacing w:line="300" w:lineRule="exact"/>
              <w:ind w:left="-105" w:leftChars="-50" w:right="-105" w:rightChars="-50"/>
              <w:jc w:val="center"/>
            </w:pPr>
            <w:r>
              <w:t>容积率</w:t>
            </w:r>
          </w:p>
        </w:tc>
        <w:tc>
          <w:tcPr>
            <w:tcW w:w="899"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3.5</w:t>
            </w:r>
          </w:p>
        </w:tc>
        <w:tc>
          <w:tcPr>
            <w:tcW w:w="899"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3.6</w:t>
            </w:r>
          </w:p>
        </w:tc>
        <w:tc>
          <w:tcPr>
            <w:tcW w:w="914"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3.7</w:t>
            </w:r>
          </w:p>
        </w:tc>
        <w:tc>
          <w:tcPr>
            <w:tcW w:w="899"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3.8</w:t>
            </w:r>
          </w:p>
        </w:tc>
        <w:tc>
          <w:tcPr>
            <w:tcW w:w="902"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3.9</w:t>
            </w:r>
          </w:p>
        </w:tc>
        <w:tc>
          <w:tcPr>
            <w:tcW w:w="899"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4</w:t>
            </w:r>
          </w:p>
        </w:tc>
        <w:tc>
          <w:tcPr>
            <w:tcW w:w="916"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4.1</w:t>
            </w:r>
          </w:p>
        </w:tc>
        <w:tc>
          <w:tcPr>
            <w:tcW w:w="900"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4.2</w:t>
            </w:r>
          </w:p>
        </w:tc>
        <w:tc>
          <w:tcPr>
            <w:tcW w:w="914"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4.3</w:t>
            </w:r>
          </w:p>
        </w:tc>
        <w:tc>
          <w:tcPr>
            <w:tcW w:w="1014"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8" w:type="dxa"/>
            <w:tcBorders>
              <w:top w:val="nil"/>
              <w:left w:val="single" w:color="auto" w:sz="8" w:space="0"/>
              <w:bottom w:val="single" w:color="auto" w:sz="8" w:space="0"/>
              <w:right w:val="single" w:color="auto" w:sz="8" w:space="0"/>
            </w:tcBorders>
            <w:vAlign w:val="bottom"/>
          </w:tcPr>
          <w:p>
            <w:pPr>
              <w:shd w:val="clear" w:color="auto" w:fill="FFFFFF"/>
              <w:spacing w:line="300" w:lineRule="exact"/>
              <w:ind w:left="-105" w:leftChars="-50" w:right="-105" w:rightChars="-50"/>
              <w:jc w:val="center"/>
            </w:pPr>
            <w:r>
              <w:t>比值</w:t>
            </w:r>
          </w:p>
        </w:tc>
        <w:tc>
          <w:tcPr>
            <w:tcW w:w="899"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1.342 </w:t>
            </w:r>
          </w:p>
        </w:tc>
        <w:tc>
          <w:tcPr>
            <w:tcW w:w="899"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1.358 </w:t>
            </w:r>
          </w:p>
        </w:tc>
        <w:tc>
          <w:tcPr>
            <w:tcW w:w="914"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1.374 </w:t>
            </w:r>
          </w:p>
        </w:tc>
        <w:tc>
          <w:tcPr>
            <w:tcW w:w="899"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1.390 </w:t>
            </w:r>
          </w:p>
        </w:tc>
        <w:tc>
          <w:tcPr>
            <w:tcW w:w="902"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1.406 </w:t>
            </w:r>
          </w:p>
        </w:tc>
        <w:tc>
          <w:tcPr>
            <w:tcW w:w="899"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1.421 </w:t>
            </w:r>
          </w:p>
        </w:tc>
        <w:tc>
          <w:tcPr>
            <w:tcW w:w="916"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1.436 </w:t>
            </w:r>
          </w:p>
        </w:tc>
        <w:tc>
          <w:tcPr>
            <w:tcW w:w="900"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1.451 </w:t>
            </w:r>
          </w:p>
        </w:tc>
        <w:tc>
          <w:tcPr>
            <w:tcW w:w="914"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1.465 </w:t>
            </w:r>
          </w:p>
        </w:tc>
        <w:tc>
          <w:tcPr>
            <w:tcW w:w="1014" w:type="dxa"/>
            <w:tcBorders>
              <w:top w:val="nil"/>
              <w:left w:val="nil"/>
              <w:bottom w:val="single" w:color="auto" w:sz="8" w:space="0"/>
              <w:right w:val="single" w:color="auto" w:sz="8" w:space="0"/>
            </w:tcBorders>
            <w:vAlign w:val="bottom"/>
          </w:tcPr>
          <w:p>
            <w:pPr>
              <w:jc w:val="right"/>
              <w:rPr>
                <w:rFonts w:ascii="宋体" w:hAnsi="宋体" w:cs="宋体"/>
                <w:color w:val="000000"/>
                <w:sz w:val="22"/>
                <w:szCs w:val="22"/>
              </w:rPr>
            </w:pPr>
            <w:r>
              <w:rPr>
                <w:rFonts w:hint="eastAsia"/>
                <w:color w:val="000000"/>
                <w:sz w:val="22"/>
                <w:szCs w:val="22"/>
              </w:rPr>
              <w:t xml:space="preserve">1.479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8" w:type="dxa"/>
            <w:tcBorders>
              <w:top w:val="nil"/>
              <w:left w:val="single" w:color="auto" w:sz="8" w:space="0"/>
              <w:bottom w:val="single" w:color="auto" w:sz="8" w:space="0"/>
              <w:right w:val="single" w:color="auto" w:sz="8" w:space="0"/>
            </w:tcBorders>
            <w:vAlign w:val="bottom"/>
          </w:tcPr>
          <w:p>
            <w:pPr>
              <w:shd w:val="clear" w:color="auto" w:fill="FFFFFF"/>
              <w:spacing w:line="300" w:lineRule="exact"/>
              <w:ind w:left="-105" w:leftChars="-50" w:right="-105" w:rightChars="-50"/>
              <w:jc w:val="center"/>
            </w:pPr>
            <w:r>
              <w:t>容积率</w:t>
            </w:r>
          </w:p>
        </w:tc>
        <w:tc>
          <w:tcPr>
            <w:tcW w:w="899"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4.5</w:t>
            </w:r>
          </w:p>
        </w:tc>
        <w:tc>
          <w:tcPr>
            <w:tcW w:w="899"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4.6</w:t>
            </w:r>
          </w:p>
        </w:tc>
        <w:tc>
          <w:tcPr>
            <w:tcW w:w="914"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4.7</w:t>
            </w:r>
          </w:p>
        </w:tc>
        <w:tc>
          <w:tcPr>
            <w:tcW w:w="899"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4.8</w:t>
            </w:r>
          </w:p>
        </w:tc>
        <w:tc>
          <w:tcPr>
            <w:tcW w:w="902"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4.9</w:t>
            </w:r>
          </w:p>
        </w:tc>
        <w:tc>
          <w:tcPr>
            <w:tcW w:w="899" w:type="dxa"/>
            <w:tcBorders>
              <w:top w:val="nil"/>
              <w:left w:val="nil"/>
              <w:bottom w:val="single" w:color="auto" w:sz="8" w:space="0"/>
              <w:right w:val="single" w:color="auto" w:sz="8" w:space="0"/>
            </w:tcBorders>
            <w:vAlign w:val="bottom"/>
          </w:tcPr>
          <w:p>
            <w:pPr>
              <w:shd w:val="clear" w:color="auto" w:fill="FFFFFF"/>
              <w:jc w:val="center"/>
              <w:rPr>
                <w:color w:val="000000"/>
                <w:szCs w:val="21"/>
              </w:rPr>
            </w:pPr>
            <w:r>
              <w:rPr>
                <w:color w:val="000000"/>
                <w:szCs w:val="21"/>
              </w:rPr>
              <w:t>5</w:t>
            </w:r>
          </w:p>
        </w:tc>
        <w:tc>
          <w:tcPr>
            <w:tcW w:w="916" w:type="dxa"/>
            <w:tcBorders>
              <w:top w:val="nil"/>
              <w:left w:val="nil"/>
              <w:bottom w:val="single" w:color="auto" w:sz="8" w:space="0"/>
              <w:right w:val="single" w:color="auto" w:sz="8" w:space="0"/>
            </w:tcBorders>
            <w:vAlign w:val="bottom"/>
          </w:tcPr>
          <w:p>
            <w:pPr>
              <w:shd w:val="clear" w:color="auto" w:fill="FFFFFF"/>
              <w:jc w:val="center"/>
              <w:rPr>
                <w:color w:val="000000"/>
                <w:szCs w:val="21"/>
              </w:rPr>
            </w:pPr>
          </w:p>
        </w:tc>
        <w:tc>
          <w:tcPr>
            <w:tcW w:w="900" w:type="dxa"/>
            <w:tcBorders>
              <w:top w:val="nil"/>
              <w:left w:val="nil"/>
              <w:bottom w:val="single" w:color="auto" w:sz="8" w:space="0"/>
              <w:right w:val="single" w:color="auto" w:sz="8" w:space="0"/>
            </w:tcBorders>
            <w:vAlign w:val="bottom"/>
          </w:tcPr>
          <w:p>
            <w:pPr>
              <w:shd w:val="clear" w:color="auto" w:fill="FFFFFF"/>
              <w:jc w:val="center"/>
              <w:rPr>
                <w:color w:val="000000"/>
                <w:szCs w:val="21"/>
              </w:rPr>
            </w:pPr>
          </w:p>
        </w:tc>
        <w:tc>
          <w:tcPr>
            <w:tcW w:w="914" w:type="dxa"/>
            <w:tcBorders>
              <w:top w:val="nil"/>
              <w:left w:val="nil"/>
              <w:bottom w:val="single" w:color="auto" w:sz="8" w:space="0"/>
              <w:right w:val="single" w:color="auto" w:sz="8" w:space="0"/>
            </w:tcBorders>
            <w:vAlign w:val="bottom"/>
          </w:tcPr>
          <w:p>
            <w:pPr>
              <w:shd w:val="clear" w:color="auto" w:fill="FFFFFF"/>
              <w:jc w:val="center"/>
              <w:rPr>
                <w:color w:val="000000"/>
                <w:szCs w:val="21"/>
              </w:rPr>
            </w:pPr>
          </w:p>
        </w:tc>
        <w:tc>
          <w:tcPr>
            <w:tcW w:w="1014" w:type="dxa"/>
            <w:tcBorders>
              <w:top w:val="nil"/>
              <w:left w:val="nil"/>
              <w:bottom w:val="single" w:color="auto" w:sz="8" w:space="0"/>
              <w:right w:val="single" w:color="auto" w:sz="8" w:space="0"/>
            </w:tcBorders>
            <w:vAlign w:val="bottom"/>
          </w:tcPr>
          <w:p>
            <w:pPr>
              <w:shd w:val="clear" w:color="auto" w:fill="FFFFFF"/>
              <w:jc w:val="center"/>
              <w:rPr>
                <w:color w:val="00000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28" w:type="dxa"/>
            <w:tcBorders>
              <w:top w:val="nil"/>
              <w:left w:val="single" w:color="auto" w:sz="8" w:space="0"/>
              <w:bottom w:val="single" w:color="auto" w:sz="8" w:space="0"/>
              <w:right w:val="single" w:color="auto" w:sz="8" w:space="0"/>
            </w:tcBorders>
            <w:vAlign w:val="bottom"/>
          </w:tcPr>
          <w:p>
            <w:pPr>
              <w:shd w:val="clear" w:color="auto" w:fill="FFFFFF"/>
              <w:spacing w:line="300" w:lineRule="exact"/>
              <w:ind w:left="-105" w:leftChars="-50" w:right="-105" w:rightChars="-50"/>
              <w:jc w:val="center"/>
            </w:pPr>
            <w:r>
              <w:t>比值</w:t>
            </w:r>
          </w:p>
        </w:tc>
        <w:tc>
          <w:tcPr>
            <w:tcW w:w="899"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1.493</w:t>
            </w:r>
          </w:p>
        </w:tc>
        <w:tc>
          <w:tcPr>
            <w:tcW w:w="899"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1.506</w:t>
            </w:r>
          </w:p>
        </w:tc>
        <w:tc>
          <w:tcPr>
            <w:tcW w:w="914"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1.52</w:t>
            </w:r>
          </w:p>
        </w:tc>
        <w:tc>
          <w:tcPr>
            <w:tcW w:w="899"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1.533</w:t>
            </w:r>
          </w:p>
        </w:tc>
        <w:tc>
          <w:tcPr>
            <w:tcW w:w="902"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1.545</w:t>
            </w:r>
          </w:p>
        </w:tc>
        <w:tc>
          <w:tcPr>
            <w:tcW w:w="899" w:type="dxa"/>
            <w:tcBorders>
              <w:top w:val="nil"/>
              <w:left w:val="nil"/>
              <w:bottom w:val="single" w:color="auto" w:sz="8" w:space="0"/>
              <w:right w:val="single" w:color="auto" w:sz="8" w:space="0"/>
            </w:tcBorders>
            <w:vAlign w:val="bottom"/>
          </w:tcPr>
          <w:p>
            <w:pPr>
              <w:jc w:val="center"/>
              <w:rPr>
                <w:rFonts w:ascii="宋体" w:hAnsi="宋体" w:cs="宋体"/>
                <w:color w:val="000000"/>
                <w:sz w:val="22"/>
                <w:szCs w:val="22"/>
              </w:rPr>
            </w:pPr>
            <w:r>
              <w:rPr>
                <w:rFonts w:hint="eastAsia"/>
                <w:color w:val="000000"/>
                <w:sz w:val="22"/>
                <w:szCs w:val="22"/>
              </w:rPr>
              <w:t>1.558</w:t>
            </w:r>
          </w:p>
        </w:tc>
        <w:tc>
          <w:tcPr>
            <w:tcW w:w="916" w:type="dxa"/>
            <w:tcBorders>
              <w:top w:val="nil"/>
              <w:left w:val="nil"/>
              <w:bottom w:val="single" w:color="auto" w:sz="8" w:space="0"/>
              <w:right w:val="single" w:color="auto" w:sz="8" w:space="0"/>
            </w:tcBorders>
            <w:vAlign w:val="bottom"/>
          </w:tcPr>
          <w:p>
            <w:pPr>
              <w:shd w:val="clear" w:color="auto" w:fill="FFFFFF"/>
              <w:jc w:val="center"/>
              <w:rPr>
                <w:color w:val="000000"/>
                <w:szCs w:val="21"/>
              </w:rPr>
            </w:pPr>
          </w:p>
        </w:tc>
        <w:tc>
          <w:tcPr>
            <w:tcW w:w="900" w:type="dxa"/>
            <w:tcBorders>
              <w:top w:val="nil"/>
              <w:left w:val="nil"/>
              <w:bottom w:val="single" w:color="auto" w:sz="8" w:space="0"/>
              <w:right w:val="single" w:color="auto" w:sz="8" w:space="0"/>
            </w:tcBorders>
            <w:vAlign w:val="bottom"/>
          </w:tcPr>
          <w:p>
            <w:pPr>
              <w:shd w:val="clear" w:color="auto" w:fill="FFFFFF"/>
              <w:jc w:val="center"/>
              <w:rPr>
                <w:color w:val="000000"/>
                <w:szCs w:val="21"/>
              </w:rPr>
            </w:pPr>
          </w:p>
        </w:tc>
        <w:tc>
          <w:tcPr>
            <w:tcW w:w="914" w:type="dxa"/>
            <w:tcBorders>
              <w:top w:val="nil"/>
              <w:left w:val="nil"/>
              <w:bottom w:val="single" w:color="auto" w:sz="8" w:space="0"/>
              <w:right w:val="single" w:color="auto" w:sz="8" w:space="0"/>
            </w:tcBorders>
            <w:vAlign w:val="bottom"/>
          </w:tcPr>
          <w:p>
            <w:pPr>
              <w:shd w:val="clear" w:color="auto" w:fill="FFFFFF"/>
              <w:jc w:val="center"/>
              <w:rPr>
                <w:color w:val="000000"/>
                <w:szCs w:val="21"/>
              </w:rPr>
            </w:pPr>
          </w:p>
        </w:tc>
        <w:tc>
          <w:tcPr>
            <w:tcW w:w="1014" w:type="dxa"/>
            <w:tcBorders>
              <w:top w:val="nil"/>
              <w:left w:val="nil"/>
              <w:bottom w:val="single" w:color="auto" w:sz="8" w:space="0"/>
              <w:right w:val="single" w:color="auto" w:sz="8" w:space="0"/>
            </w:tcBorders>
            <w:vAlign w:val="bottom"/>
          </w:tcPr>
          <w:p>
            <w:pPr>
              <w:shd w:val="clear" w:color="auto" w:fill="FFFFFF"/>
              <w:jc w:val="center"/>
              <w:rPr>
                <w:color w:val="000000"/>
                <w:szCs w:val="21"/>
              </w:rPr>
            </w:pPr>
          </w:p>
        </w:tc>
      </w:tr>
    </w:tbl>
    <w:p>
      <w:pPr>
        <w:pStyle w:val="131"/>
        <w:shd w:val="clear" w:color="auto" w:fill="FFFFFF"/>
        <w:spacing w:beforeLines="50" w:afterLines="50" w:line="360" w:lineRule="auto"/>
        <w:ind w:firstLine="0" w:firstLineChars="0"/>
        <w:rPr>
          <w:rFonts w:ascii="Times New Roman" w:hAnsi="Times New Roman" w:eastAsia="黑体"/>
          <w:bCs w:val="0"/>
          <w:sz w:val="24"/>
          <w:szCs w:val="24"/>
        </w:rPr>
      </w:pPr>
      <w:r>
        <w:rPr>
          <w:rFonts w:ascii="Times New Roman" w:hAnsi="Times New Roman" w:eastAsia="黑体"/>
          <w:bCs w:val="0"/>
          <w:sz w:val="24"/>
          <w:szCs w:val="24"/>
        </w:rPr>
        <w:br w:type="page"/>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5-4-38  与市区对接的重点区域和一等镇Ⅱ</w:t>
      </w:r>
      <w:r>
        <w:rPr>
          <w:rFonts w:ascii="Times New Roman" w:hAnsi="Times New Roman"/>
          <w:sz w:val="24"/>
          <w:szCs w:val="24"/>
        </w:rPr>
        <w:t>级商业用地容积率修正系数表</w:t>
      </w:r>
    </w:p>
    <w:tbl>
      <w:tblPr>
        <w:tblW w:w="101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0"/>
        <w:gridCol w:w="899"/>
        <w:gridCol w:w="899"/>
        <w:gridCol w:w="899"/>
        <w:gridCol w:w="899"/>
        <w:gridCol w:w="899"/>
        <w:gridCol w:w="899"/>
        <w:gridCol w:w="920"/>
        <w:gridCol w:w="899"/>
        <w:gridCol w:w="899"/>
        <w:gridCol w:w="1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300" w:lineRule="exact"/>
              <w:ind w:left="-105" w:leftChars="-50" w:right="-105" w:rightChars="-50"/>
              <w:jc w:val="center"/>
            </w:pPr>
            <w:r>
              <w:t>容积率</w:t>
            </w:r>
          </w:p>
        </w:tc>
        <w:tc>
          <w:tcPr>
            <w:tcW w:w="899"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≤0.5</w:t>
            </w:r>
          </w:p>
        </w:tc>
        <w:tc>
          <w:tcPr>
            <w:tcW w:w="899"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0.6</w:t>
            </w:r>
          </w:p>
        </w:tc>
        <w:tc>
          <w:tcPr>
            <w:tcW w:w="899"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0.7</w:t>
            </w:r>
          </w:p>
        </w:tc>
        <w:tc>
          <w:tcPr>
            <w:tcW w:w="899"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0.8</w:t>
            </w:r>
          </w:p>
        </w:tc>
        <w:tc>
          <w:tcPr>
            <w:tcW w:w="899"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0.9</w:t>
            </w:r>
          </w:p>
        </w:tc>
        <w:tc>
          <w:tcPr>
            <w:tcW w:w="899"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1</w:t>
            </w:r>
          </w:p>
        </w:tc>
        <w:tc>
          <w:tcPr>
            <w:tcW w:w="920"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1.1</w:t>
            </w:r>
          </w:p>
        </w:tc>
        <w:tc>
          <w:tcPr>
            <w:tcW w:w="899"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1.2</w:t>
            </w:r>
          </w:p>
        </w:tc>
        <w:tc>
          <w:tcPr>
            <w:tcW w:w="899"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1.3</w:t>
            </w:r>
          </w:p>
        </w:tc>
        <w:tc>
          <w:tcPr>
            <w:tcW w:w="1000"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4"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比值</w:t>
            </w:r>
          </w:p>
        </w:tc>
        <w:tc>
          <w:tcPr>
            <w:tcW w:w="899" w:type="dxa"/>
            <w:tcBorders>
              <w:top w:val="single" w:color="auto" w:sz="4"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0.642</w:t>
            </w:r>
          </w:p>
        </w:tc>
        <w:tc>
          <w:tcPr>
            <w:tcW w:w="899" w:type="dxa"/>
            <w:tcBorders>
              <w:top w:val="single" w:color="auto" w:sz="4"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0.671</w:t>
            </w:r>
          </w:p>
        </w:tc>
        <w:tc>
          <w:tcPr>
            <w:tcW w:w="899" w:type="dxa"/>
            <w:tcBorders>
              <w:top w:val="single" w:color="auto" w:sz="4"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0.705</w:t>
            </w:r>
          </w:p>
        </w:tc>
        <w:tc>
          <w:tcPr>
            <w:tcW w:w="899" w:type="dxa"/>
            <w:tcBorders>
              <w:top w:val="single" w:color="auto" w:sz="4" w:space="0"/>
              <w:left w:val="nil"/>
              <w:bottom w:val="single" w:color="auto" w:sz="8" w:space="0"/>
              <w:right w:val="single" w:color="auto" w:sz="8" w:space="0"/>
            </w:tcBorders>
            <w:vAlign w:val="bottom"/>
          </w:tcPr>
          <w:p>
            <w:pPr>
              <w:jc w:val="center"/>
              <w:rPr>
                <w:color w:val="000000"/>
                <w:szCs w:val="21"/>
              </w:rPr>
            </w:pPr>
            <w:r>
              <w:rPr>
                <w:color w:val="000000"/>
                <w:szCs w:val="21"/>
              </w:rPr>
              <w:t>0.74</w:t>
            </w:r>
          </w:p>
        </w:tc>
        <w:tc>
          <w:tcPr>
            <w:tcW w:w="899" w:type="dxa"/>
            <w:tcBorders>
              <w:top w:val="single" w:color="auto" w:sz="4" w:space="0"/>
              <w:left w:val="nil"/>
              <w:bottom w:val="single" w:color="auto" w:sz="8" w:space="0"/>
              <w:right w:val="single" w:color="auto" w:sz="8" w:space="0"/>
            </w:tcBorders>
            <w:vAlign w:val="bottom"/>
          </w:tcPr>
          <w:p>
            <w:pPr>
              <w:jc w:val="center"/>
              <w:rPr>
                <w:color w:val="000000"/>
                <w:szCs w:val="21"/>
              </w:rPr>
            </w:pPr>
            <w:r>
              <w:rPr>
                <w:color w:val="000000"/>
                <w:szCs w:val="21"/>
              </w:rPr>
              <w:t>0.773</w:t>
            </w:r>
          </w:p>
        </w:tc>
        <w:tc>
          <w:tcPr>
            <w:tcW w:w="899" w:type="dxa"/>
            <w:tcBorders>
              <w:top w:val="single" w:color="auto" w:sz="4" w:space="0"/>
              <w:left w:val="nil"/>
              <w:bottom w:val="single" w:color="auto" w:sz="8" w:space="0"/>
              <w:right w:val="single" w:color="auto" w:sz="8" w:space="0"/>
            </w:tcBorders>
            <w:vAlign w:val="bottom"/>
          </w:tcPr>
          <w:p>
            <w:pPr>
              <w:jc w:val="center"/>
              <w:rPr>
                <w:color w:val="000000"/>
                <w:szCs w:val="21"/>
              </w:rPr>
            </w:pPr>
            <w:r>
              <w:rPr>
                <w:color w:val="000000"/>
                <w:szCs w:val="21"/>
              </w:rPr>
              <w:t>0.806</w:t>
            </w:r>
          </w:p>
        </w:tc>
        <w:tc>
          <w:tcPr>
            <w:tcW w:w="920" w:type="dxa"/>
            <w:tcBorders>
              <w:top w:val="single" w:color="auto" w:sz="4" w:space="0"/>
              <w:left w:val="nil"/>
              <w:bottom w:val="single" w:color="auto" w:sz="8" w:space="0"/>
              <w:right w:val="single" w:color="auto" w:sz="8" w:space="0"/>
            </w:tcBorders>
            <w:vAlign w:val="bottom"/>
          </w:tcPr>
          <w:p>
            <w:pPr>
              <w:jc w:val="center"/>
              <w:rPr>
                <w:color w:val="000000"/>
                <w:szCs w:val="21"/>
              </w:rPr>
            </w:pPr>
            <w:r>
              <w:rPr>
                <w:color w:val="000000"/>
                <w:szCs w:val="21"/>
              </w:rPr>
              <w:t>0.839</w:t>
            </w:r>
          </w:p>
        </w:tc>
        <w:tc>
          <w:tcPr>
            <w:tcW w:w="899" w:type="dxa"/>
            <w:tcBorders>
              <w:top w:val="single" w:color="auto" w:sz="4" w:space="0"/>
              <w:left w:val="nil"/>
              <w:bottom w:val="single" w:color="auto" w:sz="8" w:space="0"/>
              <w:right w:val="single" w:color="auto" w:sz="4" w:space="0"/>
            </w:tcBorders>
            <w:vAlign w:val="bottom"/>
          </w:tcPr>
          <w:p>
            <w:pPr>
              <w:jc w:val="center"/>
              <w:rPr>
                <w:color w:val="000000"/>
                <w:szCs w:val="21"/>
              </w:rPr>
            </w:pPr>
            <w:r>
              <w:rPr>
                <w:color w:val="000000"/>
                <w:szCs w:val="21"/>
              </w:rPr>
              <w:t>0.871</w:t>
            </w:r>
          </w:p>
        </w:tc>
        <w:tc>
          <w:tcPr>
            <w:tcW w:w="899" w:type="dxa"/>
            <w:tcBorders>
              <w:top w:val="single" w:color="auto" w:sz="4"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0.903</w:t>
            </w:r>
          </w:p>
        </w:tc>
        <w:tc>
          <w:tcPr>
            <w:tcW w:w="1000" w:type="dxa"/>
            <w:tcBorders>
              <w:top w:val="single" w:color="auto" w:sz="4"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0.934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8"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容积率</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1.5</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1.6</w:t>
            </w:r>
          </w:p>
        </w:tc>
        <w:tc>
          <w:tcPr>
            <w:tcW w:w="899"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1.7</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1.8</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1.9</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2</w:t>
            </w:r>
          </w:p>
        </w:tc>
        <w:tc>
          <w:tcPr>
            <w:tcW w:w="920"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2.1</w:t>
            </w:r>
          </w:p>
        </w:tc>
        <w:tc>
          <w:tcPr>
            <w:tcW w:w="899" w:type="dxa"/>
            <w:tcBorders>
              <w:top w:val="single" w:color="auto" w:sz="8" w:space="0"/>
              <w:left w:val="nil"/>
              <w:bottom w:val="single" w:color="auto" w:sz="8" w:space="0"/>
              <w:right w:val="single" w:color="auto" w:sz="4" w:space="0"/>
            </w:tcBorders>
            <w:vAlign w:val="bottom"/>
          </w:tcPr>
          <w:p>
            <w:pPr>
              <w:jc w:val="center"/>
              <w:rPr>
                <w:color w:val="000000"/>
                <w:szCs w:val="21"/>
              </w:rPr>
            </w:pPr>
            <w:r>
              <w:rPr>
                <w:color w:val="000000"/>
                <w:szCs w:val="21"/>
              </w:rPr>
              <w:t>2.2</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2.3</w:t>
            </w:r>
          </w:p>
        </w:tc>
        <w:tc>
          <w:tcPr>
            <w:tcW w:w="1000"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8"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比值</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0.965</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1</w:t>
            </w:r>
          </w:p>
        </w:tc>
        <w:tc>
          <w:tcPr>
            <w:tcW w:w="899"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1.026</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1.055</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1.084</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1.113</w:t>
            </w:r>
          </w:p>
        </w:tc>
        <w:tc>
          <w:tcPr>
            <w:tcW w:w="920"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1.134</w:t>
            </w:r>
          </w:p>
        </w:tc>
        <w:tc>
          <w:tcPr>
            <w:tcW w:w="899" w:type="dxa"/>
            <w:tcBorders>
              <w:top w:val="single" w:color="auto" w:sz="8" w:space="0"/>
              <w:left w:val="nil"/>
              <w:bottom w:val="single" w:color="auto" w:sz="8" w:space="0"/>
              <w:right w:val="single" w:color="auto" w:sz="4" w:space="0"/>
            </w:tcBorders>
            <w:vAlign w:val="bottom"/>
          </w:tcPr>
          <w:p>
            <w:pPr>
              <w:jc w:val="center"/>
              <w:rPr>
                <w:color w:val="000000"/>
                <w:szCs w:val="21"/>
              </w:rPr>
            </w:pPr>
            <w:r>
              <w:rPr>
                <w:color w:val="000000"/>
                <w:szCs w:val="21"/>
              </w:rPr>
              <w:t>1.162</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1.184</w:t>
            </w:r>
          </w:p>
        </w:tc>
        <w:tc>
          <w:tcPr>
            <w:tcW w:w="1000"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1.206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40" w:hRule="atLeast"/>
          <w:jc w:val="center"/>
        </w:trPr>
        <w:tc>
          <w:tcPr>
            <w:tcW w:w="1060" w:type="dxa"/>
            <w:tcBorders>
              <w:top w:val="single" w:color="auto" w:sz="8"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容积率</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2.5</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2.6</w:t>
            </w:r>
          </w:p>
        </w:tc>
        <w:tc>
          <w:tcPr>
            <w:tcW w:w="899"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2.7</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2.8</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2.9</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3</w:t>
            </w:r>
          </w:p>
        </w:tc>
        <w:tc>
          <w:tcPr>
            <w:tcW w:w="920"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3.1</w:t>
            </w:r>
          </w:p>
        </w:tc>
        <w:tc>
          <w:tcPr>
            <w:tcW w:w="899" w:type="dxa"/>
            <w:tcBorders>
              <w:top w:val="single" w:color="auto" w:sz="8" w:space="0"/>
              <w:left w:val="nil"/>
              <w:bottom w:val="single" w:color="auto" w:sz="8" w:space="0"/>
              <w:right w:val="single" w:color="auto" w:sz="4" w:space="0"/>
            </w:tcBorders>
            <w:vAlign w:val="bottom"/>
          </w:tcPr>
          <w:p>
            <w:pPr>
              <w:jc w:val="center"/>
              <w:rPr>
                <w:color w:val="000000"/>
                <w:szCs w:val="21"/>
              </w:rPr>
            </w:pPr>
            <w:r>
              <w:rPr>
                <w:color w:val="000000"/>
                <w:szCs w:val="21"/>
              </w:rPr>
              <w:t>3.2</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3.3</w:t>
            </w:r>
          </w:p>
        </w:tc>
        <w:tc>
          <w:tcPr>
            <w:tcW w:w="1000"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8"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比值</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xml:space="preserve">1.226 </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xml:space="preserve">1.248 </w:t>
            </w:r>
          </w:p>
        </w:tc>
        <w:tc>
          <w:tcPr>
            <w:tcW w:w="899"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 xml:space="preserve">1.268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1.288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1.308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1.327 </w:t>
            </w:r>
          </w:p>
        </w:tc>
        <w:tc>
          <w:tcPr>
            <w:tcW w:w="920"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1.345 </w:t>
            </w:r>
          </w:p>
        </w:tc>
        <w:tc>
          <w:tcPr>
            <w:tcW w:w="899" w:type="dxa"/>
            <w:tcBorders>
              <w:top w:val="single" w:color="auto" w:sz="8" w:space="0"/>
              <w:left w:val="nil"/>
              <w:bottom w:val="single" w:color="auto" w:sz="8" w:space="0"/>
              <w:right w:val="single" w:color="auto" w:sz="4" w:space="0"/>
            </w:tcBorders>
            <w:vAlign w:val="bottom"/>
          </w:tcPr>
          <w:p>
            <w:pPr>
              <w:jc w:val="center"/>
              <w:rPr>
                <w:color w:val="000000"/>
                <w:szCs w:val="21"/>
              </w:rPr>
            </w:pPr>
            <w:r>
              <w:rPr>
                <w:color w:val="000000"/>
                <w:szCs w:val="21"/>
              </w:rPr>
              <w:t xml:space="preserve">1.365 </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xml:space="preserve">1.383 </w:t>
            </w:r>
          </w:p>
        </w:tc>
        <w:tc>
          <w:tcPr>
            <w:tcW w:w="1000"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 xml:space="preserve">1.400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8"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容积率</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3.5</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3.6</w:t>
            </w:r>
          </w:p>
        </w:tc>
        <w:tc>
          <w:tcPr>
            <w:tcW w:w="899"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3.7</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3.8</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3.9</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4</w:t>
            </w:r>
          </w:p>
        </w:tc>
        <w:tc>
          <w:tcPr>
            <w:tcW w:w="920"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4.1</w:t>
            </w:r>
          </w:p>
        </w:tc>
        <w:tc>
          <w:tcPr>
            <w:tcW w:w="899" w:type="dxa"/>
            <w:tcBorders>
              <w:top w:val="single" w:color="auto" w:sz="8" w:space="0"/>
              <w:left w:val="nil"/>
              <w:bottom w:val="single" w:color="auto" w:sz="8" w:space="0"/>
              <w:right w:val="single" w:color="auto" w:sz="4" w:space="0"/>
            </w:tcBorders>
            <w:vAlign w:val="bottom"/>
          </w:tcPr>
          <w:p>
            <w:pPr>
              <w:jc w:val="center"/>
              <w:rPr>
                <w:color w:val="000000"/>
                <w:szCs w:val="21"/>
              </w:rPr>
            </w:pPr>
            <w:r>
              <w:rPr>
                <w:color w:val="000000"/>
                <w:szCs w:val="21"/>
              </w:rPr>
              <w:t>4.2</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4.3</w:t>
            </w:r>
          </w:p>
        </w:tc>
        <w:tc>
          <w:tcPr>
            <w:tcW w:w="1000"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8"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比值</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xml:space="preserve">1.419 </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xml:space="preserve">1.436 </w:t>
            </w:r>
          </w:p>
        </w:tc>
        <w:tc>
          <w:tcPr>
            <w:tcW w:w="899"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 xml:space="preserve">1.453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1.470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1.486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1.502 </w:t>
            </w:r>
          </w:p>
        </w:tc>
        <w:tc>
          <w:tcPr>
            <w:tcW w:w="920"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1.518 </w:t>
            </w:r>
          </w:p>
        </w:tc>
        <w:tc>
          <w:tcPr>
            <w:tcW w:w="899" w:type="dxa"/>
            <w:tcBorders>
              <w:top w:val="single" w:color="auto" w:sz="8" w:space="0"/>
              <w:left w:val="nil"/>
              <w:bottom w:val="single" w:color="auto" w:sz="8" w:space="0"/>
              <w:right w:val="single" w:color="auto" w:sz="4" w:space="0"/>
            </w:tcBorders>
            <w:vAlign w:val="bottom"/>
          </w:tcPr>
          <w:p>
            <w:pPr>
              <w:jc w:val="center"/>
              <w:rPr>
                <w:color w:val="000000"/>
                <w:szCs w:val="21"/>
              </w:rPr>
            </w:pPr>
            <w:r>
              <w:rPr>
                <w:color w:val="000000"/>
                <w:szCs w:val="21"/>
              </w:rPr>
              <w:t xml:space="preserve">1.530 </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xml:space="preserve">1.541 </w:t>
            </w:r>
          </w:p>
        </w:tc>
        <w:tc>
          <w:tcPr>
            <w:tcW w:w="1000"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 xml:space="preserve">1.552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8"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容积率</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4.5</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4.6</w:t>
            </w:r>
          </w:p>
        </w:tc>
        <w:tc>
          <w:tcPr>
            <w:tcW w:w="899"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4.7</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4.8</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4.9</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rFonts w:hint="eastAsia"/>
                <w:color w:val="000000"/>
                <w:szCs w:val="21"/>
              </w:rPr>
              <w:t>≥</w:t>
            </w:r>
            <w:r>
              <w:rPr>
                <w:color w:val="000000"/>
                <w:szCs w:val="21"/>
              </w:rPr>
              <w:t>5</w:t>
            </w:r>
          </w:p>
        </w:tc>
        <w:tc>
          <w:tcPr>
            <w:tcW w:w="920"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w:t>
            </w:r>
          </w:p>
        </w:tc>
        <w:tc>
          <w:tcPr>
            <w:tcW w:w="899" w:type="dxa"/>
            <w:tcBorders>
              <w:top w:val="single" w:color="auto" w:sz="8" w:space="0"/>
              <w:left w:val="nil"/>
              <w:bottom w:val="single" w:color="auto" w:sz="8" w:space="0"/>
              <w:right w:val="single" w:color="auto" w:sz="4" w:space="0"/>
            </w:tcBorders>
            <w:vAlign w:val="bottom"/>
          </w:tcPr>
          <w:p>
            <w:pPr>
              <w:jc w:val="center"/>
              <w:rPr>
                <w:color w:val="000000"/>
                <w:szCs w:val="21"/>
              </w:rPr>
            </w:pPr>
            <w:r>
              <w:rPr>
                <w:color w:val="000000"/>
                <w:szCs w:val="21"/>
              </w:rPr>
              <w:t>　</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w:t>
            </w:r>
          </w:p>
        </w:tc>
        <w:tc>
          <w:tcPr>
            <w:tcW w:w="1000"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40" w:hRule="atLeast"/>
          <w:jc w:val="center"/>
        </w:trPr>
        <w:tc>
          <w:tcPr>
            <w:tcW w:w="1060" w:type="dxa"/>
            <w:tcBorders>
              <w:top w:val="single" w:color="auto" w:sz="8"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比值</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xml:space="preserve">1.563 </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xml:space="preserve">1.573 </w:t>
            </w:r>
          </w:p>
        </w:tc>
        <w:tc>
          <w:tcPr>
            <w:tcW w:w="899"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 xml:space="preserve">1.583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1.593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1.602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1.611 </w:t>
            </w:r>
          </w:p>
        </w:tc>
        <w:tc>
          <w:tcPr>
            <w:tcW w:w="920"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w:t>
            </w:r>
          </w:p>
        </w:tc>
        <w:tc>
          <w:tcPr>
            <w:tcW w:w="899" w:type="dxa"/>
            <w:tcBorders>
              <w:top w:val="single" w:color="auto" w:sz="8" w:space="0"/>
              <w:left w:val="nil"/>
              <w:bottom w:val="single" w:color="auto" w:sz="8" w:space="0"/>
              <w:right w:val="single" w:color="auto" w:sz="4" w:space="0"/>
            </w:tcBorders>
            <w:vAlign w:val="bottom"/>
          </w:tcPr>
          <w:p>
            <w:pPr>
              <w:jc w:val="center"/>
              <w:rPr>
                <w:color w:val="000000"/>
                <w:szCs w:val="21"/>
              </w:rPr>
            </w:pPr>
            <w:r>
              <w:rPr>
                <w:color w:val="000000"/>
                <w:szCs w:val="21"/>
              </w:rPr>
              <w:t>　</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w:t>
            </w:r>
          </w:p>
        </w:tc>
        <w:tc>
          <w:tcPr>
            <w:tcW w:w="1000"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　</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5-4-39  与市区对接的重点区域和一等镇Ⅲ</w:t>
      </w:r>
      <w:r>
        <w:rPr>
          <w:rFonts w:ascii="Times New Roman" w:hAnsi="Times New Roman"/>
          <w:sz w:val="24"/>
          <w:szCs w:val="24"/>
        </w:rPr>
        <w:t>级商业用地容积率修正系数表</w:t>
      </w:r>
    </w:p>
    <w:tbl>
      <w:tblPr>
        <w:tblW w:w="101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0"/>
        <w:gridCol w:w="899"/>
        <w:gridCol w:w="899"/>
        <w:gridCol w:w="899"/>
        <w:gridCol w:w="899"/>
        <w:gridCol w:w="899"/>
        <w:gridCol w:w="899"/>
        <w:gridCol w:w="920"/>
        <w:gridCol w:w="899"/>
        <w:gridCol w:w="899"/>
        <w:gridCol w:w="1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300" w:lineRule="exact"/>
              <w:ind w:left="-105" w:leftChars="-50" w:right="-105" w:rightChars="-50"/>
              <w:jc w:val="center"/>
            </w:pPr>
            <w:r>
              <w:t>容积率</w:t>
            </w:r>
          </w:p>
        </w:tc>
        <w:tc>
          <w:tcPr>
            <w:tcW w:w="899"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≤0.5</w:t>
            </w:r>
          </w:p>
        </w:tc>
        <w:tc>
          <w:tcPr>
            <w:tcW w:w="899"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0.6</w:t>
            </w:r>
          </w:p>
        </w:tc>
        <w:tc>
          <w:tcPr>
            <w:tcW w:w="899"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0.7</w:t>
            </w:r>
          </w:p>
        </w:tc>
        <w:tc>
          <w:tcPr>
            <w:tcW w:w="899"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0.8</w:t>
            </w:r>
          </w:p>
        </w:tc>
        <w:tc>
          <w:tcPr>
            <w:tcW w:w="899"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0.9</w:t>
            </w:r>
          </w:p>
        </w:tc>
        <w:tc>
          <w:tcPr>
            <w:tcW w:w="899"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1</w:t>
            </w:r>
          </w:p>
        </w:tc>
        <w:tc>
          <w:tcPr>
            <w:tcW w:w="920"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1.1</w:t>
            </w:r>
          </w:p>
        </w:tc>
        <w:tc>
          <w:tcPr>
            <w:tcW w:w="899"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1.2</w:t>
            </w:r>
          </w:p>
        </w:tc>
        <w:tc>
          <w:tcPr>
            <w:tcW w:w="899"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1.3</w:t>
            </w:r>
          </w:p>
        </w:tc>
        <w:tc>
          <w:tcPr>
            <w:tcW w:w="1000" w:type="dxa"/>
            <w:tcBorders>
              <w:top w:val="single" w:color="auto" w:sz="4" w:space="0"/>
              <w:left w:val="single" w:color="auto" w:sz="4" w:space="0"/>
              <w:bottom w:val="single" w:color="auto" w:sz="4" w:space="0"/>
              <w:right w:val="single" w:color="auto" w:sz="4" w:space="0"/>
            </w:tcBorders>
            <w:vAlign w:val="bottom"/>
          </w:tcPr>
          <w:p>
            <w:pPr>
              <w:jc w:val="center"/>
              <w:rPr>
                <w:color w:val="000000"/>
                <w:szCs w:val="21"/>
              </w:rPr>
            </w:pPr>
            <w:r>
              <w:rPr>
                <w:color w:val="000000"/>
                <w:szCs w:val="21"/>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4"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比值</w:t>
            </w:r>
          </w:p>
        </w:tc>
        <w:tc>
          <w:tcPr>
            <w:tcW w:w="899" w:type="dxa"/>
            <w:tcBorders>
              <w:top w:val="single" w:color="auto" w:sz="4"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0.679</w:t>
            </w:r>
          </w:p>
        </w:tc>
        <w:tc>
          <w:tcPr>
            <w:tcW w:w="899" w:type="dxa"/>
            <w:tcBorders>
              <w:top w:val="single" w:color="auto" w:sz="4"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0.714</w:t>
            </w:r>
          </w:p>
        </w:tc>
        <w:tc>
          <w:tcPr>
            <w:tcW w:w="899" w:type="dxa"/>
            <w:tcBorders>
              <w:top w:val="single" w:color="auto" w:sz="4"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0.751</w:t>
            </w:r>
          </w:p>
        </w:tc>
        <w:tc>
          <w:tcPr>
            <w:tcW w:w="899" w:type="dxa"/>
            <w:tcBorders>
              <w:top w:val="single" w:color="auto" w:sz="4" w:space="0"/>
              <w:left w:val="nil"/>
              <w:bottom w:val="single" w:color="auto" w:sz="8" w:space="0"/>
              <w:right w:val="single" w:color="auto" w:sz="8" w:space="0"/>
            </w:tcBorders>
            <w:vAlign w:val="bottom"/>
          </w:tcPr>
          <w:p>
            <w:pPr>
              <w:jc w:val="center"/>
              <w:rPr>
                <w:color w:val="000000"/>
                <w:szCs w:val="21"/>
              </w:rPr>
            </w:pPr>
            <w:r>
              <w:rPr>
                <w:color w:val="000000"/>
                <w:szCs w:val="21"/>
              </w:rPr>
              <w:t>0.788</w:t>
            </w:r>
          </w:p>
        </w:tc>
        <w:tc>
          <w:tcPr>
            <w:tcW w:w="899" w:type="dxa"/>
            <w:tcBorders>
              <w:top w:val="single" w:color="auto" w:sz="4" w:space="0"/>
              <w:left w:val="nil"/>
              <w:bottom w:val="single" w:color="auto" w:sz="8" w:space="0"/>
              <w:right w:val="single" w:color="auto" w:sz="8" w:space="0"/>
            </w:tcBorders>
            <w:vAlign w:val="bottom"/>
          </w:tcPr>
          <w:p>
            <w:pPr>
              <w:jc w:val="center"/>
              <w:rPr>
                <w:color w:val="000000"/>
                <w:szCs w:val="21"/>
              </w:rPr>
            </w:pPr>
            <w:r>
              <w:rPr>
                <w:color w:val="000000"/>
                <w:szCs w:val="21"/>
              </w:rPr>
              <w:t>0.823</w:t>
            </w:r>
          </w:p>
        </w:tc>
        <w:tc>
          <w:tcPr>
            <w:tcW w:w="899" w:type="dxa"/>
            <w:tcBorders>
              <w:top w:val="single" w:color="auto" w:sz="4" w:space="0"/>
              <w:left w:val="nil"/>
              <w:bottom w:val="single" w:color="auto" w:sz="8" w:space="0"/>
              <w:right w:val="single" w:color="auto" w:sz="8" w:space="0"/>
            </w:tcBorders>
            <w:vAlign w:val="bottom"/>
          </w:tcPr>
          <w:p>
            <w:pPr>
              <w:jc w:val="center"/>
              <w:rPr>
                <w:color w:val="000000"/>
                <w:szCs w:val="21"/>
              </w:rPr>
            </w:pPr>
            <w:r>
              <w:rPr>
                <w:color w:val="000000"/>
                <w:szCs w:val="21"/>
              </w:rPr>
              <w:t>0.858</w:t>
            </w:r>
          </w:p>
        </w:tc>
        <w:tc>
          <w:tcPr>
            <w:tcW w:w="920" w:type="dxa"/>
            <w:tcBorders>
              <w:top w:val="single" w:color="auto" w:sz="4" w:space="0"/>
              <w:left w:val="nil"/>
              <w:bottom w:val="single" w:color="auto" w:sz="8" w:space="0"/>
              <w:right w:val="single" w:color="auto" w:sz="8" w:space="0"/>
            </w:tcBorders>
            <w:vAlign w:val="bottom"/>
          </w:tcPr>
          <w:p>
            <w:pPr>
              <w:jc w:val="center"/>
              <w:rPr>
                <w:color w:val="000000"/>
                <w:szCs w:val="21"/>
              </w:rPr>
            </w:pPr>
            <w:r>
              <w:rPr>
                <w:color w:val="000000"/>
                <w:szCs w:val="21"/>
              </w:rPr>
              <w:t>0.894</w:t>
            </w:r>
          </w:p>
        </w:tc>
        <w:tc>
          <w:tcPr>
            <w:tcW w:w="899" w:type="dxa"/>
            <w:tcBorders>
              <w:top w:val="single" w:color="auto" w:sz="4" w:space="0"/>
              <w:left w:val="nil"/>
              <w:bottom w:val="single" w:color="auto" w:sz="8" w:space="0"/>
              <w:right w:val="single" w:color="auto" w:sz="4" w:space="0"/>
            </w:tcBorders>
            <w:vAlign w:val="bottom"/>
          </w:tcPr>
          <w:p>
            <w:pPr>
              <w:jc w:val="center"/>
              <w:rPr>
                <w:color w:val="000000"/>
                <w:szCs w:val="21"/>
              </w:rPr>
            </w:pPr>
            <w:r>
              <w:rPr>
                <w:color w:val="000000"/>
                <w:szCs w:val="21"/>
              </w:rPr>
              <w:t>0.928</w:t>
            </w:r>
          </w:p>
        </w:tc>
        <w:tc>
          <w:tcPr>
            <w:tcW w:w="899" w:type="dxa"/>
            <w:tcBorders>
              <w:top w:val="single" w:color="auto" w:sz="4"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0.962</w:t>
            </w:r>
          </w:p>
        </w:tc>
        <w:tc>
          <w:tcPr>
            <w:tcW w:w="1000" w:type="dxa"/>
            <w:tcBorders>
              <w:top w:val="single" w:color="auto" w:sz="4"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8"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容积率</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1.5</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1.6</w:t>
            </w:r>
          </w:p>
        </w:tc>
        <w:tc>
          <w:tcPr>
            <w:tcW w:w="899"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1.7</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1.8</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1.9</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2</w:t>
            </w:r>
          </w:p>
        </w:tc>
        <w:tc>
          <w:tcPr>
            <w:tcW w:w="920"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2.1</w:t>
            </w:r>
          </w:p>
        </w:tc>
        <w:tc>
          <w:tcPr>
            <w:tcW w:w="899" w:type="dxa"/>
            <w:tcBorders>
              <w:top w:val="single" w:color="auto" w:sz="8" w:space="0"/>
              <w:left w:val="nil"/>
              <w:bottom w:val="single" w:color="auto" w:sz="8" w:space="0"/>
              <w:right w:val="single" w:color="auto" w:sz="4" w:space="0"/>
            </w:tcBorders>
            <w:vAlign w:val="bottom"/>
          </w:tcPr>
          <w:p>
            <w:pPr>
              <w:jc w:val="center"/>
              <w:rPr>
                <w:color w:val="000000"/>
                <w:szCs w:val="21"/>
              </w:rPr>
            </w:pPr>
            <w:r>
              <w:rPr>
                <w:color w:val="000000"/>
                <w:szCs w:val="21"/>
              </w:rPr>
              <w:t>2.2</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2.3</w:t>
            </w:r>
          </w:p>
        </w:tc>
        <w:tc>
          <w:tcPr>
            <w:tcW w:w="1000"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8"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比值</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1.028</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1.06</w:t>
            </w:r>
          </w:p>
        </w:tc>
        <w:tc>
          <w:tcPr>
            <w:tcW w:w="899"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1.093</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1.123</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1.154</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1.185</w:t>
            </w:r>
          </w:p>
        </w:tc>
        <w:tc>
          <w:tcPr>
            <w:tcW w:w="920"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1.214</w:t>
            </w:r>
          </w:p>
        </w:tc>
        <w:tc>
          <w:tcPr>
            <w:tcW w:w="899" w:type="dxa"/>
            <w:tcBorders>
              <w:top w:val="single" w:color="auto" w:sz="8" w:space="0"/>
              <w:left w:val="nil"/>
              <w:bottom w:val="single" w:color="auto" w:sz="8" w:space="0"/>
              <w:right w:val="single" w:color="auto" w:sz="4" w:space="0"/>
            </w:tcBorders>
            <w:vAlign w:val="bottom"/>
          </w:tcPr>
          <w:p>
            <w:pPr>
              <w:jc w:val="center"/>
              <w:rPr>
                <w:color w:val="000000"/>
                <w:szCs w:val="21"/>
              </w:rPr>
            </w:pPr>
            <w:r>
              <w:rPr>
                <w:color w:val="000000"/>
                <w:szCs w:val="21"/>
              </w:rPr>
              <w:t>1.238</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1.261</w:t>
            </w:r>
          </w:p>
        </w:tc>
        <w:tc>
          <w:tcPr>
            <w:tcW w:w="1000"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1.284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8"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容积率</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2.5</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2.6</w:t>
            </w:r>
          </w:p>
        </w:tc>
        <w:tc>
          <w:tcPr>
            <w:tcW w:w="899"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2.7</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2.8</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2.9</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3</w:t>
            </w:r>
          </w:p>
        </w:tc>
        <w:tc>
          <w:tcPr>
            <w:tcW w:w="920"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3.1</w:t>
            </w:r>
          </w:p>
        </w:tc>
        <w:tc>
          <w:tcPr>
            <w:tcW w:w="899" w:type="dxa"/>
            <w:tcBorders>
              <w:top w:val="single" w:color="auto" w:sz="8" w:space="0"/>
              <w:left w:val="nil"/>
              <w:bottom w:val="single" w:color="auto" w:sz="8" w:space="0"/>
              <w:right w:val="single" w:color="auto" w:sz="4" w:space="0"/>
            </w:tcBorders>
            <w:vAlign w:val="bottom"/>
          </w:tcPr>
          <w:p>
            <w:pPr>
              <w:jc w:val="center"/>
              <w:rPr>
                <w:color w:val="000000"/>
                <w:szCs w:val="21"/>
              </w:rPr>
            </w:pPr>
            <w:r>
              <w:rPr>
                <w:color w:val="000000"/>
                <w:szCs w:val="21"/>
              </w:rPr>
              <w:t>3.2</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3.3</w:t>
            </w:r>
          </w:p>
        </w:tc>
        <w:tc>
          <w:tcPr>
            <w:tcW w:w="1000"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8"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比值</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xml:space="preserve">1.306 </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xml:space="preserve">1.329 </w:t>
            </w:r>
          </w:p>
        </w:tc>
        <w:tc>
          <w:tcPr>
            <w:tcW w:w="899"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 xml:space="preserve">1.350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1.372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1.393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1.413 </w:t>
            </w:r>
          </w:p>
        </w:tc>
        <w:tc>
          <w:tcPr>
            <w:tcW w:w="920"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1.433 </w:t>
            </w:r>
          </w:p>
        </w:tc>
        <w:tc>
          <w:tcPr>
            <w:tcW w:w="899" w:type="dxa"/>
            <w:tcBorders>
              <w:top w:val="single" w:color="auto" w:sz="8" w:space="0"/>
              <w:left w:val="nil"/>
              <w:bottom w:val="single" w:color="auto" w:sz="8" w:space="0"/>
              <w:right w:val="single" w:color="auto" w:sz="4" w:space="0"/>
            </w:tcBorders>
            <w:vAlign w:val="bottom"/>
          </w:tcPr>
          <w:p>
            <w:pPr>
              <w:jc w:val="center"/>
              <w:rPr>
                <w:color w:val="000000"/>
                <w:szCs w:val="21"/>
              </w:rPr>
            </w:pPr>
            <w:r>
              <w:rPr>
                <w:color w:val="000000"/>
                <w:szCs w:val="21"/>
              </w:rPr>
              <w:t xml:space="preserve">1.453 </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xml:space="preserve">1.473 </w:t>
            </w:r>
          </w:p>
        </w:tc>
        <w:tc>
          <w:tcPr>
            <w:tcW w:w="1000"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 xml:space="preserve">1.491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8"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容积率</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3.5</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3.6</w:t>
            </w:r>
          </w:p>
        </w:tc>
        <w:tc>
          <w:tcPr>
            <w:tcW w:w="899"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3.7</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3.8</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3.9</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4</w:t>
            </w:r>
          </w:p>
        </w:tc>
        <w:tc>
          <w:tcPr>
            <w:tcW w:w="920"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4.1</w:t>
            </w:r>
          </w:p>
        </w:tc>
        <w:tc>
          <w:tcPr>
            <w:tcW w:w="899" w:type="dxa"/>
            <w:tcBorders>
              <w:top w:val="single" w:color="auto" w:sz="8" w:space="0"/>
              <w:left w:val="nil"/>
              <w:bottom w:val="single" w:color="auto" w:sz="8" w:space="0"/>
              <w:right w:val="single" w:color="auto" w:sz="4" w:space="0"/>
            </w:tcBorders>
            <w:vAlign w:val="bottom"/>
          </w:tcPr>
          <w:p>
            <w:pPr>
              <w:jc w:val="center"/>
              <w:rPr>
                <w:color w:val="000000"/>
                <w:szCs w:val="21"/>
              </w:rPr>
            </w:pPr>
            <w:r>
              <w:rPr>
                <w:color w:val="000000"/>
                <w:szCs w:val="21"/>
              </w:rPr>
              <w:t>4.2</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4.3</w:t>
            </w:r>
          </w:p>
        </w:tc>
        <w:tc>
          <w:tcPr>
            <w:tcW w:w="1000"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8"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比值</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xml:space="preserve">1.511 </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xml:space="preserve">1.529 </w:t>
            </w:r>
          </w:p>
        </w:tc>
        <w:tc>
          <w:tcPr>
            <w:tcW w:w="899"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 xml:space="preserve">1.547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1.566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1.583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1.600 </w:t>
            </w:r>
          </w:p>
        </w:tc>
        <w:tc>
          <w:tcPr>
            <w:tcW w:w="920"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1.565 </w:t>
            </w:r>
          </w:p>
        </w:tc>
        <w:tc>
          <w:tcPr>
            <w:tcW w:w="899" w:type="dxa"/>
            <w:tcBorders>
              <w:top w:val="single" w:color="auto" w:sz="8" w:space="0"/>
              <w:left w:val="nil"/>
              <w:bottom w:val="single" w:color="auto" w:sz="8" w:space="0"/>
              <w:right w:val="single" w:color="auto" w:sz="4" w:space="0"/>
            </w:tcBorders>
            <w:vAlign w:val="bottom"/>
          </w:tcPr>
          <w:p>
            <w:pPr>
              <w:jc w:val="center"/>
              <w:rPr>
                <w:color w:val="000000"/>
                <w:szCs w:val="21"/>
              </w:rPr>
            </w:pPr>
            <w:r>
              <w:rPr>
                <w:color w:val="000000"/>
                <w:szCs w:val="21"/>
              </w:rPr>
              <w:t xml:space="preserve">1.574 </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xml:space="preserve">1.583 </w:t>
            </w:r>
          </w:p>
        </w:tc>
        <w:tc>
          <w:tcPr>
            <w:tcW w:w="1000"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 xml:space="preserve">1.592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8"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容积率</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4.5</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4.6</w:t>
            </w:r>
          </w:p>
        </w:tc>
        <w:tc>
          <w:tcPr>
            <w:tcW w:w="899"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4.7</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4.8</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4.9</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rFonts w:hint="eastAsia"/>
                <w:color w:val="000000"/>
                <w:szCs w:val="21"/>
              </w:rPr>
              <w:t>≥</w:t>
            </w:r>
            <w:r>
              <w:rPr>
                <w:color w:val="000000"/>
                <w:szCs w:val="21"/>
              </w:rPr>
              <w:t>5</w:t>
            </w:r>
          </w:p>
        </w:tc>
        <w:tc>
          <w:tcPr>
            <w:tcW w:w="920"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w:t>
            </w:r>
          </w:p>
        </w:tc>
        <w:tc>
          <w:tcPr>
            <w:tcW w:w="899" w:type="dxa"/>
            <w:tcBorders>
              <w:top w:val="single" w:color="auto" w:sz="8" w:space="0"/>
              <w:left w:val="nil"/>
              <w:bottom w:val="single" w:color="auto" w:sz="8" w:space="0"/>
              <w:right w:val="single" w:color="auto" w:sz="4" w:space="0"/>
            </w:tcBorders>
            <w:vAlign w:val="bottom"/>
          </w:tcPr>
          <w:p>
            <w:pPr>
              <w:jc w:val="center"/>
              <w:rPr>
                <w:color w:val="000000"/>
                <w:szCs w:val="21"/>
              </w:rPr>
            </w:pPr>
            <w:r>
              <w:rPr>
                <w:color w:val="000000"/>
                <w:szCs w:val="21"/>
              </w:rPr>
              <w:t>　</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w:t>
            </w:r>
          </w:p>
        </w:tc>
        <w:tc>
          <w:tcPr>
            <w:tcW w:w="1000"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060" w:type="dxa"/>
            <w:tcBorders>
              <w:top w:val="single" w:color="auto" w:sz="8" w:space="0"/>
              <w:left w:val="single" w:color="auto" w:sz="8" w:space="0"/>
              <w:bottom w:val="single" w:color="auto" w:sz="8" w:space="0"/>
              <w:right w:val="single" w:color="auto" w:sz="4" w:space="0"/>
            </w:tcBorders>
            <w:vAlign w:val="center"/>
          </w:tcPr>
          <w:p>
            <w:pPr>
              <w:shd w:val="clear" w:color="auto" w:fill="FFFFFF"/>
              <w:spacing w:line="300" w:lineRule="exact"/>
              <w:ind w:left="-105" w:leftChars="-50" w:right="-105" w:rightChars="-50"/>
              <w:jc w:val="center"/>
            </w:pPr>
            <w:r>
              <w:t>比值</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xml:space="preserve">1.600 </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xml:space="preserve">1.608 </w:t>
            </w:r>
          </w:p>
        </w:tc>
        <w:tc>
          <w:tcPr>
            <w:tcW w:w="899"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 xml:space="preserve">1.616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1.623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1.630 </w:t>
            </w:r>
          </w:p>
        </w:tc>
        <w:tc>
          <w:tcPr>
            <w:tcW w:w="899"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xml:space="preserve">1.637 </w:t>
            </w:r>
          </w:p>
        </w:tc>
        <w:tc>
          <w:tcPr>
            <w:tcW w:w="920" w:type="dxa"/>
            <w:tcBorders>
              <w:top w:val="single" w:color="auto" w:sz="8" w:space="0"/>
              <w:left w:val="nil"/>
              <w:bottom w:val="single" w:color="auto" w:sz="8" w:space="0"/>
              <w:right w:val="single" w:color="auto" w:sz="8" w:space="0"/>
            </w:tcBorders>
            <w:vAlign w:val="bottom"/>
          </w:tcPr>
          <w:p>
            <w:pPr>
              <w:jc w:val="center"/>
              <w:rPr>
                <w:color w:val="000000"/>
                <w:szCs w:val="21"/>
              </w:rPr>
            </w:pPr>
            <w:r>
              <w:rPr>
                <w:color w:val="000000"/>
                <w:szCs w:val="21"/>
              </w:rPr>
              <w:t>　</w:t>
            </w:r>
          </w:p>
        </w:tc>
        <w:tc>
          <w:tcPr>
            <w:tcW w:w="899" w:type="dxa"/>
            <w:tcBorders>
              <w:top w:val="single" w:color="auto" w:sz="8" w:space="0"/>
              <w:left w:val="nil"/>
              <w:bottom w:val="single" w:color="auto" w:sz="8" w:space="0"/>
              <w:right w:val="single" w:color="auto" w:sz="4" w:space="0"/>
            </w:tcBorders>
            <w:vAlign w:val="bottom"/>
          </w:tcPr>
          <w:p>
            <w:pPr>
              <w:jc w:val="center"/>
              <w:rPr>
                <w:color w:val="000000"/>
                <w:szCs w:val="21"/>
              </w:rPr>
            </w:pPr>
            <w:r>
              <w:rPr>
                <w:color w:val="000000"/>
                <w:szCs w:val="21"/>
              </w:rPr>
              <w:t>　</w:t>
            </w:r>
          </w:p>
        </w:tc>
        <w:tc>
          <w:tcPr>
            <w:tcW w:w="899" w:type="dxa"/>
            <w:tcBorders>
              <w:top w:val="single" w:color="auto" w:sz="8" w:space="0"/>
              <w:left w:val="single" w:color="auto" w:sz="4" w:space="0"/>
              <w:bottom w:val="single" w:color="auto" w:sz="8" w:space="0"/>
              <w:right w:val="single" w:color="auto" w:sz="4" w:space="0"/>
            </w:tcBorders>
            <w:vAlign w:val="bottom"/>
          </w:tcPr>
          <w:p>
            <w:pPr>
              <w:jc w:val="center"/>
              <w:rPr>
                <w:color w:val="000000"/>
                <w:szCs w:val="21"/>
              </w:rPr>
            </w:pPr>
            <w:r>
              <w:rPr>
                <w:color w:val="000000"/>
                <w:szCs w:val="21"/>
              </w:rPr>
              <w:t>　</w:t>
            </w:r>
          </w:p>
        </w:tc>
        <w:tc>
          <w:tcPr>
            <w:tcW w:w="1000" w:type="dxa"/>
            <w:tcBorders>
              <w:top w:val="single" w:color="auto" w:sz="8" w:space="0"/>
              <w:left w:val="single" w:color="auto" w:sz="4" w:space="0"/>
              <w:bottom w:val="single" w:color="auto" w:sz="8" w:space="0"/>
              <w:right w:val="single" w:color="auto" w:sz="8" w:space="0"/>
            </w:tcBorders>
            <w:vAlign w:val="bottom"/>
          </w:tcPr>
          <w:p>
            <w:pPr>
              <w:jc w:val="center"/>
              <w:rPr>
                <w:color w:val="000000"/>
                <w:szCs w:val="21"/>
              </w:rPr>
            </w:pPr>
            <w:r>
              <w:rPr>
                <w:color w:val="000000"/>
                <w:szCs w:val="21"/>
              </w:rPr>
              <w:t>　</w:t>
            </w:r>
          </w:p>
        </w:tc>
      </w:tr>
    </w:tbl>
    <w:p>
      <w:pPr>
        <w:shd w:val="clear" w:color="auto" w:fill="FFFFFF"/>
        <w:tabs>
          <w:tab w:val="right" w:pos="9298"/>
        </w:tabs>
        <w:spacing w:line="460" w:lineRule="exact"/>
        <w:ind w:firstLine="573"/>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 xml:space="preserve"> 住宅</w:t>
      </w:r>
      <w:r>
        <w:rPr>
          <w:sz w:val="24"/>
        </w:rPr>
        <w:t>用地宗地地价区域因素修正体系</w:t>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5-4-40  与市区对接的重点区域和一等镇Ⅰ</w:t>
      </w:r>
      <w:r>
        <w:rPr>
          <w:rFonts w:ascii="Times New Roman" w:hAnsi="Times New Roman"/>
          <w:sz w:val="24"/>
          <w:szCs w:val="24"/>
        </w:rPr>
        <w:t>级住宅用地容积率修正系数表</w:t>
      </w:r>
    </w:p>
    <w:tbl>
      <w:tblPr>
        <w:tblW w:w="937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6"/>
        <w:gridCol w:w="856"/>
        <w:gridCol w:w="852"/>
        <w:gridCol w:w="852"/>
        <w:gridCol w:w="851"/>
        <w:gridCol w:w="852"/>
        <w:gridCol w:w="852"/>
        <w:gridCol w:w="851"/>
        <w:gridCol w:w="852"/>
        <w:gridCol w:w="852"/>
        <w:gridCol w:w="8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center"/>
          </w:tcPr>
          <w:p>
            <w:pPr>
              <w:shd w:val="clear" w:color="auto" w:fill="FFFFFF"/>
              <w:jc w:val="center"/>
              <w:rPr>
                <w:color w:val="000000"/>
                <w:szCs w:val="21"/>
              </w:rPr>
            </w:pPr>
            <w:r>
              <w:rPr>
                <w:color w:val="000000"/>
                <w:szCs w:val="21"/>
              </w:rPr>
              <w:t>容积率</w:t>
            </w:r>
          </w:p>
        </w:tc>
        <w:tc>
          <w:tcPr>
            <w:tcW w:w="856" w:type="dxa"/>
            <w:vAlign w:val="center"/>
          </w:tcPr>
          <w:p>
            <w:pPr>
              <w:jc w:val="center"/>
              <w:rPr>
                <w:color w:val="000000"/>
                <w:szCs w:val="21"/>
              </w:rPr>
            </w:pPr>
            <w:r>
              <w:rPr>
                <w:color w:val="000000"/>
                <w:szCs w:val="21"/>
              </w:rPr>
              <w:t>≤0.5</w:t>
            </w:r>
          </w:p>
        </w:tc>
        <w:tc>
          <w:tcPr>
            <w:tcW w:w="852" w:type="dxa"/>
            <w:vAlign w:val="center"/>
          </w:tcPr>
          <w:p>
            <w:pPr>
              <w:jc w:val="center"/>
              <w:rPr>
                <w:color w:val="000000"/>
                <w:szCs w:val="21"/>
              </w:rPr>
            </w:pPr>
            <w:r>
              <w:rPr>
                <w:color w:val="000000"/>
                <w:szCs w:val="21"/>
              </w:rPr>
              <w:t>0.6</w:t>
            </w:r>
          </w:p>
        </w:tc>
        <w:tc>
          <w:tcPr>
            <w:tcW w:w="852" w:type="dxa"/>
            <w:vAlign w:val="center"/>
          </w:tcPr>
          <w:p>
            <w:pPr>
              <w:jc w:val="center"/>
              <w:rPr>
                <w:color w:val="000000"/>
                <w:szCs w:val="21"/>
              </w:rPr>
            </w:pPr>
            <w:r>
              <w:rPr>
                <w:color w:val="000000"/>
                <w:szCs w:val="21"/>
              </w:rPr>
              <w:t>0.7</w:t>
            </w:r>
          </w:p>
        </w:tc>
        <w:tc>
          <w:tcPr>
            <w:tcW w:w="851" w:type="dxa"/>
            <w:vAlign w:val="center"/>
          </w:tcPr>
          <w:p>
            <w:pPr>
              <w:jc w:val="center"/>
              <w:rPr>
                <w:color w:val="000000"/>
                <w:szCs w:val="21"/>
              </w:rPr>
            </w:pPr>
            <w:r>
              <w:rPr>
                <w:color w:val="000000"/>
                <w:szCs w:val="21"/>
              </w:rPr>
              <w:t>0.8</w:t>
            </w:r>
          </w:p>
        </w:tc>
        <w:tc>
          <w:tcPr>
            <w:tcW w:w="852" w:type="dxa"/>
            <w:vAlign w:val="center"/>
          </w:tcPr>
          <w:p>
            <w:pPr>
              <w:jc w:val="center"/>
              <w:rPr>
                <w:color w:val="000000"/>
                <w:szCs w:val="21"/>
              </w:rPr>
            </w:pPr>
            <w:r>
              <w:rPr>
                <w:color w:val="000000"/>
                <w:szCs w:val="21"/>
              </w:rPr>
              <w:t>0.9</w:t>
            </w:r>
          </w:p>
        </w:tc>
        <w:tc>
          <w:tcPr>
            <w:tcW w:w="852" w:type="dxa"/>
            <w:vAlign w:val="center"/>
          </w:tcPr>
          <w:p>
            <w:pPr>
              <w:jc w:val="center"/>
              <w:rPr>
                <w:color w:val="000000"/>
                <w:szCs w:val="21"/>
              </w:rPr>
            </w:pPr>
            <w:r>
              <w:rPr>
                <w:color w:val="000000"/>
                <w:szCs w:val="21"/>
              </w:rPr>
              <w:t>1</w:t>
            </w:r>
          </w:p>
        </w:tc>
        <w:tc>
          <w:tcPr>
            <w:tcW w:w="851" w:type="dxa"/>
            <w:vAlign w:val="center"/>
          </w:tcPr>
          <w:p>
            <w:pPr>
              <w:jc w:val="center"/>
              <w:rPr>
                <w:color w:val="000000"/>
                <w:szCs w:val="21"/>
              </w:rPr>
            </w:pPr>
            <w:r>
              <w:rPr>
                <w:color w:val="000000"/>
                <w:szCs w:val="21"/>
              </w:rPr>
              <w:t>1.1</w:t>
            </w:r>
          </w:p>
        </w:tc>
        <w:tc>
          <w:tcPr>
            <w:tcW w:w="852" w:type="dxa"/>
            <w:vAlign w:val="center"/>
          </w:tcPr>
          <w:p>
            <w:pPr>
              <w:jc w:val="center"/>
              <w:rPr>
                <w:color w:val="000000"/>
                <w:szCs w:val="21"/>
              </w:rPr>
            </w:pPr>
            <w:r>
              <w:rPr>
                <w:color w:val="000000"/>
                <w:szCs w:val="21"/>
              </w:rPr>
              <w:t>1.2</w:t>
            </w:r>
          </w:p>
        </w:tc>
        <w:tc>
          <w:tcPr>
            <w:tcW w:w="852" w:type="dxa"/>
            <w:vAlign w:val="center"/>
          </w:tcPr>
          <w:p>
            <w:pPr>
              <w:jc w:val="center"/>
              <w:rPr>
                <w:color w:val="000000"/>
                <w:szCs w:val="21"/>
              </w:rPr>
            </w:pPr>
            <w:r>
              <w:rPr>
                <w:color w:val="000000"/>
                <w:szCs w:val="21"/>
              </w:rPr>
              <w:t>1.3</w:t>
            </w:r>
          </w:p>
        </w:tc>
        <w:tc>
          <w:tcPr>
            <w:tcW w:w="852" w:type="dxa"/>
            <w:vAlign w:val="center"/>
          </w:tcPr>
          <w:p>
            <w:pPr>
              <w:jc w:val="center"/>
              <w:rPr>
                <w:color w:val="000000"/>
                <w:szCs w:val="21"/>
              </w:rPr>
            </w:pPr>
            <w:r>
              <w:rPr>
                <w:color w:val="000000"/>
                <w:szCs w:val="21"/>
              </w:rPr>
              <w:t>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center"/>
          </w:tcPr>
          <w:p>
            <w:pPr>
              <w:shd w:val="clear" w:color="auto" w:fill="FFFFFF"/>
              <w:jc w:val="center"/>
              <w:rPr>
                <w:color w:val="000000"/>
                <w:szCs w:val="21"/>
              </w:rPr>
            </w:pPr>
            <w:r>
              <w:rPr>
                <w:color w:val="000000"/>
                <w:szCs w:val="21"/>
              </w:rPr>
              <w:t>比值</w:t>
            </w:r>
          </w:p>
        </w:tc>
        <w:tc>
          <w:tcPr>
            <w:tcW w:w="856" w:type="dxa"/>
            <w:vAlign w:val="center"/>
          </w:tcPr>
          <w:p>
            <w:pPr>
              <w:jc w:val="center"/>
              <w:rPr>
                <w:color w:val="000000"/>
                <w:sz w:val="22"/>
                <w:szCs w:val="22"/>
              </w:rPr>
            </w:pPr>
            <w:r>
              <w:rPr>
                <w:color w:val="000000"/>
                <w:sz w:val="22"/>
                <w:szCs w:val="22"/>
              </w:rPr>
              <w:t>0.686</w:t>
            </w:r>
          </w:p>
        </w:tc>
        <w:tc>
          <w:tcPr>
            <w:tcW w:w="852" w:type="dxa"/>
            <w:vAlign w:val="center"/>
          </w:tcPr>
          <w:p>
            <w:pPr>
              <w:jc w:val="center"/>
              <w:rPr>
                <w:color w:val="000000"/>
                <w:sz w:val="22"/>
                <w:szCs w:val="22"/>
              </w:rPr>
            </w:pPr>
            <w:r>
              <w:rPr>
                <w:color w:val="000000"/>
                <w:sz w:val="22"/>
                <w:szCs w:val="22"/>
              </w:rPr>
              <w:t>0.711</w:t>
            </w:r>
          </w:p>
        </w:tc>
        <w:tc>
          <w:tcPr>
            <w:tcW w:w="852" w:type="dxa"/>
            <w:vAlign w:val="center"/>
          </w:tcPr>
          <w:p>
            <w:pPr>
              <w:jc w:val="center"/>
              <w:rPr>
                <w:color w:val="000000"/>
                <w:sz w:val="22"/>
                <w:szCs w:val="22"/>
              </w:rPr>
            </w:pPr>
            <w:r>
              <w:rPr>
                <w:color w:val="000000"/>
                <w:sz w:val="22"/>
                <w:szCs w:val="22"/>
              </w:rPr>
              <w:t>0.722</w:t>
            </w:r>
          </w:p>
        </w:tc>
        <w:tc>
          <w:tcPr>
            <w:tcW w:w="851" w:type="dxa"/>
            <w:vAlign w:val="center"/>
          </w:tcPr>
          <w:p>
            <w:pPr>
              <w:jc w:val="center"/>
              <w:rPr>
                <w:color w:val="000000"/>
                <w:sz w:val="22"/>
                <w:szCs w:val="22"/>
              </w:rPr>
            </w:pPr>
            <w:r>
              <w:rPr>
                <w:color w:val="000000"/>
                <w:sz w:val="22"/>
                <w:szCs w:val="22"/>
              </w:rPr>
              <w:t>0.73</w:t>
            </w:r>
          </w:p>
        </w:tc>
        <w:tc>
          <w:tcPr>
            <w:tcW w:w="852" w:type="dxa"/>
            <w:vAlign w:val="center"/>
          </w:tcPr>
          <w:p>
            <w:pPr>
              <w:jc w:val="center"/>
              <w:rPr>
                <w:color w:val="000000"/>
                <w:sz w:val="22"/>
                <w:szCs w:val="22"/>
              </w:rPr>
            </w:pPr>
            <w:r>
              <w:rPr>
                <w:color w:val="000000"/>
                <w:sz w:val="22"/>
                <w:szCs w:val="22"/>
              </w:rPr>
              <w:t>0.746</w:t>
            </w:r>
          </w:p>
        </w:tc>
        <w:tc>
          <w:tcPr>
            <w:tcW w:w="852" w:type="dxa"/>
            <w:vAlign w:val="center"/>
          </w:tcPr>
          <w:p>
            <w:pPr>
              <w:jc w:val="center"/>
              <w:rPr>
                <w:color w:val="000000"/>
                <w:sz w:val="22"/>
                <w:szCs w:val="22"/>
              </w:rPr>
            </w:pPr>
            <w:r>
              <w:rPr>
                <w:color w:val="000000"/>
                <w:sz w:val="22"/>
                <w:szCs w:val="22"/>
              </w:rPr>
              <w:t>0.767</w:t>
            </w:r>
          </w:p>
        </w:tc>
        <w:tc>
          <w:tcPr>
            <w:tcW w:w="851" w:type="dxa"/>
            <w:vAlign w:val="center"/>
          </w:tcPr>
          <w:p>
            <w:pPr>
              <w:jc w:val="center"/>
              <w:rPr>
                <w:color w:val="000000"/>
                <w:sz w:val="22"/>
                <w:szCs w:val="22"/>
              </w:rPr>
            </w:pPr>
            <w:r>
              <w:rPr>
                <w:color w:val="000000"/>
                <w:sz w:val="22"/>
                <w:szCs w:val="22"/>
              </w:rPr>
              <w:t>0.796</w:t>
            </w:r>
          </w:p>
        </w:tc>
        <w:tc>
          <w:tcPr>
            <w:tcW w:w="852" w:type="dxa"/>
            <w:vAlign w:val="center"/>
          </w:tcPr>
          <w:p>
            <w:pPr>
              <w:jc w:val="center"/>
              <w:rPr>
                <w:color w:val="000000"/>
                <w:sz w:val="22"/>
                <w:szCs w:val="22"/>
              </w:rPr>
            </w:pPr>
            <w:r>
              <w:rPr>
                <w:color w:val="000000"/>
                <w:sz w:val="22"/>
                <w:szCs w:val="22"/>
              </w:rPr>
              <w:t>0.825</w:t>
            </w:r>
          </w:p>
        </w:tc>
        <w:tc>
          <w:tcPr>
            <w:tcW w:w="852" w:type="dxa"/>
            <w:vAlign w:val="center"/>
          </w:tcPr>
          <w:p>
            <w:pPr>
              <w:jc w:val="center"/>
              <w:rPr>
                <w:color w:val="000000"/>
                <w:sz w:val="22"/>
                <w:szCs w:val="22"/>
              </w:rPr>
            </w:pPr>
            <w:r>
              <w:rPr>
                <w:color w:val="000000"/>
                <w:sz w:val="22"/>
                <w:szCs w:val="22"/>
              </w:rPr>
              <w:t>0.854</w:t>
            </w:r>
          </w:p>
        </w:tc>
        <w:tc>
          <w:tcPr>
            <w:tcW w:w="852" w:type="dxa"/>
            <w:vAlign w:val="center"/>
          </w:tcPr>
          <w:p>
            <w:pPr>
              <w:jc w:val="center"/>
              <w:rPr>
                <w:color w:val="000000"/>
                <w:sz w:val="22"/>
                <w:szCs w:val="22"/>
              </w:rPr>
            </w:pPr>
            <w:r>
              <w:rPr>
                <w:color w:val="000000"/>
                <w:sz w:val="22"/>
                <w:szCs w:val="22"/>
              </w:rPr>
              <w:t>0.882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center"/>
          </w:tcPr>
          <w:p>
            <w:pPr>
              <w:shd w:val="clear" w:color="auto" w:fill="FFFFFF"/>
              <w:jc w:val="center"/>
              <w:rPr>
                <w:color w:val="000000"/>
                <w:szCs w:val="21"/>
              </w:rPr>
            </w:pPr>
            <w:r>
              <w:rPr>
                <w:color w:val="000000"/>
                <w:szCs w:val="21"/>
              </w:rPr>
              <w:t>容积率</w:t>
            </w:r>
          </w:p>
        </w:tc>
        <w:tc>
          <w:tcPr>
            <w:tcW w:w="856" w:type="dxa"/>
            <w:vAlign w:val="center"/>
          </w:tcPr>
          <w:p>
            <w:pPr>
              <w:jc w:val="center"/>
              <w:rPr>
                <w:color w:val="000000"/>
                <w:szCs w:val="21"/>
              </w:rPr>
            </w:pPr>
            <w:r>
              <w:rPr>
                <w:color w:val="000000"/>
                <w:szCs w:val="21"/>
              </w:rPr>
              <w:t>1.5</w:t>
            </w:r>
          </w:p>
        </w:tc>
        <w:tc>
          <w:tcPr>
            <w:tcW w:w="852" w:type="dxa"/>
            <w:vAlign w:val="center"/>
          </w:tcPr>
          <w:p>
            <w:pPr>
              <w:jc w:val="center"/>
              <w:rPr>
                <w:color w:val="000000"/>
                <w:szCs w:val="21"/>
              </w:rPr>
            </w:pPr>
            <w:r>
              <w:rPr>
                <w:color w:val="000000"/>
                <w:szCs w:val="21"/>
              </w:rPr>
              <w:t>1.6</w:t>
            </w:r>
          </w:p>
        </w:tc>
        <w:tc>
          <w:tcPr>
            <w:tcW w:w="852" w:type="dxa"/>
            <w:vAlign w:val="center"/>
          </w:tcPr>
          <w:p>
            <w:pPr>
              <w:jc w:val="center"/>
              <w:rPr>
                <w:color w:val="000000"/>
                <w:szCs w:val="21"/>
              </w:rPr>
            </w:pPr>
            <w:r>
              <w:rPr>
                <w:color w:val="000000"/>
                <w:szCs w:val="21"/>
              </w:rPr>
              <w:t>1.7</w:t>
            </w:r>
          </w:p>
        </w:tc>
        <w:tc>
          <w:tcPr>
            <w:tcW w:w="851" w:type="dxa"/>
            <w:vAlign w:val="center"/>
          </w:tcPr>
          <w:p>
            <w:pPr>
              <w:jc w:val="center"/>
              <w:rPr>
                <w:color w:val="000000"/>
                <w:szCs w:val="21"/>
              </w:rPr>
            </w:pPr>
            <w:r>
              <w:rPr>
                <w:color w:val="000000"/>
                <w:szCs w:val="21"/>
              </w:rPr>
              <w:t>1.8</w:t>
            </w:r>
          </w:p>
        </w:tc>
        <w:tc>
          <w:tcPr>
            <w:tcW w:w="852" w:type="dxa"/>
            <w:vAlign w:val="center"/>
          </w:tcPr>
          <w:p>
            <w:pPr>
              <w:jc w:val="center"/>
              <w:rPr>
                <w:color w:val="000000"/>
                <w:szCs w:val="21"/>
              </w:rPr>
            </w:pPr>
            <w:r>
              <w:rPr>
                <w:color w:val="000000"/>
                <w:szCs w:val="21"/>
              </w:rPr>
              <w:t>1.9</w:t>
            </w:r>
          </w:p>
        </w:tc>
        <w:tc>
          <w:tcPr>
            <w:tcW w:w="852" w:type="dxa"/>
            <w:vAlign w:val="center"/>
          </w:tcPr>
          <w:p>
            <w:pPr>
              <w:jc w:val="center"/>
              <w:rPr>
                <w:color w:val="000000"/>
                <w:szCs w:val="21"/>
              </w:rPr>
            </w:pPr>
            <w:r>
              <w:rPr>
                <w:color w:val="000000"/>
                <w:szCs w:val="21"/>
              </w:rPr>
              <w:t>2</w:t>
            </w:r>
          </w:p>
        </w:tc>
        <w:tc>
          <w:tcPr>
            <w:tcW w:w="851" w:type="dxa"/>
            <w:vAlign w:val="center"/>
          </w:tcPr>
          <w:p>
            <w:pPr>
              <w:jc w:val="center"/>
              <w:rPr>
                <w:color w:val="000000"/>
                <w:szCs w:val="21"/>
              </w:rPr>
            </w:pPr>
            <w:r>
              <w:rPr>
                <w:color w:val="000000"/>
                <w:szCs w:val="21"/>
              </w:rPr>
              <w:t>2.1</w:t>
            </w:r>
          </w:p>
        </w:tc>
        <w:tc>
          <w:tcPr>
            <w:tcW w:w="852" w:type="dxa"/>
            <w:vAlign w:val="center"/>
          </w:tcPr>
          <w:p>
            <w:pPr>
              <w:jc w:val="center"/>
              <w:rPr>
                <w:color w:val="000000"/>
                <w:szCs w:val="21"/>
              </w:rPr>
            </w:pPr>
            <w:r>
              <w:rPr>
                <w:color w:val="000000"/>
                <w:szCs w:val="21"/>
              </w:rPr>
              <w:t>2.2</w:t>
            </w:r>
          </w:p>
        </w:tc>
        <w:tc>
          <w:tcPr>
            <w:tcW w:w="852" w:type="dxa"/>
            <w:vAlign w:val="center"/>
          </w:tcPr>
          <w:p>
            <w:pPr>
              <w:jc w:val="center"/>
              <w:rPr>
                <w:color w:val="000000"/>
                <w:szCs w:val="21"/>
              </w:rPr>
            </w:pPr>
            <w:r>
              <w:rPr>
                <w:color w:val="000000"/>
                <w:szCs w:val="21"/>
              </w:rPr>
              <w:t>2.3</w:t>
            </w:r>
          </w:p>
        </w:tc>
        <w:tc>
          <w:tcPr>
            <w:tcW w:w="852" w:type="dxa"/>
            <w:vAlign w:val="center"/>
          </w:tcPr>
          <w:p>
            <w:pPr>
              <w:jc w:val="center"/>
              <w:rPr>
                <w:color w:val="000000"/>
                <w:szCs w:val="21"/>
              </w:rPr>
            </w:pPr>
            <w:r>
              <w:rPr>
                <w:color w:val="000000"/>
                <w:szCs w:val="21"/>
              </w:rPr>
              <w:t>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jc w:val="center"/>
        </w:trPr>
        <w:tc>
          <w:tcPr>
            <w:tcW w:w="856" w:type="dxa"/>
            <w:vAlign w:val="center"/>
          </w:tcPr>
          <w:p>
            <w:pPr>
              <w:shd w:val="clear" w:color="auto" w:fill="FFFFFF"/>
              <w:jc w:val="center"/>
              <w:rPr>
                <w:color w:val="000000"/>
                <w:szCs w:val="21"/>
              </w:rPr>
            </w:pPr>
            <w:r>
              <w:rPr>
                <w:color w:val="000000"/>
                <w:szCs w:val="21"/>
              </w:rPr>
              <w:t>比值</w:t>
            </w:r>
          </w:p>
        </w:tc>
        <w:tc>
          <w:tcPr>
            <w:tcW w:w="856" w:type="dxa"/>
            <w:vAlign w:val="center"/>
          </w:tcPr>
          <w:p>
            <w:pPr>
              <w:jc w:val="center"/>
              <w:rPr>
                <w:color w:val="000000"/>
                <w:sz w:val="22"/>
                <w:szCs w:val="22"/>
              </w:rPr>
            </w:pPr>
            <w:r>
              <w:rPr>
                <w:color w:val="000000"/>
                <w:sz w:val="22"/>
                <w:szCs w:val="22"/>
              </w:rPr>
              <w:t>0.91</w:t>
            </w:r>
          </w:p>
        </w:tc>
        <w:tc>
          <w:tcPr>
            <w:tcW w:w="852" w:type="dxa"/>
            <w:vAlign w:val="center"/>
          </w:tcPr>
          <w:p>
            <w:pPr>
              <w:jc w:val="center"/>
              <w:rPr>
                <w:color w:val="000000"/>
                <w:sz w:val="22"/>
                <w:szCs w:val="22"/>
              </w:rPr>
            </w:pPr>
            <w:r>
              <w:rPr>
                <w:color w:val="000000"/>
                <w:sz w:val="22"/>
                <w:szCs w:val="22"/>
              </w:rPr>
              <w:t>0.937</w:t>
            </w:r>
          </w:p>
        </w:tc>
        <w:tc>
          <w:tcPr>
            <w:tcW w:w="852" w:type="dxa"/>
            <w:vAlign w:val="center"/>
          </w:tcPr>
          <w:p>
            <w:pPr>
              <w:jc w:val="center"/>
              <w:rPr>
                <w:color w:val="000000"/>
                <w:sz w:val="22"/>
                <w:szCs w:val="22"/>
              </w:rPr>
            </w:pPr>
            <w:r>
              <w:rPr>
                <w:color w:val="000000"/>
                <w:sz w:val="22"/>
                <w:szCs w:val="22"/>
              </w:rPr>
              <w:t>0.973</w:t>
            </w:r>
          </w:p>
        </w:tc>
        <w:tc>
          <w:tcPr>
            <w:tcW w:w="851" w:type="dxa"/>
            <w:vAlign w:val="center"/>
          </w:tcPr>
          <w:p>
            <w:pPr>
              <w:jc w:val="center"/>
              <w:rPr>
                <w:color w:val="000000"/>
                <w:sz w:val="22"/>
                <w:szCs w:val="22"/>
              </w:rPr>
            </w:pPr>
            <w:r>
              <w:rPr>
                <w:color w:val="000000"/>
                <w:sz w:val="22"/>
                <w:szCs w:val="22"/>
              </w:rPr>
              <w:t>1</w:t>
            </w:r>
          </w:p>
        </w:tc>
        <w:tc>
          <w:tcPr>
            <w:tcW w:w="852" w:type="dxa"/>
            <w:vAlign w:val="center"/>
          </w:tcPr>
          <w:p>
            <w:pPr>
              <w:jc w:val="center"/>
              <w:rPr>
                <w:color w:val="000000"/>
                <w:sz w:val="22"/>
                <w:szCs w:val="22"/>
              </w:rPr>
            </w:pPr>
            <w:r>
              <w:rPr>
                <w:color w:val="000000"/>
                <w:sz w:val="22"/>
                <w:szCs w:val="22"/>
              </w:rPr>
              <w:t>1.016</w:t>
            </w:r>
          </w:p>
        </w:tc>
        <w:tc>
          <w:tcPr>
            <w:tcW w:w="852" w:type="dxa"/>
            <w:vAlign w:val="center"/>
          </w:tcPr>
          <w:p>
            <w:pPr>
              <w:jc w:val="center"/>
              <w:rPr>
                <w:color w:val="000000"/>
                <w:sz w:val="22"/>
                <w:szCs w:val="22"/>
              </w:rPr>
            </w:pPr>
            <w:r>
              <w:rPr>
                <w:color w:val="000000"/>
                <w:sz w:val="22"/>
                <w:szCs w:val="22"/>
              </w:rPr>
              <w:t>1.028</w:t>
            </w:r>
          </w:p>
        </w:tc>
        <w:tc>
          <w:tcPr>
            <w:tcW w:w="851" w:type="dxa"/>
            <w:vAlign w:val="center"/>
          </w:tcPr>
          <w:p>
            <w:pPr>
              <w:jc w:val="center"/>
              <w:rPr>
                <w:color w:val="000000"/>
                <w:sz w:val="22"/>
                <w:szCs w:val="22"/>
              </w:rPr>
            </w:pPr>
            <w:r>
              <w:rPr>
                <w:color w:val="000000"/>
                <w:sz w:val="22"/>
                <w:szCs w:val="22"/>
              </w:rPr>
              <w:t>1.048</w:t>
            </w:r>
          </w:p>
        </w:tc>
        <w:tc>
          <w:tcPr>
            <w:tcW w:w="852" w:type="dxa"/>
            <w:vAlign w:val="center"/>
          </w:tcPr>
          <w:p>
            <w:pPr>
              <w:jc w:val="center"/>
              <w:rPr>
                <w:color w:val="000000"/>
                <w:sz w:val="22"/>
                <w:szCs w:val="22"/>
              </w:rPr>
            </w:pPr>
            <w:r>
              <w:rPr>
                <w:color w:val="000000"/>
                <w:sz w:val="22"/>
                <w:szCs w:val="22"/>
              </w:rPr>
              <w:t>1.067</w:t>
            </w:r>
          </w:p>
        </w:tc>
        <w:tc>
          <w:tcPr>
            <w:tcW w:w="852" w:type="dxa"/>
            <w:vAlign w:val="center"/>
          </w:tcPr>
          <w:p>
            <w:pPr>
              <w:jc w:val="center"/>
              <w:rPr>
                <w:color w:val="000000"/>
                <w:sz w:val="22"/>
                <w:szCs w:val="22"/>
              </w:rPr>
            </w:pPr>
            <w:r>
              <w:rPr>
                <w:color w:val="000000"/>
                <w:sz w:val="22"/>
                <w:szCs w:val="22"/>
              </w:rPr>
              <w:t>1.086</w:t>
            </w:r>
          </w:p>
        </w:tc>
        <w:tc>
          <w:tcPr>
            <w:tcW w:w="852" w:type="dxa"/>
            <w:vAlign w:val="center"/>
          </w:tcPr>
          <w:p>
            <w:pPr>
              <w:jc w:val="center"/>
              <w:rPr>
                <w:color w:val="000000"/>
                <w:sz w:val="22"/>
                <w:szCs w:val="22"/>
              </w:rPr>
            </w:pPr>
            <w:r>
              <w:rPr>
                <w:color w:val="000000"/>
                <w:sz w:val="22"/>
                <w:szCs w:val="22"/>
              </w:rPr>
              <w:t>1.105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center"/>
          </w:tcPr>
          <w:p>
            <w:pPr>
              <w:shd w:val="clear" w:color="auto" w:fill="FFFFFF"/>
              <w:jc w:val="center"/>
              <w:rPr>
                <w:color w:val="000000"/>
                <w:szCs w:val="21"/>
              </w:rPr>
            </w:pPr>
            <w:r>
              <w:rPr>
                <w:color w:val="000000"/>
                <w:szCs w:val="21"/>
              </w:rPr>
              <w:t>容积率</w:t>
            </w:r>
          </w:p>
        </w:tc>
        <w:tc>
          <w:tcPr>
            <w:tcW w:w="856" w:type="dxa"/>
            <w:vAlign w:val="center"/>
          </w:tcPr>
          <w:p>
            <w:pPr>
              <w:jc w:val="center"/>
              <w:rPr>
                <w:color w:val="000000"/>
                <w:szCs w:val="21"/>
              </w:rPr>
            </w:pPr>
            <w:r>
              <w:rPr>
                <w:color w:val="000000"/>
                <w:szCs w:val="21"/>
              </w:rPr>
              <w:t>2.5</w:t>
            </w:r>
          </w:p>
        </w:tc>
        <w:tc>
          <w:tcPr>
            <w:tcW w:w="852" w:type="dxa"/>
            <w:vAlign w:val="center"/>
          </w:tcPr>
          <w:p>
            <w:pPr>
              <w:jc w:val="center"/>
              <w:rPr>
                <w:color w:val="000000"/>
                <w:szCs w:val="21"/>
              </w:rPr>
            </w:pPr>
            <w:r>
              <w:rPr>
                <w:color w:val="000000"/>
                <w:szCs w:val="21"/>
              </w:rPr>
              <w:t>2.6</w:t>
            </w:r>
          </w:p>
        </w:tc>
        <w:tc>
          <w:tcPr>
            <w:tcW w:w="852" w:type="dxa"/>
            <w:vAlign w:val="center"/>
          </w:tcPr>
          <w:p>
            <w:pPr>
              <w:jc w:val="center"/>
              <w:rPr>
                <w:color w:val="000000"/>
                <w:szCs w:val="21"/>
              </w:rPr>
            </w:pPr>
            <w:r>
              <w:rPr>
                <w:color w:val="000000"/>
                <w:szCs w:val="21"/>
              </w:rPr>
              <w:t>2.7</w:t>
            </w:r>
          </w:p>
        </w:tc>
        <w:tc>
          <w:tcPr>
            <w:tcW w:w="851" w:type="dxa"/>
            <w:vAlign w:val="center"/>
          </w:tcPr>
          <w:p>
            <w:pPr>
              <w:jc w:val="center"/>
              <w:rPr>
                <w:color w:val="000000"/>
                <w:szCs w:val="21"/>
              </w:rPr>
            </w:pPr>
            <w:r>
              <w:rPr>
                <w:color w:val="000000"/>
                <w:szCs w:val="21"/>
              </w:rPr>
              <w:t>2.8</w:t>
            </w:r>
          </w:p>
        </w:tc>
        <w:tc>
          <w:tcPr>
            <w:tcW w:w="852" w:type="dxa"/>
            <w:vAlign w:val="center"/>
          </w:tcPr>
          <w:p>
            <w:pPr>
              <w:jc w:val="center"/>
              <w:rPr>
                <w:color w:val="000000"/>
                <w:szCs w:val="21"/>
              </w:rPr>
            </w:pPr>
            <w:r>
              <w:rPr>
                <w:color w:val="000000"/>
                <w:szCs w:val="21"/>
              </w:rPr>
              <w:t>2.9</w:t>
            </w:r>
          </w:p>
        </w:tc>
        <w:tc>
          <w:tcPr>
            <w:tcW w:w="852" w:type="dxa"/>
            <w:vAlign w:val="center"/>
          </w:tcPr>
          <w:p>
            <w:pPr>
              <w:jc w:val="center"/>
              <w:rPr>
                <w:color w:val="000000"/>
                <w:szCs w:val="21"/>
              </w:rPr>
            </w:pPr>
            <w:r>
              <w:rPr>
                <w:color w:val="000000"/>
                <w:szCs w:val="21"/>
              </w:rPr>
              <w:t>3</w:t>
            </w:r>
          </w:p>
        </w:tc>
        <w:tc>
          <w:tcPr>
            <w:tcW w:w="851" w:type="dxa"/>
            <w:vAlign w:val="center"/>
          </w:tcPr>
          <w:p>
            <w:pPr>
              <w:jc w:val="center"/>
              <w:rPr>
                <w:color w:val="000000"/>
                <w:szCs w:val="21"/>
              </w:rPr>
            </w:pPr>
            <w:r>
              <w:rPr>
                <w:color w:val="000000"/>
                <w:szCs w:val="21"/>
              </w:rPr>
              <w:t>3.1</w:t>
            </w:r>
          </w:p>
        </w:tc>
        <w:tc>
          <w:tcPr>
            <w:tcW w:w="852" w:type="dxa"/>
            <w:vAlign w:val="center"/>
          </w:tcPr>
          <w:p>
            <w:pPr>
              <w:jc w:val="center"/>
              <w:rPr>
                <w:color w:val="000000"/>
                <w:szCs w:val="21"/>
              </w:rPr>
            </w:pPr>
            <w:r>
              <w:rPr>
                <w:color w:val="000000"/>
                <w:szCs w:val="21"/>
              </w:rPr>
              <w:t>3.2</w:t>
            </w:r>
          </w:p>
        </w:tc>
        <w:tc>
          <w:tcPr>
            <w:tcW w:w="852" w:type="dxa"/>
            <w:vAlign w:val="center"/>
          </w:tcPr>
          <w:p>
            <w:pPr>
              <w:jc w:val="center"/>
              <w:rPr>
                <w:color w:val="000000"/>
                <w:szCs w:val="21"/>
              </w:rPr>
            </w:pPr>
            <w:r>
              <w:rPr>
                <w:color w:val="000000"/>
                <w:szCs w:val="21"/>
              </w:rPr>
              <w:t>3.3</w:t>
            </w:r>
          </w:p>
        </w:tc>
        <w:tc>
          <w:tcPr>
            <w:tcW w:w="852" w:type="dxa"/>
            <w:vAlign w:val="center"/>
          </w:tcPr>
          <w:p>
            <w:pPr>
              <w:jc w:val="center"/>
              <w:rPr>
                <w:color w:val="000000"/>
                <w:szCs w:val="21"/>
              </w:rPr>
            </w:pPr>
            <w:r>
              <w:rPr>
                <w:color w:val="000000"/>
                <w:szCs w:val="21"/>
              </w:rPr>
              <w:t>3.4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center"/>
          </w:tcPr>
          <w:p>
            <w:pPr>
              <w:shd w:val="clear" w:color="auto" w:fill="FFFFFF"/>
              <w:jc w:val="center"/>
              <w:rPr>
                <w:color w:val="000000"/>
                <w:szCs w:val="21"/>
              </w:rPr>
            </w:pPr>
            <w:r>
              <w:rPr>
                <w:color w:val="000000"/>
                <w:szCs w:val="21"/>
              </w:rPr>
              <w:t>比值</w:t>
            </w:r>
          </w:p>
        </w:tc>
        <w:tc>
          <w:tcPr>
            <w:tcW w:w="856" w:type="dxa"/>
            <w:vAlign w:val="center"/>
          </w:tcPr>
          <w:p>
            <w:pPr>
              <w:jc w:val="center"/>
              <w:rPr>
                <w:color w:val="000000"/>
                <w:sz w:val="22"/>
                <w:szCs w:val="22"/>
              </w:rPr>
            </w:pPr>
            <w:r>
              <w:rPr>
                <w:color w:val="000000"/>
                <w:sz w:val="22"/>
                <w:szCs w:val="22"/>
              </w:rPr>
              <w:t>1.124</w:t>
            </w:r>
          </w:p>
        </w:tc>
        <w:tc>
          <w:tcPr>
            <w:tcW w:w="852" w:type="dxa"/>
            <w:vAlign w:val="center"/>
          </w:tcPr>
          <w:p>
            <w:pPr>
              <w:jc w:val="center"/>
              <w:rPr>
                <w:color w:val="000000"/>
                <w:sz w:val="22"/>
                <w:szCs w:val="22"/>
              </w:rPr>
            </w:pPr>
            <w:r>
              <w:rPr>
                <w:color w:val="000000"/>
                <w:sz w:val="22"/>
                <w:szCs w:val="22"/>
              </w:rPr>
              <w:t>1.142</w:t>
            </w:r>
          </w:p>
        </w:tc>
        <w:tc>
          <w:tcPr>
            <w:tcW w:w="852" w:type="dxa"/>
            <w:vAlign w:val="center"/>
          </w:tcPr>
          <w:p>
            <w:pPr>
              <w:jc w:val="center"/>
              <w:rPr>
                <w:color w:val="000000"/>
                <w:sz w:val="22"/>
                <w:szCs w:val="22"/>
              </w:rPr>
            </w:pPr>
            <w:r>
              <w:rPr>
                <w:color w:val="000000"/>
                <w:sz w:val="22"/>
                <w:szCs w:val="22"/>
              </w:rPr>
              <w:t>1.16</w:t>
            </w:r>
          </w:p>
        </w:tc>
        <w:tc>
          <w:tcPr>
            <w:tcW w:w="851" w:type="dxa"/>
            <w:vAlign w:val="center"/>
          </w:tcPr>
          <w:p>
            <w:pPr>
              <w:jc w:val="center"/>
              <w:rPr>
                <w:color w:val="000000"/>
                <w:sz w:val="22"/>
                <w:szCs w:val="22"/>
              </w:rPr>
            </w:pPr>
            <w:r>
              <w:rPr>
                <w:color w:val="000000"/>
                <w:sz w:val="22"/>
                <w:szCs w:val="22"/>
              </w:rPr>
              <w:t>1.177</w:t>
            </w:r>
          </w:p>
        </w:tc>
        <w:tc>
          <w:tcPr>
            <w:tcW w:w="852" w:type="dxa"/>
            <w:vAlign w:val="center"/>
          </w:tcPr>
          <w:p>
            <w:pPr>
              <w:jc w:val="center"/>
              <w:rPr>
                <w:color w:val="000000"/>
                <w:sz w:val="22"/>
                <w:szCs w:val="22"/>
              </w:rPr>
            </w:pPr>
            <w:r>
              <w:rPr>
                <w:color w:val="000000"/>
                <w:sz w:val="22"/>
                <w:szCs w:val="22"/>
              </w:rPr>
              <w:t>1.194</w:t>
            </w:r>
          </w:p>
        </w:tc>
        <w:tc>
          <w:tcPr>
            <w:tcW w:w="852" w:type="dxa"/>
            <w:vAlign w:val="center"/>
          </w:tcPr>
          <w:p>
            <w:pPr>
              <w:jc w:val="center"/>
              <w:rPr>
                <w:color w:val="000000"/>
                <w:sz w:val="22"/>
                <w:szCs w:val="22"/>
              </w:rPr>
            </w:pPr>
            <w:r>
              <w:rPr>
                <w:color w:val="000000"/>
                <w:sz w:val="22"/>
                <w:szCs w:val="22"/>
              </w:rPr>
              <w:t>1.211</w:t>
            </w:r>
          </w:p>
        </w:tc>
        <w:tc>
          <w:tcPr>
            <w:tcW w:w="851" w:type="dxa"/>
            <w:vAlign w:val="center"/>
          </w:tcPr>
          <w:p>
            <w:pPr>
              <w:jc w:val="center"/>
              <w:rPr>
                <w:color w:val="000000"/>
                <w:sz w:val="22"/>
                <w:szCs w:val="22"/>
              </w:rPr>
            </w:pPr>
            <w:r>
              <w:rPr>
                <w:color w:val="000000"/>
                <w:sz w:val="22"/>
                <w:szCs w:val="22"/>
              </w:rPr>
              <w:t>1.228</w:t>
            </w:r>
          </w:p>
        </w:tc>
        <w:tc>
          <w:tcPr>
            <w:tcW w:w="852" w:type="dxa"/>
            <w:vAlign w:val="center"/>
          </w:tcPr>
          <w:p>
            <w:pPr>
              <w:jc w:val="center"/>
              <w:rPr>
                <w:color w:val="000000"/>
                <w:sz w:val="22"/>
                <w:szCs w:val="22"/>
              </w:rPr>
            </w:pPr>
            <w:r>
              <w:rPr>
                <w:color w:val="000000"/>
                <w:sz w:val="22"/>
                <w:szCs w:val="22"/>
              </w:rPr>
              <w:t>1.244</w:t>
            </w:r>
          </w:p>
        </w:tc>
        <w:tc>
          <w:tcPr>
            <w:tcW w:w="852" w:type="dxa"/>
            <w:vAlign w:val="center"/>
          </w:tcPr>
          <w:p>
            <w:pPr>
              <w:jc w:val="center"/>
              <w:rPr>
                <w:color w:val="000000"/>
                <w:sz w:val="22"/>
                <w:szCs w:val="22"/>
              </w:rPr>
            </w:pPr>
            <w:r>
              <w:rPr>
                <w:color w:val="000000"/>
                <w:sz w:val="22"/>
                <w:szCs w:val="22"/>
              </w:rPr>
              <w:t>1.259</w:t>
            </w:r>
          </w:p>
        </w:tc>
        <w:tc>
          <w:tcPr>
            <w:tcW w:w="852" w:type="dxa"/>
            <w:vAlign w:val="center"/>
          </w:tcPr>
          <w:p>
            <w:pPr>
              <w:jc w:val="center"/>
              <w:rPr>
                <w:color w:val="000000"/>
                <w:sz w:val="22"/>
                <w:szCs w:val="22"/>
              </w:rPr>
            </w:pPr>
            <w:r>
              <w:rPr>
                <w:color w:val="000000"/>
                <w:sz w:val="22"/>
                <w:szCs w:val="22"/>
              </w:rPr>
              <w:t>1.275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center"/>
          </w:tcPr>
          <w:p>
            <w:pPr>
              <w:shd w:val="clear" w:color="auto" w:fill="FFFFFF"/>
              <w:jc w:val="center"/>
              <w:rPr>
                <w:color w:val="000000"/>
                <w:szCs w:val="21"/>
              </w:rPr>
            </w:pPr>
            <w:r>
              <w:rPr>
                <w:color w:val="000000"/>
                <w:szCs w:val="21"/>
              </w:rPr>
              <w:t>容积率</w:t>
            </w:r>
          </w:p>
        </w:tc>
        <w:tc>
          <w:tcPr>
            <w:tcW w:w="856" w:type="dxa"/>
            <w:vAlign w:val="center"/>
          </w:tcPr>
          <w:p>
            <w:pPr>
              <w:jc w:val="center"/>
              <w:rPr>
                <w:color w:val="000000"/>
                <w:szCs w:val="21"/>
              </w:rPr>
            </w:pPr>
            <w:r>
              <w:rPr>
                <w:color w:val="000000"/>
                <w:szCs w:val="21"/>
              </w:rPr>
              <w:t>3.5</w:t>
            </w:r>
          </w:p>
        </w:tc>
        <w:tc>
          <w:tcPr>
            <w:tcW w:w="852" w:type="dxa"/>
            <w:vAlign w:val="center"/>
          </w:tcPr>
          <w:p>
            <w:pPr>
              <w:jc w:val="center"/>
              <w:rPr>
                <w:color w:val="000000"/>
                <w:szCs w:val="21"/>
              </w:rPr>
            </w:pPr>
            <w:r>
              <w:rPr>
                <w:color w:val="000000"/>
                <w:szCs w:val="21"/>
              </w:rPr>
              <w:t>3.6</w:t>
            </w:r>
          </w:p>
        </w:tc>
        <w:tc>
          <w:tcPr>
            <w:tcW w:w="852" w:type="dxa"/>
            <w:vAlign w:val="center"/>
          </w:tcPr>
          <w:p>
            <w:pPr>
              <w:jc w:val="center"/>
              <w:rPr>
                <w:color w:val="000000"/>
                <w:szCs w:val="21"/>
              </w:rPr>
            </w:pPr>
            <w:r>
              <w:rPr>
                <w:color w:val="000000"/>
                <w:szCs w:val="21"/>
              </w:rPr>
              <w:t>3.7</w:t>
            </w:r>
          </w:p>
        </w:tc>
        <w:tc>
          <w:tcPr>
            <w:tcW w:w="851" w:type="dxa"/>
            <w:vAlign w:val="center"/>
          </w:tcPr>
          <w:p>
            <w:pPr>
              <w:jc w:val="center"/>
              <w:rPr>
                <w:color w:val="000000"/>
                <w:szCs w:val="21"/>
              </w:rPr>
            </w:pPr>
            <w:r>
              <w:rPr>
                <w:color w:val="000000"/>
                <w:szCs w:val="21"/>
              </w:rPr>
              <w:t>3.8</w:t>
            </w:r>
          </w:p>
        </w:tc>
        <w:tc>
          <w:tcPr>
            <w:tcW w:w="852" w:type="dxa"/>
            <w:vAlign w:val="center"/>
          </w:tcPr>
          <w:p>
            <w:pPr>
              <w:jc w:val="center"/>
              <w:rPr>
                <w:color w:val="000000"/>
                <w:szCs w:val="21"/>
              </w:rPr>
            </w:pPr>
            <w:r>
              <w:rPr>
                <w:color w:val="000000"/>
                <w:szCs w:val="21"/>
              </w:rPr>
              <w:t>3.9</w:t>
            </w:r>
          </w:p>
        </w:tc>
        <w:tc>
          <w:tcPr>
            <w:tcW w:w="852" w:type="dxa"/>
            <w:vAlign w:val="center"/>
          </w:tcPr>
          <w:p>
            <w:pPr>
              <w:jc w:val="center"/>
              <w:rPr>
                <w:color w:val="000000"/>
                <w:szCs w:val="21"/>
              </w:rPr>
            </w:pPr>
            <w:r>
              <w:rPr>
                <w:color w:val="000000"/>
                <w:szCs w:val="21"/>
              </w:rPr>
              <w:t>4</w:t>
            </w:r>
          </w:p>
        </w:tc>
        <w:tc>
          <w:tcPr>
            <w:tcW w:w="851" w:type="dxa"/>
            <w:vAlign w:val="center"/>
          </w:tcPr>
          <w:p>
            <w:pPr>
              <w:jc w:val="center"/>
              <w:rPr>
                <w:color w:val="000000"/>
                <w:szCs w:val="21"/>
              </w:rPr>
            </w:pPr>
            <w:r>
              <w:rPr>
                <w:color w:val="000000"/>
                <w:szCs w:val="21"/>
              </w:rPr>
              <w:t>4.1</w:t>
            </w:r>
          </w:p>
        </w:tc>
        <w:tc>
          <w:tcPr>
            <w:tcW w:w="852" w:type="dxa"/>
            <w:vAlign w:val="center"/>
          </w:tcPr>
          <w:p>
            <w:pPr>
              <w:jc w:val="center"/>
              <w:rPr>
                <w:color w:val="000000"/>
                <w:szCs w:val="21"/>
              </w:rPr>
            </w:pPr>
            <w:r>
              <w:rPr>
                <w:color w:val="000000"/>
                <w:szCs w:val="21"/>
              </w:rPr>
              <w:t>4.2</w:t>
            </w:r>
          </w:p>
        </w:tc>
        <w:tc>
          <w:tcPr>
            <w:tcW w:w="852" w:type="dxa"/>
            <w:vAlign w:val="center"/>
          </w:tcPr>
          <w:p>
            <w:pPr>
              <w:jc w:val="center"/>
              <w:rPr>
                <w:color w:val="000000"/>
                <w:szCs w:val="21"/>
              </w:rPr>
            </w:pPr>
            <w:r>
              <w:rPr>
                <w:color w:val="000000"/>
                <w:szCs w:val="21"/>
              </w:rPr>
              <w:t>4.3</w:t>
            </w:r>
          </w:p>
        </w:tc>
        <w:tc>
          <w:tcPr>
            <w:tcW w:w="852" w:type="dxa"/>
            <w:vAlign w:val="center"/>
          </w:tcPr>
          <w:p>
            <w:pPr>
              <w:jc w:val="center"/>
              <w:rPr>
                <w:color w:val="000000"/>
                <w:szCs w:val="21"/>
              </w:rPr>
            </w:pPr>
            <w:r>
              <w:rPr>
                <w:color w:val="000000"/>
                <w:szCs w:val="21"/>
              </w:rPr>
              <w:t>4.4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jc w:val="center"/>
        </w:trPr>
        <w:tc>
          <w:tcPr>
            <w:tcW w:w="856" w:type="dxa"/>
            <w:vAlign w:val="center"/>
          </w:tcPr>
          <w:p>
            <w:pPr>
              <w:shd w:val="clear" w:color="auto" w:fill="FFFFFF"/>
              <w:jc w:val="center"/>
              <w:rPr>
                <w:color w:val="000000"/>
                <w:szCs w:val="21"/>
              </w:rPr>
            </w:pPr>
            <w:r>
              <w:rPr>
                <w:color w:val="000000"/>
                <w:szCs w:val="21"/>
              </w:rPr>
              <w:t>比值</w:t>
            </w:r>
          </w:p>
        </w:tc>
        <w:tc>
          <w:tcPr>
            <w:tcW w:w="856" w:type="dxa"/>
            <w:vAlign w:val="center"/>
          </w:tcPr>
          <w:p>
            <w:pPr>
              <w:jc w:val="center"/>
              <w:rPr>
                <w:color w:val="000000"/>
                <w:sz w:val="22"/>
                <w:szCs w:val="22"/>
              </w:rPr>
            </w:pPr>
            <w:r>
              <w:rPr>
                <w:color w:val="000000"/>
                <w:sz w:val="22"/>
                <w:szCs w:val="22"/>
              </w:rPr>
              <w:t>1.29</w:t>
            </w:r>
          </w:p>
        </w:tc>
        <w:tc>
          <w:tcPr>
            <w:tcW w:w="852" w:type="dxa"/>
            <w:vAlign w:val="center"/>
          </w:tcPr>
          <w:p>
            <w:pPr>
              <w:jc w:val="center"/>
              <w:rPr>
                <w:color w:val="000000"/>
                <w:sz w:val="22"/>
                <w:szCs w:val="22"/>
              </w:rPr>
            </w:pPr>
            <w:r>
              <w:rPr>
                <w:color w:val="000000"/>
                <w:sz w:val="22"/>
                <w:szCs w:val="22"/>
              </w:rPr>
              <w:t>1.305</w:t>
            </w:r>
          </w:p>
        </w:tc>
        <w:tc>
          <w:tcPr>
            <w:tcW w:w="852" w:type="dxa"/>
            <w:vAlign w:val="center"/>
          </w:tcPr>
          <w:p>
            <w:pPr>
              <w:jc w:val="center"/>
              <w:rPr>
                <w:color w:val="000000"/>
                <w:sz w:val="22"/>
                <w:szCs w:val="22"/>
              </w:rPr>
            </w:pPr>
            <w:r>
              <w:rPr>
                <w:color w:val="000000"/>
                <w:sz w:val="22"/>
                <w:szCs w:val="22"/>
              </w:rPr>
              <w:t>1.319</w:t>
            </w:r>
          </w:p>
        </w:tc>
        <w:tc>
          <w:tcPr>
            <w:tcW w:w="851" w:type="dxa"/>
            <w:vAlign w:val="center"/>
          </w:tcPr>
          <w:p>
            <w:pPr>
              <w:jc w:val="center"/>
              <w:rPr>
                <w:color w:val="000000"/>
                <w:sz w:val="22"/>
                <w:szCs w:val="22"/>
              </w:rPr>
            </w:pPr>
            <w:r>
              <w:rPr>
                <w:color w:val="000000"/>
                <w:sz w:val="22"/>
                <w:szCs w:val="22"/>
              </w:rPr>
              <w:t>1.333</w:t>
            </w:r>
          </w:p>
        </w:tc>
        <w:tc>
          <w:tcPr>
            <w:tcW w:w="852" w:type="dxa"/>
            <w:vAlign w:val="center"/>
          </w:tcPr>
          <w:p>
            <w:pPr>
              <w:jc w:val="center"/>
              <w:rPr>
                <w:color w:val="000000"/>
                <w:sz w:val="22"/>
                <w:szCs w:val="22"/>
              </w:rPr>
            </w:pPr>
            <w:r>
              <w:rPr>
                <w:color w:val="000000"/>
                <w:sz w:val="22"/>
                <w:szCs w:val="22"/>
              </w:rPr>
              <w:t>1.347</w:t>
            </w:r>
          </w:p>
        </w:tc>
        <w:tc>
          <w:tcPr>
            <w:tcW w:w="852" w:type="dxa"/>
            <w:vAlign w:val="center"/>
          </w:tcPr>
          <w:p>
            <w:pPr>
              <w:jc w:val="center"/>
              <w:rPr>
                <w:color w:val="000000"/>
                <w:sz w:val="22"/>
                <w:szCs w:val="22"/>
              </w:rPr>
            </w:pPr>
            <w:r>
              <w:rPr>
                <w:color w:val="000000"/>
                <w:sz w:val="22"/>
                <w:szCs w:val="22"/>
              </w:rPr>
              <w:t>1.361</w:t>
            </w:r>
          </w:p>
        </w:tc>
        <w:tc>
          <w:tcPr>
            <w:tcW w:w="851" w:type="dxa"/>
            <w:vAlign w:val="center"/>
          </w:tcPr>
          <w:p>
            <w:pPr>
              <w:jc w:val="center"/>
              <w:rPr>
                <w:color w:val="000000"/>
                <w:sz w:val="22"/>
                <w:szCs w:val="22"/>
              </w:rPr>
            </w:pPr>
            <w:r>
              <w:rPr>
                <w:color w:val="000000"/>
                <w:sz w:val="22"/>
                <w:szCs w:val="22"/>
              </w:rPr>
              <w:t>1.374</w:t>
            </w:r>
          </w:p>
        </w:tc>
        <w:tc>
          <w:tcPr>
            <w:tcW w:w="852" w:type="dxa"/>
            <w:vAlign w:val="center"/>
          </w:tcPr>
          <w:p>
            <w:pPr>
              <w:jc w:val="center"/>
              <w:rPr>
                <w:color w:val="000000"/>
                <w:sz w:val="22"/>
                <w:szCs w:val="22"/>
              </w:rPr>
            </w:pPr>
            <w:r>
              <w:rPr>
                <w:color w:val="000000"/>
                <w:sz w:val="22"/>
                <w:szCs w:val="22"/>
              </w:rPr>
              <w:t>1.387</w:t>
            </w:r>
          </w:p>
        </w:tc>
        <w:tc>
          <w:tcPr>
            <w:tcW w:w="852" w:type="dxa"/>
            <w:vAlign w:val="center"/>
          </w:tcPr>
          <w:p>
            <w:pPr>
              <w:jc w:val="center"/>
              <w:rPr>
                <w:color w:val="000000"/>
                <w:sz w:val="22"/>
                <w:szCs w:val="22"/>
              </w:rPr>
            </w:pPr>
            <w:r>
              <w:rPr>
                <w:color w:val="000000"/>
                <w:sz w:val="22"/>
                <w:szCs w:val="22"/>
              </w:rPr>
              <w:t>1.399</w:t>
            </w:r>
          </w:p>
        </w:tc>
        <w:tc>
          <w:tcPr>
            <w:tcW w:w="852" w:type="dxa"/>
            <w:vAlign w:val="center"/>
          </w:tcPr>
          <w:p>
            <w:pPr>
              <w:jc w:val="center"/>
              <w:rPr>
                <w:color w:val="000000"/>
                <w:sz w:val="22"/>
                <w:szCs w:val="22"/>
              </w:rPr>
            </w:pPr>
            <w:r>
              <w:rPr>
                <w:color w:val="000000"/>
                <w:sz w:val="22"/>
                <w:szCs w:val="22"/>
              </w:rPr>
              <w:t>1.411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center"/>
          </w:tcPr>
          <w:p>
            <w:pPr>
              <w:shd w:val="clear" w:color="auto" w:fill="FFFFFF"/>
              <w:jc w:val="center"/>
              <w:rPr>
                <w:color w:val="000000"/>
                <w:szCs w:val="21"/>
              </w:rPr>
            </w:pPr>
            <w:r>
              <w:rPr>
                <w:color w:val="000000"/>
                <w:szCs w:val="21"/>
              </w:rPr>
              <w:t>容积率</w:t>
            </w:r>
          </w:p>
        </w:tc>
        <w:tc>
          <w:tcPr>
            <w:tcW w:w="856" w:type="dxa"/>
            <w:vAlign w:val="center"/>
          </w:tcPr>
          <w:p>
            <w:pPr>
              <w:jc w:val="center"/>
              <w:rPr>
                <w:color w:val="000000"/>
                <w:szCs w:val="21"/>
              </w:rPr>
            </w:pPr>
            <w:r>
              <w:rPr>
                <w:color w:val="000000"/>
                <w:szCs w:val="21"/>
              </w:rPr>
              <w:t>4.5</w:t>
            </w:r>
          </w:p>
        </w:tc>
        <w:tc>
          <w:tcPr>
            <w:tcW w:w="852" w:type="dxa"/>
            <w:vAlign w:val="center"/>
          </w:tcPr>
          <w:p>
            <w:pPr>
              <w:jc w:val="center"/>
              <w:rPr>
                <w:color w:val="000000"/>
                <w:szCs w:val="21"/>
              </w:rPr>
            </w:pPr>
            <w:r>
              <w:rPr>
                <w:color w:val="000000"/>
                <w:szCs w:val="21"/>
              </w:rPr>
              <w:t>4.6</w:t>
            </w:r>
          </w:p>
        </w:tc>
        <w:tc>
          <w:tcPr>
            <w:tcW w:w="852" w:type="dxa"/>
            <w:vAlign w:val="center"/>
          </w:tcPr>
          <w:p>
            <w:pPr>
              <w:jc w:val="center"/>
              <w:rPr>
                <w:color w:val="000000"/>
                <w:szCs w:val="21"/>
              </w:rPr>
            </w:pPr>
            <w:r>
              <w:rPr>
                <w:color w:val="000000"/>
                <w:szCs w:val="21"/>
              </w:rPr>
              <w:t>4.7</w:t>
            </w:r>
          </w:p>
        </w:tc>
        <w:tc>
          <w:tcPr>
            <w:tcW w:w="851" w:type="dxa"/>
            <w:vAlign w:val="center"/>
          </w:tcPr>
          <w:p>
            <w:pPr>
              <w:jc w:val="center"/>
              <w:rPr>
                <w:color w:val="000000"/>
                <w:szCs w:val="21"/>
              </w:rPr>
            </w:pPr>
            <w:r>
              <w:rPr>
                <w:color w:val="000000"/>
                <w:szCs w:val="21"/>
              </w:rPr>
              <w:t>4.8</w:t>
            </w:r>
          </w:p>
        </w:tc>
        <w:tc>
          <w:tcPr>
            <w:tcW w:w="852" w:type="dxa"/>
            <w:vAlign w:val="center"/>
          </w:tcPr>
          <w:p>
            <w:pPr>
              <w:jc w:val="center"/>
              <w:rPr>
                <w:color w:val="000000"/>
                <w:szCs w:val="21"/>
              </w:rPr>
            </w:pPr>
            <w:r>
              <w:rPr>
                <w:color w:val="000000"/>
                <w:szCs w:val="21"/>
              </w:rPr>
              <w:t>4.9</w:t>
            </w:r>
          </w:p>
        </w:tc>
        <w:tc>
          <w:tcPr>
            <w:tcW w:w="852" w:type="dxa"/>
            <w:vAlign w:val="center"/>
          </w:tcPr>
          <w:p>
            <w:pPr>
              <w:jc w:val="center"/>
              <w:rPr>
                <w:color w:val="000000"/>
                <w:szCs w:val="21"/>
              </w:rPr>
            </w:pPr>
            <w:r>
              <w:rPr>
                <w:color w:val="000000"/>
                <w:szCs w:val="21"/>
              </w:rPr>
              <w:t>5</w:t>
            </w:r>
          </w:p>
        </w:tc>
        <w:tc>
          <w:tcPr>
            <w:tcW w:w="851" w:type="dxa"/>
            <w:vAlign w:val="center"/>
          </w:tcPr>
          <w:p>
            <w:pPr>
              <w:jc w:val="center"/>
              <w:rPr>
                <w:color w:val="000000"/>
                <w:szCs w:val="21"/>
              </w:rPr>
            </w:pPr>
            <w:r>
              <w:rPr>
                <w:color w:val="000000"/>
                <w:szCs w:val="21"/>
              </w:rPr>
              <w:t>5.1</w:t>
            </w:r>
          </w:p>
        </w:tc>
        <w:tc>
          <w:tcPr>
            <w:tcW w:w="852" w:type="dxa"/>
            <w:vAlign w:val="center"/>
          </w:tcPr>
          <w:p>
            <w:pPr>
              <w:jc w:val="center"/>
              <w:rPr>
                <w:color w:val="000000"/>
                <w:szCs w:val="21"/>
              </w:rPr>
            </w:pPr>
            <w:r>
              <w:rPr>
                <w:color w:val="000000"/>
                <w:szCs w:val="21"/>
              </w:rPr>
              <w:t>5.2</w:t>
            </w:r>
          </w:p>
        </w:tc>
        <w:tc>
          <w:tcPr>
            <w:tcW w:w="852" w:type="dxa"/>
            <w:vAlign w:val="center"/>
          </w:tcPr>
          <w:p>
            <w:pPr>
              <w:jc w:val="center"/>
              <w:rPr>
                <w:color w:val="000000"/>
                <w:szCs w:val="21"/>
              </w:rPr>
            </w:pPr>
            <w:r>
              <w:rPr>
                <w:color w:val="000000"/>
                <w:szCs w:val="21"/>
              </w:rPr>
              <w:t>5.3</w:t>
            </w:r>
          </w:p>
        </w:tc>
        <w:tc>
          <w:tcPr>
            <w:tcW w:w="852" w:type="dxa"/>
            <w:vAlign w:val="center"/>
          </w:tcPr>
          <w:p>
            <w:pPr>
              <w:jc w:val="center"/>
              <w:rPr>
                <w:color w:val="000000"/>
                <w:szCs w:val="21"/>
              </w:rPr>
            </w:pPr>
            <w:r>
              <w:rPr>
                <w:color w:val="000000"/>
                <w:szCs w:val="21"/>
              </w:rPr>
              <w:t>5.4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center"/>
          </w:tcPr>
          <w:p>
            <w:pPr>
              <w:shd w:val="clear" w:color="auto" w:fill="FFFFFF"/>
              <w:jc w:val="center"/>
              <w:rPr>
                <w:color w:val="000000"/>
                <w:szCs w:val="21"/>
              </w:rPr>
            </w:pPr>
            <w:r>
              <w:rPr>
                <w:color w:val="000000"/>
                <w:szCs w:val="21"/>
              </w:rPr>
              <w:t>比值</w:t>
            </w:r>
          </w:p>
        </w:tc>
        <w:tc>
          <w:tcPr>
            <w:tcW w:w="856" w:type="dxa"/>
            <w:vAlign w:val="center"/>
          </w:tcPr>
          <w:p>
            <w:pPr>
              <w:jc w:val="center"/>
              <w:rPr>
                <w:color w:val="000000"/>
                <w:sz w:val="22"/>
                <w:szCs w:val="22"/>
              </w:rPr>
            </w:pPr>
            <w:r>
              <w:rPr>
                <w:color w:val="000000"/>
                <w:sz w:val="22"/>
                <w:szCs w:val="22"/>
              </w:rPr>
              <w:t>1.423</w:t>
            </w:r>
          </w:p>
        </w:tc>
        <w:tc>
          <w:tcPr>
            <w:tcW w:w="852" w:type="dxa"/>
            <w:vAlign w:val="center"/>
          </w:tcPr>
          <w:p>
            <w:pPr>
              <w:jc w:val="center"/>
              <w:rPr>
                <w:color w:val="000000"/>
                <w:sz w:val="22"/>
                <w:szCs w:val="22"/>
              </w:rPr>
            </w:pPr>
            <w:r>
              <w:rPr>
                <w:color w:val="000000"/>
                <w:sz w:val="22"/>
                <w:szCs w:val="22"/>
              </w:rPr>
              <w:t>1.434</w:t>
            </w:r>
          </w:p>
        </w:tc>
        <w:tc>
          <w:tcPr>
            <w:tcW w:w="852" w:type="dxa"/>
            <w:vAlign w:val="center"/>
          </w:tcPr>
          <w:p>
            <w:pPr>
              <w:jc w:val="center"/>
              <w:rPr>
                <w:color w:val="000000"/>
                <w:sz w:val="22"/>
                <w:szCs w:val="22"/>
              </w:rPr>
            </w:pPr>
            <w:r>
              <w:rPr>
                <w:color w:val="000000"/>
                <w:sz w:val="22"/>
                <w:szCs w:val="22"/>
              </w:rPr>
              <w:t>1.445</w:t>
            </w:r>
          </w:p>
        </w:tc>
        <w:tc>
          <w:tcPr>
            <w:tcW w:w="851" w:type="dxa"/>
            <w:vAlign w:val="center"/>
          </w:tcPr>
          <w:p>
            <w:pPr>
              <w:jc w:val="center"/>
              <w:rPr>
                <w:color w:val="000000"/>
                <w:sz w:val="22"/>
                <w:szCs w:val="22"/>
              </w:rPr>
            </w:pPr>
            <w:r>
              <w:rPr>
                <w:color w:val="000000"/>
                <w:sz w:val="22"/>
                <w:szCs w:val="22"/>
              </w:rPr>
              <w:t>1.456</w:t>
            </w:r>
          </w:p>
        </w:tc>
        <w:tc>
          <w:tcPr>
            <w:tcW w:w="852" w:type="dxa"/>
            <w:vAlign w:val="center"/>
          </w:tcPr>
          <w:p>
            <w:pPr>
              <w:jc w:val="center"/>
              <w:rPr>
                <w:color w:val="000000"/>
                <w:sz w:val="22"/>
                <w:szCs w:val="22"/>
              </w:rPr>
            </w:pPr>
            <w:r>
              <w:rPr>
                <w:color w:val="000000"/>
                <w:sz w:val="22"/>
                <w:szCs w:val="22"/>
              </w:rPr>
              <w:t>1.467</w:t>
            </w:r>
          </w:p>
        </w:tc>
        <w:tc>
          <w:tcPr>
            <w:tcW w:w="852" w:type="dxa"/>
            <w:vAlign w:val="center"/>
          </w:tcPr>
          <w:p>
            <w:pPr>
              <w:jc w:val="center"/>
              <w:rPr>
                <w:color w:val="000000"/>
                <w:sz w:val="22"/>
                <w:szCs w:val="22"/>
              </w:rPr>
            </w:pPr>
            <w:r>
              <w:rPr>
                <w:color w:val="000000"/>
                <w:sz w:val="22"/>
                <w:szCs w:val="22"/>
              </w:rPr>
              <w:t>1.477</w:t>
            </w:r>
          </w:p>
        </w:tc>
        <w:tc>
          <w:tcPr>
            <w:tcW w:w="851" w:type="dxa"/>
            <w:vAlign w:val="center"/>
          </w:tcPr>
          <w:p>
            <w:pPr>
              <w:jc w:val="center"/>
              <w:rPr>
                <w:color w:val="000000"/>
                <w:sz w:val="22"/>
                <w:szCs w:val="22"/>
              </w:rPr>
            </w:pPr>
            <w:r>
              <w:rPr>
                <w:color w:val="000000"/>
                <w:sz w:val="22"/>
                <w:szCs w:val="22"/>
              </w:rPr>
              <w:t>1.487</w:t>
            </w:r>
          </w:p>
        </w:tc>
        <w:tc>
          <w:tcPr>
            <w:tcW w:w="852" w:type="dxa"/>
            <w:vAlign w:val="center"/>
          </w:tcPr>
          <w:p>
            <w:pPr>
              <w:jc w:val="center"/>
              <w:rPr>
                <w:color w:val="000000"/>
                <w:sz w:val="22"/>
                <w:szCs w:val="22"/>
              </w:rPr>
            </w:pPr>
            <w:r>
              <w:rPr>
                <w:color w:val="000000"/>
                <w:sz w:val="22"/>
                <w:szCs w:val="22"/>
              </w:rPr>
              <w:t>1.496</w:t>
            </w:r>
          </w:p>
        </w:tc>
        <w:tc>
          <w:tcPr>
            <w:tcW w:w="852" w:type="dxa"/>
            <w:vAlign w:val="center"/>
          </w:tcPr>
          <w:p>
            <w:pPr>
              <w:jc w:val="center"/>
              <w:rPr>
                <w:color w:val="000000"/>
                <w:sz w:val="22"/>
                <w:szCs w:val="22"/>
              </w:rPr>
            </w:pPr>
            <w:r>
              <w:rPr>
                <w:color w:val="000000"/>
                <w:sz w:val="22"/>
                <w:szCs w:val="22"/>
              </w:rPr>
              <w:t>1.506</w:t>
            </w:r>
          </w:p>
        </w:tc>
        <w:tc>
          <w:tcPr>
            <w:tcW w:w="852" w:type="dxa"/>
            <w:vAlign w:val="center"/>
          </w:tcPr>
          <w:p>
            <w:pPr>
              <w:jc w:val="center"/>
              <w:rPr>
                <w:color w:val="000000"/>
                <w:sz w:val="22"/>
                <w:szCs w:val="22"/>
              </w:rPr>
            </w:pPr>
            <w:r>
              <w:rPr>
                <w:color w:val="000000"/>
                <w:sz w:val="22"/>
                <w:szCs w:val="22"/>
              </w:rPr>
              <w:t>1.514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center"/>
          </w:tcPr>
          <w:p>
            <w:pPr>
              <w:shd w:val="clear" w:color="auto" w:fill="FFFFFF"/>
              <w:jc w:val="center"/>
              <w:rPr>
                <w:color w:val="000000"/>
                <w:szCs w:val="21"/>
              </w:rPr>
            </w:pPr>
            <w:r>
              <w:rPr>
                <w:color w:val="000000"/>
                <w:szCs w:val="21"/>
              </w:rPr>
              <w:t>容积率</w:t>
            </w:r>
          </w:p>
        </w:tc>
        <w:tc>
          <w:tcPr>
            <w:tcW w:w="856" w:type="dxa"/>
            <w:vAlign w:val="center"/>
          </w:tcPr>
          <w:p>
            <w:pPr>
              <w:jc w:val="center"/>
              <w:rPr>
                <w:color w:val="000000"/>
                <w:szCs w:val="21"/>
              </w:rPr>
            </w:pPr>
            <w:r>
              <w:rPr>
                <w:color w:val="000000"/>
                <w:szCs w:val="21"/>
              </w:rPr>
              <w:t>5.5</w:t>
            </w:r>
          </w:p>
        </w:tc>
        <w:tc>
          <w:tcPr>
            <w:tcW w:w="852" w:type="dxa"/>
            <w:vAlign w:val="center"/>
          </w:tcPr>
          <w:p>
            <w:pPr>
              <w:jc w:val="center"/>
              <w:rPr>
                <w:color w:val="000000"/>
                <w:szCs w:val="21"/>
              </w:rPr>
            </w:pPr>
            <w:r>
              <w:rPr>
                <w:color w:val="000000"/>
                <w:szCs w:val="21"/>
              </w:rPr>
              <w:t>5.6</w:t>
            </w:r>
          </w:p>
        </w:tc>
        <w:tc>
          <w:tcPr>
            <w:tcW w:w="852" w:type="dxa"/>
            <w:vAlign w:val="center"/>
          </w:tcPr>
          <w:p>
            <w:pPr>
              <w:jc w:val="center"/>
              <w:rPr>
                <w:color w:val="000000"/>
                <w:szCs w:val="21"/>
              </w:rPr>
            </w:pPr>
            <w:r>
              <w:rPr>
                <w:color w:val="000000"/>
                <w:szCs w:val="21"/>
              </w:rPr>
              <w:t>5.7</w:t>
            </w:r>
          </w:p>
        </w:tc>
        <w:tc>
          <w:tcPr>
            <w:tcW w:w="851" w:type="dxa"/>
            <w:vAlign w:val="center"/>
          </w:tcPr>
          <w:p>
            <w:pPr>
              <w:jc w:val="center"/>
              <w:rPr>
                <w:color w:val="000000"/>
                <w:szCs w:val="21"/>
              </w:rPr>
            </w:pPr>
            <w:r>
              <w:rPr>
                <w:color w:val="000000"/>
                <w:szCs w:val="21"/>
              </w:rPr>
              <w:t>5.8</w:t>
            </w:r>
          </w:p>
        </w:tc>
        <w:tc>
          <w:tcPr>
            <w:tcW w:w="852" w:type="dxa"/>
            <w:vAlign w:val="center"/>
          </w:tcPr>
          <w:p>
            <w:pPr>
              <w:jc w:val="center"/>
              <w:rPr>
                <w:color w:val="000000"/>
                <w:szCs w:val="21"/>
              </w:rPr>
            </w:pPr>
            <w:r>
              <w:rPr>
                <w:color w:val="000000"/>
                <w:szCs w:val="21"/>
              </w:rPr>
              <w:t>5.9</w:t>
            </w:r>
          </w:p>
        </w:tc>
        <w:tc>
          <w:tcPr>
            <w:tcW w:w="852" w:type="dxa"/>
            <w:vAlign w:val="center"/>
          </w:tcPr>
          <w:p>
            <w:pPr>
              <w:jc w:val="center"/>
              <w:rPr>
                <w:color w:val="000000"/>
                <w:szCs w:val="21"/>
              </w:rPr>
            </w:pPr>
            <w:r>
              <w:rPr>
                <w:rFonts w:hint="eastAsia"/>
                <w:color w:val="000000"/>
                <w:szCs w:val="21"/>
              </w:rPr>
              <w:t>≥</w:t>
            </w:r>
            <w:r>
              <w:rPr>
                <w:color w:val="000000"/>
                <w:szCs w:val="21"/>
              </w:rPr>
              <w:t>6</w:t>
            </w:r>
          </w:p>
        </w:tc>
        <w:tc>
          <w:tcPr>
            <w:tcW w:w="851" w:type="dxa"/>
            <w:vAlign w:val="center"/>
          </w:tcPr>
          <w:p>
            <w:pPr>
              <w:jc w:val="center"/>
              <w:rPr>
                <w:color w:val="000000"/>
                <w:szCs w:val="21"/>
              </w:rPr>
            </w:pPr>
          </w:p>
        </w:tc>
        <w:tc>
          <w:tcPr>
            <w:tcW w:w="852" w:type="dxa"/>
            <w:vAlign w:val="center"/>
          </w:tcPr>
          <w:p>
            <w:pPr>
              <w:jc w:val="center"/>
              <w:rPr>
                <w:color w:val="000000"/>
                <w:szCs w:val="21"/>
              </w:rPr>
            </w:pPr>
          </w:p>
        </w:tc>
        <w:tc>
          <w:tcPr>
            <w:tcW w:w="852" w:type="dxa"/>
            <w:vAlign w:val="center"/>
          </w:tcPr>
          <w:p>
            <w:pPr>
              <w:jc w:val="center"/>
              <w:rPr>
                <w:color w:val="000000"/>
                <w:szCs w:val="21"/>
              </w:rPr>
            </w:pPr>
          </w:p>
        </w:tc>
        <w:tc>
          <w:tcPr>
            <w:tcW w:w="852" w:type="dxa"/>
            <w:vAlign w:val="center"/>
          </w:tcPr>
          <w:p>
            <w:pPr>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jc w:val="center"/>
        </w:trPr>
        <w:tc>
          <w:tcPr>
            <w:tcW w:w="856" w:type="dxa"/>
            <w:vAlign w:val="center"/>
          </w:tcPr>
          <w:p>
            <w:pPr>
              <w:shd w:val="clear" w:color="auto" w:fill="FFFFFF"/>
              <w:jc w:val="center"/>
              <w:rPr>
                <w:color w:val="000000"/>
                <w:szCs w:val="21"/>
              </w:rPr>
            </w:pPr>
            <w:r>
              <w:rPr>
                <w:color w:val="000000"/>
                <w:szCs w:val="21"/>
              </w:rPr>
              <w:t>比值</w:t>
            </w:r>
          </w:p>
        </w:tc>
        <w:tc>
          <w:tcPr>
            <w:tcW w:w="856" w:type="dxa"/>
            <w:vAlign w:val="center"/>
          </w:tcPr>
          <w:p>
            <w:pPr>
              <w:jc w:val="center"/>
              <w:rPr>
                <w:color w:val="000000"/>
                <w:sz w:val="22"/>
                <w:szCs w:val="22"/>
              </w:rPr>
            </w:pPr>
            <w:r>
              <w:rPr>
                <w:color w:val="000000"/>
                <w:sz w:val="22"/>
                <w:szCs w:val="22"/>
              </w:rPr>
              <w:t>1.523</w:t>
            </w:r>
          </w:p>
        </w:tc>
        <w:tc>
          <w:tcPr>
            <w:tcW w:w="852" w:type="dxa"/>
            <w:vAlign w:val="center"/>
          </w:tcPr>
          <w:p>
            <w:pPr>
              <w:jc w:val="center"/>
              <w:rPr>
                <w:color w:val="000000"/>
                <w:sz w:val="22"/>
                <w:szCs w:val="22"/>
              </w:rPr>
            </w:pPr>
            <w:r>
              <w:rPr>
                <w:color w:val="000000"/>
                <w:sz w:val="22"/>
                <w:szCs w:val="22"/>
              </w:rPr>
              <w:t>1.531</w:t>
            </w:r>
          </w:p>
        </w:tc>
        <w:tc>
          <w:tcPr>
            <w:tcW w:w="852" w:type="dxa"/>
            <w:vAlign w:val="center"/>
          </w:tcPr>
          <w:p>
            <w:pPr>
              <w:jc w:val="center"/>
              <w:rPr>
                <w:color w:val="000000"/>
                <w:sz w:val="22"/>
                <w:szCs w:val="22"/>
              </w:rPr>
            </w:pPr>
            <w:r>
              <w:rPr>
                <w:color w:val="000000"/>
                <w:sz w:val="22"/>
                <w:szCs w:val="22"/>
              </w:rPr>
              <w:t>1.539</w:t>
            </w:r>
          </w:p>
        </w:tc>
        <w:tc>
          <w:tcPr>
            <w:tcW w:w="851" w:type="dxa"/>
            <w:vAlign w:val="center"/>
          </w:tcPr>
          <w:p>
            <w:pPr>
              <w:jc w:val="center"/>
              <w:rPr>
                <w:color w:val="000000"/>
                <w:sz w:val="22"/>
                <w:szCs w:val="22"/>
              </w:rPr>
            </w:pPr>
            <w:r>
              <w:rPr>
                <w:color w:val="000000"/>
                <w:sz w:val="22"/>
                <w:szCs w:val="22"/>
              </w:rPr>
              <w:t>1.547</w:t>
            </w:r>
          </w:p>
        </w:tc>
        <w:tc>
          <w:tcPr>
            <w:tcW w:w="852" w:type="dxa"/>
            <w:vAlign w:val="center"/>
          </w:tcPr>
          <w:p>
            <w:pPr>
              <w:jc w:val="center"/>
              <w:rPr>
                <w:color w:val="000000"/>
                <w:sz w:val="22"/>
                <w:szCs w:val="22"/>
              </w:rPr>
            </w:pPr>
            <w:r>
              <w:rPr>
                <w:color w:val="000000"/>
                <w:sz w:val="22"/>
                <w:szCs w:val="22"/>
              </w:rPr>
              <w:t>1.554</w:t>
            </w:r>
          </w:p>
        </w:tc>
        <w:tc>
          <w:tcPr>
            <w:tcW w:w="852" w:type="dxa"/>
            <w:vAlign w:val="center"/>
          </w:tcPr>
          <w:p>
            <w:pPr>
              <w:jc w:val="center"/>
              <w:rPr>
                <w:color w:val="000000"/>
                <w:sz w:val="22"/>
                <w:szCs w:val="22"/>
              </w:rPr>
            </w:pPr>
            <w:r>
              <w:rPr>
                <w:color w:val="000000"/>
                <w:sz w:val="22"/>
                <w:szCs w:val="22"/>
              </w:rPr>
              <w:t>1.561</w:t>
            </w:r>
          </w:p>
        </w:tc>
        <w:tc>
          <w:tcPr>
            <w:tcW w:w="851" w:type="dxa"/>
            <w:vAlign w:val="center"/>
          </w:tcPr>
          <w:p>
            <w:pPr>
              <w:jc w:val="center"/>
              <w:rPr>
                <w:color w:val="000000"/>
                <w:szCs w:val="21"/>
              </w:rPr>
            </w:pPr>
          </w:p>
        </w:tc>
        <w:tc>
          <w:tcPr>
            <w:tcW w:w="852" w:type="dxa"/>
            <w:vAlign w:val="center"/>
          </w:tcPr>
          <w:p>
            <w:pPr>
              <w:jc w:val="center"/>
              <w:rPr>
                <w:color w:val="000000"/>
                <w:szCs w:val="21"/>
              </w:rPr>
            </w:pPr>
          </w:p>
        </w:tc>
        <w:tc>
          <w:tcPr>
            <w:tcW w:w="852" w:type="dxa"/>
            <w:vAlign w:val="center"/>
          </w:tcPr>
          <w:p>
            <w:pPr>
              <w:jc w:val="center"/>
              <w:rPr>
                <w:color w:val="000000"/>
                <w:szCs w:val="21"/>
              </w:rPr>
            </w:pPr>
          </w:p>
        </w:tc>
        <w:tc>
          <w:tcPr>
            <w:tcW w:w="852" w:type="dxa"/>
            <w:vAlign w:val="center"/>
          </w:tcPr>
          <w:p>
            <w:pPr>
              <w:jc w:val="center"/>
              <w:rPr>
                <w:color w:val="000000"/>
                <w:szCs w:val="21"/>
              </w:rPr>
            </w:pP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br w:type="page"/>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 xml:space="preserve">5-4-41 </w:t>
      </w:r>
      <w:r>
        <w:rPr>
          <w:rFonts w:ascii="Times New Roman" w:hAnsi="Times New Roman"/>
          <w:sz w:val="24"/>
          <w:szCs w:val="24"/>
        </w:rPr>
        <w:t xml:space="preserve"> </w:t>
      </w:r>
      <w:r>
        <w:rPr>
          <w:rFonts w:hint="eastAsia" w:ascii="Times New Roman" w:hAnsi="Times New Roman"/>
          <w:sz w:val="24"/>
          <w:szCs w:val="24"/>
        </w:rPr>
        <w:t>与市区对接的重点区域和一等镇Ⅱ</w:t>
      </w:r>
      <w:r>
        <w:rPr>
          <w:rFonts w:ascii="Times New Roman" w:hAnsi="Times New Roman"/>
          <w:sz w:val="24"/>
          <w:szCs w:val="24"/>
        </w:rPr>
        <w:t>级住宅用地容积率修正系数表</w:t>
      </w:r>
    </w:p>
    <w:tbl>
      <w:tblPr>
        <w:tblW w:w="937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6"/>
        <w:gridCol w:w="856"/>
        <w:gridCol w:w="852"/>
        <w:gridCol w:w="852"/>
        <w:gridCol w:w="851"/>
        <w:gridCol w:w="852"/>
        <w:gridCol w:w="852"/>
        <w:gridCol w:w="851"/>
        <w:gridCol w:w="852"/>
        <w:gridCol w:w="852"/>
        <w:gridCol w:w="8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bottom"/>
          </w:tcPr>
          <w:p>
            <w:pPr>
              <w:shd w:val="clear" w:color="auto" w:fill="FFFFFF"/>
              <w:spacing w:line="320" w:lineRule="exact"/>
              <w:jc w:val="center"/>
              <w:rPr>
                <w:color w:val="000000"/>
                <w:szCs w:val="21"/>
              </w:rPr>
            </w:pPr>
            <w:r>
              <w:rPr>
                <w:color w:val="000000"/>
                <w:szCs w:val="21"/>
              </w:rPr>
              <w:t>容积率</w:t>
            </w:r>
          </w:p>
        </w:tc>
        <w:tc>
          <w:tcPr>
            <w:tcW w:w="856" w:type="dxa"/>
            <w:vAlign w:val="bottom"/>
          </w:tcPr>
          <w:p>
            <w:pPr>
              <w:shd w:val="clear" w:color="auto" w:fill="FFFFFF"/>
              <w:spacing w:line="320" w:lineRule="exact"/>
              <w:jc w:val="center"/>
              <w:rPr>
                <w:color w:val="000000"/>
                <w:szCs w:val="21"/>
              </w:rPr>
            </w:pPr>
            <w:r>
              <w:rPr>
                <w:color w:val="000000"/>
                <w:szCs w:val="21"/>
              </w:rPr>
              <w:t>≤0.5</w:t>
            </w:r>
          </w:p>
        </w:tc>
        <w:tc>
          <w:tcPr>
            <w:tcW w:w="852" w:type="dxa"/>
            <w:vAlign w:val="bottom"/>
          </w:tcPr>
          <w:p>
            <w:pPr>
              <w:shd w:val="clear" w:color="auto" w:fill="FFFFFF"/>
              <w:spacing w:line="320" w:lineRule="exact"/>
              <w:jc w:val="center"/>
              <w:rPr>
                <w:color w:val="000000"/>
                <w:szCs w:val="21"/>
              </w:rPr>
            </w:pPr>
            <w:r>
              <w:rPr>
                <w:color w:val="000000"/>
                <w:szCs w:val="21"/>
              </w:rPr>
              <w:t>0.6</w:t>
            </w:r>
          </w:p>
        </w:tc>
        <w:tc>
          <w:tcPr>
            <w:tcW w:w="852" w:type="dxa"/>
            <w:vAlign w:val="bottom"/>
          </w:tcPr>
          <w:p>
            <w:pPr>
              <w:shd w:val="clear" w:color="auto" w:fill="FFFFFF"/>
              <w:spacing w:line="320" w:lineRule="exact"/>
              <w:jc w:val="center"/>
              <w:rPr>
                <w:color w:val="000000"/>
                <w:szCs w:val="21"/>
              </w:rPr>
            </w:pPr>
            <w:r>
              <w:rPr>
                <w:color w:val="000000"/>
                <w:szCs w:val="21"/>
              </w:rPr>
              <w:t>0.7</w:t>
            </w:r>
          </w:p>
        </w:tc>
        <w:tc>
          <w:tcPr>
            <w:tcW w:w="851" w:type="dxa"/>
            <w:vAlign w:val="bottom"/>
          </w:tcPr>
          <w:p>
            <w:pPr>
              <w:shd w:val="clear" w:color="auto" w:fill="FFFFFF"/>
              <w:spacing w:line="320" w:lineRule="exact"/>
              <w:jc w:val="center"/>
              <w:rPr>
                <w:color w:val="000000"/>
                <w:szCs w:val="21"/>
              </w:rPr>
            </w:pPr>
            <w:r>
              <w:rPr>
                <w:color w:val="000000"/>
                <w:szCs w:val="21"/>
              </w:rPr>
              <w:t>0.8</w:t>
            </w:r>
          </w:p>
        </w:tc>
        <w:tc>
          <w:tcPr>
            <w:tcW w:w="852" w:type="dxa"/>
            <w:vAlign w:val="bottom"/>
          </w:tcPr>
          <w:p>
            <w:pPr>
              <w:shd w:val="clear" w:color="auto" w:fill="FFFFFF"/>
              <w:spacing w:line="320" w:lineRule="exact"/>
              <w:jc w:val="center"/>
              <w:rPr>
                <w:color w:val="000000"/>
                <w:szCs w:val="21"/>
              </w:rPr>
            </w:pPr>
            <w:r>
              <w:rPr>
                <w:color w:val="000000"/>
                <w:szCs w:val="21"/>
              </w:rPr>
              <w:t>0.9</w:t>
            </w:r>
          </w:p>
        </w:tc>
        <w:tc>
          <w:tcPr>
            <w:tcW w:w="852" w:type="dxa"/>
            <w:vAlign w:val="bottom"/>
          </w:tcPr>
          <w:p>
            <w:pPr>
              <w:shd w:val="clear" w:color="auto" w:fill="FFFFFF"/>
              <w:spacing w:line="320" w:lineRule="exact"/>
              <w:jc w:val="center"/>
              <w:rPr>
                <w:color w:val="000000"/>
                <w:szCs w:val="21"/>
              </w:rPr>
            </w:pPr>
            <w:r>
              <w:rPr>
                <w:color w:val="000000"/>
                <w:szCs w:val="21"/>
              </w:rPr>
              <w:t>1</w:t>
            </w:r>
          </w:p>
        </w:tc>
        <w:tc>
          <w:tcPr>
            <w:tcW w:w="851" w:type="dxa"/>
            <w:vAlign w:val="bottom"/>
          </w:tcPr>
          <w:p>
            <w:pPr>
              <w:shd w:val="clear" w:color="auto" w:fill="FFFFFF"/>
              <w:spacing w:line="320" w:lineRule="exact"/>
              <w:jc w:val="center"/>
              <w:rPr>
                <w:color w:val="000000"/>
                <w:szCs w:val="21"/>
              </w:rPr>
            </w:pPr>
            <w:r>
              <w:rPr>
                <w:color w:val="000000"/>
                <w:szCs w:val="21"/>
              </w:rPr>
              <w:t>1.1</w:t>
            </w:r>
          </w:p>
        </w:tc>
        <w:tc>
          <w:tcPr>
            <w:tcW w:w="852" w:type="dxa"/>
            <w:vAlign w:val="bottom"/>
          </w:tcPr>
          <w:p>
            <w:pPr>
              <w:shd w:val="clear" w:color="auto" w:fill="FFFFFF"/>
              <w:spacing w:line="320" w:lineRule="exact"/>
              <w:jc w:val="center"/>
              <w:rPr>
                <w:color w:val="000000"/>
                <w:szCs w:val="21"/>
              </w:rPr>
            </w:pPr>
            <w:r>
              <w:rPr>
                <w:color w:val="000000"/>
                <w:szCs w:val="21"/>
              </w:rPr>
              <w:t>1.2</w:t>
            </w:r>
          </w:p>
        </w:tc>
        <w:tc>
          <w:tcPr>
            <w:tcW w:w="852" w:type="dxa"/>
            <w:vAlign w:val="bottom"/>
          </w:tcPr>
          <w:p>
            <w:pPr>
              <w:shd w:val="clear" w:color="auto" w:fill="FFFFFF"/>
              <w:spacing w:line="320" w:lineRule="exact"/>
              <w:jc w:val="center"/>
              <w:rPr>
                <w:color w:val="000000"/>
                <w:szCs w:val="21"/>
              </w:rPr>
            </w:pPr>
            <w:r>
              <w:rPr>
                <w:color w:val="000000"/>
                <w:szCs w:val="21"/>
              </w:rPr>
              <w:t>1.3</w:t>
            </w:r>
          </w:p>
        </w:tc>
        <w:tc>
          <w:tcPr>
            <w:tcW w:w="852" w:type="dxa"/>
            <w:vAlign w:val="bottom"/>
          </w:tcPr>
          <w:p>
            <w:pPr>
              <w:shd w:val="clear" w:color="auto" w:fill="FFFFFF"/>
              <w:spacing w:line="320" w:lineRule="exact"/>
              <w:jc w:val="center"/>
              <w:rPr>
                <w:color w:val="000000"/>
                <w:szCs w:val="21"/>
              </w:rPr>
            </w:pPr>
            <w:r>
              <w:rPr>
                <w:color w:val="000000"/>
                <w:szCs w:val="21"/>
              </w:rPr>
              <w:t>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bottom"/>
          </w:tcPr>
          <w:p>
            <w:pPr>
              <w:shd w:val="clear" w:color="auto" w:fill="FFFFFF"/>
              <w:spacing w:line="320" w:lineRule="exact"/>
              <w:jc w:val="center"/>
              <w:rPr>
                <w:color w:val="000000"/>
                <w:szCs w:val="21"/>
              </w:rPr>
            </w:pPr>
            <w:r>
              <w:rPr>
                <w:color w:val="000000"/>
                <w:szCs w:val="21"/>
              </w:rPr>
              <w:t>比值</w:t>
            </w:r>
          </w:p>
        </w:tc>
        <w:tc>
          <w:tcPr>
            <w:tcW w:w="856" w:type="dxa"/>
            <w:vAlign w:val="bottom"/>
          </w:tcPr>
          <w:p>
            <w:pPr>
              <w:shd w:val="clear" w:color="auto" w:fill="FFFFFF"/>
              <w:spacing w:line="320" w:lineRule="exact"/>
              <w:jc w:val="center"/>
              <w:rPr>
                <w:color w:val="000000"/>
                <w:szCs w:val="21"/>
              </w:rPr>
            </w:pPr>
            <w:r>
              <w:rPr>
                <w:color w:val="000000"/>
                <w:szCs w:val="21"/>
              </w:rPr>
              <w:t>0.724</w:t>
            </w:r>
          </w:p>
        </w:tc>
        <w:tc>
          <w:tcPr>
            <w:tcW w:w="852" w:type="dxa"/>
            <w:vAlign w:val="bottom"/>
          </w:tcPr>
          <w:p>
            <w:pPr>
              <w:shd w:val="clear" w:color="auto" w:fill="FFFFFF"/>
              <w:spacing w:line="320" w:lineRule="exact"/>
              <w:jc w:val="center"/>
              <w:rPr>
                <w:color w:val="000000"/>
                <w:szCs w:val="21"/>
              </w:rPr>
            </w:pPr>
            <w:r>
              <w:rPr>
                <w:color w:val="000000"/>
                <w:szCs w:val="21"/>
              </w:rPr>
              <w:t>0.752</w:t>
            </w:r>
          </w:p>
        </w:tc>
        <w:tc>
          <w:tcPr>
            <w:tcW w:w="852" w:type="dxa"/>
            <w:vAlign w:val="bottom"/>
          </w:tcPr>
          <w:p>
            <w:pPr>
              <w:shd w:val="clear" w:color="auto" w:fill="FFFFFF"/>
              <w:spacing w:line="320" w:lineRule="exact"/>
              <w:jc w:val="center"/>
              <w:rPr>
                <w:color w:val="000000"/>
                <w:szCs w:val="21"/>
              </w:rPr>
            </w:pPr>
            <w:r>
              <w:rPr>
                <w:color w:val="000000"/>
                <w:szCs w:val="21"/>
              </w:rPr>
              <w:t>0.764</w:t>
            </w:r>
          </w:p>
        </w:tc>
        <w:tc>
          <w:tcPr>
            <w:tcW w:w="851" w:type="dxa"/>
            <w:vAlign w:val="bottom"/>
          </w:tcPr>
          <w:p>
            <w:pPr>
              <w:shd w:val="clear" w:color="auto" w:fill="FFFFFF"/>
              <w:spacing w:line="320" w:lineRule="exact"/>
              <w:jc w:val="center"/>
              <w:rPr>
                <w:color w:val="000000"/>
                <w:szCs w:val="21"/>
              </w:rPr>
            </w:pPr>
            <w:r>
              <w:rPr>
                <w:color w:val="000000"/>
                <w:szCs w:val="21"/>
              </w:rPr>
              <w:t>0.772</w:t>
            </w:r>
          </w:p>
        </w:tc>
        <w:tc>
          <w:tcPr>
            <w:tcW w:w="852" w:type="dxa"/>
            <w:vAlign w:val="bottom"/>
          </w:tcPr>
          <w:p>
            <w:pPr>
              <w:shd w:val="clear" w:color="auto" w:fill="FFFFFF"/>
              <w:spacing w:line="320" w:lineRule="exact"/>
              <w:jc w:val="center"/>
              <w:rPr>
                <w:color w:val="000000"/>
                <w:szCs w:val="21"/>
              </w:rPr>
            </w:pPr>
            <w:r>
              <w:rPr>
                <w:color w:val="000000"/>
                <w:szCs w:val="21"/>
              </w:rPr>
              <w:t>0.79</w:t>
            </w:r>
          </w:p>
        </w:tc>
        <w:tc>
          <w:tcPr>
            <w:tcW w:w="852" w:type="dxa"/>
            <w:vAlign w:val="bottom"/>
          </w:tcPr>
          <w:p>
            <w:pPr>
              <w:shd w:val="clear" w:color="auto" w:fill="FFFFFF"/>
              <w:spacing w:line="320" w:lineRule="exact"/>
              <w:jc w:val="center"/>
              <w:rPr>
                <w:color w:val="000000"/>
                <w:szCs w:val="21"/>
              </w:rPr>
            </w:pPr>
            <w:r>
              <w:rPr>
                <w:color w:val="000000"/>
                <w:szCs w:val="21"/>
              </w:rPr>
              <w:t>0.812</w:t>
            </w:r>
          </w:p>
        </w:tc>
        <w:tc>
          <w:tcPr>
            <w:tcW w:w="851" w:type="dxa"/>
            <w:vAlign w:val="bottom"/>
          </w:tcPr>
          <w:p>
            <w:pPr>
              <w:shd w:val="clear" w:color="auto" w:fill="FFFFFF"/>
              <w:spacing w:line="320" w:lineRule="exact"/>
              <w:jc w:val="center"/>
              <w:rPr>
                <w:color w:val="000000"/>
                <w:szCs w:val="21"/>
              </w:rPr>
            </w:pPr>
            <w:r>
              <w:rPr>
                <w:color w:val="000000"/>
                <w:szCs w:val="21"/>
              </w:rPr>
              <w:t>0.844</w:t>
            </w:r>
          </w:p>
        </w:tc>
        <w:tc>
          <w:tcPr>
            <w:tcW w:w="852" w:type="dxa"/>
            <w:vAlign w:val="bottom"/>
          </w:tcPr>
          <w:p>
            <w:pPr>
              <w:shd w:val="clear" w:color="auto" w:fill="FFFFFF"/>
              <w:spacing w:line="320" w:lineRule="exact"/>
              <w:jc w:val="center"/>
              <w:rPr>
                <w:color w:val="000000"/>
                <w:szCs w:val="21"/>
              </w:rPr>
            </w:pPr>
            <w:r>
              <w:rPr>
                <w:color w:val="000000"/>
                <w:szCs w:val="21"/>
              </w:rPr>
              <w:t>0.876</w:t>
            </w:r>
          </w:p>
        </w:tc>
        <w:tc>
          <w:tcPr>
            <w:tcW w:w="852" w:type="dxa"/>
            <w:vAlign w:val="bottom"/>
          </w:tcPr>
          <w:p>
            <w:pPr>
              <w:shd w:val="clear" w:color="auto" w:fill="FFFFFF"/>
              <w:spacing w:line="320" w:lineRule="exact"/>
              <w:jc w:val="center"/>
              <w:rPr>
                <w:color w:val="000000"/>
                <w:szCs w:val="21"/>
              </w:rPr>
            </w:pPr>
            <w:r>
              <w:rPr>
                <w:color w:val="000000"/>
                <w:szCs w:val="21"/>
              </w:rPr>
              <w:t>0.907</w:t>
            </w:r>
          </w:p>
        </w:tc>
        <w:tc>
          <w:tcPr>
            <w:tcW w:w="852" w:type="dxa"/>
            <w:vAlign w:val="bottom"/>
          </w:tcPr>
          <w:p>
            <w:pPr>
              <w:shd w:val="clear" w:color="auto" w:fill="FFFFFF"/>
              <w:spacing w:line="320" w:lineRule="exact"/>
              <w:jc w:val="center"/>
              <w:rPr>
                <w:color w:val="000000"/>
                <w:szCs w:val="21"/>
              </w:rPr>
            </w:pPr>
            <w:r>
              <w:rPr>
                <w:color w:val="000000"/>
                <w:szCs w:val="21"/>
              </w:rPr>
              <w:t>0.938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bottom"/>
          </w:tcPr>
          <w:p>
            <w:pPr>
              <w:shd w:val="clear" w:color="auto" w:fill="FFFFFF"/>
              <w:spacing w:line="320" w:lineRule="exact"/>
              <w:jc w:val="center"/>
              <w:rPr>
                <w:color w:val="000000"/>
                <w:szCs w:val="21"/>
              </w:rPr>
            </w:pPr>
            <w:r>
              <w:rPr>
                <w:color w:val="000000"/>
                <w:szCs w:val="21"/>
              </w:rPr>
              <w:t>容积率</w:t>
            </w:r>
          </w:p>
        </w:tc>
        <w:tc>
          <w:tcPr>
            <w:tcW w:w="856" w:type="dxa"/>
            <w:vAlign w:val="bottom"/>
          </w:tcPr>
          <w:p>
            <w:pPr>
              <w:shd w:val="clear" w:color="auto" w:fill="FFFFFF"/>
              <w:spacing w:line="320" w:lineRule="exact"/>
              <w:jc w:val="center"/>
              <w:rPr>
                <w:color w:val="000000"/>
                <w:szCs w:val="21"/>
              </w:rPr>
            </w:pPr>
            <w:r>
              <w:rPr>
                <w:color w:val="000000"/>
                <w:szCs w:val="21"/>
              </w:rPr>
              <w:t>1.5</w:t>
            </w:r>
          </w:p>
        </w:tc>
        <w:tc>
          <w:tcPr>
            <w:tcW w:w="852" w:type="dxa"/>
            <w:vAlign w:val="bottom"/>
          </w:tcPr>
          <w:p>
            <w:pPr>
              <w:shd w:val="clear" w:color="auto" w:fill="FFFFFF"/>
              <w:spacing w:line="320" w:lineRule="exact"/>
              <w:jc w:val="center"/>
              <w:rPr>
                <w:color w:val="000000"/>
                <w:szCs w:val="21"/>
              </w:rPr>
            </w:pPr>
            <w:r>
              <w:rPr>
                <w:color w:val="000000"/>
                <w:szCs w:val="21"/>
              </w:rPr>
              <w:t>1.6</w:t>
            </w:r>
          </w:p>
        </w:tc>
        <w:tc>
          <w:tcPr>
            <w:tcW w:w="852" w:type="dxa"/>
            <w:vAlign w:val="bottom"/>
          </w:tcPr>
          <w:p>
            <w:pPr>
              <w:shd w:val="clear" w:color="auto" w:fill="FFFFFF"/>
              <w:spacing w:line="320" w:lineRule="exact"/>
              <w:jc w:val="center"/>
              <w:rPr>
                <w:color w:val="000000"/>
                <w:szCs w:val="21"/>
              </w:rPr>
            </w:pPr>
            <w:r>
              <w:rPr>
                <w:color w:val="000000"/>
                <w:szCs w:val="21"/>
              </w:rPr>
              <w:t>1.7</w:t>
            </w:r>
          </w:p>
        </w:tc>
        <w:tc>
          <w:tcPr>
            <w:tcW w:w="851" w:type="dxa"/>
            <w:vAlign w:val="bottom"/>
          </w:tcPr>
          <w:p>
            <w:pPr>
              <w:shd w:val="clear" w:color="auto" w:fill="FFFFFF"/>
              <w:spacing w:line="320" w:lineRule="exact"/>
              <w:jc w:val="center"/>
              <w:rPr>
                <w:color w:val="000000"/>
                <w:szCs w:val="21"/>
              </w:rPr>
            </w:pPr>
            <w:r>
              <w:rPr>
                <w:color w:val="000000"/>
                <w:szCs w:val="21"/>
              </w:rPr>
              <w:t>1.8</w:t>
            </w:r>
          </w:p>
        </w:tc>
        <w:tc>
          <w:tcPr>
            <w:tcW w:w="852" w:type="dxa"/>
            <w:vAlign w:val="bottom"/>
          </w:tcPr>
          <w:p>
            <w:pPr>
              <w:shd w:val="clear" w:color="auto" w:fill="FFFFFF"/>
              <w:spacing w:line="320" w:lineRule="exact"/>
              <w:jc w:val="center"/>
              <w:rPr>
                <w:color w:val="000000"/>
                <w:szCs w:val="21"/>
              </w:rPr>
            </w:pPr>
            <w:r>
              <w:rPr>
                <w:color w:val="000000"/>
                <w:szCs w:val="21"/>
              </w:rPr>
              <w:t>1.9</w:t>
            </w:r>
          </w:p>
        </w:tc>
        <w:tc>
          <w:tcPr>
            <w:tcW w:w="852" w:type="dxa"/>
            <w:vAlign w:val="bottom"/>
          </w:tcPr>
          <w:p>
            <w:pPr>
              <w:shd w:val="clear" w:color="auto" w:fill="FFFFFF"/>
              <w:spacing w:line="320" w:lineRule="exact"/>
              <w:jc w:val="center"/>
              <w:rPr>
                <w:color w:val="000000"/>
                <w:szCs w:val="21"/>
              </w:rPr>
            </w:pPr>
            <w:r>
              <w:rPr>
                <w:color w:val="000000"/>
                <w:szCs w:val="21"/>
              </w:rPr>
              <w:t>2</w:t>
            </w:r>
          </w:p>
        </w:tc>
        <w:tc>
          <w:tcPr>
            <w:tcW w:w="851" w:type="dxa"/>
            <w:vAlign w:val="bottom"/>
          </w:tcPr>
          <w:p>
            <w:pPr>
              <w:shd w:val="clear" w:color="auto" w:fill="FFFFFF"/>
              <w:spacing w:line="320" w:lineRule="exact"/>
              <w:jc w:val="center"/>
              <w:rPr>
                <w:color w:val="000000"/>
                <w:szCs w:val="21"/>
              </w:rPr>
            </w:pPr>
            <w:r>
              <w:rPr>
                <w:color w:val="000000"/>
                <w:szCs w:val="21"/>
              </w:rPr>
              <w:t>2.1</w:t>
            </w:r>
          </w:p>
        </w:tc>
        <w:tc>
          <w:tcPr>
            <w:tcW w:w="852" w:type="dxa"/>
            <w:vAlign w:val="bottom"/>
          </w:tcPr>
          <w:p>
            <w:pPr>
              <w:shd w:val="clear" w:color="auto" w:fill="FFFFFF"/>
              <w:spacing w:line="320" w:lineRule="exact"/>
              <w:jc w:val="center"/>
              <w:rPr>
                <w:color w:val="000000"/>
                <w:szCs w:val="21"/>
              </w:rPr>
            </w:pPr>
            <w:r>
              <w:rPr>
                <w:color w:val="000000"/>
                <w:szCs w:val="21"/>
              </w:rPr>
              <w:t>2.2</w:t>
            </w:r>
          </w:p>
        </w:tc>
        <w:tc>
          <w:tcPr>
            <w:tcW w:w="852" w:type="dxa"/>
            <w:vAlign w:val="bottom"/>
          </w:tcPr>
          <w:p>
            <w:pPr>
              <w:shd w:val="clear" w:color="auto" w:fill="FFFFFF"/>
              <w:spacing w:line="320" w:lineRule="exact"/>
              <w:jc w:val="center"/>
              <w:rPr>
                <w:color w:val="000000"/>
                <w:szCs w:val="21"/>
              </w:rPr>
            </w:pPr>
            <w:r>
              <w:rPr>
                <w:color w:val="000000"/>
                <w:szCs w:val="21"/>
              </w:rPr>
              <w:t>2.3</w:t>
            </w:r>
          </w:p>
        </w:tc>
        <w:tc>
          <w:tcPr>
            <w:tcW w:w="852" w:type="dxa"/>
            <w:vAlign w:val="bottom"/>
          </w:tcPr>
          <w:p>
            <w:pPr>
              <w:shd w:val="clear" w:color="auto" w:fill="FFFFFF"/>
              <w:spacing w:line="320" w:lineRule="exact"/>
              <w:jc w:val="center"/>
              <w:rPr>
                <w:color w:val="000000"/>
                <w:szCs w:val="21"/>
              </w:rPr>
            </w:pPr>
            <w:r>
              <w:rPr>
                <w:color w:val="000000"/>
                <w:szCs w:val="21"/>
              </w:rPr>
              <w:t>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jc w:val="center"/>
        </w:trPr>
        <w:tc>
          <w:tcPr>
            <w:tcW w:w="856" w:type="dxa"/>
            <w:vAlign w:val="bottom"/>
          </w:tcPr>
          <w:p>
            <w:pPr>
              <w:shd w:val="clear" w:color="auto" w:fill="FFFFFF"/>
              <w:spacing w:line="320" w:lineRule="exact"/>
              <w:jc w:val="center"/>
              <w:rPr>
                <w:color w:val="000000"/>
                <w:szCs w:val="21"/>
              </w:rPr>
            </w:pPr>
            <w:r>
              <w:rPr>
                <w:color w:val="000000"/>
                <w:szCs w:val="21"/>
              </w:rPr>
              <w:t>比值</w:t>
            </w:r>
          </w:p>
        </w:tc>
        <w:tc>
          <w:tcPr>
            <w:tcW w:w="856" w:type="dxa"/>
            <w:vAlign w:val="bottom"/>
          </w:tcPr>
          <w:p>
            <w:pPr>
              <w:shd w:val="clear" w:color="auto" w:fill="FFFFFF"/>
              <w:spacing w:line="320" w:lineRule="exact"/>
              <w:jc w:val="center"/>
              <w:rPr>
                <w:color w:val="000000"/>
                <w:szCs w:val="21"/>
              </w:rPr>
            </w:pPr>
            <w:r>
              <w:rPr>
                <w:color w:val="000000"/>
                <w:szCs w:val="21"/>
              </w:rPr>
              <w:t>0.968</w:t>
            </w:r>
          </w:p>
        </w:tc>
        <w:tc>
          <w:tcPr>
            <w:tcW w:w="852" w:type="dxa"/>
            <w:vAlign w:val="bottom"/>
          </w:tcPr>
          <w:p>
            <w:pPr>
              <w:shd w:val="clear" w:color="auto" w:fill="FFFFFF"/>
              <w:spacing w:line="320" w:lineRule="exact"/>
              <w:jc w:val="center"/>
              <w:rPr>
                <w:color w:val="000000"/>
                <w:szCs w:val="21"/>
              </w:rPr>
            </w:pPr>
            <w:r>
              <w:rPr>
                <w:color w:val="000000"/>
                <w:szCs w:val="21"/>
              </w:rPr>
              <w:t>1</w:t>
            </w:r>
          </w:p>
        </w:tc>
        <w:tc>
          <w:tcPr>
            <w:tcW w:w="852" w:type="dxa"/>
            <w:vAlign w:val="bottom"/>
          </w:tcPr>
          <w:p>
            <w:pPr>
              <w:shd w:val="clear" w:color="auto" w:fill="FFFFFF"/>
              <w:spacing w:line="320" w:lineRule="exact"/>
              <w:jc w:val="center"/>
              <w:rPr>
                <w:color w:val="000000"/>
                <w:szCs w:val="21"/>
              </w:rPr>
            </w:pPr>
            <w:r>
              <w:rPr>
                <w:color w:val="000000"/>
                <w:szCs w:val="21"/>
              </w:rPr>
              <w:t>1.036</w:t>
            </w:r>
          </w:p>
        </w:tc>
        <w:tc>
          <w:tcPr>
            <w:tcW w:w="851" w:type="dxa"/>
            <w:vAlign w:val="bottom"/>
          </w:tcPr>
          <w:p>
            <w:pPr>
              <w:shd w:val="clear" w:color="auto" w:fill="FFFFFF"/>
              <w:spacing w:line="320" w:lineRule="exact"/>
              <w:jc w:val="center"/>
              <w:rPr>
                <w:color w:val="000000"/>
                <w:szCs w:val="21"/>
              </w:rPr>
            </w:pPr>
            <w:r>
              <w:rPr>
                <w:color w:val="000000"/>
                <w:szCs w:val="21"/>
              </w:rPr>
              <w:t>1.059</w:t>
            </w:r>
          </w:p>
        </w:tc>
        <w:tc>
          <w:tcPr>
            <w:tcW w:w="852" w:type="dxa"/>
            <w:vAlign w:val="bottom"/>
          </w:tcPr>
          <w:p>
            <w:pPr>
              <w:shd w:val="clear" w:color="auto" w:fill="FFFFFF"/>
              <w:spacing w:line="320" w:lineRule="exact"/>
              <w:jc w:val="center"/>
              <w:rPr>
                <w:color w:val="000000"/>
                <w:szCs w:val="21"/>
              </w:rPr>
            </w:pPr>
            <w:r>
              <w:rPr>
                <w:color w:val="000000"/>
                <w:szCs w:val="21"/>
              </w:rPr>
              <w:t>1.084</w:t>
            </w:r>
          </w:p>
        </w:tc>
        <w:tc>
          <w:tcPr>
            <w:tcW w:w="852" w:type="dxa"/>
            <w:vAlign w:val="bottom"/>
          </w:tcPr>
          <w:p>
            <w:pPr>
              <w:shd w:val="clear" w:color="auto" w:fill="FFFFFF"/>
              <w:spacing w:line="320" w:lineRule="exact"/>
              <w:jc w:val="center"/>
              <w:rPr>
                <w:color w:val="000000"/>
                <w:szCs w:val="21"/>
              </w:rPr>
            </w:pPr>
            <w:r>
              <w:rPr>
                <w:color w:val="000000"/>
                <w:szCs w:val="21"/>
              </w:rPr>
              <w:t>1.105</w:t>
            </w:r>
          </w:p>
        </w:tc>
        <w:tc>
          <w:tcPr>
            <w:tcW w:w="851" w:type="dxa"/>
            <w:vAlign w:val="bottom"/>
          </w:tcPr>
          <w:p>
            <w:pPr>
              <w:shd w:val="clear" w:color="auto" w:fill="FFFFFF"/>
              <w:spacing w:line="320" w:lineRule="exact"/>
              <w:jc w:val="center"/>
              <w:rPr>
                <w:color w:val="000000"/>
                <w:szCs w:val="21"/>
              </w:rPr>
            </w:pPr>
            <w:r>
              <w:rPr>
                <w:color w:val="000000"/>
                <w:szCs w:val="21"/>
              </w:rPr>
              <w:t>1.117</w:t>
            </w:r>
          </w:p>
        </w:tc>
        <w:tc>
          <w:tcPr>
            <w:tcW w:w="852" w:type="dxa"/>
            <w:vAlign w:val="bottom"/>
          </w:tcPr>
          <w:p>
            <w:pPr>
              <w:shd w:val="clear" w:color="auto" w:fill="FFFFFF"/>
              <w:spacing w:line="320" w:lineRule="exact"/>
              <w:jc w:val="center"/>
              <w:rPr>
                <w:color w:val="000000"/>
                <w:szCs w:val="21"/>
              </w:rPr>
            </w:pPr>
            <w:r>
              <w:rPr>
                <w:color w:val="000000"/>
                <w:szCs w:val="21"/>
              </w:rPr>
              <w:t>1.139</w:t>
            </w:r>
          </w:p>
        </w:tc>
        <w:tc>
          <w:tcPr>
            <w:tcW w:w="852" w:type="dxa"/>
            <w:vAlign w:val="bottom"/>
          </w:tcPr>
          <w:p>
            <w:pPr>
              <w:shd w:val="clear" w:color="auto" w:fill="FFFFFF"/>
              <w:spacing w:line="320" w:lineRule="exact"/>
              <w:jc w:val="center"/>
              <w:rPr>
                <w:color w:val="000000"/>
                <w:szCs w:val="21"/>
              </w:rPr>
            </w:pPr>
            <w:r>
              <w:rPr>
                <w:color w:val="000000"/>
                <w:szCs w:val="21"/>
              </w:rPr>
              <w:t>1.16</w:t>
            </w:r>
          </w:p>
        </w:tc>
        <w:tc>
          <w:tcPr>
            <w:tcW w:w="852" w:type="dxa"/>
            <w:vAlign w:val="bottom"/>
          </w:tcPr>
          <w:p>
            <w:pPr>
              <w:shd w:val="clear" w:color="auto" w:fill="FFFFFF"/>
              <w:spacing w:line="320" w:lineRule="exact"/>
              <w:jc w:val="center"/>
              <w:rPr>
                <w:color w:val="000000"/>
                <w:szCs w:val="21"/>
              </w:rPr>
            </w:pPr>
            <w:r>
              <w:rPr>
                <w:color w:val="000000"/>
                <w:szCs w:val="21"/>
              </w:rPr>
              <w:t>1.181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bottom"/>
          </w:tcPr>
          <w:p>
            <w:pPr>
              <w:shd w:val="clear" w:color="auto" w:fill="FFFFFF"/>
              <w:spacing w:line="320" w:lineRule="exact"/>
              <w:jc w:val="center"/>
              <w:rPr>
                <w:color w:val="000000"/>
                <w:szCs w:val="21"/>
              </w:rPr>
            </w:pPr>
            <w:r>
              <w:rPr>
                <w:color w:val="000000"/>
                <w:szCs w:val="21"/>
              </w:rPr>
              <w:t>容积率</w:t>
            </w:r>
          </w:p>
        </w:tc>
        <w:tc>
          <w:tcPr>
            <w:tcW w:w="856" w:type="dxa"/>
            <w:vAlign w:val="bottom"/>
          </w:tcPr>
          <w:p>
            <w:pPr>
              <w:shd w:val="clear" w:color="auto" w:fill="FFFFFF"/>
              <w:spacing w:line="320" w:lineRule="exact"/>
              <w:jc w:val="center"/>
              <w:rPr>
                <w:color w:val="000000"/>
                <w:szCs w:val="21"/>
              </w:rPr>
            </w:pPr>
            <w:r>
              <w:rPr>
                <w:color w:val="000000"/>
                <w:szCs w:val="21"/>
              </w:rPr>
              <w:t>2.5</w:t>
            </w:r>
          </w:p>
        </w:tc>
        <w:tc>
          <w:tcPr>
            <w:tcW w:w="852" w:type="dxa"/>
            <w:vAlign w:val="bottom"/>
          </w:tcPr>
          <w:p>
            <w:pPr>
              <w:shd w:val="clear" w:color="auto" w:fill="FFFFFF"/>
              <w:spacing w:line="320" w:lineRule="exact"/>
              <w:jc w:val="center"/>
              <w:rPr>
                <w:color w:val="000000"/>
                <w:szCs w:val="21"/>
              </w:rPr>
            </w:pPr>
            <w:r>
              <w:rPr>
                <w:color w:val="000000"/>
                <w:szCs w:val="21"/>
              </w:rPr>
              <w:t>2.6</w:t>
            </w:r>
          </w:p>
        </w:tc>
        <w:tc>
          <w:tcPr>
            <w:tcW w:w="852" w:type="dxa"/>
            <w:vAlign w:val="bottom"/>
          </w:tcPr>
          <w:p>
            <w:pPr>
              <w:shd w:val="clear" w:color="auto" w:fill="FFFFFF"/>
              <w:spacing w:line="320" w:lineRule="exact"/>
              <w:jc w:val="center"/>
              <w:rPr>
                <w:color w:val="000000"/>
                <w:szCs w:val="21"/>
              </w:rPr>
            </w:pPr>
            <w:r>
              <w:rPr>
                <w:color w:val="000000"/>
                <w:szCs w:val="21"/>
              </w:rPr>
              <w:t>2.7</w:t>
            </w:r>
          </w:p>
        </w:tc>
        <w:tc>
          <w:tcPr>
            <w:tcW w:w="851" w:type="dxa"/>
            <w:vAlign w:val="bottom"/>
          </w:tcPr>
          <w:p>
            <w:pPr>
              <w:shd w:val="clear" w:color="auto" w:fill="FFFFFF"/>
              <w:spacing w:line="320" w:lineRule="exact"/>
              <w:jc w:val="center"/>
              <w:rPr>
                <w:color w:val="000000"/>
                <w:szCs w:val="21"/>
              </w:rPr>
            </w:pPr>
            <w:r>
              <w:rPr>
                <w:color w:val="000000"/>
                <w:szCs w:val="21"/>
              </w:rPr>
              <w:t>2.8</w:t>
            </w:r>
          </w:p>
        </w:tc>
        <w:tc>
          <w:tcPr>
            <w:tcW w:w="852" w:type="dxa"/>
            <w:vAlign w:val="bottom"/>
          </w:tcPr>
          <w:p>
            <w:pPr>
              <w:shd w:val="clear" w:color="auto" w:fill="FFFFFF"/>
              <w:spacing w:line="320" w:lineRule="exact"/>
              <w:jc w:val="center"/>
              <w:rPr>
                <w:color w:val="000000"/>
                <w:szCs w:val="21"/>
              </w:rPr>
            </w:pPr>
            <w:r>
              <w:rPr>
                <w:color w:val="000000"/>
                <w:szCs w:val="21"/>
              </w:rPr>
              <w:t>2.9</w:t>
            </w:r>
          </w:p>
        </w:tc>
        <w:tc>
          <w:tcPr>
            <w:tcW w:w="852" w:type="dxa"/>
            <w:vAlign w:val="bottom"/>
          </w:tcPr>
          <w:p>
            <w:pPr>
              <w:shd w:val="clear" w:color="auto" w:fill="FFFFFF"/>
              <w:spacing w:line="320" w:lineRule="exact"/>
              <w:jc w:val="center"/>
              <w:rPr>
                <w:color w:val="000000"/>
                <w:szCs w:val="21"/>
              </w:rPr>
            </w:pPr>
            <w:r>
              <w:rPr>
                <w:color w:val="000000"/>
                <w:szCs w:val="21"/>
              </w:rPr>
              <w:t>3</w:t>
            </w:r>
          </w:p>
        </w:tc>
        <w:tc>
          <w:tcPr>
            <w:tcW w:w="851" w:type="dxa"/>
            <w:vAlign w:val="bottom"/>
          </w:tcPr>
          <w:p>
            <w:pPr>
              <w:shd w:val="clear" w:color="auto" w:fill="FFFFFF"/>
              <w:spacing w:line="320" w:lineRule="exact"/>
              <w:jc w:val="center"/>
              <w:rPr>
                <w:color w:val="000000"/>
                <w:szCs w:val="21"/>
              </w:rPr>
            </w:pPr>
            <w:r>
              <w:rPr>
                <w:color w:val="000000"/>
                <w:szCs w:val="21"/>
              </w:rPr>
              <w:t>3.1</w:t>
            </w:r>
          </w:p>
        </w:tc>
        <w:tc>
          <w:tcPr>
            <w:tcW w:w="852" w:type="dxa"/>
            <w:vAlign w:val="bottom"/>
          </w:tcPr>
          <w:p>
            <w:pPr>
              <w:shd w:val="clear" w:color="auto" w:fill="FFFFFF"/>
              <w:spacing w:line="320" w:lineRule="exact"/>
              <w:jc w:val="center"/>
              <w:rPr>
                <w:color w:val="000000"/>
                <w:szCs w:val="21"/>
              </w:rPr>
            </w:pPr>
            <w:r>
              <w:rPr>
                <w:color w:val="000000"/>
                <w:szCs w:val="21"/>
              </w:rPr>
              <w:t>3.2</w:t>
            </w:r>
          </w:p>
        </w:tc>
        <w:tc>
          <w:tcPr>
            <w:tcW w:w="852" w:type="dxa"/>
            <w:vAlign w:val="bottom"/>
          </w:tcPr>
          <w:p>
            <w:pPr>
              <w:shd w:val="clear" w:color="auto" w:fill="FFFFFF"/>
              <w:spacing w:line="320" w:lineRule="exact"/>
              <w:jc w:val="center"/>
              <w:rPr>
                <w:color w:val="000000"/>
                <w:szCs w:val="21"/>
              </w:rPr>
            </w:pPr>
            <w:r>
              <w:rPr>
                <w:color w:val="000000"/>
                <w:szCs w:val="21"/>
              </w:rPr>
              <w:t>3.3</w:t>
            </w:r>
          </w:p>
        </w:tc>
        <w:tc>
          <w:tcPr>
            <w:tcW w:w="852" w:type="dxa"/>
            <w:vAlign w:val="bottom"/>
          </w:tcPr>
          <w:p>
            <w:pPr>
              <w:shd w:val="clear" w:color="auto" w:fill="FFFFFF"/>
              <w:spacing w:line="320" w:lineRule="exact"/>
              <w:jc w:val="center"/>
              <w:rPr>
                <w:color w:val="000000"/>
                <w:szCs w:val="21"/>
              </w:rPr>
            </w:pPr>
            <w:r>
              <w:rPr>
                <w:color w:val="000000"/>
                <w:szCs w:val="21"/>
              </w:rPr>
              <w:t>3.4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bottom"/>
          </w:tcPr>
          <w:p>
            <w:pPr>
              <w:shd w:val="clear" w:color="auto" w:fill="FFFFFF"/>
              <w:spacing w:line="320" w:lineRule="exact"/>
              <w:jc w:val="center"/>
              <w:rPr>
                <w:color w:val="000000"/>
                <w:szCs w:val="21"/>
              </w:rPr>
            </w:pPr>
            <w:r>
              <w:rPr>
                <w:color w:val="000000"/>
                <w:szCs w:val="21"/>
              </w:rPr>
              <w:t>比值</w:t>
            </w:r>
          </w:p>
        </w:tc>
        <w:tc>
          <w:tcPr>
            <w:tcW w:w="856" w:type="dxa"/>
            <w:vAlign w:val="bottom"/>
          </w:tcPr>
          <w:p>
            <w:pPr>
              <w:shd w:val="clear" w:color="auto" w:fill="FFFFFF"/>
              <w:spacing w:line="320" w:lineRule="exact"/>
              <w:jc w:val="center"/>
              <w:rPr>
                <w:color w:val="000000"/>
                <w:szCs w:val="21"/>
              </w:rPr>
            </w:pPr>
            <w:r>
              <w:rPr>
                <w:color w:val="000000"/>
                <w:szCs w:val="21"/>
              </w:rPr>
              <w:t>1.202</w:t>
            </w:r>
          </w:p>
        </w:tc>
        <w:tc>
          <w:tcPr>
            <w:tcW w:w="852" w:type="dxa"/>
            <w:vAlign w:val="bottom"/>
          </w:tcPr>
          <w:p>
            <w:pPr>
              <w:shd w:val="clear" w:color="auto" w:fill="FFFFFF"/>
              <w:spacing w:line="320" w:lineRule="exact"/>
              <w:jc w:val="center"/>
              <w:rPr>
                <w:color w:val="000000"/>
                <w:szCs w:val="21"/>
              </w:rPr>
            </w:pPr>
            <w:r>
              <w:rPr>
                <w:color w:val="000000"/>
                <w:szCs w:val="21"/>
              </w:rPr>
              <w:t>1.222</w:t>
            </w:r>
          </w:p>
        </w:tc>
        <w:tc>
          <w:tcPr>
            <w:tcW w:w="852" w:type="dxa"/>
            <w:vAlign w:val="bottom"/>
          </w:tcPr>
          <w:p>
            <w:pPr>
              <w:shd w:val="clear" w:color="auto" w:fill="FFFFFF"/>
              <w:spacing w:line="320" w:lineRule="exact"/>
              <w:jc w:val="center"/>
              <w:rPr>
                <w:color w:val="000000"/>
                <w:szCs w:val="21"/>
              </w:rPr>
            </w:pPr>
            <w:r>
              <w:rPr>
                <w:color w:val="000000"/>
                <w:szCs w:val="21"/>
              </w:rPr>
              <w:t>1.241</w:t>
            </w:r>
          </w:p>
        </w:tc>
        <w:tc>
          <w:tcPr>
            <w:tcW w:w="851" w:type="dxa"/>
            <w:vAlign w:val="bottom"/>
          </w:tcPr>
          <w:p>
            <w:pPr>
              <w:shd w:val="clear" w:color="auto" w:fill="FFFFFF"/>
              <w:spacing w:line="320" w:lineRule="exact"/>
              <w:jc w:val="center"/>
              <w:rPr>
                <w:color w:val="000000"/>
                <w:szCs w:val="21"/>
              </w:rPr>
            </w:pPr>
            <w:r>
              <w:rPr>
                <w:color w:val="000000"/>
                <w:szCs w:val="21"/>
              </w:rPr>
              <w:t>1.261</w:t>
            </w:r>
          </w:p>
        </w:tc>
        <w:tc>
          <w:tcPr>
            <w:tcW w:w="852" w:type="dxa"/>
            <w:vAlign w:val="bottom"/>
          </w:tcPr>
          <w:p>
            <w:pPr>
              <w:shd w:val="clear" w:color="auto" w:fill="FFFFFF"/>
              <w:spacing w:line="320" w:lineRule="exact"/>
              <w:jc w:val="center"/>
              <w:rPr>
                <w:color w:val="000000"/>
                <w:szCs w:val="21"/>
              </w:rPr>
            </w:pPr>
            <w:r>
              <w:rPr>
                <w:color w:val="000000"/>
                <w:szCs w:val="21"/>
              </w:rPr>
              <w:t>1.28</w:t>
            </w:r>
          </w:p>
        </w:tc>
        <w:tc>
          <w:tcPr>
            <w:tcW w:w="852" w:type="dxa"/>
            <w:vAlign w:val="bottom"/>
          </w:tcPr>
          <w:p>
            <w:pPr>
              <w:shd w:val="clear" w:color="auto" w:fill="FFFFFF"/>
              <w:spacing w:line="320" w:lineRule="exact"/>
              <w:jc w:val="center"/>
              <w:rPr>
                <w:color w:val="000000"/>
                <w:szCs w:val="21"/>
              </w:rPr>
            </w:pPr>
            <w:r>
              <w:rPr>
                <w:color w:val="000000"/>
                <w:szCs w:val="21"/>
              </w:rPr>
              <w:t>1.298</w:t>
            </w:r>
          </w:p>
        </w:tc>
        <w:tc>
          <w:tcPr>
            <w:tcW w:w="851" w:type="dxa"/>
            <w:vAlign w:val="bottom"/>
          </w:tcPr>
          <w:p>
            <w:pPr>
              <w:shd w:val="clear" w:color="auto" w:fill="FFFFFF"/>
              <w:spacing w:line="320" w:lineRule="exact"/>
              <w:jc w:val="center"/>
              <w:rPr>
                <w:color w:val="000000"/>
                <w:szCs w:val="21"/>
              </w:rPr>
            </w:pPr>
            <w:r>
              <w:rPr>
                <w:color w:val="000000"/>
                <w:szCs w:val="21"/>
              </w:rPr>
              <w:t>1.317</w:t>
            </w:r>
          </w:p>
        </w:tc>
        <w:tc>
          <w:tcPr>
            <w:tcW w:w="852" w:type="dxa"/>
            <w:vAlign w:val="bottom"/>
          </w:tcPr>
          <w:p>
            <w:pPr>
              <w:shd w:val="clear" w:color="auto" w:fill="FFFFFF"/>
              <w:spacing w:line="320" w:lineRule="exact"/>
              <w:jc w:val="center"/>
              <w:rPr>
                <w:color w:val="000000"/>
                <w:szCs w:val="21"/>
              </w:rPr>
            </w:pPr>
            <w:r>
              <w:rPr>
                <w:color w:val="000000"/>
                <w:szCs w:val="21"/>
              </w:rPr>
              <w:t>1.335</w:t>
            </w:r>
          </w:p>
        </w:tc>
        <w:tc>
          <w:tcPr>
            <w:tcW w:w="852" w:type="dxa"/>
            <w:vAlign w:val="bottom"/>
          </w:tcPr>
          <w:p>
            <w:pPr>
              <w:shd w:val="clear" w:color="auto" w:fill="FFFFFF"/>
              <w:spacing w:line="320" w:lineRule="exact"/>
              <w:jc w:val="center"/>
              <w:rPr>
                <w:color w:val="000000"/>
                <w:szCs w:val="21"/>
              </w:rPr>
            </w:pPr>
            <w:r>
              <w:rPr>
                <w:color w:val="000000"/>
                <w:szCs w:val="21"/>
              </w:rPr>
              <w:t>1.352</w:t>
            </w:r>
          </w:p>
        </w:tc>
        <w:tc>
          <w:tcPr>
            <w:tcW w:w="852" w:type="dxa"/>
            <w:vAlign w:val="bottom"/>
          </w:tcPr>
          <w:p>
            <w:pPr>
              <w:shd w:val="clear" w:color="auto" w:fill="FFFFFF"/>
              <w:spacing w:line="320" w:lineRule="exact"/>
              <w:jc w:val="center"/>
              <w:rPr>
                <w:color w:val="000000"/>
                <w:szCs w:val="21"/>
              </w:rPr>
            </w:pPr>
            <w:r>
              <w:rPr>
                <w:color w:val="000000"/>
                <w:szCs w:val="21"/>
              </w:rPr>
              <w:t>1.369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bottom"/>
          </w:tcPr>
          <w:p>
            <w:pPr>
              <w:shd w:val="clear" w:color="auto" w:fill="FFFFFF"/>
              <w:spacing w:line="320" w:lineRule="exact"/>
              <w:jc w:val="center"/>
              <w:rPr>
                <w:color w:val="000000"/>
                <w:szCs w:val="21"/>
              </w:rPr>
            </w:pPr>
            <w:r>
              <w:rPr>
                <w:color w:val="000000"/>
                <w:szCs w:val="21"/>
              </w:rPr>
              <w:t>容积率</w:t>
            </w:r>
          </w:p>
        </w:tc>
        <w:tc>
          <w:tcPr>
            <w:tcW w:w="856" w:type="dxa"/>
            <w:vAlign w:val="bottom"/>
          </w:tcPr>
          <w:p>
            <w:pPr>
              <w:shd w:val="clear" w:color="auto" w:fill="FFFFFF"/>
              <w:spacing w:line="320" w:lineRule="exact"/>
              <w:jc w:val="center"/>
              <w:rPr>
                <w:color w:val="000000"/>
                <w:szCs w:val="21"/>
              </w:rPr>
            </w:pPr>
            <w:r>
              <w:rPr>
                <w:color w:val="000000"/>
                <w:szCs w:val="21"/>
              </w:rPr>
              <w:t>3.5</w:t>
            </w:r>
          </w:p>
        </w:tc>
        <w:tc>
          <w:tcPr>
            <w:tcW w:w="852" w:type="dxa"/>
            <w:vAlign w:val="bottom"/>
          </w:tcPr>
          <w:p>
            <w:pPr>
              <w:shd w:val="clear" w:color="auto" w:fill="FFFFFF"/>
              <w:spacing w:line="320" w:lineRule="exact"/>
              <w:jc w:val="center"/>
              <w:rPr>
                <w:color w:val="000000"/>
                <w:szCs w:val="21"/>
              </w:rPr>
            </w:pPr>
            <w:r>
              <w:rPr>
                <w:color w:val="000000"/>
                <w:szCs w:val="21"/>
              </w:rPr>
              <w:t>3.6</w:t>
            </w:r>
          </w:p>
        </w:tc>
        <w:tc>
          <w:tcPr>
            <w:tcW w:w="852" w:type="dxa"/>
            <w:vAlign w:val="bottom"/>
          </w:tcPr>
          <w:p>
            <w:pPr>
              <w:shd w:val="clear" w:color="auto" w:fill="FFFFFF"/>
              <w:spacing w:line="320" w:lineRule="exact"/>
              <w:jc w:val="center"/>
              <w:rPr>
                <w:color w:val="000000"/>
                <w:szCs w:val="21"/>
              </w:rPr>
            </w:pPr>
            <w:r>
              <w:rPr>
                <w:color w:val="000000"/>
                <w:szCs w:val="21"/>
              </w:rPr>
              <w:t>3.7</w:t>
            </w:r>
          </w:p>
        </w:tc>
        <w:tc>
          <w:tcPr>
            <w:tcW w:w="851" w:type="dxa"/>
            <w:vAlign w:val="bottom"/>
          </w:tcPr>
          <w:p>
            <w:pPr>
              <w:shd w:val="clear" w:color="auto" w:fill="FFFFFF"/>
              <w:spacing w:line="320" w:lineRule="exact"/>
              <w:jc w:val="center"/>
              <w:rPr>
                <w:color w:val="000000"/>
                <w:szCs w:val="21"/>
              </w:rPr>
            </w:pPr>
            <w:r>
              <w:rPr>
                <w:color w:val="000000"/>
                <w:szCs w:val="21"/>
              </w:rPr>
              <w:t>3.8</w:t>
            </w:r>
          </w:p>
        </w:tc>
        <w:tc>
          <w:tcPr>
            <w:tcW w:w="852" w:type="dxa"/>
            <w:vAlign w:val="bottom"/>
          </w:tcPr>
          <w:p>
            <w:pPr>
              <w:shd w:val="clear" w:color="auto" w:fill="FFFFFF"/>
              <w:spacing w:line="320" w:lineRule="exact"/>
              <w:jc w:val="center"/>
              <w:rPr>
                <w:color w:val="000000"/>
                <w:szCs w:val="21"/>
              </w:rPr>
            </w:pPr>
            <w:r>
              <w:rPr>
                <w:color w:val="000000"/>
                <w:szCs w:val="21"/>
              </w:rPr>
              <w:t>3.9</w:t>
            </w:r>
          </w:p>
        </w:tc>
        <w:tc>
          <w:tcPr>
            <w:tcW w:w="852" w:type="dxa"/>
            <w:vAlign w:val="bottom"/>
          </w:tcPr>
          <w:p>
            <w:pPr>
              <w:shd w:val="clear" w:color="auto" w:fill="FFFFFF"/>
              <w:spacing w:line="320" w:lineRule="exact"/>
              <w:jc w:val="center"/>
              <w:rPr>
                <w:color w:val="000000"/>
                <w:szCs w:val="21"/>
              </w:rPr>
            </w:pPr>
            <w:r>
              <w:rPr>
                <w:color w:val="000000"/>
                <w:szCs w:val="21"/>
              </w:rPr>
              <w:t>4</w:t>
            </w:r>
          </w:p>
        </w:tc>
        <w:tc>
          <w:tcPr>
            <w:tcW w:w="851" w:type="dxa"/>
            <w:vAlign w:val="bottom"/>
          </w:tcPr>
          <w:p>
            <w:pPr>
              <w:shd w:val="clear" w:color="auto" w:fill="FFFFFF"/>
              <w:spacing w:line="320" w:lineRule="exact"/>
              <w:jc w:val="center"/>
              <w:rPr>
                <w:color w:val="000000"/>
                <w:szCs w:val="21"/>
              </w:rPr>
            </w:pPr>
            <w:r>
              <w:rPr>
                <w:color w:val="000000"/>
                <w:szCs w:val="21"/>
              </w:rPr>
              <w:t>4.1</w:t>
            </w:r>
          </w:p>
        </w:tc>
        <w:tc>
          <w:tcPr>
            <w:tcW w:w="852" w:type="dxa"/>
            <w:vAlign w:val="bottom"/>
          </w:tcPr>
          <w:p>
            <w:pPr>
              <w:shd w:val="clear" w:color="auto" w:fill="FFFFFF"/>
              <w:spacing w:line="320" w:lineRule="exact"/>
              <w:jc w:val="center"/>
              <w:rPr>
                <w:color w:val="000000"/>
                <w:szCs w:val="21"/>
              </w:rPr>
            </w:pPr>
            <w:r>
              <w:rPr>
                <w:color w:val="000000"/>
                <w:szCs w:val="21"/>
              </w:rPr>
              <w:t>4.2</w:t>
            </w:r>
          </w:p>
        </w:tc>
        <w:tc>
          <w:tcPr>
            <w:tcW w:w="852" w:type="dxa"/>
            <w:vAlign w:val="bottom"/>
          </w:tcPr>
          <w:p>
            <w:pPr>
              <w:shd w:val="clear" w:color="auto" w:fill="FFFFFF"/>
              <w:spacing w:line="320" w:lineRule="exact"/>
              <w:jc w:val="center"/>
              <w:rPr>
                <w:color w:val="000000"/>
                <w:szCs w:val="21"/>
              </w:rPr>
            </w:pPr>
            <w:r>
              <w:rPr>
                <w:color w:val="000000"/>
                <w:szCs w:val="21"/>
              </w:rPr>
              <w:t>4.3</w:t>
            </w:r>
          </w:p>
        </w:tc>
        <w:tc>
          <w:tcPr>
            <w:tcW w:w="852" w:type="dxa"/>
            <w:vAlign w:val="bottom"/>
          </w:tcPr>
          <w:p>
            <w:pPr>
              <w:shd w:val="clear" w:color="auto" w:fill="FFFFFF"/>
              <w:spacing w:line="320" w:lineRule="exact"/>
              <w:jc w:val="center"/>
              <w:rPr>
                <w:color w:val="000000"/>
                <w:szCs w:val="21"/>
              </w:rPr>
            </w:pPr>
            <w:r>
              <w:rPr>
                <w:color w:val="000000"/>
                <w:szCs w:val="21"/>
              </w:rPr>
              <w:t>4.4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jc w:val="center"/>
        </w:trPr>
        <w:tc>
          <w:tcPr>
            <w:tcW w:w="856" w:type="dxa"/>
            <w:vAlign w:val="bottom"/>
          </w:tcPr>
          <w:p>
            <w:pPr>
              <w:shd w:val="clear" w:color="auto" w:fill="FFFFFF"/>
              <w:spacing w:line="320" w:lineRule="exact"/>
              <w:jc w:val="center"/>
              <w:rPr>
                <w:color w:val="000000"/>
                <w:szCs w:val="21"/>
              </w:rPr>
            </w:pPr>
            <w:r>
              <w:rPr>
                <w:color w:val="000000"/>
                <w:szCs w:val="21"/>
              </w:rPr>
              <w:t>比值</w:t>
            </w:r>
          </w:p>
        </w:tc>
        <w:tc>
          <w:tcPr>
            <w:tcW w:w="856" w:type="dxa"/>
            <w:vAlign w:val="bottom"/>
          </w:tcPr>
          <w:p>
            <w:pPr>
              <w:shd w:val="clear" w:color="auto" w:fill="FFFFFF"/>
              <w:spacing w:line="320" w:lineRule="exact"/>
              <w:jc w:val="center"/>
              <w:rPr>
                <w:color w:val="000000"/>
                <w:szCs w:val="21"/>
              </w:rPr>
            </w:pPr>
            <w:r>
              <w:rPr>
                <w:color w:val="000000"/>
                <w:szCs w:val="21"/>
              </w:rPr>
              <w:t>1.386</w:t>
            </w:r>
          </w:p>
        </w:tc>
        <w:tc>
          <w:tcPr>
            <w:tcW w:w="852" w:type="dxa"/>
            <w:vAlign w:val="bottom"/>
          </w:tcPr>
          <w:p>
            <w:pPr>
              <w:shd w:val="clear" w:color="auto" w:fill="FFFFFF"/>
              <w:spacing w:line="320" w:lineRule="exact"/>
              <w:jc w:val="center"/>
              <w:rPr>
                <w:color w:val="000000"/>
                <w:szCs w:val="21"/>
              </w:rPr>
            </w:pPr>
            <w:r>
              <w:rPr>
                <w:color w:val="000000"/>
                <w:szCs w:val="21"/>
              </w:rPr>
              <w:t>1.403</w:t>
            </w:r>
          </w:p>
        </w:tc>
        <w:tc>
          <w:tcPr>
            <w:tcW w:w="852" w:type="dxa"/>
            <w:vAlign w:val="bottom"/>
          </w:tcPr>
          <w:p>
            <w:pPr>
              <w:shd w:val="clear" w:color="auto" w:fill="FFFFFF"/>
              <w:spacing w:line="320" w:lineRule="exact"/>
              <w:jc w:val="center"/>
              <w:rPr>
                <w:color w:val="000000"/>
                <w:szCs w:val="21"/>
              </w:rPr>
            </w:pPr>
            <w:r>
              <w:rPr>
                <w:color w:val="000000"/>
                <w:szCs w:val="21"/>
              </w:rPr>
              <w:t>1.419</w:t>
            </w:r>
          </w:p>
        </w:tc>
        <w:tc>
          <w:tcPr>
            <w:tcW w:w="851" w:type="dxa"/>
            <w:vAlign w:val="bottom"/>
          </w:tcPr>
          <w:p>
            <w:pPr>
              <w:shd w:val="clear" w:color="auto" w:fill="FFFFFF"/>
              <w:spacing w:line="320" w:lineRule="exact"/>
              <w:jc w:val="center"/>
              <w:rPr>
                <w:color w:val="000000"/>
                <w:szCs w:val="21"/>
              </w:rPr>
            </w:pPr>
            <w:r>
              <w:rPr>
                <w:color w:val="000000"/>
                <w:szCs w:val="21"/>
              </w:rPr>
              <w:t>1.434</w:t>
            </w:r>
          </w:p>
        </w:tc>
        <w:tc>
          <w:tcPr>
            <w:tcW w:w="852" w:type="dxa"/>
            <w:vAlign w:val="bottom"/>
          </w:tcPr>
          <w:p>
            <w:pPr>
              <w:shd w:val="clear" w:color="auto" w:fill="FFFFFF"/>
              <w:spacing w:line="320" w:lineRule="exact"/>
              <w:jc w:val="center"/>
              <w:rPr>
                <w:color w:val="000000"/>
                <w:szCs w:val="21"/>
              </w:rPr>
            </w:pPr>
            <w:r>
              <w:rPr>
                <w:color w:val="000000"/>
                <w:szCs w:val="21"/>
              </w:rPr>
              <w:t>1.45</w:t>
            </w:r>
          </w:p>
        </w:tc>
        <w:tc>
          <w:tcPr>
            <w:tcW w:w="852" w:type="dxa"/>
            <w:vAlign w:val="bottom"/>
          </w:tcPr>
          <w:p>
            <w:pPr>
              <w:shd w:val="clear" w:color="auto" w:fill="FFFFFF"/>
              <w:spacing w:line="320" w:lineRule="exact"/>
              <w:jc w:val="center"/>
              <w:rPr>
                <w:color w:val="000000"/>
                <w:szCs w:val="21"/>
              </w:rPr>
            </w:pPr>
            <w:r>
              <w:rPr>
                <w:color w:val="000000"/>
                <w:szCs w:val="21"/>
              </w:rPr>
              <w:t>1.465</w:t>
            </w:r>
          </w:p>
        </w:tc>
        <w:tc>
          <w:tcPr>
            <w:tcW w:w="851" w:type="dxa"/>
            <w:vAlign w:val="bottom"/>
          </w:tcPr>
          <w:p>
            <w:pPr>
              <w:shd w:val="clear" w:color="auto" w:fill="FFFFFF"/>
              <w:spacing w:line="320" w:lineRule="exact"/>
              <w:jc w:val="center"/>
              <w:rPr>
                <w:color w:val="000000"/>
                <w:szCs w:val="21"/>
              </w:rPr>
            </w:pPr>
            <w:r>
              <w:rPr>
                <w:color w:val="000000"/>
                <w:szCs w:val="21"/>
              </w:rPr>
              <w:t>1.479</w:t>
            </w:r>
          </w:p>
        </w:tc>
        <w:tc>
          <w:tcPr>
            <w:tcW w:w="852" w:type="dxa"/>
            <w:vAlign w:val="bottom"/>
          </w:tcPr>
          <w:p>
            <w:pPr>
              <w:shd w:val="clear" w:color="auto" w:fill="FFFFFF"/>
              <w:spacing w:line="320" w:lineRule="exact"/>
              <w:jc w:val="center"/>
              <w:rPr>
                <w:color w:val="000000"/>
                <w:szCs w:val="21"/>
              </w:rPr>
            </w:pPr>
            <w:r>
              <w:rPr>
                <w:color w:val="000000"/>
                <w:szCs w:val="21"/>
              </w:rPr>
              <w:t>1.493</w:t>
            </w:r>
          </w:p>
        </w:tc>
        <w:tc>
          <w:tcPr>
            <w:tcW w:w="852" w:type="dxa"/>
            <w:vAlign w:val="bottom"/>
          </w:tcPr>
          <w:p>
            <w:pPr>
              <w:shd w:val="clear" w:color="auto" w:fill="FFFFFF"/>
              <w:spacing w:line="320" w:lineRule="exact"/>
              <w:jc w:val="center"/>
              <w:rPr>
                <w:color w:val="000000"/>
                <w:szCs w:val="21"/>
              </w:rPr>
            </w:pPr>
            <w:r>
              <w:rPr>
                <w:color w:val="000000"/>
                <w:szCs w:val="21"/>
              </w:rPr>
              <w:t>1.507</w:t>
            </w:r>
          </w:p>
        </w:tc>
        <w:tc>
          <w:tcPr>
            <w:tcW w:w="852" w:type="dxa"/>
            <w:vAlign w:val="bottom"/>
          </w:tcPr>
          <w:p>
            <w:pPr>
              <w:shd w:val="clear" w:color="auto" w:fill="FFFFFF"/>
              <w:spacing w:line="320" w:lineRule="exact"/>
              <w:jc w:val="center"/>
              <w:rPr>
                <w:color w:val="000000"/>
                <w:szCs w:val="21"/>
              </w:rPr>
            </w:pPr>
            <w:r>
              <w:rPr>
                <w:color w:val="000000"/>
                <w:szCs w:val="21"/>
              </w:rPr>
              <w:t>1.521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bottom"/>
          </w:tcPr>
          <w:p>
            <w:pPr>
              <w:shd w:val="clear" w:color="auto" w:fill="FFFFFF"/>
              <w:spacing w:line="320" w:lineRule="exact"/>
              <w:jc w:val="center"/>
              <w:rPr>
                <w:color w:val="000000"/>
                <w:szCs w:val="21"/>
              </w:rPr>
            </w:pPr>
            <w:r>
              <w:rPr>
                <w:color w:val="000000"/>
                <w:szCs w:val="21"/>
              </w:rPr>
              <w:t>容积率</w:t>
            </w:r>
          </w:p>
        </w:tc>
        <w:tc>
          <w:tcPr>
            <w:tcW w:w="856" w:type="dxa"/>
            <w:vAlign w:val="bottom"/>
          </w:tcPr>
          <w:p>
            <w:pPr>
              <w:shd w:val="clear" w:color="auto" w:fill="FFFFFF"/>
              <w:spacing w:line="320" w:lineRule="exact"/>
              <w:jc w:val="center"/>
              <w:rPr>
                <w:color w:val="000000"/>
                <w:szCs w:val="21"/>
              </w:rPr>
            </w:pPr>
            <w:r>
              <w:rPr>
                <w:color w:val="000000"/>
                <w:szCs w:val="21"/>
              </w:rPr>
              <w:t>4.5</w:t>
            </w:r>
          </w:p>
        </w:tc>
        <w:tc>
          <w:tcPr>
            <w:tcW w:w="852" w:type="dxa"/>
            <w:vAlign w:val="bottom"/>
          </w:tcPr>
          <w:p>
            <w:pPr>
              <w:shd w:val="clear" w:color="auto" w:fill="FFFFFF"/>
              <w:spacing w:line="320" w:lineRule="exact"/>
              <w:jc w:val="center"/>
              <w:rPr>
                <w:color w:val="000000"/>
                <w:szCs w:val="21"/>
              </w:rPr>
            </w:pPr>
            <w:r>
              <w:rPr>
                <w:color w:val="000000"/>
                <w:szCs w:val="21"/>
              </w:rPr>
              <w:t>4.6</w:t>
            </w:r>
          </w:p>
        </w:tc>
        <w:tc>
          <w:tcPr>
            <w:tcW w:w="852" w:type="dxa"/>
            <w:vAlign w:val="bottom"/>
          </w:tcPr>
          <w:p>
            <w:pPr>
              <w:shd w:val="clear" w:color="auto" w:fill="FFFFFF"/>
              <w:spacing w:line="320" w:lineRule="exact"/>
              <w:jc w:val="center"/>
              <w:rPr>
                <w:color w:val="000000"/>
                <w:szCs w:val="21"/>
              </w:rPr>
            </w:pPr>
            <w:r>
              <w:rPr>
                <w:color w:val="000000"/>
                <w:szCs w:val="21"/>
              </w:rPr>
              <w:t>4.7</w:t>
            </w:r>
          </w:p>
        </w:tc>
        <w:tc>
          <w:tcPr>
            <w:tcW w:w="851" w:type="dxa"/>
            <w:vAlign w:val="bottom"/>
          </w:tcPr>
          <w:p>
            <w:pPr>
              <w:shd w:val="clear" w:color="auto" w:fill="FFFFFF"/>
              <w:spacing w:line="320" w:lineRule="exact"/>
              <w:jc w:val="center"/>
              <w:rPr>
                <w:color w:val="000000"/>
                <w:szCs w:val="21"/>
              </w:rPr>
            </w:pPr>
            <w:r>
              <w:rPr>
                <w:color w:val="000000"/>
                <w:szCs w:val="21"/>
              </w:rPr>
              <w:t>4.8</w:t>
            </w:r>
          </w:p>
        </w:tc>
        <w:tc>
          <w:tcPr>
            <w:tcW w:w="852" w:type="dxa"/>
            <w:vAlign w:val="bottom"/>
          </w:tcPr>
          <w:p>
            <w:pPr>
              <w:shd w:val="clear" w:color="auto" w:fill="FFFFFF"/>
              <w:spacing w:line="320" w:lineRule="exact"/>
              <w:jc w:val="center"/>
              <w:rPr>
                <w:color w:val="000000"/>
                <w:szCs w:val="21"/>
              </w:rPr>
            </w:pPr>
            <w:r>
              <w:rPr>
                <w:color w:val="000000"/>
                <w:szCs w:val="21"/>
              </w:rPr>
              <w:t>4.9</w:t>
            </w:r>
          </w:p>
        </w:tc>
        <w:tc>
          <w:tcPr>
            <w:tcW w:w="852" w:type="dxa"/>
            <w:vAlign w:val="bottom"/>
          </w:tcPr>
          <w:p>
            <w:pPr>
              <w:shd w:val="clear" w:color="auto" w:fill="FFFFFF"/>
              <w:spacing w:line="320" w:lineRule="exact"/>
              <w:jc w:val="center"/>
              <w:rPr>
                <w:color w:val="000000"/>
                <w:szCs w:val="21"/>
              </w:rPr>
            </w:pPr>
            <w:r>
              <w:rPr>
                <w:color w:val="000000"/>
                <w:szCs w:val="21"/>
              </w:rPr>
              <w:t>5</w:t>
            </w:r>
          </w:p>
        </w:tc>
        <w:tc>
          <w:tcPr>
            <w:tcW w:w="851" w:type="dxa"/>
            <w:vAlign w:val="bottom"/>
          </w:tcPr>
          <w:p>
            <w:pPr>
              <w:shd w:val="clear" w:color="auto" w:fill="FFFFFF"/>
              <w:spacing w:line="320" w:lineRule="exact"/>
              <w:jc w:val="center"/>
              <w:rPr>
                <w:color w:val="000000"/>
                <w:szCs w:val="21"/>
              </w:rPr>
            </w:pPr>
            <w:r>
              <w:rPr>
                <w:color w:val="000000"/>
                <w:szCs w:val="21"/>
              </w:rPr>
              <w:t>5.1</w:t>
            </w:r>
          </w:p>
        </w:tc>
        <w:tc>
          <w:tcPr>
            <w:tcW w:w="852" w:type="dxa"/>
            <w:vAlign w:val="bottom"/>
          </w:tcPr>
          <w:p>
            <w:pPr>
              <w:shd w:val="clear" w:color="auto" w:fill="FFFFFF"/>
              <w:spacing w:line="320" w:lineRule="exact"/>
              <w:jc w:val="center"/>
              <w:rPr>
                <w:color w:val="000000"/>
                <w:szCs w:val="21"/>
              </w:rPr>
            </w:pPr>
            <w:r>
              <w:rPr>
                <w:color w:val="000000"/>
                <w:szCs w:val="21"/>
              </w:rPr>
              <w:t>5.2</w:t>
            </w:r>
          </w:p>
        </w:tc>
        <w:tc>
          <w:tcPr>
            <w:tcW w:w="852" w:type="dxa"/>
            <w:vAlign w:val="bottom"/>
          </w:tcPr>
          <w:p>
            <w:pPr>
              <w:shd w:val="clear" w:color="auto" w:fill="FFFFFF"/>
              <w:spacing w:line="320" w:lineRule="exact"/>
              <w:jc w:val="center"/>
              <w:rPr>
                <w:color w:val="000000"/>
                <w:szCs w:val="21"/>
              </w:rPr>
            </w:pPr>
            <w:r>
              <w:rPr>
                <w:color w:val="000000"/>
                <w:szCs w:val="21"/>
              </w:rPr>
              <w:t>5.3</w:t>
            </w:r>
          </w:p>
        </w:tc>
        <w:tc>
          <w:tcPr>
            <w:tcW w:w="852" w:type="dxa"/>
            <w:vAlign w:val="bottom"/>
          </w:tcPr>
          <w:p>
            <w:pPr>
              <w:shd w:val="clear" w:color="auto" w:fill="FFFFFF"/>
              <w:spacing w:line="320" w:lineRule="exact"/>
              <w:jc w:val="center"/>
              <w:rPr>
                <w:color w:val="000000"/>
                <w:szCs w:val="21"/>
              </w:rPr>
            </w:pPr>
            <w:r>
              <w:rPr>
                <w:color w:val="000000"/>
                <w:szCs w:val="21"/>
              </w:rPr>
              <w:t>5.4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bottom"/>
          </w:tcPr>
          <w:p>
            <w:pPr>
              <w:shd w:val="clear" w:color="auto" w:fill="FFFFFF"/>
              <w:spacing w:line="320" w:lineRule="exact"/>
              <w:jc w:val="center"/>
              <w:rPr>
                <w:color w:val="000000"/>
                <w:szCs w:val="21"/>
              </w:rPr>
            </w:pPr>
            <w:r>
              <w:rPr>
                <w:color w:val="000000"/>
                <w:szCs w:val="21"/>
              </w:rPr>
              <w:t>比值</w:t>
            </w:r>
          </w:p>
        </w:tc>
        <w:tc>
          <w:tcPr>
            <w:tcW w:w="856" w:type="dxa"/>
            <w:vAlign w:val="bottom"/>
          </w:tcPr>
          <w:p>
            <w:pPr>
              <w:shd w:val="clear" w:color="auto" w:fill="FFFFFF"/>
              <w:spacing w:line="320" w:lineRule="exact"/>
              <w:jc w:val="center"/>
              <w:rPr>
                <w:color w:val="000000"/>
                <w:szCs w:val="21"/>
              </w:rPr>
            </w:pPr>
            <w:r>
              <w:rPr>
                <w:color w:val="000000"/>
                <w:szCs w:val="21"/>
              </w:rPr>
              <w:t>1.534</w:t>
            </w:r>
          </w:p>
        </w:tc>
        <w:tc>
          <w:tcPr>
            <w:tcW w:w="852" w:type="dxa"/>
            <w:vAlign w:val="bottom"/>
          </w:tcPr>
          <w:p>
            <w:pPr>
              <w:shd w:val="clear" w:color="auto" w:fill="FFFFFF"/>
              <w:spacing w:line="320" w:lineRule="exact"/>
              <w:jc w:val="center"/>
              <w:rPr>
                <w:color w:val="000000"/>
                <w:szCs w:val="21"/>
              </w:rPr>
            </w:pPr>
            <w:r>
              <w:rPr>
                <w:color w:val="000000"/>
                <w:szCs w:val="21"/>
              </w:rPr>
              <w:t>1.547</w:t>
            </w:r>
          </w:p>
        </w:tc>
        <w:tc>
          <w:tcPr>
            <w:tcW w:w="852" w:type="dxa"/>
            <w:vAlign w:val="bottom"/>
          </w:tcPr>
          <w:p>
            <w:pPr>
              <w:shd w:val="clear" w:color="auto" w:fill="FFFFFF"/>
              <w:spacing w:line="320" w:lineRule="exact"/>
              <w:jc w:val="center"/>
              <w:rPr>
                <w:color w:val="000000"/>
                <w:szCs w:val="21"/>
              </w:rPr>
            </w:pPr>
            <w:r>
              <w:rPr>
                <w:color w:val="000000"/>
                <w:szCs w:val="21"/>
              </w:rPr>
              <w:t>1.559</w:t>
            </w:r>
          </w:p>
        </w:tc>
        <w:tc>
          <w:tcPr>
            <w:tcW w:w="851" w:type="dxa"/>
            <w:vAlign w:val="bottom"/>
          </w:tcPr>
          <w:p>
            <w:pPr>
              <w:shd w:val="clear" w:color="auto" w:fill="FFFFFF"/>
              <w:spacing w:line="320" w:lineRule="exact"/>
              <w:jc w:val="center"/>
              <w:rPr>
                <w:color w:val="000000"/>
                <w:szCs w:val="21"/>
              </w:rPr>
            </w:pPr>
            <w:r>
              <w:rPr>
                <w:color w:val="000000"/>
                <w:szCs w:val="21"/>
              </w:rPr>
              <w:t>1.571</w:t>
            </w:r>
          </w:p>
        </w:tc>
        <w:tc>
          <w:tcPr>
            <w:tcW w:w="852" w:type="dxa"/>
            <w:vAlign w:val="bottom"/>
          </w:tcPr>
          <w:p>
            <w:pPr>
              <w:shd w:val="clear" w:color="auto" w:fill="FFFFFF"/>
              <w:spacing w:line="320" w:lineRule="exact"/>
              <w:jc w:val="center"/>
              <w:rPr>
                <w:color w:val="000000"/>
                <w:szCs w:val="21"/>
              </w:rPr>
            </w:pPr>
            <w:r>
              <w:rPr>
                <w:color w:val="000000"/>
                <w:szCs w:val="21"/>
              </w:rPr>
              <w:t>1.583</w:t>
            </w:r>
          </w:p>
        </w:tc>
        <w:tc>
          <w:tcPr>
            <w:tcW w:w="852" w:type="dxa"/>
            <w:vAlign w:val="bottom"/>
          </w:tcPr>
          <w:p>
            <w:pPr>
              <w:shd w:val="clear" w:color="auto" w:fill="FFFFFF"/>
              <w:spacing w:line="320" w:lineRule="exact"/>
              <w:jc w:val="center"/>
              <w:rPr>
                <w:color w:val="000000"/>
                <w:szCs w:val="21"/>
              </w:rPr>
            </w:pPr>
            <w:r>
              <w:rPr>
                <w:color w:val="000000"/>
                <w:szCs w:val="21"/>
              </w:rPr>
              <w:t>1.595</w:t>
            </w:r>
          </w:p>
        </w:tc>
        <w:tc>
          <w:tcPr>
            <w:tcW w:w="851" w:type="dxa"/>
            <w:vAlign w:val="bottom"/>
          </w:tcPr>
          <w:p>
            <w:pPr>
              <w:shd w:val="clear" w:color="auto" w:fill="FFFFFF"/>
              <w:spacing w:line="320" w:lineRule="exact"/>
              <w:jc w:val="center"/>
              <w:rPr>
                <w:color w:val="000000"/>
                <w:szCs w:val="21"/>
              </w:rPr>
            </w:pPr>
            <w:r>
              <w:rPr>
                <w:color w:val="000000"/>
                <w:szCs w:val="21"/>
              </w:rPr>
              <w:t>1.606</w:t>
            </w:r>
          </w:p>
        </w:tc>
        <w:tc>
          <w:tcPr>
            <w:tcW w:w="852" w:type="dxa"/>
            <w:vAlign w:val="bottom"/>
          </w:tcPr>
          <w:p>
            <w:pPr>
              <w:shd w:val="clear" w:color="auto" w:fill="FFFFFF"/>
              <w:spacing w:line="320" w:lineRule="exact"/>
              <w:jc w:val="center"/>
              <w:rPr>
                <w:color w:val="000000"/>
                <w:szCs w:val="21"/>
              </w:rPr>
            </w:pPr>
            <w:r>
              <w:rPr>
                <w:color w:val="000000"/>
                <w:szCs w:val="21"/>
              </w:rPr>
              <w:t>1.616</w:t>
            </w:r>
          </w:p>
        </w:tc>
        <w:tc>
          <w:tcPr>
            <w:tcW w:w="852" w:type="dxa"/>
            <w:vAlign w:val="bottom"/>
          </w:tcPr>
          <w:p>
            <w:pPr>
              <w:shd w:val="clear" w:color="auto" w:fill="FFFFFF"/>
              <w:spacing w:line="320" w:lineRule="exact"/>
              <w:jc w:val="center"/>
              <w:rPr>
                <w:color w:val="000000"/>
                <w:szCs w:val="21"/>
              </w:rPr>
            </w:pPr>
            <w:r>
              <w:rPr>
                <w:color w:val="000000"/>
                <w:szCs w:val="21"/>
              </w:rPr>
              <w:t>1.627</w:t>
            </w:r>
          </w:p>
        </w:tc>
        <w:tc>
          <w:tcPr>
            <w:tcW w:w="852" w:type="dxa"/>
            <w:vAlign w:val="bottom"/>
          </w:tcPr>
          <w:p>
            <w:pPr>
              <w:shd w:val="clear" w:color="auto" w:fill="FFFFFF"/>
              <w:spacing w:line="320" w:lineRule="exact"/>
              <w:jc w:val="center"/>
              <w:rPr>
                <w:color w:val="000000"/>
                <w:szCs w:val="21"/>
              </w:rPr>
            </w:pPr>
            <w:r>
              <w:rPr>
                <w:color w:val="000000"/>
                <w:szCs w:val="21"/>
              </w:rPr>
              <w:t>1.637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bottom"/>
          </w:tcPr>
          <w:p>
            <w:pPr>
              <w:shd w:val="clear" w:color="auto" w:fill="FFFFFF"/>
              <w:spacing w:line="320" w:lineRule="exact"/>
              <w:jc w:val="center"/>
              <w:rPr>
                <w:color w:val="000000"/>
                <w:szCs w:val="21"/>
              </w:rPr>
            </w:pPr>
            <w:r>
              <w:rPr>
                <w:color w:val="000000"/>
                <w:szCs w:val="21"/>
              </w:rPr>
              <w:t>容积率</w:t>
            </w:r>
          </w:p>
        </w:tc>
        <w:tc>
          <w:tcPr>
            <w:tcW w:w="856" w:type="dxa"/>
            <w:vAlign w:val="bottom"/>
          </w:tcPr>
          <w:p>
            <w:pPr>
              <w:shd w:val="clear" w:color="auto" w:fill="FFFFFF"/>
              <w:spacing w:line="320" w:lineRule="exact"/>
              <w:jc w:val="center"/>
              <w:rPr>
                <w:color w:val="000000"/>
                <w:szCs w:val="21"/>
              </w:rPr>
            </w:pPr>
            <w:r>
              <w:rPr>
                <w:color w:val="000000"/>
                <w:szCs w:val="21"/>
              </w:rPr>
              <w:t>5.5</w:t>
            </w:r>
          </w:p>
        </w:tc>
        <w:tc>
          <w:tcPr>
            <w:tcW w:w="852" w:type="dxa"/>
            <w:vAlign w:val="bottom"/>
          </w:tcPr>
          <w:p>
            <w:pPr>
              <w:shd w:val="clear" w:color="auto" w:fill="FFFFFF"/>
              <w:spacing w:line="320" w:lineRule="exact"/>
              <w:jc w:val="center"/>
              <w:rPr>
                <w:color w:val="000000"/>
                <w:szCs w:val="21"/>
              </w:rPr>
            </w:pPr>
            <w:r>
              <w:rPr>
                <w:color w:val="000000"/>
                <w:szCs w:val="21"/>
              </w:rPr>
              <w:t>5.6</w:t>
            </w:r>
          </w:p>
        </w:tc>
        <w:tc>
          <w:tcPr>
            <w:tcW w:w="852" w:type="dxa"/>
            <w:vAlign w:val="bottom"/>
          </w:tcPr>
          <w:p>
            <w:pPr>
              <w:shd w:val="clear" w:color="auto" w:fill="FFFFFF"/>
              <w:spacing w:line="320" w:lineRule="exact"/>
              <w:jc w:val="center"/>
              <w:rPr>
                <w:color w:val="000000"/>
                <w:szCs w:val="21"/>
              </w:rPr>
            </w:pPr>
            <w:r>
              <w:rPr>
                <w:color w:val="000000"/>
                <w:szCs w:val="21"/>
              </w:rPr>
              <w:t>5.7</w:t>
            </w:r>
          </w:p>
        </w:tc>
        <w:tc>
          <w:tcPr>
            <w:tcW w:w="851" w:type="dxa"/>
            <w:vAlign w:val="bottom"/>
          </w:tcPr>
          <w:p>
            <w:pPr>
              <w:shd w:val="clear" w:color="auto" w:fill="FFFFFF"/>
              <w:spacing w:line="320" w:lineRule="exact"/>
              <w:jc w:val="center"/>
              <w:rPr>
                <w:color w:val="000000"/>
                <w:szCs w:val="21"/>
              </w:rPr>
            </w:pPr>
            <w:r>
              <w:rPr>
                <w:color w:val="000000"/>
                <w:szCs w:val="21"/>
              </w:rPr>
              <w:t>5.8</w:t>
            </w:r>
          </w:p>
        </w:tc>
        <w:tc>
          <w:tcPr>
            <w:tcW w:w="852" w:type="dxa"/>
            <w:vAlign w:val="bottom"/>
          </w:tcPr>
          <w:p>
            <w:pPr>
              <w:shd w:val="clear" w:color="auto" w:fill="FFFFFF"/>
              <w:spacing w:line="320" w:lineRule="exact"/>
              <w:jc w:val="center"/>
              <w:rPr>
                <w:color w:val="000000"/>
                <w:szCs w:val="21"/>
              </w:rPr>
            </w:pPr>
            <w:r>
              <w:rPr>
                <w:color w:val="000000"/>
                <w:szCs w:val="21"/>
              </w:rPr>
              <w:t>5.9</w:t>
            </w:r>
          </w:p>
        </w:tc>
        <w:tc>
          <w:tcPr>
            <w:tcW w:w="852" w:type="dxa"/>
            <w:vAlign w:val="bottom"/>
          </w:tcPr>
          <w:p>
            <w:pPr>
              <w:shd w:val="clear" w:color="auto" w:fill="FFFFFF"/>
              <w:spacing w:line="320" w:lineRule="exact"/>
              <w:jc w:val="center"/>
              <w:rPr>
                <w:color w:val="000000"/>
                <w:szCs w:val="21"/>
              </w:rPr>
            </w:pPr>
            <w:r>
              <w:rPr>
                <w:rFonts w:hint="eastAsia"/>
                <w:color w:val="000000"/>
                <w:szCs w:val="21"/>
              </w:rPr>
              <w:t>≥</w:t>
            </w:r>
            <w:r>
              <w:rPr>
                <w:color w:val="000000"/>
                <w:szCs w:val="21"/>
              </w:rPr>
              <w:t>6</w:t>
            </w:r>
          </w:p>
        </w:tc>
        <w:tc>
          <w:tcPr>
            <w:tcW w:w="851" w:type="dxa"/>
            <w:vAlign w:val="bottom"/>
          </w:tcPr>
          <w:p>
            <w:pPr>
              <w:shd w:val="clear" w:color="auto" w:fill="FFFFFF"/>
              <w:spacing w:line="320" w:lineRule="exact"/>
              <w:jc w:val="center"/>
              <w:rPr>
                <w:color w:val="000000"/>
                <w:szCs w:val="21"/>
              </w:rPr>
            </w:pPr>
            <w:r>
              <w:rPr>
                <w:color w:val="000000"/>
                <w:szCs w:val="21"/>
              </w:rPr>
              <w:t>　</w:t>
            </w:r>
          </w:p>
        </w:tc>
        <w:tc>
          <w:tcPr>
            <w:tcW w:w="852" w:type="dxa"/>
            <w:vAlign w:val="bottom"/>
          </w:tcPr>
          <w:p>
            <w:pPr>
              <w:shd w:val="clear" w:color="auto" w:fill="FFFFFF"/>
              <w:spacing w:line="320" w:lineRule="exact"/>
              <w:jc w:val="center"/>
              <w:rPr>
                <w:color w:val="000000"/>
                <w:szCs w:val="21"/>
              </w:rPr>
            </w:pPr>
            <w:r>
              <w:rPr>
                <w:color w:val="000000"/>
                <w:szCs w:val="21"/>
              </w:rPr>
              <w:t>　</w:t>
            </w:r>
          </w:p>
        </w:tc>
        <w:tc>
          <w:tcPr>
            <w:tcW w:w="852" w:type="dxa"/>
            <w:vAlign w:val="bottom"/>
          </w:tcPr>
          <w:p>
            <w:pPr>
              <w:shd w:val="clear" w:color="auto" w:fill="FFFFFF"/>
              <w:spacing w:line="320" w:lineRule="exact"/>
              <w:jc w:val="center"/>
              <w:rPr>
                <w:color w:val="000000"/>
                <w:szCs w:val="21"/>
              </w:rPr>
            </w:pPr>
            <w:r>
              <w:rPr>
                <w:color w:val="000000"/>
                <w:szCs w:val="21"/>
              </w:rPr>
              <w:t>　</w:t>
            </w:r>
          </w:p>
        </w:tc>
        <w:tc>
          <w:tcPr>
            <w:tcW w:w="852" w:type="dxa"/>
            <w:vAlign w:val="bottom"/>
          </w:tcPr>
          <w:p>
            <w:pPr>
              <w:shd w:val="clear" w:color="auto" w:fill="FFFFFF"/>
              <w:spacing w:line="320" w:lineRule="exact"/>
              <w:jc w:val="center"/>
              <w:rPr>
                <w:color w:val="000000"/>
                <w:szCs w:val="21"/>
              </w:rPr>
            </w:pPr>
            <w:r>
              <w:rPr>
                <w:color w:val="000000"/>
                <w:szCs w:val="21"/>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jc w:val="center"/>
        </w:trPr>
        <w:tc>
          <w:tcPr>
            <w:tcW w:w="856" w:type="dxa"/>
            <w:vAlign w:val="bottom"/>
          </w:tcPr>
          <w:p>
            <w:pPr>
              <w:shd w:val="clear" w:color="auto" w:fill="FFFFFF"/>
              <w:spacing w:line="320" w:lineRule="exact"/>
              <w:jc w:val="center"/>
              <w:rPr>
                <w:color w:val="000000"/>
                <w:szCs w:val="21"/>
              </w:rPr>
            </w:pPr>
            <w:r>
              <w:rPr>
                <w:color w:val="000000"/>
                <w:szCs w:val="21"/>
              </w:rPr>
              <w:t>比值</w:t>
            </w:r>
          </w:p>
        </w:tc>
        <w:tc>
          <w:tcPr>
            <w:tcW w:w="856" w:type="dxa"/>
            <w:vAlign w:val="bottom"/>
          </w:tcPr>
          <w:p>
            <w:pPr>
              <w:shd w:val="clear" w:color="auto" w:fill="FFFFFF"/>
              <w:spacing w:line="320" w:lineRule="exact"/>
              <w:jc w:val="center"/>
              <w:rPr>
                <w:color w:val="000000"/>
                <w:szCs w:val="21"/>
              </w:rPr>
            </w:pPr>
            <w:r>
              <w:rPr>
                <w:color w:val="000000"/>
                <w:szCs w:val="21"/>
              </w:rPr>
              <w:t>1.646</w:t>
            </w:r>
          </w:p>
        </w:tc>
        <w:tc>
          <w:tcPr>
            <w:tcW w:w="852" w:type="dxa"/>
            <w:vAlign w:val="bottom"/>
          </w:tcPr>
          <w:p>
            <w:pPr>
              <w:shd w:val="clear" w:color="auto" w:fill="FFFFFF"/>
              <w:spacing w:line="320" w:lineRule="exact"/>
              <w:jc w:val="center"/>
              <w:rPr>
                <w:color w:val="000000"/>
                <w:szCs w:val="21"/>
              </w:rPr>
            </w:pPr>
            <w:r>
              <w:rPr>
                <w:color w:val="000000"/>
                <w:szCs w:val="21"/>
              </w:rPr>
              <w:t>1.656</w:t>
            </w:r>
          </w:p>
        </w:tc>
        <w:tc>
          <w:tcPr>
            <w:tcW w:w="852" w:type="dxa"/>
            <w:vAlign w:val="bottom"/>
          </w:tcPr>
          <w:p>
            <w:pPr>
              <w:shd w:val="clear" w:color="auto" w:fill="FFFFFF"/>
              <w:spacing w:line="320" w:lineRule="exact"/>
              <w:jc w:val="center"/>
              <w:rPr>
                <w:color w:val="000000"/>
                <w:szCs w:val="21"/>
              </w:rPr>
            </w:pPr>
            <w:r>
              <w:rPr>
                <w:color w:val="000000"/>
                <w:szCs w:val="21"/>
              </w:rPr>
              <w:t>1.665</w:t>
            </w:r>
          </w:p>
        </w:tc>
        <w:tc>
          <w:tcPr>
            <w:tcW w:w="851" w:type="dxa"/>
            <w:vAlign w:val="bottom"/>
          </w:tcPr>
          <w:p>
            <w:pPr>
              <w:shd w:val="clear" w:color="auto" w:fill="FFFFFF"/>
              <w:spacing w:line="320" w:lineRule="exact"/>
              <w:jc w:val="center"/>
              <w:rPr>
                <w:color w:val="000000"/>
                <w:szCs w:val="21"/>
              </w:rPr>
            </w:pPr>
            <w:r>
              <w:rPr>
                <w:color w:val="000000"/>
                <w:szCs w:val="21"/>
              </w:rPr>
              <w:t>1.673</w:t>
            </w:r>
          </w:p>
        </w:tc>
        <w:tc>
          <w:tcPr>
            <w:tcW w:w="852" w:type="dxa"/>
            <w:vAlign w:val="bottom"/>
          </w:tcPr>
          <w:p>
            <w:pPr>
              <w:shd w:val="clear" w:color="auto" w:fill="FFFFFF"/>
              <w:spacing w:line="320" w:lineRule="exact"/>
              <w:jc w:val="center"/>
              <w:rPr>
                <w:color w:val="000000"/>
                <w:szCs w:val="21"/>
              </w:rPr>
            </w:pPr>
            <w:r>
              <w:rPr>
                <w:color w:val="000000"/>
                <w:szCs w:val="21"/>
              </w:rPr>
              <w:t>1.681</w:t>
            </w:r>
          </w:p>
        </w:tc>
        <w:tc>
          <w:tcPr>
            <w:tcW w:w="852" w:type="dxa"/>
            <w:vAlign w:val="bottom"/>
          </w:tcPr>
          <w:p>
            <w:pPr>
              <w:shd w:val="clear" w:color="auto" w:fill="FFFFFF"/>
              <w:spacing w:line="320" w:lineRule="exact"/>
              <w:jc w:val="center"/>
              <w:rPr>
                <w:color w:val="000000"/>
                <w:szCs w:val="21"/>
              </w:rPr>
            </w:pPr>
            <w:r>
              <w:rPr>
                <w:color w:val="000000"/>
                <w:szCs w:val="21"/>
              </w:rPr>
              <w:t>1.689</w:t>
            </w:r>
          </w:p>
        </w:tc>
        <w:tc>
          <w:tcPr>
            <w:tcW w:w="851" w:type="dxa"/>
            <w:vAlign w:val="bottom"/>
          </w:tcPr>
          <w:p>
            <w:pPr>
              <w:shd w:val="clear" w:color="auto" w:fill="FFFFFF"/>
              <w:spacing w:line="320" w:lineRule="exact"/>
              <w:jc w:val="center"/>
              <w:rPr>
                <w:color w:val="000000"/>
                <w:szCs w:val="21"/>
              </w:rPr>
            </w:pPr>
            <w:r>
              <w:rPr>
                <w:color w:val="000000"/>
                <w:szCs w:val="21"/>
              </w:rPr>
              <w:t>　</w:t>
            </w:r>
          </w:p>
        </w:tc>
        <w:tc>
          <w:tcPr>
            <w:tcW w:w="852" w:type="dxa"/>
            <w:vAlign w:val="bottom"/>
          </w:tcPr>
          <w:p>
            <w:pPr>
              <w:shd w:val="clear" w:color="auto" w:fill="FFFFFF"/>
              <w:spacing w:line="320" w:lineRule="exact"/>
              <w:jc w:val="center"/>
              <w:rPr>
                <w:color w:val="000000"/>
                <w:szCs w:val="21"/>
              </w:rPr>
            </w:pPr>
            <w:r>
              <w:rPr>
                <w:color w:val="000000"/>
                <w:szCs w:val="21"/>
              </w:rPr>
              <w:t>　</w:t>
            </w:r>
          </w:p>
        </w:tc>
        <w:tc>
          <w:tcPr>
            <w:tcW w:w="852" w:type="dxa"/>
            <w:vAlign w:val="bottom"/>
          </w:tcPr>
          <w:p>
            <w:pPr>
              <w:shd w:val="clear" w:color="auto" w:fill="FFFFFF"/>
              <w:spacing w:line="320" w:lineRule="exact"/>
              <w:jc w:val="center"/>
              <w:rPr>
                <w:color w:val="000000"/>
                <w:szCs w:val="21"/>
              </w:rPr>
            </w:pPr>
            <w:r>
              <w:rPr>
                <w:color w:val="000000"/>
                <w:szCs w:val="21"/>
              </w:rPr>
              <w:t>　</w:t>
            </w:r>
          </w:p>
        </w:tc>
        <w:tc>
          <w:tcPr>
            <w:tcW w:w="852" w:type="dxa"/>
            <w:vAlign w:val="bottom"/>
          </w:tcPr>
          <w:p>
            <w:pPr>
              <w:shd w:val="clear" w:color="auto" w:fill="FFFFFF"/>
              <w:spacing w:line="320" w:lineRule="exact"/>
              <w:jc w:val="center"/>
              <w:rPr>
                <w:color w:val="000000"/>
                <w:szCs w:val="21"/>
              </w:rPr>
            </w:pPr>
            <w:r>
              <w:rPr>
                <w:color w:val="000000"/>
                <w:szCs w:val="21"/>
              </w:rPr>
              <w:t>　</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5-4-42</w:t>
      </w:r>
      <w:r>
        <w:rPr>
          <w:rFonts w:ascii="Times New Roman" w:hAnsi="Times New Roman"/>
          <w:sz w:val="24"/>
          <w:szCs w:val="24"/>
        </w:rPr>
        <w:t xml:space="preserve">  </w:t>
      </w:r>
      <w:r>
        <w:rPr>
          <w:rFonts w:hint="eastAsia" w:ascii="Times New Roman" w:hAnsi="Times New Roman"/>
          <w:sz w:val="24"/>
          <w:szCs w:val="24"/>
        </w:rPr>
        <w:t>与市区对接的重点区域和一等镇Ⅲ</w:t>
      </w:r>
      <w:r>
        <w:rPr>
          <w:rFonts w:ascii="Times New Roman" w:hAnsi="Times New Roman"/>
          <w:sz w:val="24"/>
          <w:szCs w:val="24"/>
        </w:rPr>
        <w:t>级住宅用地容积率修正系数表</w:t>
      </w:r>
    </w:p>
    <w:tbl>
      <w:tblPr>
        <w:tblW w:w="93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6"/>
        <w:gridCol w:w="856"/>
        <w:gridCol w:w="852"/>
        <w:gridCol w:w="852"/>
        <w:gridCol w:w="851"/>
        <w:gridCol w:w="852"/>
        <w:gridCol w:w="852"/>
        <w:gridCol w:w="851"/>
        <w:gridCol w:w="852"/>
        <w:gridCol w:w="852"/>
        <w:gridCol w:w="8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56"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容积率</w:t>
            </w:r>
          </w:p>
        </w:tc>
        <w:tc>
          <w:tcPr>
            <w:tcW w:w="856"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≤0.5</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0.6</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0.7</w:t>
            </w:r>
          </w:p>
        </w:tc>
        <w:tc>
          <w:tcPr>
            <w:tcW w:w="851"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0.8</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0.9</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w:t>
            </w:r>
          </w:p>
        </w:tc>
        <w:tc>
          <w:tcPr>
            <w:tcW w:w="851"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1.1</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1.2</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1.3</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56"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比值</w:t>
            </w:r>
          </w:p>
        </w:tc>
        <w:tc>
          <w:tcPr>
            <w:tcW w:w="856"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0.773</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0.798</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0.827</w:t>
            </w:r>
          </w:p>
        </w:tc>
        <w:tc>
          <w:tcPr>
            <w:tcW w:w="851"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0.84</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0.848</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0.867</w:t>
            </w:r>
          </w:p>
        </w:tc>
        <w:tc>
          <w:tcPr>
            <w:tcW w:w="851"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0.891</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0.925</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0.959</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56"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容积率</w:t>
            </w:r>
          </w:p>
        </w:tc>
        <w:tc>
          <w:tcPr>
            <w:tcW w:w="856"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1.5</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1.6</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1.7</w:t>
            </w:r>
          </w:p>
        </w:tc>
        <w:tc>
          <w:tcPr>
            <w:tcW w:w="851"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1.8</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1.9</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2</w:t>
            </w:r>
          </w:p>
        </w:tc>
        <w:tc>
          <w:tcPr>
            <w:tcW w:w="851"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2.1</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2.2</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2.3</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jc w:val="center"/>
        </w:trPr>
        <w:tc>
          <w:tcPr>
            <w:tcW w:w="856"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比值</w:t>
            </w:r>
          </w:p>
        </w:tc>
        <w:tc>
          <w:tcPr>
            <w:tcW w:w="856"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1.029</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1.06</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1.102</w:t>
            </w:r>
          </w:p>
        </w:tc>
        <w:tc>
          <w:tcPr>
            <w:tcW w:w="851"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1.126</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1.152</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1.175</w:t>
            </w:r>
          </w:p>
        </w:tc>
        <w:tc>
          <w:tcPr>
            <w:tcW w:w="851"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1.188</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1.211</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1.233</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1.255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56"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容积率</w:t>
            </w:r>
          </w:p>
        </w:tc>
        <w:tc>
          <w:tcPr>
            <w:tcW w:w="856"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2.5</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2.6</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2.7</w:t>
            </w:r>
          </w:p>
        </w:tc>
        <w:tc>
          <w:tcPr>
            <w:tcW w:w="851"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2.8</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2.9</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3</w:t>
            </w:r>
          </w:p>
        </w:tc>
        <w:tc>
          <w:tcPr>
            <w:tcW w:w="851"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3.1</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3.2</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3.3</w:t>
            </w:r>
          </w:p>
        </w:tc>
        <w:tc>
          <w:tcPr>
            <w:tcW w:w="852" w:type="dxa"/>
            <w:tcBorders>
              <w:top w:val="single" w:color="auto" w:sz="4" w:space="0"/>
              <w:left w:val="single" w:color="auto" w:sz="4" w:space="0"/>
              <w:bottom w:val="single" w:color="auto" w:sz="4" w:space="0"/>
              <w:right w:val="single" w:color="auto" w:sz="4" w:space="0"/>
            </w:tcBorders>
            <w:vAlign w:val="bottom"/>
          </w:tcPr>
          <w:p>
            <w:pPr>
              <w:shd w:val="clear" w:color="auto" w:fill="FFFFFF"/>
              <w:spacing w:line="320" w:lineRule="exact"/>
              <w:jc w:val="center"/>
              <w:rPr>
                <w:color w:val="000000"/>
                <w:szCs w:val="21"/>
              </w:rPr>
            </w:pPr>
            <w:r>
              <w:rPr>
                <w:color w:val="000000"/>
                <w:szCs w:val="21"/>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56" w:type="dxa"/>
            <w:tcBorders>
              <w:top w:val="single" w:color="auto" w:sz="4" w:space="0"/>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比值</w:t>
            </w:r>
          </w:p>
        </w:tc>
        <w:tc>
          <w:tcPr>
            <w:tcW w:w="856" w:type="dxa"/>
            <w:tcBorders>
              <w:top w:val="single" w:color="auto" w:sz="4" w:space="0"/>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1.277</w:t>
            </w:r>
          </w:p>
        </w:tc>
        <w:tc>
          <w:tcPr>
            <w:tcW w:w="852" w:type="dxa"/>
            <w:tcBorders>
              <w:top w:val="single" w:color="auto" w:sz="4" w:space="0"/>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1.299</w:t>
            </w:r>
          </w:p>
        </w:tc>
        <w:tc>
          <w:tcPr>
            <w:tcW w:w="852" w:type="dxa"/>
            <w:tcBorders>
              <w:top w:val="single" w:color="auto" w:sz="4" w:space="0"/>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1.32</w:t>
            </w:r>
          </w:p>
        </w:tc>
        <w:tc>
          <w:tcPr>
            <w:tcW w:w="851" w:type="dxa"/>
            <w:tcBorders>
              <w:top w:val="single" w:color="auto" w:sz="4" w:space="0"/>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1.34</w:t>
            </w:r>
          </w:p>
        </w:tc>
        <w:tc>
          <w:tcPr>
            <w:tcW w:w="852" w:type="dxa"/>
            <w:tcBorders>
              <w:top w:val="single" w:color="auto" w:sz="4" w:space="0"/>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1.36</w:t>
            </w:r>
          </w:p>
        </w:tc>
        <w:tc>
          <w:tcPr>
            <w:tcW w:w="852" w:type="dxa"/>
            <w:tcBorders>
              <w:top w:val="single" w:color="auto" w:sz="4" w:space="0"/>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1.38</w:t>
            </w:r>
          </w:p>
        </w:tc>
        <w:tc>
          <w:tcPr>
            <w:tcW w:w="851" w:type="dxa"/>
            <w:tcBorders>
              <w:top w:val="single" w:color="auto" w:sz="4" w:space="0"/>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1.399</w:t>
            </w:r>
          </w:p>
        </w:tc>
        <w:tc>
          <w:tcPr>
            <w:tcW w:w="852" w:type="dxa"/>
            <w:tcBorders>
              <w:top w:val="single" w:color="auto" w:sz="4" w:space="0"/>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1.419</w:t>
            </w:r>
          </w:p>
        </w:tc>
        <w:tc>
          <w:tcPr>
            <w:tcW w:w="852" w:type="dxa"/>
            <w:tcBorders>
              <w:top w:val="single" w:color="auto" w:sz="4" w:space="0"/>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1.437</w:t>
            </w:r>
          </w:p>
        </w:tc>
        <w:tc>
          <w:tcPr>
            <w:tcW w:w="852" w:type="dxa"/>
            <w:tcBorders>
              <w:top w:val="single" w:color="auto" w:sz="4" w:space="0"/>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1.455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56"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容积率</w:t>
            </w:r>
          </w:p>
        </w:tc>
        <w:tc>
          <w:tcPr>
            <w:tcW w:w="856"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3.5</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3.6</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3.7</w:t>
            </w:r>
          </w:p>
        </w:tc>
        <w:tc>
          <w:tcPr>
            <w:tcW w:w="851"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3.8</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3.9</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4</w:t>
            </w:r>
          </w:p>
        </w:tc>
        <w:tc>
          <w:tcPr>
            <w:tcW w:w="851"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4.1</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4.2</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4.3</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jc w:val="center"/>
        </w:trPr>
        <w:tc>
          <w:tcPr>
            <w:tcW w:w="856"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比值</w:t>
            </w:r>
          </w:p>
        </w:tc>
        <w:tc>
          <w:tcPr>
            <w:tcW w:w="856"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1.473</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1.491</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1.508</w:t>
            </w:r>
          </w:p>
        </w:tc>
        <w:tc>
          <w:tcPr>
            <w:tcW w:w="851"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1.525</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1.541</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1.557</w:t>
            </w:r>
          </w:p>
        </w:tc>
        <w:tc>
          <w:tcPr>
            <w:tcW w:w="851"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1.572</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1.587</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1.602</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1.617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56"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容积率</w:t>
            </w:r>
          </w:p>
        </w:tc>
        <w:tc>
          <w:tcPr>
            <w:tcW w:w="856"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4.5</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4.6</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4.7</w:t>
            </w:r>
          </w:p>
        </w:tc>
        <w:tc>
          <w:tcPr>
            <w:tcW w:w="851"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4.8</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4.9</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5</w:t>
            </w:r>
          </w:p>
        </w:tc>
        <w:tc>
          <w:tcPr>
            <w:tcW w:w="851"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5.1</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5.2</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5.3</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56"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比值</w:t>
            </w:r>
          </w:p>
        </w:tc>
        <w:tc>
          <w:tcPr>
            <w:tcW w:w="856"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1.631</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1.644</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1.658</w:t>
            </w:r>
          </w:p>
        </w:tc>
        <w:tc>
          <w:tcPr>
            <w:tcW w:w="851"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1.67</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1.683</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1.695</w:t>
            </w:r>
          </w:p>
        </w:tc>
        <w:tc>
          <w:tcPr>
            <w:tcW w:w="851"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1.707</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1.718</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1.729</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56"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容积率</w:t>
            </w:r>
          </w:p>
        </w:tc>
        <w:tc>
          <w:tcPr>
            <w:tcW w:w="856"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5.5</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5.6</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5.7</w:t>
            </w:r>
          </w:p>
        </w:tc>
        <w:tc>
          <w:tcPr>
            <w:tcW w:w="851"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5.8</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5.9</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≥6</w:t>
            </w:r>
          </w:p>
        </w:tc>
        <w:tc>
          <w:tcPr>
            <w:tcW w:w="851"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　</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　</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　</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jc w:val="center"/>
        </w:trPr>
        <w:tc>
          <w:tcPr>
            <w:tcW w:w="856"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比值</w:t>
            </w:r>
          </w:p>
        </w:tc>
        <w:tc>
          <w:tcPr>
            <w:tcW w:w="856"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1.75</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1.76</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1.769</w:t>
            </w:r>
          </w:p>
        </w:tc>
        <w:tc>
          <w:tcPr>
            <w:tcW w:w="851"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1.778</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1.787</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1.795</w:t>
            </w:r>
          </w:p>
        </w:tc>
        <w:tc>
          <w:tcPr>
            <w:tcW w:w="851"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　</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　</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　</w:t>
            </w:r>
          </w:p>
        </w:tc>
        <w:tc>
          <w:tcPr>
            <w:tcW w:w="852" w:type="dxa"/>
            <w:tcBorders>
              <w:left w:val="single" w:color="auto" w:sz="6" w:space="0"/>
              <w:bottom w:val="single" w:color="auto" w:sz="6" w:space="0"/>
              <w:right w:val="single" w:color="auto" w:sz="6" w:space="0"/>
            </w:tcBorders>
            <w:vAlign w:val="bottom"/>
          </w:tcPr>
          <w:p>
            <w:pPr>
              <w:shd w:val="clear" w:color="auto" w:fill="FFFFFF"/>
              <w:spacing w:line="320" w:lineRule="exact"/>
              <w:jc w:val="center"/>
              <w:rPr>
                <w:color w:val="000000"/>
                <w:szCs w:val="21"/>
              </w:rPr>
            </w:pPr>
            <w:r>
              <w:rPr>
                <w:color w:val="000000"/>
                <w:szCs w:val="21"/>
              </w:rPr>
              <w:t>　</w:t>
            </w:r>
          </w:p>
        </w:tc>
      </w:tr>
    </w:tbl>
    <w:p>
      <w:pPr>
        <w:shd w:val="clear" w:color="auto" w:fill="FFFFFF"/>
        <w:tabs>
          <w:tab w:val="right" w:pos="9298"/>
        </w:tabs>
        <w:spacing w:line="460" w:lineRule="exact"/>
        <w:ind w:firstLine="573"/>
        <w:rPr>
          <w:sz w:val="24"/>
        </w:rPr>
      </w:pPr>
      <w:r>
        <w:rPr>
          <w:rFonts w:hint="eastAsia"/>
          <w:sz w:val="24"/>
        </w:rPr>
        <w:t>③ 公共管理与公共服务用地</w:t>
      </w:r>
      <w:r>
        <w:rPr>
          <w:sz w:val="24"/>
        </w:rPr>
        <w:t>宗地地价区域因素修正体系</w:t>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5-4-43 与市区对接的重点区域和一等镇Ⅰ</w:t>
      </w:r>
      <w:r>
        <w:rPr>
          <w:rFonts w:ascii="Times New Roman" w:hAnsi="Times New Roman"/>
          <w:sz w:val="24"/>
          <w:szCs w:val="24"/>
        </w:rPr>
        <w:t>级</w:t>
      </w:r>
      <w:r>
        <w:rPr>
          <w:rFonts w:hint="eastAsia" w:ascii="Times New Roman" w:hAnsi="Times New Roman"/>
          <w:sz w:val="24"/>
          <w:szCs w:val="24"/>
        </w:rPr>
        <w:t>公共管理与公共服务用地</w:t>
      </w:r>
      <w:r>
        <w:rPr>
          <w:rFonts w:ascii="Times New Roman" w:hAnsi="Times New Roman"/>
          <w:sz w:val="24"/>
          <w:szCs w:val="24"/>
        </w:rPr>
        <w:t>容积率修正系数表</w:t>
      </w:r>
    </w:p>
    <w:tbl>
      <w:tblPr>
        <w:tblW w:w="937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6"/>
        <w:gridCol w:w="856"/>
        <w:gridCol w:w="852"/>
        <w:gridCol w:w="852"/>
        <w:gridCol w:w="851"/>
        <w:gridCol w:w="852"/>
        <w:gridCol w:w="852"/>
        <w:gridCol w:w="851"/>
        <w:gridCol w:w="852"/>
        <w:gridCol w:w="852"/>
        <w:gridCol w:w="8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bottom"/>
          </w:tcPr>
          <w:p>
            <w:pPr>
              <w:shd w:val="clear" w:color="auto" w:fill="FFFFFF"/>
              <w:spacing w:line="320" w:lineRule="exact"/>
              <w:jc w:val="center"/>
              <w:rPr>
                <w:color w:val="000000"/>
                <w:szCs w:val="21"/>
              </w:rPr>
            </w:pPr>
            <w:r>
              <w:rPr>
                <w:color w:val="000000"/>
                <w:szCs w:val="21"/>
              </w:rPr>
              <w:t>容积率</w:t>
            </w:r>
          </w:p>
        </w:tc>
        <w:tc>
          <w:tcPr>
            <w:tcW w:w="856" w:type="dxa"/>
            <w:vAlign w:val="center"/>
          </w:tcPr>
          <w:p>
            <w:pPr>
              <w:shd w:val="clear" w:color="auto" w:fill="FFFFFF"/>
              <w:spacing w:line="320" w:lineRule="exact"/>
              <w:jc w:val="center"/>
              <w:rPr>
                <w:color w:val="000000"/>
                <w:szCs w:val="21"/>
              </w:rPr>
            </w:pPr>
            <w:r>
              <w:rPr>
                <w:color w:val="000000"/>
                <w:szCs w:val="21"/>
              </w:rPr>
              <w:t>≤0.5</w:t>
            </w:r>
          </w:p>
        </w:tc>
        <w:tc>
          <w:tcPr>
            <w:tcW w:w="852" w:type="dxa"/>
            <w:vAlign w:val="center"/>
          </w:tcPr>
          <w:p>
            <w:pPr>
              <w:shd w:val="clear" w:color="auto" w:fill="FFFFFF"/>
              <w:spacing w:line="320" w:lineRule="exact"/>
              <w:jc w:val="center"/>
              <w:rPr>
                <w:color w:val="000000"/>
                <w:szCs w:val="21"/>
              </w:rPr>
            </w:pPr>
            <w:r>
              <w:rPr>
                <w:color w:val="000000"/>
                <w:szCs w:val="21"/>
              </w:rPr>
              <w:t>0.6</w:t>
            </w:r>
          </w:p>
        </w:tc>
        <w:tc>
          <w:tcPr>
            <w:tcW w:w="852" w:type="dxa"/>
            <w:vAlign w:val="center"/>
          </w:tcPr>
          <w:p>
            <w:pPr>
              <w:shd w:val="clear" w:color="auto" w:fill="FFFFFF"/>
              <w:spacing w:line="320" w:lineRule="exact"/>
              <w:jc w:val="center"/>
              <w:rPr>
                <w:color w:val="000000"/>
                <w:szCs w:val="21"/>
              </w:rPr>
            </w:pPr>
            <w:r>
              <w:rPr>
                <w:color w:val="000000"/>
                <w:szCs w:val="21"/>
              </w:rPr>
              <w:t>0.7</w:t>
            </w:r>
          </w:p>
        </w:tc>
        <w:tc>
          <w:tcPr>
            <w:tcW w:w="851" w:type="dxa"/>
            <w:vAlign w:val="center"/>
          </w:tcPr>
          <w:p>
            <w:pPr>
              <w:shd w:val="clear" w:color="auto" w:fill="FFFFFF"/>
              <w:spacing w:line="320" w:lineRule="exact"/>
              <w:jc w:val="center"/>
              <w:rPr>
                <w:color w:val="000000"/>
                <w:szCs w:val="21"/>
              </w:rPr>
            </w:pPr>
            <w:r>
              <w:rPr>
                <w:color w:val="000000"/>
                <w:szCs w:val="21"/>
              </w:rPr>
              <w:t>0.8</w:t>
            </w:r>
          </w:p>
        </w:tc>
        <w:tc>
          <w:tcPr>
            <w:tcW w:w="852" w:type="dxa"/>
            <w:vAlign w:val="center"/>
          </w:tcPr>
          <w:p>
            <w:pPr>
              <w:shd w:val="clear" w:color="auto" w:fill="FFFFFF"/>
              <w:spacing w:line="320" w:lineRule="exact"/>
              <w:jc w:val="center"/>
              <w:rPr>
                <w:color w:val="000000"/>
                <w:szCs w:val="21"/>
              </w:rPr>
            </w:pPr>
            <w:r>
              <w:rPr>
                <w:color w:val="000000"/>
                <w:szCs w:val="21"/>
              </w:rPr>
              <w:t>0.9</w:t>
            </w:r>
          </w:p>
        </w:tc>
        <w:tc>
          <w:tcPr>
            <w:tcW w:w="852" w:type="dxa"/>
            <w:vAlign w:val="center"/>
          </w:tcPr>
          <w:p>
            <w:pPr>
              <w:shd w:val="clear" w:color="auto" w:fill="FFFFFF"/>
              <w:spacing w:line="320" w:lineRule="exact"/>
              <w:jc w:val="center"/>
              <w:rPr>
                <w:color w:val="000000"/>
                <w:szCs w:val="21"/>
              </w:rPr>
            </w:pPr>
            <w:r>
              <w:rPr>
                <w:color w:val="000000"/>
                <w:szCs w:val="21"/>
              </w:rPr>
              <w:t>1</w:t>
            </w:r>
          </w:p>
        </w:tc>
        <w:tc>
          <w:tcPr>
            <w:tcW w:w="851" w:type="dxa"/>
            <w:vAlign w:val="center"/>
          </w:tcPr>
          <w:p>
            <w:pPr>
              <w:shd w:val="clear" w:color="auto" w:fill="FFFFFF"/>
              <w:spacing w:line="320" w:lineRule="exact"/>
              <w:jc w:val="center"/>
              <w:rPr>
                <w:color w:val="000000"/>
                <w:szCs w:val="21"/>
              </w:rPr>
            </w:pPr>
            <w:r>
              <w:rPr>
                <w:color w:val="000000"/>
                <w:szCs w:val="21"/>
              </w:rPr>
              <w:t>1.1</w:t>
            </w:r>
          </w:p>
        </w:tc>
        <w:tc>
          <w:tcPr>
            <w:tcW w:w="852" w:type="dxa"/>
            <w:vAlign w:val="center"/>
          </w:tcPr>
          <w:p>
            <w:pPr>
              <w:shd w:val="clear" w:color="auto" w:fill="FFFFFF"/>
              <w:spacing w:line="320" w:lineRule="exact"/>
              <w:jc w:val="center"/>
              <w:rPr>
                <w:color w:val="000000"/>
                <w:szCs w:val="21"/>
              </w:rPr>
            </w:pPr>
            <w:r>
              <w:rPr>
                <w:color w:val="000000"/>
                <w:szCs w:val="21"/>
              </w:rPr>
              <w:t>1.2</w:t>
            </w:r>
          </w:p>
        </w:tc>
        <w:tc>
          <w:tcPr>
            <w:tcW w:w="852" w:type="dxa"/>
            <w:vAlign w:val="center"/>
          </w:tcPr>
          <w:p>
            <w:pPr>
              <w:shd w:val="clear" w:color="auto" w:fill="FFFFFF"/>
              <w:spacing w:line="320" w:lineRule="exact"/>
              <w:jc w:val="center"/>
              <w:rPr>
                <w:color w:val="000000"/>
                <w:szCs w:val="21"/>
              </w:rPr>
            </w:pPr>
            <w:r>
              <w:rPr>
                <w:color w:val="000000"/>
                <w:szCs w:val="21"/>
              </w:rPr>
              <w:t>1.3</w:t>
            </w:r>
          </w:p>
        </w:tc>
        <w:tc>
          <w:tcPr>
            <w:tcW w:w="852" w:type="dxa"/>
            <w:vAlign w:val="center"/>
          </w:tcPr>
          <w:p>
            <w:pPr>
              <w:shd w:val="clear" w:color="auto" w:fill="FFFFFF"/>
              <w:spacing w:line="320" w:lineRule="exact"/>
              <w:jc w:val="center"/>
              <w:rPr>
                <w:color w:val="000000"/>
                <w:szCs w:val="21"/>
              </w:rPr>
            </w:pPr>
            <w:r>
              <w:rPr>
                <w:color w:val="000000"/>
                <w:szCs w:val="21"/>
              </w:rPr>
              <w:t>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856" w:type="dxa"/>
            <w:vAlign w:val="bottom"/>
          </w:tcPr>
          <w:p>
            <w:pPr>
              <w:shd w:val="clear" w:color="auto" w:fill="FFFFFF"/>
              <w:spacing w:line="320" w:lineRule="exact"/>
              <w:jc w:val="center"/>
              <w:rPr>
                <w:color w:val="000000"/>
                <w:szCs w:val="21"/>
              </w:rPr>
            </w:pPr>
            <w:r>
              <w:rPr>
                <w:color w:val="000000"/>
                <w:szCs w:val="21"/>
              </w:rPr>
              <w:t>比值</w:t>
            </w:r>
          </w:p>
        </w:tc>
        <w:tc>
          <w:tcPr>
            <w:tcW w:w="856" w:type="dxa"/>
            <w:vAlign w:val="center"/>
          </w:tcPr>
          <w:p>
            <w:pPr>
              <w:shd w:val="clear" w:color="auto" w:fill="FFFFFF"/>
              <w:spacing w:line="320" w:lineRule="exact"/>
              <w:jc w:val="center"/>
              <w:rPr>
                <w:color w:val="000000"/>
                <w:szCs w:val="21"/>
              </w:rPr>
            </w:pPr>
            <w:r>
              <w:rPr>
                <w:color w:val="000000"/>
                <w:szCs w:val="21"/>
              </w:rPr>
              <w:t xml:space="preserve">0.796 </w:t>
            </w:r>
          </w:p>
        </w:tc>
        <w:tc>
          <w:tcPr>
            <w:tcW w:w="852" w:type="dxa"/>
            <w:vAlign w:val="center"/>
          </w:tcPr>
          <w:p>
            <w:pPr>
              <w:shd w:val="clear" w:color="auto" w:fill="FFFFFF"/>
              <w:spacing w:line="320" w:lineRule="exact"/>
              <w:jc w:val="center"/>
              <w:rPr>
                <w:color w:val="000000"/>
                <w:szCs w:val="21"/>
              </w:rPr>
            </w:pPr>
            <w:r>
              <w:rPr>
                <w:color w:val="000000"/>
                <w:szCs w:val="21"/>
              </w:rPr>
              <w:t xml:space="preserve">0.840 </w:t>
            </w:r>
          </w:p>
        </w:tc>
        <w:tc>
          <w:tcPr>
            <w:tcW w:w="852" w:type="dxa"/>
            <w:vAlign w:val="center"/>
          </w:tcPr>
          <w:p>
            <w:pPr>
              <w:shd w:val="clear" w:color="auto" w:fill="FFFFFF"/>
              <w:spacing w:line="320" w:lineRule="exact"/>
              <w:jc w:val="center"/>
              <w:rPr>
                <w:color w:val="000000"/>
                <w:szCs w:val="21"/>
              </w:rPr>
            </w:pPr>
            <w:r>
              <w:rPr>
                <w:color w:val="000000"/>
                <w:szCs w:val="21"/>
              </w:rPr>
              <w:t xml:space="preserve">0.882 </w:t>
            </w:r>
          </w:p>
        </w:tc>
        <w:tc>
          <w:tcPr>
            <w:tcW w:w="851" w:type="dxa"/>
            <w:vAlign w:val="center"/>
          </w:tcPr>
          <w:p>
            <w:pPr>
              <w:shd w:val="clear" w:color="auto" w:fill="FFFFFF"/>
              <w:spacing w:line="320" w:lineRule="exact"/>
              <w:jc w:val="center"/>
              <w:rPr>
                <w:color w:val="000000"/>
                <w:szCs w:val="21"/>
              </w:rPr>
            </w:pPr>
            <w:r>
              <w:rPr>
                <w:color w:val="000000"/>
                <w:szCs w:val="21"/>
              </w:rPr>
              <w:t xml:space="preserve">0.923 </w:t>
            </w:r>
          </w:p>
        </w:tc>
        <w:tc>
          <w:tcPr>
            <w:tcW w:w="852" w:type="dxa"/>
            <w:vAlign w:val="center"/>
          </w:tcPr>
          <w:p>
            <w:pPr>
              <w:shd w:val="clear" w:color="auto" w:fill="FFFFFF"/>
              <w:spacing w:line="320" w:lineRule="exact"/>
              <w:jc w:val="center"/>
              <w:rPr>
                <w:color w:val="000000"/>
                <w:szCs w:val="21"/>
              </w:rPr>
            </w:pPr>
            <w:r>
              <w:rPr>
                <w:color w:val="000000"/>
                <w:szCs w:val="21"/>
              </w:rPr>
              <w:t xml:space="preserve">0.962 </w:t>
            </w:r>
          </w:p>
        </w:tc>
        <w:tc>
          <w:tcPr>
            <w:tcW w:w="852" w:type="dxa"/>
            <w:vAlign w:val="center"/>
          </w:tcPr>
          <w:p>
            <w:pPr>
              <w:shd w:val="clear" w:color="auto" w:fill="FFFFFF"/>
              <w:spacing w:line="320" w:lineRule="exact"/>
              <w:jc w:val="center"/>
              <w:rPr>
                <w:color w:val="000000"/>
                <w:szCs w:val="21"/>
              </w:rPr>
            </w:pPr>
            <w:r>
              <w:rPr>
                <w:color w:val="000000"/>
                <w:szCs w:val="21"/>
              </w:rPr>
              <w:t xml:space="preserve">1.000 </w:t>
            </w:r>
          </w:p>
        </w:tc>
        <w:tc>
          <w:tcPr>
            <w:tcW w:w="851" w:type="dxa"/>
            <w:vAlign w:val="center"/>
          </w:tcPr>
          <w:p>
            <w:pPr>
              <w:shd w:val="clear" w:color="auto" w:fill="FFFFFF"/>
              <w:spacing w:line="320" w:lineRule="exact"/>
              <w:jc w:val="center"/>
              <w:rPr>
                <w:color w:val="000000"/>
                <w:szCs w:val="21"/>
              </w:rPr>
            </w:pPr>
            <w:r>
              <w:rPr>
                <w:color w:val="000000"/>
                <w:szCs w:val="21"/>
              </w:rPr>
              <w:t xml:space="preserve">1.037 </w:t>
            </w:r>
          </w:p>
        </w:tc>
        <w:tc>
          <w:tcPr>
            <w:tcW w:w="852" w:type="dxa"/>
            <w:vAlign w:val="center"/>
          </w:tcPr>
          <w:p>
            <w:pPr>
              <w:shd w:val="clear" w:color="auto" w:fill="FFFFFF"/>
              <w:spacing w:line="320" w:lineRule="exact"/>
              <w:jc w:val="center"/>
              <w:rPr>
                <w:color w:val="000000"/>
                <w:szCs w:val="21"/>
              </w:rPr>
            </w:pPr>
            <w:r>
              <w:rPr>
                <w:color w:val="000000"/>
                <w:szCs w:val="21"/>
              </w:rPr>
              <w:t xml:space="preserve">1.072 </w:t>
            </w:r>
          </w:p>
        </w:tc>
        <w:tc>
          <w:tcPr>
            <w:tcW w:w="852" w:type="dxa"/>
            <w:vAlign w:val="center"/>
          </w:tcPr>
          <w:p>
            <w:pPr>
              <w:shd w:val="clear" w:color="auto" w:fill="FFFFFF"/>
              <w:spacing w:line="320" w:lineRule="exact"/>
              <w:jc w:val="center"/>
              <w:rPr>
                <w:color w:val="000000"/>
                <w:szCs w:val="21"/>
              </w:rPr>
            </w:pPr>
            <w:r>
              <w:rPr>
                <w:color w:val="000000"/>
                <w:szCs w:val="21"/>
              </w:rPr>
              <w:t xml:space="preserve">1.106 </w:t>
            </w:r>
          </w:p>
        </w:tc>
        <w:tc>
          <w:tcPr>
            <w:tcW w:w="852" w:type="dxa"/>
            <w:vAlign w:val="center"/>
          </w:tcPr>
          <w:p>
            <w:pPr>
              <w:shd w:val="clear" w:color="auto" w:fill="FFFFFF"/>
              <w:spacing w:line="320" w:lineRule="exact"/>
              <w:jc w:val="center"/>
              <w:rPr>
                <w:color w:val="000000"/>
                <w:szCs w:val="21"/>
              </w:rPr>
            </w:pPr>
            <w:r>
              <w:rPr>
                <w:color w:val="000000"/>
                <w:szCs w:val="21"/>
              </w:rPr>
              <w:t xml:space="preserve">1.138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bottom"/>
          </w:tcPr>
          <w:p>
            <w:pPr>
              <w:shd w:val="clear" w:color="auto" w:fill="FFFFFF"/>
              <w:spacing w:line="320" w:lineRule="exact"/>
              <w:jc w:val="center"/>
              <w:rPr>
                <w:color w:val="000000"/>
                <w:szCs w:val="21"/>
              </w:rPr>
            </w:pPr>
            <w:r>
              <w:rPr>
                <w:color w:val="000000"/>
                <w:szCs w:val="21"/>
              </w:rPr>
              <w:t>容积率</w:t>
            </w:r>
          </w:p>
        </w:tc>
        <w:tc>
          <w:tcPr>
            <w:tcW w:w="856" w:type="dxa"/>
            <w:vAlign w:val="center"/>
          </w:tcPr>
          <w:p>
            <w:pPr>
              <w:shd w:val="clear" w:color="auto" w:fill="FFFFFF"/>
              <w:spacing w:line="320" w:lineRule="exact"/>
              <w:jc w:val="center"/>
              <w:rPr>
                <w:color w:val="000000"/>
                <w:szCs w:val="21"/>
              </w:rPr>
            </w:pPr>
            <w:r>
              <w:rPr>
                <w:color w:val="000000"/>
                <w:szCs w:val="21"/>
              </w:rPr>
              <w:t>1.5</w:t>
            </w:r>
          </w:p>
        </w:tc>
        <w:tc>
          <w:tcPr>
            <w:tcW w:w="852" w:type="dxa"/>
            <w:vAlign w:val="center"/>
          </w:tcPr>
          <w:p>
            <w:pPr>
              <w:shd w:val="clear" w:color="auto" w:fill="FFFFFF"/>
              <w:spacing w:line="320" w:lineRule="exact"/>
              <w:jc w:val="center"/>
              <w:rPr>
                <w:color w:val="000000"/>
                <w:szCs w:val="21"/>
              </w:rPr>
            </w:pPr>
            <w:r>
              <w:rPr>
                <w:color w:val="000000"/>
                <w:szCs w:val="21"/>
              </w:rPr>
              <w:t>1.6</w:t>
            </w:r>
          </w:p>
        </w:tc>
        <w:tc>
          <w:tcPr>
            <w:tcW w:w="852" w:type="dxa"/>
            <w:vAlign w:val="center"/>
          </w:tcPr>
          <w:p>
            <w:pPr>
              <w:shd w:val="clear" w:color="auto" w:fill="FFFFFF"/>
              <w:spacing w:line="320" w:lineRule="exact"/>
              <w:jc w:val="center"/>
              <w:rPr>
                <w:color w:val="000000"/>
                <w:szCs w:val="21"/>
              </w:rPr>
            </w:pPr>
            <w:r>
              <w:rPr>
                <w:color w:val="000000"/>
                <w:szCs w:val="21"/>
              </w:rPr>
              <w:t>1.7</w:t>
            </w:r>
          </w:p>
        </w:tc>
        <w:tc>
          <w:tcPr>
            <w:tcW w:w="851" w:type="dxa"/>
            <w:vAlign w:val="center"/>
          </w:tcPr>
          <w:p>
            <w:pPr>
              <w:shd w:val="clear" w:color="auto" w:fill="FFFFFF"/>
              <w:spacing w:line="320" w:lineRule="exact"/>
              <w:jc w:val="center"/>
              <w:rPr>
                <w:color w:val="000000"/>
                <w:szCs w:val="21"/>
              </w:rPr>
            </w:pPr>
            <w:r>
              <w:rPr>
                <w:color w:val="000000"/>
                <w:szCs w:val="21"/>
              </w:rPr>
              <w:t>1.8</w:t>
            </w:r>
          </w:p>
        </w:tc>
        <w:tc>
          <w:tcPr>
            <w:tcW w:w="852" w:type="dxa"/>
            <w:vAlign w:val="center"/>
          </w:tcPr>
          <w:p>
            <w:pPr>
              <w:shd w:val="clear" w:color="auto" w:fill="FFFFFF"/>
              <w:spacing w:line="320" w:lineRule="exact"/>
              <w:jc w:val="center"/>
              <w:rPr>
                <w:color w:val="000000"/>
                <w:szCs w:val="21"/>
              </w:rPr>
            </w:pPr>
            <w:r>
              <w:rPr>
                <w:color w:val="000000"/>
                <w:szCs w:val="21"/>
              </w:rPr>
              <w:t>1.9</w:t>
            </w:r>
          </w:p>
        </w:tc>
        <w:tc>
          <w:tcPr>
            <w:tcW w:w="852" w:type="dxa"/>
            <w:vAlign w:val="center"/>
          </w:tcPr>
          <w:p>
            <w:pPr>
              <w:shd w:val="clear" w:color="auto" w:fill="FFFFFF"/>
              <w:spacing w:line="320" w:lineRule="exact"/>
              <w:jc w:val="center"/>
              <w:rPr>
                <w:color w:val="000000"/>
                <w:szCs w:val="21"/>
              </w:rPr>
            </w:pPr>
            <w:r>
              <w:rPr>
                <w:color w:val="000000"/>
                <w:szCs w:val="21"/>
              </w:rPr>
              <w:t>2</w:t>
            </w:r>
          </w:p>
        </w:tc>
        <w:tc>
          <w:tcPr>
            <w:tcW w:w="851" w:type="dxa"/>
            <w:vAlign w:val="center"/>
          </w:tcPr>
          <w:p>
            <w:pPr>
              <w:shd w:val="clear" w:color="auto" w:fill="FFFFFF"/>
              <w:spacing w:line="320" w:lineRule="exact"/>
              <w:jc w:val="center"/>
              <w:rPr>
                <w:color w:val="000000"/>
                <w:szCs w:val="21"/>
              </w:rPr>
            </w:pPr>
            <w:r>
              <w:rPr>
                <w:color w:val="000000"/>
                <w:szCs w:val="21"/>
              </w:rPr>
              <w:t>2.1</w:t>
            </w:r>
          </w:p>
        </w:tc>
        <w:tc>
          <w:tcPr>
            <w:tcW w:w="852" w:type="dxa"/>
            <w:vAlign w:val="center"/>
          </w:tcPr>
          <w:p>
            <w:pPr>
              <w:shd w:val="clear" w:color="auto" w:fill="FFFFFF"/>
              <w:spacing w:line="320" w:lineRule="exact"/>
              <w:jc w:val="center"/>
              <w:rPr>
                <w:color w:val="000000"/>
                <w:szCs w:val="21"/>
              </w:rPr>
            </w:pPr>
            <w:r>
              <w:rPr>
                <w:color w:val="000000"/>
                <w:szCs w:val="21"/>
              </w:rPr>
              <w:t>2.2</w:t>
            </w:r>
          </w:p>
        </w:tc>
        <w:tc>
          <w:tcPr>
            <w:tcW w:w="852" w:type="dxa"/>
            <w:vAlign w:val="center"/>
          </w:tcPr>
          <w:p>
            <w:pPr>
              <w:shd w:val="clear" w:color="auto" w:fill="FFFFFF"/>
              <w:spacing w:line="320" w:lineRule="exact"/>
              <w:jc w:val="center"/>
              <w:rPr>
                <w:color w:val="000000"/>
                <w:szCs w:val="21"/>
              </w:rPr>
            </w:pPr>
            <w:r>
              <w:rPr>
                <w:color w:val="000000"/>
                <w:szCs w:val="21"/>
              </w:rPr>
              <w:t>2.3</w:t>
            </w:r>
          </w:p>
        </w:tc>
        <w:tc>
          <w:tcPr>
            <w:tcW w:w="852" w:type="dxa"/>
            <w:vAlign w:val="center"/>
          </w:tcPr>
          <w:p>
            <w:pPr>
              <w:shd w:val="clear" w:color="auto" w:fill="FFFFFF"/>
              <w:spacing w:line="320" w:lineRule="exact"/>
              <w:jc w:val="center"/>
              <w:rPr>
                <w:color w:val="000000"/>
                <w:szCs w:val="21"/>
              </w:rPr>
            </w:pPr>
            <w:r>
              <w:rPr>
                <w:color w:val="000000"/>
                <w:szCs w:val="21"/>
              </w:rPr>
              <w:t>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bottom"/>
          </w:tcPr>
          <w:p>
            <w:pPr>
              <w:shd w:val="clear" w:color="auto" w:fill="FFFFFF"/>
              <w:spacing w:line="320" w:lineRule="exact"/>
              <w:jc w:val="center"/>
              <w:rPr>
                <w:color w:val="000000"/>
                <w:szCs w:val="21"/>
              </w:rPr>
            </w:pPr>
            <w:r>
              <w:rPr>
                <w:color w:val="000000"/>
                <w:szCs w:val="21"/>
              </w:rPr>
              <w:t>比值</w:t>
            </w:r>
          </w:p>
        </w:tc>
        <w:tc>
          <w:tcPr>
            <w:tcW w:w="856" w:type="dxa"/>
            <w:vAlign w:val="center"/>
          </w:tcPr>
          <w:p>
            <w:pPr>
              <w:shd w:val="clear" w:color="auto" w:fill="FFFFFF"/>
              <w:spacing w:line="320" w:lineRule="exact"/>
              <w:jc w:val="center"/>
              <w:rPr>
                <w:color w:val="000000"/>
                <w:szCs w:val="21"/>
              </w:rPr>
            </w:pPr>
            <w:r>
              <w:rPr>
                <w:color w:val="000000"/>
                <w:szCs w:val="21"/>
              </w:rPr>
              <w:t xml:space="preserve">1.170 </w:t>
            </w:r>
          </w:p>
        </w:tc>
        <w:tc>
          <w:tcPr>
            <w:tcW w:w="852" w:type="dxa"/>
            <w:vAlign w:val="center"/>
          </w:tcPr>
          <w:p>
            <w:pPr>
              <w:shd w:val="clear" w:color="auto" w:fill="FFFFFF"/>
              <w:spacing w:line="320" w:lineRule="exact"/>
              <w:jc w:val="center"/>
              <w:rPr>
                <w:color w:val="000000"/>
                <w:szCs w:val="21"/>
              </w:rPr>
            </w:pPr>
            <w:r>
              <w:rPr>
                <w:color w:val="000000"/>
                <w:szCs w:val="21"/>
              </w:rPr>
              <w:t xml:space="preserve">1.200 </w:t>
            </w:r>
          </w:p>
        </w:tc>
        <w:tc>
          <w:tcPr>
            <w:tcW w:w="852" w:type="dxa"/>
            <w:vAlign w:val="center"/>
          </w:tcPr>
          <w:p>
            <w:pPr>
              <w:shd w:val="clear" w:color="auto" w:fill="FFFFFF"/>
              <w:spacing w:line="320" w:lineRule="exact"/>
              <w:jc w:val="center"/>
              <w:rPr>
                <w:color w:val="000000"/>
                <w:szCs w:val="21"/>
              </w:rPr>
            </w:pPr>
            <w:r>
              <w:rPr>
                <w:color w:val="000000"/>
                <w:szCs w:val="21"/>
              </w:rPr>
              <w:t xml:space="preserve">1.229 </w:t>
            </w:r>
          </w:p>
        </w:tc>
        <w:tc>
          <w:tcPr>
            <w:tcW w:w="851" w:type="dxa"/>
            <w:vAlign w:val="center"/>
          </w:tcPr>
          <w:p>
            <w:pPr>
              <w:shd w:val="clear" w:color="auto" w:fill="FFFFFF"/>
              <w:spacing w:line="320" w:lineRule="exact"/>
              <w:jc w:val="center"/>
              <w:rPr>
                <w:color w:val="000000"/>
                <w:szCs w:val="21"/>
              </w:rPr>
            </w:pPr>
            <w:r>
              <w:rPr>
                <w:color w:val="000000"/>
                <w:szCs w:val="21"/>
              </w:rPr>
              <w:t xml:space="preserve">1.257 </w:t>
            </w:r>
          </w:p>
        </w:tc>
        <w:tc>
          <w:tcPr>
            <w:tcW w:w="852" w:type="dxa"/>
            <w:vAlign w:val="center"/>
          </w:tcPr>
          <w:p>
            <w:pPr>
              <w:shd w:val="clear" w:color="auto" w:fill="FFFFFF"/>
              <w:spacing w:line="320" w:lineRule="exact"/>
              <w:jc w:val="center"/>
              <w:rPr>
                <w:color w:val="000000"/>
                <w:szCs w:val="21"/>
              </w:rPr>
            </w:pPr>
            <w:r>
              <w:rPr>
                <w:color w:val="000000"/>
                <w:szCs w:val="21"/>
              </w:rPr>
              <w:t xml:space="preserve">1.284 </w:t>
            </w:r>
          </w:p>
        </w:tc>
        <w:tc>
          <w:tcPr>
            <w:tcW w:w="852" w:type="dxa"/>
            <w:vAlign w:val="center"/>
          </w:tcPr>
          <w:p>
            <w:pPr>
              <w:shd w:val="clear" w:color="auto" w:fill="FFFFFF"/>
              <w:spacing w:line="320" w:lineRule="exact"/>
              <w:jc w:val="center"/>
              <w:rPr>
                <w:color w:val="000000"/>
                <w:szCs w:val="21"/>
              </w:rPr>
            </w:pPr>
            <w:r>
              <w:rPr>
                <w:color w:val="000000"/>
                <w:szCs w:val="21"/>
              </w:rPr>
              <w:t xml:space="preserve">1.311 </w:t>
            </w:r>
          </w:p>
        </w:tc>
        <w:tc>
          <w:tcPr>
            <w:tcW w:w="851" w:type="dxa"/>
            <w:vAlign w:val="center"/>
          </w:tcPr>
          <w:p>
            <w:pPr>
              <w:shd w:val="clear" w:color="auto" w:fill="FFFFFF"/>
              <w:spacing w:line="320" w:lineRule="exact"/>
              <w:jc w:val="center"/>
              <w:rPr>
                <w:color w:val="000000"/>
                <w:szCs w:val="21"/>
              </w:rPr>
            </w:pPr>
            <w:r>
              <w:rPr>
                <w:color w:val="000000"/>
                <w:szCs w:val="21"/>
              </w:rPr>
              <w:t xml:space="preserve">1.336 </w:t>
            </w:r>
          </w:p>
        </w:tc>
        <w:tc>
          <w:tcPr>
            <w:tcW w:w="852" w:type="dxa"/>
            <w:vAlign w:val="center"/>
          </w:tcPr>
          <w:p>
            <w:pPr>
              <w:shd w:val="clear" w:color="auto" w:fill="FFFFFF"/>
              <w:spacing w:line="320" w:lineRule="exact"/>
              <w:jc w:val="center"/>
              <w:rPr>
                <w:color w:val="000000"/>
                <w:szCs w:val="21"/>
              </w:rPr>
            </w:pPr>
            <w:r>
              <w:rPr>
                <w:color w:val="000000"/>
                <w:szCs w:val="21"/>
              </w:rPr>
              <w:t xml:space="preserve">1.360 </w:t>
            </w:r>
          </w:p>
        </w:tc>
        <w:tc>
          <w:tcPr>
            <w:tcW w:w="852" w:type="dxa"/>
            <w:vAlign w:val="center"/>
          </w:tcPr>
          <w:p>
            <w:pPr>
              <w:shd w:val="clear" w:color="auto" w:fill="FFFFFF"/>
              <w:spacing w:line="320" w:lineRule="exact"/>
              <w:jc w:val="center"/>
              <w:rPr>
                <w:color w:val="000000"/>
                <w:szCs w:val="21"/>
              </w:rPr>
            </w:pPr>
            <w:r>
              <w:rPr>
                <w:color w:val="000000"/>
                <w:szCs w:val="21"/>
              </w:rPr>
              <w:t xml:space="preserve">1.383 </w:t>
            </w:r>
          </w:p>
        </w:tc>
        <w:tc>
          <w:tcPr>
            <w:tcW w:w="852" w:type="dxa"/>
            <w:vAlign w:val="center"/>
          </w:tcPr>
          <w:p>
            <w:pPr>
              <w:shd w:val="clear" w:color="auto" w:fill="FFFFFF"/>
              <w:spacing w:line="320" w:lineRule="exact"/>
              <w:jc w:val="center"/>
              <w:rPr>
                <w:color w:val="000000"/>
                <w:szCs w:val="21"/>
              </w:rPr>
            </w:pPr>
            <w:r>
              <w:rPr>
                <w:color w:val="000000"/>
                <w:szCs w:val="21"/>
              </w:rPr>
              <w:t xml:space="preserve">1.406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bottom"/>
          </w:tcPr>
          <w:p>
            <w:pPr>
              <w:shd w:val="clear" w:color="auto" w:fill="FFFFFF"/>
              <w:spacing w:line="320" w:lineRule="exact"/>
              <w:jc w:val="center"/>
              <w:rPr>
                <w:color w:val="000000"/>
                <w:szCs w:val="21"/>
              </w:rPr>
            </w:pPr>
            <w:r>
              <w:rPr>
                <w:color w:val="000000"/>
                <w:szCs w:val="21"/>
              </w:rPr>
              <w:t>容积率</w:t>
            </w:r>
          </w:p>
        </w:tc>
        <w:tc>
          <w:tcPr>
            <w:tcW w:w="856" w:type="dxa"/>
            <w:vAlign w:val="center"/>
          </w:tcPr>
          <w:p>
            <w:pPr>
              <w:shd w:val="clear" w:color="auto" w:fill="FFFFFF"/>
              <w:spacing w:line="320" w:lineRule="exact"/>
              <w:jc w:val="center"/>
              <w:rPr>
                <w:color w:val="000000"/>
                <w:szCs w:val="21"/>
              </w:rPr>
            </w:pPr>
            <w:r>
              <w:rPr>
                <w:color w:val="000000"/>
                <w:szCs w:val="21"/>
              </w:rPr>
              <w:t>2.5</w:t>
            </w:r>
          </w:p>
        </w:tc>
        <w:tc>
          <w:tcPr>
            <w:tcW w:w="852" w:type="dxa"/>
            <w:vAlign w:val="center"/>
          </w:tcPr>
          <w:p>
            <w:pPr>
              <w:shd w:val="clear" w:color="auto" w:fill="FFFFFF"/>
              <w:spacing w:line="320" w:lineRule="exact"/>
              <w:jc w:val="center"/>
              <w:rPr>
                <w:color w:val="000000"/>
                <w:szCs w:val="21"/>
              </w:rPr>
            </w:pPr>
            <w:r>
              <w:rPr>
                <w:color w:val="000000"/>
                <w:szCs w:val="21"/>
              </w:rPr>
              <w:t>2.6</w:t>
            </w:r>
          </w:p>
        </w:tc>
        <w:tc>
          <w:tcPr>
            <w:tcW w:w="852" w:type="dxa"/>
            <w:vAlign w:val="center"/>
          </w:tcPr>
          <w:p>
            <w:pPr>
              <w:shd w:val="clear" w:color="auto" w:fill="FFFFFF"/>
              <w:spacing w:line="320" w:lineRule="exact"/>
              <w:jc w:val="center"/>
              <w:rPr>
                <w:color w:val="000000"/>
                <w:szCs w:val="21"/>
              </w:rPr>
            </w:pPr>
            <w:r>
              <w:rPr>
                <w:color w:val="000000"/>
                <w:szCs w:val="21"/>
              </w:rPr>
              <w:t>2.7</w:t>
            </w:r>
          </w:p>
        </w:tc>
        <w:tc>
          <w:tcPr>
            <w:tcW w:w="851" w:type="dxa"/>
            <w:vAlign w:val="center"/>
          </w:tcPr>
          <w:p>
            <w:pPr>
              <w:shd w:val="clear" w:color="auto" w:fill="FFFFFF"/>
              <w:spacing w:line="320" w:lineRule="exact"/>
              <w:jc w:val="center"/>
              <w:rPr>
                <w:color w:val="000000"/>
                <w:szCs w:val="21"/>
              </w:rPr>
            </w:pPr>
            <w:r>
              <w:rPr>
                <w:color w:val="000000"/>
                <w:szCs w:val="21"/>
              </w:rPr>
              <w:t>2.8</w:t>
            </w:r>
          </w:p>
        </w:tc>
        <w:tc>
          <w:tcPr>
            <w:tcW w:w="852" w:type="dxa"/>
            <w:vAlign w:val="center"/>
          </w:tcPr>
          <w:p>
            <w:pPr>
              <w:shd w:val="clear" w:color="auto" w:fill="FFFFFF"/>
              <w:spacing w:line="320" w:lineRule="exact"/>
              <w:jc w:val="center"/>
              <w:rPr>
                <w:color w:val="000000"/>
                <w:szCs w:val="21"/>
              </w:rPr>
            </w:pPr>
            <w:r>
              <w:rPr>
                <w:color w:val="000000"/>
                <w:szCs w:val="21"/>
              </w:rPr>
              <w:t>2.9</w:t>
            </w:r>
          </w:p>
        </w:tc>
        <w:tc>
          <w:tcPr>
            <w:tcW w:w="852" w:type="dxa"/>
            <w:vAlign w:val="center"/>
          </w:tcPr>
          <w:p>
            <w:pPr>
              <w:shd w:val="clear" w:color="auto" w:fill="FFFFFF"/>
              <w:spacing w:line="320" w:lineRule="exact"/>
              <w:jc w:val="center"/>
              <w:rPr>
                <w:color w:val="000000"/>
                <w:szCs w:val="21"/>
              </w:rPr>
            </w:pPr>
            <w:r>
              <w:rPr>
                <w:color w:val="000000"/>
                <w:szCs w:val="21"/>
              </w:rPr>
              <w:t>3</w:t>
            </w:r>
          </w:p>
        </w:tc>
        <w:tc>
          <w:tcPr>
            <w:tcW w:w="851" w:type="dxa"/>
            <w:vAlign w:val="center"/>
          </w:tcPr>
          <w:p>
            <w:pPr>
              <w:shd w:val="clear" w:color="auto" w:fill="FFFFFF"/>
              <w:spacing w:line="320" w:lineRule="exact"/>
              <w:jc w:val="center"/>
              <w:rPr>
                <w:color w:val="000000"/>
                <w:szCs w:val="21"/>
              </w:rPr>
            </w:pPr>
            <w:r>
              <w:rPr>
                <w:color w:val="000000"/>
                <w:szCs w:val="21"/>
              </w:rPr>
              <w:t>3.1</w:t>
            </w:r>
          </w:p>
        </w:tc>
        <w:tc>
          <w:tcPr>
            <w:tcW w:w="852" w:type="dxa"/>
            <w:vAlign w:val="center"/>
          </w:tcPr>
          <w:p>
            <w:pPr>
              <w:shd w:val="clear" w:color="auto" w:fill="FFFFFF"/>
              <w:spacing w:line="320" w:lineRule="exact"/>
              <w:jc w:val="center"/>
              <w:rPr>
                <w:color w:val="000000"/>
                <w:szCs w:val="21"/>
              </w:rPr>
            </w:pPr>
            <w:r>
              <w:rPr>
                <w:color w:val="000000"/>
                <w:szCs w:val="21"/>
              </w:rPr>
              <w:t>3.2</w:t>
            </w:r>
          </w:p>
        </w:tc>
        <w:tc>
          <w:tcPr>
            <w:tcW w:w="852" w:type="dxa"/>
            <w:vAlign w:val="center"/>
          </w:tcPr>
          <w:p>
            <w:pPr>
              <w:shd w:val="clear" w:color="auto" w:fill="FFFFFF"/>
              <w:spacing w:line="320" w:lineRule="exact"/>
              <w:jc w:val="center"/>
              <w:rPr>
                <w:color w:val="000000"/>
                <w:szCs w:val="21"/>
              </w:rPr>
            </w:pPr>
            <w:r>
              <w:rPr>
                <w:color w:val="000000"/>
                <w:szCs w:val="21"/>
              </w:rPr>
              <w:t>3.3</w:t>
            </w:r>
          </w:p>
        </w:tc>
        <w:tc>
          <w:tcPr>
            <w:tcW w:w="852" w:type="dxa"/>
            <w:vAlign w:val="center"/>
          </w:tcPr>
          <w:p>
            <w:pPr>
              <w:shd w:val="clear" w:color="auto" w:fill="FFFFFF"/>
              <w:spacing w:line="320" w:lineRule="exact"/>
              <w:jc w:val="center"/>
              <w:rPr>
                <w:color w:val="000000"/>
                <w:szCs w:val="21"/>
              </w:rPr>
            </w:pPr>
            <w:r>
              <w:rPr>
                <w:color w:val="000000"/>
                <w:szCs w:val="21"/>
              </w:rPr>
              <w:t>3.4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bottom"/>
          </w:tcPr>
          <w:p>
            <w:pPr>
              <w:shd w:val="clear" w:color="auto" w:fill="FFFFFF"/>
              <w:spacing w:line="320" w:lineRule="exact"/>
              <w:jc w:val="center"/>
              <w:rPr>
                <w:color w:val="000000"/>
                <w:szCs w:val="21"/>
              </w:rPr>
            </w:pPr>
            <w:r>
              <w:rPr>
                <w:color w:val="000000"/>
                <w:szCs w:val="21"/>
              </w:rPr>
              <w:t>比值</w:t>
            </w:r>
          </w:p>
        </w:tc>
        <w:tc>
          <w:tcPr>
            <w:tcW w:w="856" w:type="dxa"/>
            <w:vAlign w:val="center"/>
          </w:tcPr>
          <w:p>
            <w:pPr>
              <w:shd w:val="clear" w:color="auto" w:fill="FFFFFF"/>
              <w:spacing w:line="320" w:lineRule="exact"/>
              <w:jc w:val="center"/>
              <w:rPr>
                <w:color w:val="000000"/>
                <w:szCs w:val="21"/>
              </w:rPr>
            </w:pPr>
            <w:r>
              <w:rPr>
                <w:color w:val="000000"/>
                <w:szCs w:val="21"/>
              </w:rPr>
              <w:t xml:space="preserve">1.427 </w:t>
            </w:r>
          </w:p>
        </w:tc>
        <w:tc>
          <w:tcPr>
            <w:tcW w:w="852" w:type="dxa"/>
            <w:vAlign w:val="center"/>
          </w:tcPr>
          <w:p>
            <w:pPr>
              <w:shd w:val="clear" w:color="auto" w:fill="FFFFFF"/>
              <w:spacing w:line="320" w:lineRule="exact"/>
              <w:jc w:val="center"/>
              <w:rPr>
                <w:color w:val="000000"/>
                <w:szCs w:val="21"/>
              </w:rPr>
            </w:pPr>
            <w:r>
              <w:rPr>
                <w:color w:val="000000"/>
                <w:szCs w:val="21"/>
              </w:rPr>
              <w:t xml:space="preserve">1.448 </w:t>
            </w:r>
          </w:p>
        </w:tc>
        <w:tc>
          <w:tcPr>
            <w:tcW w:w="852" w:type="dxa"/>
            <w:vAlign w:val="center"/>
          </w:tcPr>
          <w:p>
            <w:pPr>
              <w:shd w:val="clear" w:color="auto" w:fill="FFFFFF"/>
              <w:spacing w:line="320" w:lineRule="exact"/>
              <w:jc w:val="center"/>
              <w:rPr>
                <w:color w:val="000000"/>
                <w:szCs w:val="21"/>
              </w:rPr>
            </w:pPr>
            <w:r>
              <w:rPr>
                <w:color w:val="000000"/>
                <w:szCs w:val="21"/>
              </w:rPr>
              <w:t xml:space="preserve">1.469 </w:t>
            </w:r>
          </w:p>
        </w:tc>
        <w:tc>
          <w:tcPr>
            <w:tcW w:w="851" w:type="dxa"/>
            <w:vAlign w:val="center"/>
          </w:tcPr>
          <w:p>
            <w:pPr>
              <w:shd w:val="clear" w:color="auto" w:fill="FFFFFF"/>
              <w:spacing w:line="320" w:lineRule="exact"/>
              <w:jc w:val="center"/>
              <w:rPr>
                <w:color w:val="000000"/>
                <w:szCs w:val="21"/>
              </w:rPr>
            </w:pPr>
            <w:r>
              <w:rPr>
                <w:color w:val="000000"/>
                <w:szCs w:val="21"/>
              </w:rPr>
              <w:t xml:space="preserve">1.488 </w:t>
            </w:r>
          </w:p>
        </w:tc>
        <w:tc>
          <w:tcPr>
            <w:tcW w:w="852" w:type="dxa"/>
            <w:vAlign w:val="center"/>
          </w:tcPr>
          <w:p>
            <w:pPr>
              <w:shd w:val="clear" w:color="auto" w:fill="FFFFFF"/>
              <w:spacing w:line="320" w:lineRule="exact"/>
              <w:jc w:val="center"/>
              <w:rPr>
                <w:color w:val="000000"/>
                <w:szCs w:val="21"/>
              </w:rPr>
            </w:pPr>
            <w:r>
              <w:rPr>
                <w:color w:val="000000"/>
                <w:szCs w:val="21"/>
              </w:rPr>
              <w:t xml:space="preserve">1.507 </w:t>
            </w:r>
          </w:p>
        </w:tc>
        <w:tc>
          <w:tcPr>
            <w:tcW w:w="852" w:type="dxa"/>
            <w:vAlign w:val="center"/>
          </w:tcPr>
          <w:p>
            <w:pPr>
              <w:shd w:val="clear" w:color="auto" w:fill="FFFFFF"/>
              <w:spacing w:line="320" w:lineRule="exact"/>
              <w:jc w:val="center"/>
              <w:rPr>
                <w:color w:val="000000"/>
                <w:szCs w:val="21"/>
              </w:rPr>
            </w:pPr>
            <w:r>
              <w:rPr>
                <w:color w:val="000000"/>
                <w:szCs w:val="21"/>
              </w:rPr>
              <w:t xml:space="preserve">1.525 </w:t>
            </w:r>
          </w:p>
        </w:tc>
        <w:tc>
          <w:tcPr>
            <w:tcW w:w="851" w:type="dxa"/>
            <w:vAlign w:val="center"/>
          </w:tcPr>
          <w:p>
            <w:pPr>
              <w:shd w:val="clear" w:color="auto" w:fill="FFFFFF"/>
              <w:spacing w:line="320" w:lineRule="exact"/>
              <w:jc w:val="center"/>
              <w:rPr>
                <w:color w:val="000000"/>
                <w:szCs w:val="21"/>
              </w:rPr>
            </w:pPr>
            <w:r>
              <w:rPr>
                <w:color w:val="000000"/>
                <w:szCs w:val="21"/>
              </w:rPr>
              <w:t xml:space="preserve">1.542 </w:t>
            </w:r>
          </w:p>
        </w:tc>
        <w:tc>
          <w:tcPr>
            <w:tcW w:w="852" w:type="dxa"/>
            <w:vAlign w:val="center"/>
          </w:tcPr>
          <w:p>
            <w:pPr>
              <w:shd w:val="clear" w:color="auto" w:fill="FFFFFF"/>
              <w:spacing w:line="320" w:lineRule="exact"/>
              <w:jc w:val="center"/>
              <w:rPr>
                <w:color w:val="000000"/>
                <w:szCs w:val="21"/>
              </w:rPr>
            </w:pPr>
            <w:r>
              <w:rPr>
                <w:color w:val="000000"/>
                <w:szCs w:val="21"/>
              </w:rPr>
              <w:t xml:space="preserve">1.559 </w:t>
            </w:r>
          </w:p>
        </w:tc>
        <w:tc>
          <w:tcPr>
            <w:tcW w:w="852" w:type="dxa"/>
            <w:vAlign w:val="center"/>
          </w:tcPr>
          <w:p>
            <w:pPr>
              <w:shd w:val="clear" w:color="auto" w:fill="FFFFFF"/>
              <w:spacing w:line="320" w:lineRule="exact"/>
              <w:jc w:val="center"/>
              <w:rPr>
                <w:color w:val="000000"/>
                <w:szCs w:val="21"/>
              </w:rPr>
            </w:pPr>
            <w:r>
              <w:rPr>
                <w:color w:val="000000"/>
                <w:szCs w:val="21"/>
              </w:rPr>
              <w:t xml:space="preserve">1.575 </w:t>
            </w:r>
          </w:p>
        </w:tc>
        <w:tc>
          <w:tcPr>
            <w:tcW w:w="852" w:type="dxa"/>
            <w:vAlign w:val="center"/>
          </w:tcPr>
          <w:p>
            <w:pPr>
              <w:shd w:val="clear" w:color="auto" w:fill="FFFFFF"/>
              <w:spacing w:line="320" w:lineRule="exact"/>
              <w:jc w:val="center"/>
              <w:rPr>
                <w:color w:val="000000"/>
                <w:szCs w:val="21"/>
              </w:rPr>
            </w:pPr>
            <w:r>
              <w:rPr>
                <w:color w:val="000000"/>
                <w:szCs w:val="21"/>
              </w:rPr>
              <w:t xml:space="preserve">1.590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bottom"/>
          </w:tcPr>
          <w:p>
            <w:pPr>
              <w:shd w:val="clear" w:color="auto" w:fill="FFFFFF"/>
              <w:spacing w:line="320" w:lineRule="exact"/>
              <w:jc w:val="center"/>
              <w:rPr>
                <w:color w:val="000000"/>
                <w:szCs w:val="21"/>
              </w:rPr>
            </w:pPr>
            <w:r>
              <w:rPr>
                <w:color w:val="000000"/>
                <w:szCs w:val="21"/>
              </w:rPr>
              <w:t>容积率</w:t>
            </w:r>
          </w:p>
        </w:tc>
        <w:tc>
          <w:tcPr>
            <w:tcW w:w="856" w:type="dxa"/>
            <w:vAlign w:val="center"/>
          </w:tcPr>
          <w:p>
            <w:pPr>
              <w:shd w:val="clear" w:color="auto" w:fill="FFFFFF"/>
              <w:spacing w:line="320" w:lineRule="exact"/>
              <w:jc w:val="center"/>
              <w:rPr>
                <w:color w:val="000000"/>
                <w:szCs w:val="21"/>
              </w:rPr>
            </w:pPr>
            <w:r>
              <w:rPr>
                <w:color w:val="000000"/>
                <w:szCs w:val="21"/>
              </w:rPr>
              <w:t>3.5</w:t>
            </w:r>
          </w:p>
        </w:tc>
        <w:tc>
          <w:tcPr>
            <w:tcW w:w="852" w:type="dxa"/>
            <w:vAlign w:val="center"/>
          </w:tcPr>
          <w:p>
            <w:pPr>
              <w:shd w:val="clear" w:color="auto" w:fill="FFFFFF"/>
              <w:spacing w:line="320" w:lineRule="exact"/>
              <w:jc w:val="center"/>
              <w:rPr>
                <w:color w:val="000000"/>
                <w:szCs w:val="21"/>
              </w:rPr>
            </w:pPr>
            <w:r>
              <w:rPr>
                <w:color w:val="000000"/>
                <w:szCs w:val="21"/>
              </w:rPr>
              <w:t>3.6</w:t>
            </w:r>
          </w:p>
        </w:tc>
        <w:tc>
          <w:tcPr>
            <w:tcW w:w="852" w:type="dxa"/>
            <w:vAlign w:val="center"/>
          </w:tcPr>
          <w:p>
            <w:pPr>
              <w:shd w:val="clear" w:color="auto" w:fill="FFFFFF"/>
              <w:spacing w:line="320" w:lineRule="exact"/>
              <w:jc w:val="center"/>
              <w:rPr>
                <w:color w:val="000000"/>
                <w:szCs w:val="21"/>
              </w:rPr>
            </w:pPr>
            <w:r>
              <w:rPr>
                <w:color w:val="000000"/>
                <w:szCs w:val="21"/>
              </w:rPr>
              <w:t>3.7</w:t>
            </w:r>
          </w:p>
        </w:tc>
        <w:tc>
          <w:tcPr>
            <w:tcW w:w="851" w:type="dxa"/>
            <w:vAlign w:val="center"/>
          </w:tcPr>
          <w:p>
            <w:pPr>
              <w:shd w:val="clear" w:color="auto" w:fill="FFFFFF"/>
              <w:spacing w:line="320" w:lineRule="exact"/>
              <w:jc w:val="center"/>
              <w:rPr>
                <w:color w:val="000000"/>
                <w:szCs w:val="21"/>
              </w:rPr>
            </w:pPr>
            <w:r>
              <w:rPr>
                <w:color w:val="000000"/>
                <w:szCs w:val="21"/>
              </w:rPr>
              <w:t>3.8</w:t>
            </w:r>
          </w:p>
        </w:tc>
        <w:tc>
          <w:tcPr>
            <w:tcW w:w="852" w:type="dxa"/>
            <w:vAlign w:val="center"/>
          </w:tcPr>
          <w:p>
            <w:pPr>
              <w:shd w:val="clear" w:color="auto" w:fill="FFFFFF"/>
              <w:spacing w:line="320" w:lineRule="exact"/>
              <w:jc w:val="center"/>
              <w:rPr>
                <w:color w:val="000000"/>
                <w:szCs w:val="21"/>
              </w:rPr>
            </w:pPr>
            <w:r>
              <w:rPr>
                <w:color w:val="000000"/>
                <w:szCs w:val="21"/>
              </w:rPr>
              <w:t>3.9</w:t>
            </w:r>
          </w:p>
        </w:tc>
        <w:tc>
          <w:tcPr>
            <w:tcW w:w="852" w:type="dxa"/>
            <w:vAlign w:val="center"/>
          </w:tcPr>
          <w:p>
            <w:pPr>
              <w:shd w:val="clear" w:color="auto" w:fill="FFFFFF"/>
              <w:spacing w:line="320" w:lineRule="exact"/>
              <w:jc w:val="center"/>
              <w:rPr>
                <w:color w:val="000000"/>
                <w:szCs w:val="21"/>
              </w:rPr>
            </w:pPr>
            <w:r>
              <w:rPr>
                <w:color w:val="000000"/>
                <w:szCs w:val="21"/>
              </w:rPr>
              <w:t>≥4</w:t>
            </w:r>
          </w:p>
        </w:tc>
        <w:tc>
          <w:tcPr>
            <w:tcW w:w="851" w:type="dxa"/>
            <w:vAlign w:val="center"/>
          </w:tcPr>
          <w:p>
            <w:pPr>
              <w:shd w:val="clear" w:color="auto" w:fill="FFFFFF"/>
              <w:spacing w:line="320" w:lineRule="exact"/>
              <w:jc w:val="center"/>
              <w:rPr>
                <w:color w:val="000000"/>
                <w:szCs w:val="21"/>
              </w:rPr>
            </w:pPr>
          </w:p>
        </w:tc>
        <w:tc>
          <w:tcPr>
            <w:tcW w:w="852" w:type="dxa"/>
            <w:vAlign w:val="center"/>
          </w:tcPr>
          <w:p>
            <w:pPr>
              <w:shd w:val="clear" w:color="auto" w:fill="FFFFFF"/>
              <w:spacing w:line="320" w:lineRule="exact"/>
              <w:jc w:val="center"/>
              <w:rPr>
                <w:color w:val="000000"/>
                <w:szCs w:val="21"/>
              </w:rPr>
            </w:pPr>
          </w:p>
        </w:tc>
        <w:tc>
          <w:tcPr>
            <w:tcW w:w="852" w:type="dxa"/>
            <w:vAlign w:val="center"/>
          </w:tcPr>
          <w:p>
            <w:pPr>
              <w:shd w:val="clear" w:color="auto" w:fill="FFFFFF"/>
              <w:spacing w:line="320" w:lineRule="exact"/>
              <w:jc w:val="center"/>
              <w:rPr>
                <w:color w:val="000000"/>
                <w:szCs w:val="21"/>
              </w:rPr>
            </w:pPr>
          </w:p>
        </w:tc>
        <w:tc>
          <w:tcPr>
            <w:tcW w:w="852" w:type="dxa"/>
            <w:vAlign w:val="center"/>
          </w:tcPr>
          <w:p>
            <w:pPr>
              <w:shd w:val="clear" w:color="auto" w:fill="FFFFFF"/>
              <w:spacing w:line="320" w:lineRule="exact"/>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6" w:type="dxa"/>
            <w:vAlign w:val="bottom"/>
          </w:tcPr>
          <w:p>
            <w:pPr>
              <w:shd w:val="clear" w:color="auto" w:fill="FFFFFF"/>
              <w:spacing w:line="320" w:lineRule="exact"/>
              <w:jc w:val="center"/>
              <w:rPr>
                <w:color w:val="000000"/>
                <w:szCs w:val="21"/>
              </w:rPr>
            </w:pPr>
            <w:r>
              <w:rPr>
                <w:color w:val="000000"/>
                <w:szCs w:val="21"/>
              </w:rPr>
              <w:t>比值</w:t>
            </w:r>
          </w:p>
        </w:tc>
        <w:tc>
          <w:tcPr>
            <w:tcW w:w="856" w:type="dxa"/>
            <w:vAlign w:val="center"/>
          </w:tcPr>
          <w:p>
            <w:pPr>
              <w:shd w:val="clear" w:color="auto" w:fill="FFFFFF"/>
              <w:spacing w:line="320" w:lineRule="exact"/>
              <w:jc w:val="center"/>
              <w:rPr>
                <w:color w:val="000000"/>
                <w:szCs w:val="21"/>
              </w:rPr>
            </w:pPr>
            <w:r>
              <w:rPr>
                <w:color w:val="000000"/>
                <w:szCs w:val="21"/>
              </w:rPr>
              <w:t xml:space="preserve">1.605 </w:t>
            </w:r>
          </w:p>
        </w:tc>
        <w:tc>
          <w:tcPr>
            <w:tcW w:w="852" w:type="dxa"/>
            <w:vAlign w:val="center"/>
          </w:tcPr>
          <w:p>
            <w:pPr>
              <w:shd w:val="clear" w:color="auto" w:fill="FFFFFF"/>
              <w:spacing w:line="320" w:lineRule="exact"/>
              <w:jc w:val="center"/>
              <w:rPr>
                <w:color w:val="000000"/>
                <w:szCs w:val="21"/>
              </w:rPr>
            </w:pPr>
            <w:r>
              <w:rPr>
                <w:color w:val="000000"/>
                <w:szCs w:val="21"/>
              </w:rPr>
              <w:t xml:space="preserve">1.620 </w:t>
            </w:r>
          </w:p>
        </w:tc>
        <w:tc>
          <w:tcPr>
            <w:tcW w:w="852" w:type="dxa"/>
            <w:vAlign w:val="center"/>
          </w:tcPr>
          <w:p>
            <w:pPr>
              <w:shd w:val="clear" w:color="auto" w:fill="FFFFFF"/>
              <w:spacing w:line="320" w:lineRule="exact"/>
              <w:jc w:val="center"/>
              <w:rPr>
                <w:color w:val="000000"/>
                <w:szCs w:val="21"/>
              </w:rPr>
            </w:pPr>
            <w:r>
              <w:rPr>
                <w:color w:val="000000"/>
                <w:szCs w:val="21"/>
              </w:rPr>
              <w:t xml:space="preserve">1.634 </w:t>
            </w:r>
          </w:p>
        </w:tc>
        <w:tc>
          <w:tcPr>
            <w:tcW w:w="851" w:type="dxa"/>
            <w:vAlign w:val="center"/>
          </w:tcPr>
          <w:p>
            <w:pPr>
              <w:shd w:val="clear" w:color="auto" w:fill="FFFFFF"/>
              <w:spacing w:line="320" w:lineRule="exact"/>
              <w:jc w:val="center"/>
              <w:rPr>
                <w:color w:val="000000"/>
                <w:szCs w:val="21"/>
              </w:rPr>
            </w:pPr>
            <w:r>
              <w:rPr>
                <w:color w:val="000000"/>
                <w:szCs w:val="21"/>
              </w:rPr>
              <w:t xml:space="preserve">1.647 </w:t>
            </w:r>
          </w:p>
        </w:tc>
        <w:tc>
          <w:tcPr>
            <w:tcW w:w="852" w:type="dxa"/>
            <w:vAlign w:val="center"/>
          </w:tcPr>
          <w:p>
            <w:pPr>
              <w:shd w:val="clear" w:color="auto" w:fill="FFFFFF"/>
              <w:spacing w:line="320" w:lineRule="exact"/>
              <w:jc w:val="center"/>
              <w:rPr>
                <w:color w:val="000000"/>
                <w:szCs w:val="21"/>
              </w:rPr>
            </w:pPr>
            <w:r>
              <w:rPr>
                <w:color w:val="000000"/>
                <w:szCs w:val="21"/>
              </w:rPr>
              <w:t xml:space="preserve">1.660 </w:t>
            </w:r>
          </w:p>
        </w:tc>
        <w:tc>
          <w:tcPr>
            <w:tcW w:w="852" w:type="dxa"/>
            <w:vAlign w:val="center"/>
          </w:tcPr>
          <w:p>
            <w:pPr>
              <w:shd w:val="clear" w:color="auto" w:fill="FFFFFF"/>
              <w:spacing w:line="320" w:lineRule="exact"/>
              <w:jc w:val="center"/>
              <w:rPr>
                <w:color w:val="000000"/>
                <w:szCs w:val="21"/>
              </w:rPr>
            </w:pPr>
            <w:r>
              <w:rPr>
                <w:color w:val="000000"/>
                <w:szCs w:val="21"/>
              </w:rPr>
              <w:t xml:space="preserve">1.672 </w:t>
            </w:r>
          </w:p>
        </w:tc>
        <w:tc>
          <w:tcPr>
            <w:tcW w:w="851" w:type="dxa"/>
            <w:vAlign w:val="center"/>
          </w:tcPr>
          <w:p>
            <w:pPr>
              <w:shd w:val="clear" w:color="auto" w:fill="FFFFFF"/>
              <w:spacing w:line="320" w:lineRule="exact"/>
              <w:jc w:val="center"/>
              <w:rPr>
                <w:color w:val="000000"/>
                <w:szCs w:val="21"/>
              </w:rPr>
            </w:pPr>
          </w:p>
        </w:tc>
        <w:tc>
          <w:tcPr>
            <w:tcW w:w="852" w:type="dxa"/>
            <w:vAlign w:val="center"/>
          </w:tcPr>
          <w:p>
            <w:pPr>
              <w:shd w:val="clear" w:color="auto" w:fill="FFFFFF"/>
              <w:spacing w:line="320" w:lineRule="exact"/>
              <w:jc w:val="center"/>
              <w:rPr>
                <w:color w:val="000000"/>
                <w:szCs w:val="21"/>
              </w:rPr>
            </w:pPr>
          </w:p>
        </w:tc>
        <w:tc>
          <w:tcPr>
            <w:tcW w:w="852" w:type="dxa"/>
            <w:vAlign w:val="center"/>
          </w:tcPr>
          <w:p>
            <w:pPr>
              <w:shd w:val="clear" w:color="auto" w:fill="FFFFFF"/>
              <w:spacing w:line="320" w:lineRule="exact"/>
              <w:jc w:val="center"/>
              <w:rPr>
                <w:color w:val="000000"/>
                <w:szCs w:val="21"/>
              </w:rPr>
            </w:pPr>
          </w:p>
        </w:tc>
        <w:tc>
          <w:tcPr>
            <w:tcW w:w="852" w:type="dxa"/>
            <w:vAlign w:val="center"/>
          </w:tcPr>
          <w:p>
            <w:pPr>
              <w:shd w:val="clear" w:color="auto" w:fill="FFFFFF"/>
              <w:spacing w:line="320" w:lineRule="exact"/>
              <w:jc w:val="center"/>
              <w:rPr>
                <w:color w:val="000000"/>
                <w:szCs w:val="21"/>
              </w:rPr>
            </w:pP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br w:type="page"/>
      </w:r>
    </w:p>
    <w:p>
      <w:pPr>
        <w:shd w:val="clear" w:color="auto" w:fill="FFFFFF"/>
        <w:tabs>
          <w:tab w:val="right" w:pos="9298"/>
        </w:tabs>
        <w:spacing w:line="460" w:lineRule="exact"/>
        <w:ind w:firstLine="573"/>
        <w:rPr>
          <w:sz w:val="24"/>
        </w:rPr>
      </w:pPr>
      <w:r>
        <w:rPr>
          <w:rFonts w:hint="eastAsia"/>
          <w:sz w:val="24"/>
        </w:rPr>
        <w:t>（2）二、三、四等镇容积率修正</w:t>
      </w:r>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w:t>
      </w:r>
      <w:r>
        <w:rPr>
          <w:rFonts w:hint="eastAsia" w:ascii="Times New Roman" w:hAnsi="Times New Roman"/>
          <w:sz w:val="24"/>
          <w:szCs w:val="24"/>
        </w:rPr>
        <w:t xml:space="preserve">44 </w:t>
      </w:r>
      <w:r>
        <w:rPr>
          <w:rFonts w:ascii="Times New Roman" w:hAnsi="Times New Roman"/>
          <w:sz w:val="24"/>
          <w:szCs w:val="24"/>
        </w:rPr>
        <w:t>长沙县</w:t>
      </w:r>
      <w:r>
        <w:rPr>
          <w:rFonts w:hint="eastAsia" w:ascii="Times New Roman" w:hAnsi="Times New Roman"/>
          <w:sz w:val="24"/>
          <w:szCs w:val="24"/>
        </w:rPr>
        <w:t>乡镇规划区</w:t>
      </w:r>
      <w:r>
        <w:rPr>
          <w:rFonts w:ascii="Times New Roman" w:hAnsi="Times New Roman"/>
          <w:sz w:val="24"/>
          <w:szCs w:val="24"/>
        </w:rPr>
        <w:t>商服用地容积率修正取值</w:t>
      </w:r>
    </w:p>
    <w:tbl>
      <w:tblPr>
        <w:tblW w:w="10200" w:type="dxa"/>
        <w:jc w:val="center"/>
        <w:tblInd w:w="-8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713"/>
        <w:gridCol w:w="1007"/>
        <w:gridCol w:w="1007"/>
        <w:gridCol w:w="1007"/>
        <w:gridCol w:w="1007"/>
        <w:gridCol w:w="1007"/>
        <w:gridCol w:w="1007"/>
        <w:gridCol w:w="1008"/>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762" w:type="dxa"/>
            <w:vAlign w:val="center"/>
          </w:tcPr>
          <w:p>
            <w:pPr>
              <w:widowControl/>
              <w:spacing w:line="360" w:lineRule="auto"/>
              <w:ind w:left="-105" w:leftChars="-50" w:right="-105" w:rightChars="-50"/>
              <w:jc w:val="center"/>
              <w:rPr>
                <w:sz w:val="18"/>
                <w:szCs w:val="18"/>
              </w:rPr>
            </w:pPr>
            <w:r>
              <w:rPr>
                <w:kern w:val="0"/>
                <w:szCs w:val="21"/>
              </w:rPr>
              <w:t>宗地实际容积率与级别设定容率之差</w:t>
            </w:r>
          </w:p>
        </w:tc>
        <w:tc>
          <w:tcPr>
            <w:tcW w:w="713" w:type="dxa"/>
            <w:vAlign w:val="center"/>
          </w:tcPr>
          <w:p>
            <w:pPr>
              <w:spacing w:line="360" w:lineRule="auto"/>
              <w:jc w:val="center"/>
              <w:rPr>
                <w:color w:val="000000"/>
                <w:szCs w:val="21"/>
              </w:rPr>
            </w:pPr>
            <w:r>
              <w:rPr>
                <w:color w:val="000000"/>
                <w:szCs w:val="21"/>
              </w:rPr>
              <w:t>≤0.3</w:t>
            </w:r>
          </w:p>
        </w:tc>
        <w:tc>
          <w:tcPr>
            <w:tcW w:w="1007" w:type="dxa"/>
            <w:vAlign w:val="center"/>
          </w:tcPr>
          <w:p>
            <w:pPr>
              <w:spacing w:line="360" w:lineRule="auto"/>
              <w:jc w:val="center"/>
              <w:rPr>
                <w:color w:val="000000"/>
                <w:szCs w:val="21"/>
              </w:rPr>
            </w:pPr>
            <w:r>
              <w:rPr>
                <w:color w:val="000000"/>
                <w:szCs w:val="21"/>
              </w:rPr>
              <w:t>&gt;0.3≤0.6</w:t>
            </w:r>
          </w:p>
        </w:tc>
        <w:tc>
          <w:tcPr>
            <w:tcW w:w="1007" w:type="dxa"/>
            <w:vAlign w:val="center"/>
          </w:tcPr>
          <w:p>
            <w:pPr>
              <w:spacing w:line="360" w:lineRule="auto"/>
              <w:jc w:val="center"/>
              <w:rPr>
                <w:color w:val="000000"/>
                <w:szCs w:val="21"/>
              </w:rPr>
            </w:pPr>
            <w:r>
              <w:rPr>
                <w:color w:val="000000"/>
                <w:szCs w:val="21"/>
              </w:rPr>
              <w:t>&gt;0.6≤1.0</w:t>
            </w:r>
          </w:p>
        </w:tc>
        <w:tc>
          <w:tcPr>
            <w:tcW w:w="1007" w:type="dxa"/>
            <w:vAlign w:val="center"/>
          </w:tcPr>
          <w:p>
            <w:pPr>
              <w:spacing w:line="360" w:lineRule="auto"/>
              <w:jc w:val="center"/>
              <w:rPr>
                <w:color w:val="000000"/>
                <w:szCs w:val="21"/>
              </w:rPr>
            </w:pPr>
            <w:r>
              <w:rPr>
                <w:color w:val="000000"/>
                <w:szCs w:val="21"/>
              </w:rPr>
              <w:t>&gt;1.0≤1.5</w:t>
            </w:r>
          </w:p>
        </w:tc>
        <w:tc>
          <w:tcPr>
            <w:tcW w:w="1007" w:type="dxa"/>
            <w:vAlign w:val="center"/>
          </w:tcPr>
          <w:p>
            <w:pPr>
              <w:spacing w:line="360" w:lineRule="auto"/>
              <w:jc w:val="center"/>
              <w:rPr>
                <w:color w:val="000000"/>
                <w:szCs w:val="21"/>
              </w:rPr>
            </w:pPr>
            <w:r>
              <w:rPr>
                <w:color w:val="000000"/>
                <w:szCs w:val="21"/>
              </w:rPr>
              <w:t>&gt;1.5≤2.0</w:t>
            </w:r>
          </w:p>
        </w:tc>
        <w:tc>
          <w:tcPr>
            <w:tcW w:w="1007" w:type="dxa"/>
            <w:vAlign w:val="center"/>
          </w:tcPr>
          <w:p>
            <w:pPr>
              <w:spacing w:line="360" w:lineRule="auto"/>
              <w:jc w:val="center"/>
              <w:rPr>
                <w:color w:val="000000"/>
                <w:szCs w:val="21"/>
              </w:rPr>
            </w:pPr>
            <w:r>
              <w:rPr>
                <w:color w:val="000000"/>
                <w:szCs w:val="21"/>
              </w:rPr>
              <w:t>&gt;2.0≤2.5</w:t>
            </w:r>
          </w:p>
        </w:tc>
        <w:tc>
          <w:tcPr>
            <w:tcW w:w="1007" w:type="dxa"/>
            <w:vAlign w:val="center"/>
          </w:tcPr>
          <w:p>
            <w:pPr>
              <w:spacing w:line="360" w:lineRule="auto"/>
              <w:jc w:val="center"/>
              <w:rPr>
                <w:color w:val="000000"/>
                <w:szCs w:val="21"/>
              </w:rPr>
            </w:pPr>
            <w:r>
              <w:rPr>
                <w:color w:val="000000"/>
                <w:szCs w:val="21"/>
              </w:rPr>
              <w:t>&gt;2.5≤3.0</w:t>
            </w:r>
          </w:p>
        </w:tc>
        <w:tc>
          <w:tcPr>
            <w:tcW w:w="1008" w:type="dxa"/>
            <w:vAlign w:val="center"/>
          </w:tcPr>
          <w:p>
            <w:pPr>
              <w:spacing w:line="360" w:lineRule="auto"/>
              <w:jc w:val="center"/>
              <w:rPr>
                <w:color w:val="000000"/>
                <w:szCs w:val="21"/>
              </w:rPr>
            </w:pPr>
            <w:r>
              <w:rPr>
                <w:color w:val="000000"/>
                <w:szCs w:val="21"/>
              </w:rPr>
              <w:t>&gt;3.0≤3.5</w:t>
            </w:r>
          </w:p>
        </w:tc>
        <w:tc>
          <w:tcPr>
            <w:tcW w:w="675" w:type="dxa"/>
            <w:vAlign w:val="center"/>
          </w:tcPr>
          <w:p>
            <w:pPr>
              <w:spacing w:line="360" w:lineRule="auto"/>
              <w:jc w:val="center"/>
              <w:rPr>
                <w:color w:val="000000"/>
                <w:szCs w:val="21"/>
              </w:rPr>
            </w:pPr>
            <w:r>
              <w:rPr>
                <w:color w:val="00000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762" w:type="dxa"/>
            <w:vAlign w:val="center"/>
          </w:tcPr>
          <w:p>
            <w:pPr>
              <w:widowControl/>
              <w:spacing w:line="360" w:lineRule="auto"/>
              <w:ind w:left="-105" w:leftChars="-50" w:right="-105" w:rightChars="-50"/>
              <w:jc w:val="center"/>
              <w:rPr>
                <w:sz w:val="18"/>
                <w:szCs w:val="18"/>
              </w:rPr>
            </w:pPr>
            <w:r>
              <w:rPr>
                <w:kern w:val="0"/>
                <w:szCs w:val="21"/>
              </w:rPr>
              <w:t>修正取值</w:t>
            </w:r>
          </w:p>
        </w:tc>
        <w:tc>
          <w:tcPr>
            <w:tcW w:w="713" w:type="dxa"/>
            <w:vAlign w:val="center"/>
          </w:tcPr>
          <w:p>
            <w:pPr>
              <w:spacing w:line="360" w:lineRule="auto"/>
              <w:jc w:val="center"/>
              <w:rPr>
                <w:color w:val="000000"/>
                <w:szCs w:val="21"/>
              </w:rPr>
            </w:pPr>
            <w:r>
              <w:rPr>
                <w:color w:val="000000"/>
                <w:szCs w:val="21"/>
              </w:rPr>
              <w:t>1.0</w:t>
            </w:r>
          </w:p>
        </w:tc>
        <w:tc>
          <w:tcPr>
            <w:tcW w:w="1007" w:type="dxa"/>
            <w:vAlign w:val="center"/>
          </w:tcPr>
          <w:p>
            <w:pPr>
              <w:spacing w:line="360" w:lineRule="auto"/>
              <w:jc w:val="center"/>
              <w:rPr>
                <w:color w:val="000000"/>
                <w:szCs w:val="21"/>
              </w:rPr>
            </w:pPr>
            <w:r>
              <w:rPr>
                <w:color w:val="000000"/>
                <w:szCs w:val="21"/>
              </w:rPr>
              <w:t>1.05</w:t>
            </w:r>
          </w:p>
        </w:tc>
        <w:tc>
          <w:tcPr>
            <w:tcW w:w="1007" w:type="dxa"/>
            <w:vAlign w:val="center"/>
          </w:tcPr>
          <w:p>
            <w:pPr>
              <w:spacing w:line="360" w:lineRule="auto"/>
              <w:jc w:val="center"/>
              <w:rPr>
                <w:color w:val="000000"/>
                <w:szCs w:val="21"/>
              </w:rPr>
            </w:pPr>
            <w:r>
              <w:rPr>
                <w:color w:val="000000"/>
                <w:szCs w:val="21"/>
              </w:rPr>
              <w:t>1.11</w:t>
            </w:r>
          </w:p>
        </w:tc>
        <w:tc>
          <w:tcPr>
            <w:tcW w:w="1007" w:type="dxa"/>
            <w:vAlign w:val="center"/>
          </w:tcPr>
          <w:p>
            <w:pPr>
              <w:spacing w:line="360" w:lineRule="auto"/>
              <w:jc w:val="center"/>
              <w:rPr>
                <w:color w:val="000000"/>
                <w:szCs w:val="21"/>
              </w:rPr>
            </w:pPr>
            <w:r>
              <w:rPr>
                <w:color w:val="000000"/>
                <w:szCs w:val="21"/>
              </w:rPr>
              <w:t>1.17</w:t>
            </w:r>
          </w:p>
        </w:tc>
        <w:tc>
          <w:tcPr>
            <w:tcW w:w="1007" w:type="dxa"/>
            <w:vAlign w:val="center"/>
          </w:tcPr>
          <w:p>
            <w:pPr>
              <w:spacing w:line="360" w:lineRule="auto"/>
              <w:jc w:val="center"/>
              <w:rPr>
                <w:color w:val="000000"/>
                <w:szCs w:val="21"/>
              </w:rPr>
            </w:pPr>
            <w:r>
              <w:rPr>
                <w:color w:val="000000"/>
                <w:szCs w:val="21"/>
              </w:rPr>
              <w:t>1.22</w:t>
            </w:r>
          </w:p>
        </w:tc>
        <w:tc>
          <w:tcPr>
            <w:tcW w:w="1007" w:type="dxa"/>
            <w:vAlign w:val="center"/>
          </w:tcPr>
          <w:p>
            <w:pPr>
              <w:pStyle w:val="25"/>
              <w:pBdr>
                <w:bottom w:val="none" w:color="auto" w:sz="0" w:space="0"/>
              </w:pBdr>
              <w:tabs>
                <w:tab w:val="clear" w:pos="4153"/>
                <w:tab w:val="clear" w:pos="8306"/>
              </w:tabs>
              <w:snapToGrid/>
              <w:spacing w:line="360" w:lineRule="auto"/>
              <w:rPr>
                <w:color w:val="000000"/>
                <w:sz w:val="21"/>
                <w:szCs w:val="21"/>
              </w:rPr>
            </w:pPr>
            <w:r>
              <w:rPr>
                <w:color w:val="000000"/>
                <w:sz w:val="21"/>
                <w:szCs w:val="21"/>
              </w:rPr>
              <w:t>1.27</w:t>
            </w:r>
          </w:p>
        </w:tc>
        <w:tc>
          <w:tcPr>
            <w:tcW w:w="1007" w:type="dxa"/>
            <w:vAlign w:val="center"/>
          </w:tcPr>
          <w:p>
            <w:pPr>
              <w:pStyle w:val="25"/>
              <w:pBdr>
                <w:bottom w:val="none" w:color="auto" w:sz="0" w:space="0"/>
              </w:pBdr>
              <w:tabs>
                <w:tab w:val="clear" w:pos="4153"/>
                <w:tab w:val="clear" w:pos="8306"/>
              </w:tabs>
              <w:snapToGrid/>
              <w:spacing w:line="360" w:lineRule="auto"/>
              <w:rPr>
                <w:color w:val="000000"/>
                <w:sz w:val="21"/>
                <w:szCs w:val="21"/>
              </w:rPr>
            </w:pPr>
            <w:r>
              <w:rPr>
                <w:color w:val="000000"/>
                <w:sz w:val="21"/>
                <w:szCs w:val="21"/>
              </w:rPr>
              <w:t>1.31</w:t>
            </w:r>
          </w:p>
        </w:tc>
        <w:tc>
          <w:tcPr>
            <w:tcW w:w="1008" w:type="dxa"/>
            <w:vAlign w:val="center"/>
          </w:tcPr>
          <w:p>
            <w:pPr>
              <w:spacing w:line="360" w:lineRule="auto"/>
              <w:jc w:val="center"/>
              <w:rPr>
                <w:color w:val="000000"/>
                <w:szCs w:val="21"/>
              </w:rPr>
            </w:pPr>
            <w:r>
              <w:rPr>
                <w:color w:val="000000"/>
                <w:szCs w:val="21"/>
              </w:rPr>
              <w:t>1.35</w:t>
            </w:r>
          </w:p>
        </w:tc>
        <w:tc>
          <w:tcPr>
            <w:tcW w:w="675" w:type="dxa"/>
            <w:vAlign w:val="center"/>
          </w:tcPr>
          <w:p>
            <w:pPr>
              <w:spacing w:line="360" w:lineRule="auto"/>
              <w:jc w:val="center"/>
              <w:rPr>
                <w:color w:val="000000"/>
                <w:szCs w:val="21"/>
              </w:rPr>
            </w:pPr>
            <w:r>
              <w:rPr>
                <w:color w:val="000000"/>
                <w:szCs w:val="21"/>
              </w:rPr>
              <w:t>1.40</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w:t>
      </w:r>
      <w:r>
        <w:rPr>
          <w:rFonts w:hint="eastAsia" w:ascii="Times New Roman" w:hAnsi="Times New Roman"/>
          <w:sz w:val="24"/>
          <w:szCs w:val="24"/>
        </w:rPr>
        <w:t xml:space="preserve">45 </w:t>
      </w:r>
      <w:r>
        <w:rPr>
          <w:rFonts w:ascii="Times New Roman" w:hAnsi="Times New Roman"/>
          <w:sz w:val="24"/>
          <w:szCs w:val="24"/>
        </w:rPr>
        <w:t>长沙县</w:t>
      </w:r>
      <w:r>
        <w:rPr>
          <w:rFonts w:hint="eastAsia" w:ascii="Times New Roman" w:hAnsi="Times New Roman"/>
          <w:sz w:val="24"/>
          <w:szCs w:val="24"/>
        </w:rPr>
        <w:t>乡镇规划区</w:t>
      </w:r>
      <w:r>
        <w:rPr>
          <w:rFonts w:ascii="Times New Roman" w:hAnsi="Times New Roman"/>
          <w:sz w:val="24"/>
          <w:szCs w:val="24"/>
        </w:rPr>
        <w:t>住宅用地容积率修正取值</w:t>
      </w:r>
    </w:p>
    <w:tbl>
      <w:tblPr>
        <w:tblW w:w="10200" w:type="dxa"/>
        <w:tblInd w:w="-5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700"/>
        <w:gridCol w:w="887"/>
        <w:gridCol w:w="887"/>
        <w:gridCol w:w="887"/>
        <w:gridCol w:w="887"/>
        <w:gridCol w:w="887"/>
        <w:gridCol w:w="887"/>
        <w:gridCol w:w="887"/>
        <w:gridCol w:w="891"/>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trPr>
        <w:tc>
          <w:tcPr>
            <w:tcW w:w="1743" w:type="dxa"/>
            <w:vAlign w:val="center"/>
          </w:tcPr>
          <w:p>
            <w:pPr>
              <w:widowControl/>
              <w:spacing w:line="360" w:lineRule="auto"/>
              <w:ind w:left="-105" w:leftChars="-50" w:right="-105" w:rightChars="-50"/>
              <w:jc w:val="center"/>
              <w:rPr>
                <w:kern w:val="0"/>
                <w:szCs w:val="21"/>
              </w:rPr>
            </w:pPr>
            <w:r>
              <w:rPr>
                <w:kern w:val="0"/>
                <w:szCs w:val="21"/>
              </w:rPr>
              <w:t>宗地实际容积率与级别设定容率之差</w:t>
            </w:r>
          </w:p>
        </w:tc>
        <w:tc>
          <w:tcPr>
            <w:tcW w:w="700" w:type="dxa"/>
            <w:vAlign w:val="center"/>
          </w:tcPr>
          <w:p>
            <w:pPr>
              <w:widowControl/>
              <w:spacing w:line="360" w:lineRule="auto"/>
              <w:ind w:left="-105" w:leftChars="-50" w:right="-105" w:rightChars="-50"/>
              <w:jc w:val="center"/>
              <w:rPr>
                <w:kern w:val="0"/>
                <w:szCs w:val="21"/>
              </w:rPr>
            </w:pPr>
            <w:r>
              <w:rPr>
                <w:kern w:val="0"/>
                <w:szCs w:val="21"/>
              </w:rPr>
              <w:t>≤0.4</w:t>
            </w:r>
          </w:p>
        </w:tc>
        <w:tc>
          <w:tcPr>
            <w:tcW w:w="887" w:type="dxa"/>
            <w:vAlign w:val="center"/>
          </w:tcPr>
          <w:p>
            <w:pPr>
              <w:widowControl/>
              <w:spacing w:line="360" w:lineRule="auto"/>
              <w:ind w:right="-105" w:rightChars="-50"/>
              <w:rPr>
                <w:kern w:val="0"/>
                <w:szCs w:val="21"/>
              </w:rPr>
            </w:pPr>
            <w:r>
              <w:rPr>
                <w:kern w:val="0"/>
                <w:szCs w:val="21"/>
              </w:rPr>
              <w:t>&gt;0.4≤0.8</w:t>
            </w:r>
          </w:p>
        </w:tc>
        <w:tc>
          <w:tcPr>
            <w:tcW w:w="887" w:type="dxa"/>
            <w:vAlign w:val="center"/>
          </w:tcPr>
          <w:p>
            <w:pPr>
              <w:widowControl/>
              <w:spacing w:line="360" w:lineRule="auto"/>
              <w:ind w:right="-105" w:rightChars="-50"/>
              <w:rPr>
                <w:kern w:val="0"/>
                <w:szCs w:val="21"/>
              </w:rPr>
            </w:pPr>
            <w:r>
              <w:rPr>
                <w:kern w:val="0"/>
                <w:szCs w:val="21"/>
              </w:rPr>
              <w:t>&gt;0.8≤1.2</w:t>
            </w:r>
          </w:p>
        </w:tc>
        <w:tc>
          <w:tcPr>
            <w:tcW w:w="887" w:type="dxa"/>
            <w:vAlign w:val="center"/>
          </w:tcPr>
          <w:p>
            <w:pPr>
              <w:widowControl/>
              <w:spacing w:line="360" w:lineRule="auto"/>
              <w:ind w:right="-105" w:rightChars="-50"/>
              <w:rPr>
                <w:kern w:val="0"/>
                <w:szCs w:val="21"/>
              </w:rPr>
            </w:pPr>
            <w:r>
              <w:rPr>
                <w:kern w:val="0"/>
                <w:szCs w:val="21"/>
              </w:rPr>
              <w:t>&gt;1.2≤1.7</w:t>
            </w:r>
          </w:p>
        </w:tc>
        <w:tc>
          <w:tcPr>
            <w:tcW w:w="887" w:type="dxa"/>
            <w:vAlign w:val="center"/>
          </w:tcPr>
          <w:p>
            <w:pPr>
              <w:widowControl/>
              <w:spacing w:line="360" w:lineRule="auto"/>
              <w:ind w:right="-105" w:rightChars="-50"/>
              <w:rPr>
                <w:kern w:val="0"/>
                <w:szCs w:val="21"/>
              </w:rPr>
            </w:pPr>
            <w:r>
              <w:rPr>
                <w:kern w:val="0"/>
                <w:szCs w:val="21"/>
              </w:rPr>
              <w:t>&gt;1.7≤2.1</w:t>
            </w:r>
          </w:p>
        </w:tc>
        <w:tc>
          <w:tcPr>
            <w:tcW w:w="887" w:type="dxa"/>
            <w:vAlign w:val="center"/>
          </w:tcPr>
          <w:p>
            <w:pPr>
              <w:widowControl/>
              <w:spacing w:line="360" w:lineRule="auto"/>
              <w:ind w:right="-105" w:rightChars="-50"/>
              <w:rPr>
                <w:kern w:val="0"/>
                <w:szCs w:val="21"/>
              </w:rPr>
            </w:pPr>
            <w:r>
              <w:rPr>
                <w:kern w:val="0"/>
                <w:szCs w:val="21"/>
              </w:rPr>
              <w:t>&gt;2.1≤2.5</w:t>
            </w:r>
          </w:p>
        </w:tc>
        <w:tc>
          <w:tcPr>
            <w:tcW w:w="887" w:type="dxa"/>
            <w:vAlign w:val="center"/>
          </w:tcPr>
          <w:p>
            <w:pPr>
              <w:widowControl/>
              <w:spacing w:line="360" w:lineRule="auto"/>
              <w:ind w:right="-105" w:rightChars="-50"/>
              <w:rPr>
                <w:kern w:val="0"/>
                <w:szCs w:val="21"/>
              </w:rPr>
            </w:pPr>
            <w:r>
              <w:rPr>
                <w:kern w:val="0"/>
                <w:szCs w:val="21"/>
              </w:rPr>
              <w:t>&gt;2.5≤2.9</w:t>
            </w:r>
          </w:p>
        </w:tc>
        <w:tc>
          <w:tcPr>
            <w:tcW w:w="887" w:type="dxa"/>
            <w:vAlign w:val="center"/>
          </w:tcPr>
          <w:p>
            <w:pPr>
              <w:widowControl/>
              <w:spacing w:line="360" w:lineRule="auto"/>
              <w:ind w:right="-105" w:rightChars="-50"/>
              <w:rPr>
                <w:kern w:val="0"/>
                <w:szCs w:val="21"/>
              </w:rPr>
            </w:pPr>
            <w:r>
              <w:rPr>
                <w:kern w:val="0"/>
                <w:szCs w:val="21"/>
              </w:rPr>
              <w:t>&gt;2.9≤3.2</w:t>
            </w:r>
          </w:p>
        </w:tc>
        <w:tc>
          <w:tcPr>
            <w:tcW w:w="891" w:type="dxa"/>
            <w:vAlign w:val="center"/>
          </w:tcPr>
          <w:p>
            <w:pPr>
              <w:widowControl/>
              <w:spacing w:line="360" w:lineRule="auto"/>
              <w:ind w:right="-105" w:rightChars="-50"/>
              <w:rPr>
                <w:kern w:val="0"/>
                <w:szCs w:val="21"/>
              </w:rPr>
            </w:pPr>
            <w:r>
              <w:rPr>
                <w:kern w:val="0"/>
                <w:szCs w:val="21"/>
              </w:rPr>
              <w:t>&gt;3.2≤3.5</w:t>
            </w:r>
          </w:p>
        </w:tc>
        <w:tc>
          <w:tcPr>
            <w:tcW w:w="657" w:type="dxa"/>
            <w:vAlign w:val="center"/>
          </w:tcPr>
          <w:p>
            <w:pPr>
              <w:widowControl/>
              <w:spacing w:line="360" w:lineRule="auto"/>
              <w:ind w:left="-105" w:leftChars="-50" w:right="-105" w:rightChars="-50"/>
              <w:jc w:val="center"/>
              <w:rPr>
                <w:kern w:val="0"/>
                <w:szCs w:val="21"/>
              </w:rPr>
            </w:pPr>
            <w:r>
              <w:rPr>
                <w:kern w:val="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1743" w:type="dxa"/>
            <w:vAlign w:val="center"/>
          </w:tcPr>
          <w:p>
            <w:pPr>
              <w:widowControl/>
              <w:spacing w:line="360" w:lineRule="auto"/>
              <w:ind w:left="-105" w:leftChars="-50" w:right="-105" w:rightChars="-50"/>
              <w:jc w:val="center"/>
              <w:rPr>
                <w:kern w:val="0"/>
                <w:szCs w:val="21"/>
              </w:rPr>
            </w:pPr>
            <w:r>
              <w:rPr>
                <w:kern w:val="0"/>
                <w:szCs w:val="21"/>
              </w:rPr>
              <w:t>修正取值</w:t>
            </w:r>
          </w:p>
        </w:tc>
        <w:tc>
          <w:tcPr>
            <w:tcW w:w="700" w:type="dxa"/>
            <w:vAlign w:val="center"/>
          </w:tcPr>
          <w:p>
            <w:pPr>
              <w:widowControl/>
              <w:spacing w:line="360" w:lineRule="auto"/>
              <w:ind w:left="-105" w:leftChars="-50" w:right="-105" w:rightChars="-50"/>
              <w:jc w:val="center"/>
              <w:rPr>
                <w:kern w:val="0"/>
                <w:szCs w:val="21"/>
              </w:rPr>
            </w:pPr>
            <w:r>
              <w:rPr>
                <w:kern w:val="0"/>
                <w:szCs w:val="21"/>
              </w:rPr>
              <w:t>1.0</w:t>
            </w:r>
          </w:p>
        </w:tc>
        <w:tc>
          <w:tcPr>
            <w:tcW w:w="887" w:type="dxa"/>
            <w:vAlign w:val="center"/>
          </w:tcPr>
          <w:p>
            <w:pPr>
              <w:widowControl/>
              <w:spacing w:line="360" w:lineRule="auto"/>
              <w:ind w:left="-105" w:leftChars="-50" w:right="-105" w:rightChars="-50"/>
              <w:jc w:val="center"/>
              <w:rPr>
                <w:kern w:val="0"/>
                <w:szCs w:val="21"/>
              </w:rPr>
            </w:pPr>
            <w:r>
              <w:rPr>
                <w:kern w:val="0"/>
                <w:szCs w:val="21"/>
              </w:rPr>
              <w:t>1.04</w:t>
            </w:r>
          </w:p>
        </w:tc>
        <w:tc>
          <w:tcPr>
            <w:tcW w:w="887" w:type="dxa"/>
            <w:vAlign w:val="center"/>
          </w:tcPr>
          <w:p>
            <w:pPr>
              <w:widowControl/>
              <w:spacing w:line="360" w:lineRule="auto"/>
              <w:ind w:left="-105" w:leftChars="-50" w:right="-105" w:rightChars="-50"/>
              <w:jc w:val="center"/>
              <w:rPr>
                <w:kern w:val="0"/>
                <w:szCs w:val="21"/>
              </w:rPr>
            </w:pPr>
            <w:r>
              <w:rPr>
                <w:kern w:val="0"/>
                <w:szCs w:val="21"/>
              </w:rPr>
              <w:t>1.09</w:t>
            </w:r>
          </w:p>
        </w:tc>
        <w:tc>
          <w:tcPr>
            <w:tcW w:w="887" w:type="dxa"/>
            <w:vAlign w:val="center"/>
          </w:tcPr>
          <w:p>
            <w:pPr>
              <w:widowControl/>
              <w:spacing w:line="360" w:lineRule="auto"/>
              <w:ind w:left="-105" w:leftChars="-50" w:right="-105" w:rightChars="-50"/>
              <w:jc w:val="center"/>
              <w:rPr>
                <w:kern w:val="0"/>
                <w:szCs w:val="21"/>
              </w:rPr>
            </w:pPr>
            <w:r>
              <w:rPr>
                <w:kern w:val="0"/>
                <w:szCs w:val="21"/>
              </w:rPr>
              <w:t>1.14</w:t>
            </w:r>
          </w:p>
        </w:tc>
        <w:tc>
          <w:tcPr>
            <w:tcW w:w="887" w:type="dxa"/>
            <w:vAlign w:val="center"/>
          </w:tcPr>
          <w:p>
            <w:pPr>
              <w:widowControl/>
              <w:spacing w:line="360" w:lineRule="auto"/>
              <w:ind w:left="-105" w:leftChars="-50" w:right="-105" w:rightChars="-50"/>
              <w:jc w:val="center"/>
              <w:rPr>
                <w:kern w:val="0"/>
                <w:szCs w:val="21"/>
              </w:rPr>
            </w:pPr>
            <w:r>
              <w:rPr>
                <w:kern w:val="0"/>
                <w:szCs w:val="21"/>
              </w:rPr>
              <w:t>1.18</w:t>
            </w:r>
          </w:p>
        </w:tc>
        <w:tc>
          <w:tcPr>
            <w:tcW w:w="887" w:type="dxa"/>
            <w:vAlign w:val="center"/>
          </w:tcPr>
          <w:p>
            <w:pPr>
              <w:widowControl/>
              <w:spacing w:line="360" w:lineRule="auto"/>
              <w:ind w:left="-105" w:leftChars="-50" w:right="-105" w:rightChars="-50"/>
              <w:jc w:val="center"/>
              <w:rPr>
                <w:kern w:val="0"/>
                <w:szCs w:val="21"/>
              </w:rPr>
            </w:pPr>
            <w:r>
              <w:rPr>
                <w:kern w:val="0"/>
                <w:szCs w:val="21"/>
              </w:rPr>
              <w:t>1.22</w:t>
            </w:r>
          </w:p>
        </w:tc>
        <w:tc>
          <w:tcPr>
            <w:tcW w:w="887" w:type="dxa"/>
            <w:vAlign w:val="center"/>
          </w:tcPr>
          <w:p>
            <w:pPr>
              <w:widowControl/>
              <w:spacing w:line="360" w:lineRule="auto"/>
              <w:ind w:left="-105" w:leftChars="-50" w:right="-105" w:rightChars="-50"/>
              <w:jc w:val="center"/>
              <w:rPr>
                <w:kern w:val="0"/>
                <w:szCs w:val="21"/>
              </w:rPr>
            </w:pPr>
            <w:r>
              <w:rPr>
                <w:kern w:val="0"/>
                <w:szCs w:val="21"/>
              </w:rPr>
              <w:t>1.27</w:t>
            </w:r>
          </w:p>
        </w:tc>
        <w:tc>
          <w:tcPr>
            <w:tcW w:w="887" w:type="dxa"/>
            <w:vAlign w:val="center"/>
          </w:tcPr>
          <w:p>
            <w:pPr>
              <w:widowControl/>
              <w:spacing w:line="360" w:lineRule="auto"/>
              <w:ind w:left="-105" w:leftChars="-50" w:right="-105" w:rightChars="-50"/>
              <w:jc w:val="center"/>
              <w:rPr>
                <w:kern w:val="0"/>
                <w:szCs w:val="21"/>
              </w:rPr>
            </w:pPr>
            <w:r>
              <w:rPr>
                <w:kern w:val="0"/>
                <w:szCs w:val="21"/>
              </w:rPr>
              <w:t>1.31</w:t>
            </w:r>
          </w:p>
        </w:tc>
        <w:tc>
          <w:tcPr>
            <w:tcW w:w="891" w:type="dxa"/>
            <w:vAlign w:val="center"/>
          </w:tcPr>
          <w:p>
            <w:pPr>
              <w:widowControl/>
              <w:spacing w:line="360" w:lineRule="auto"/>
              <w:ind w:left="-105" w:leftChars="-50" w:right="-105" w:rightChars="-50"/>
              <w:jc w:val="center"/>
              <w:rPr>
                <w:kern w:val="0"/>
                <w:szCs w:val="21"/>
              </w:rPr>
            </w:pPr>
            <w:r>
              <w:rPr>
                <w:kern w:val="0"/>
                <w:szCs w:val="21"/>
              </w:rPr>
              <w:t>1.34</w:t>
            </w:r>
          </w:p>
        </w:tc>
        <w:tc>
          <w:tcPr>
            <w:tcW w:w="657" w:type="dxa"/>
            <w:vAlign w:val="center"/>
          </w:tcPr>
          <w:p>
            <w:pPr>
              <w:widowControl/>
              <w:spacing w:line="360" w:lineRule="auto"/>
              <w:ind w:left="-105" w:leftChars="-50" w:right="-105" w:rightChars="-50"/>
              <w:jc w:val="center"/>
              <w:rPr>
                <w:kern w:val="0"/>
                <w:szCs w:val="21"/>
              </w:rPr>
            </w:pPr>
            <w:r>
              <w:rPr>
                <w:kern w:val="0"/>
                <w:szCs w:val="21"/>
              </w:rPr>
              <w:t>1.38</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表5-4-</w:t>
      </w:r>
      <w:r>
        <w:rPr>
          <w:rFonts w:hint="eastAsia" w:ascii="Times New Roman" w:hAnsi="Times New Roman"/>
          <w:sz w:val="24"/>
          <w:szCs w:val="24"/>
        </w:rPr>
        <w:t>48</w:t>
      </w:r>
      <w:r>
        <w:rPr>
          <w:rFonts w:ascii="Times New Roman" w:hAnsi="Times New Roman"/>
          <w:sz w:val="24"/>
          <w:szCs w:val="24"/>
        </w:rPr>
        <w:t>长沙县</w:t>
      </w:r>
      <w:r>
        <w:rPr>
          <w:rFonts w:hint="eastAsia" w:ascii="Times New Roman" w:hAnsi="Times New Roman"/>
          <w:sz w:val="24"/>
          <w:szCs w:val="24"/>
        </w:rPr>
        <w:t>乡镇规划区公共管理与公共服务</w:t>
      </w:r>
      <w:r>
        <w:rPr>
          <w:rFonts w:ascii="Times New Roman" w:hAnsi="Times New Roman"/>
          <w:sz w:val="24"/>
          <w:szCs w:val="24"/>
        </w:rPr>
        <w:t>用地容积率修正取值</w:t>
      </w:r>
    </w:p>
    <w:tbl>
      <w:tblPr>
        <w:tblW w:w="10200" w:type="dxa"/>
        <w:tblInd w:w="-5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700"/>
        <w:gridCol w:w="887"/>
        <w:gridCol w:w="887"/>
        <w:gridCol w:w="887"/>
        <w:gridCol w:w="887"/>
        <w:gridCol w:w="887"/>
        <w:gridCol w:w="887"/>
        <w:gridCol w:w="887"/>
        <w:gridCol w:w="891"/>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743" w:type="dxa"/>
            <w:vAlign w:val="center"/>
          </w:tcPr>
          <w:p>
            <w:pPr>
              <w:widowControl/>
              <w:spacing w:line="360" w:lineRule="auto"/>
              <w:ind w:left="-105" w:leftChars="-50" w:right="-105" w:rightChars="-50"/>
              <w:jc w:val="center"/>
              <w:rPr>
                <w:kern w:val="0"/>
                <w:szCs w:val="21"/>
              </w:rPr>
            </w:pPr>
            <w:r>
              <w:rPr>
                <w:kern w:val="0"/>
                <w:szCs w:val="21"/>
              </w:rPr>
              <w:t>宗地实际容积率与级别设定容率之差</w:t>
            </w:r>
          </w:p>
        </w:tc>
        <w:tc>
          <w:tcPr>
            <w:tcW w:w="700" w:type="dxa"/>
            <w:vAlign w:val="center"/>
          </w:tcPr>
          <w:p>
            <w:pPr>
              <w:widowControl/>
              <w:spacing w:line="360" w:lineRule="auto"/>
              <w:ind w:left="-105" w:leftChars="-50" w:right="-105" w:rightChars="-50"/>
              <w:jc w:val="center"/>
              <w:rPr>
                <w:kern w:val="0"/>
                <w:szCs w:val="21"/>
              </w:rPr>
            </w:pPr>
            <w:r>
              <w:rPr>
                <w:kern w:val="0"/>
                <w:szCs w:val="21"/>
              </w:rPr>
              <w:t>≤0.</w:t>
            </w:r>
            <w:r>
              <w:rPr>
                <w:rFonts w:hint="eastAsia"/>
                <w:kern w:val="0"/>
                <w:szCs w:val="21"/>
              </w:rPr>
              <w:t>5</w:t>
            </w:r>
          </w:p>
        </w:tc>
        <w:tc>
          <w:tcPr>
            <w:tcW w:w="887" w:type="dxa"/>
            <w:vAlign w:val="center"/>
          </w:tcPr>
          <w:p>
            <w:pPr>
              <w:widowControl/>
              <w:spacing w:line="360" w:lineRule="auto"/>
              <w:ind w:right="-105" w:rightChars="-50"/>
              <w:rPr>
                <w:kern w:val="0"/>
                <w:szCs w:val="21"/>
              </w:rPr>
            </w:pPr>
            <w:r>
              <w:rPr>
                <w:kern w:val="0"/>
                <w:szCs w:val="21"/>
              </w:rPr>
              <w:t>&gt;0.</w:t>
            </w:r>
            <w:r>
              <w:rPr>
                <w:rFonts w:hint="eastAsia"/>
                <w:kern w:val="0"/>
                <w:szCs w:val="21"/>
              </w:rPr>
              <w:t>5</w:t>
            </w:r>
            <w:r>
              <w:rPr>
                <w:kern w:val="0"/>
                <w:szCs w:val="21"/>
              </w:rPr>
              <w:t>≤</w:t>
            </w:r>
            <w:r>
              <w:rPr>
                <w:rFonts w:hint="eastAsia"/>
                <w:kern w:val="0"/>
                <w:szCs w:val="21"/>
              </w:rPr>
              <w:t>1.0</w:t>
            </w:r>
          </w:p>
        </w:tc>
        <w:tc>
          <w:tcPr>
            <w:tcW w:w="887" w:type="dxa"/>
            <w:vAlign w:val="center"/>
          </w:tcPr>
          <w:p>
            <w:pPr>
              <w:widowControl/>
              <w:spacing w:line="360" w:lineRule="auto"/>
              <w:ind w:right="-105" w:rightChars="-50"/>
              <w:rPr>
                <w:kern w:val="0"/>
                <w:szCs w:val="21"/>
              </w:rPr>
            </w:pPr>
            <w:r>
              <w:rPr>
                <w:kern w:val="0"/>
                <w:szCs w:val="21"/>
              </w:rPr>
              <w:t>&gt;</w:t>
            </w:r>
            <w:r>
              <w:rPr>
                <w:rFonts w:hint="eastAsia"/>
                <w:kern w:val="0"/>
                <w:szCs w:val="21"/>
              </w:rPr>
              <w:t>1.0</w:t>
            </w:r>
            <w:r>
              <w:rPr>
                <w:kern w:val="0"/>
                <w:szCs w:val="21"/>
              </w:rPr>
              <w:t>≤1.</w:t>
            </w:r>
            <w:r>
              <w:rPr>
                <w:rFonts w:hint="eastAsia"/>
                <w:kern w:val="0"/>
                <w:szCs w:val="21"/>
              </w:rPr>
              <w:t>5</w:t>
            </w:r>
          </w:p>
        </w:tc>
        <w:tc>
          <w:tcPr>
            <w:tcW w:w="887" w:type="dxa"/>
            <w:vAlign w:val="center"/>
          </w:tcPr>
          <w:p>
            <w:pPr>
              <w:widowControl/>
              <w:spacing w:line="360" w:lineRule="auto"/>
              <w:ind w:right="-105" w:rightChars="-50"/>
              <w:rPr>
                <w:kern w:val="0"/>
                <w:szCs w:val="21"/>
              </w:rPr>
            </w:pPr>
            <w:r>
              <w:rPr>
                <w:kern w:val="0"/>
                <w:szCs w:val="21"/>
              </w:rPr>
              <w:t>&gt;1.</w:t>
            </w:r>
            <w:r>
              <w:rPr>
                <w:rFonts w:hint="eastAsia"/>
                <w:kern w:val="0"/>
                <w:szCs w:val="21"/>
              </w:rPr>
              <w:t>4</w:t>
            </w:r>
            <w:r>
              <w:rPr>
                <w:kern w:val="0"/>
                <w:szCs w:val="21"/>
              </w:rPr>
              <w:t>≤</w:t>
            </w:r>
            <w:r>
              <w:rPr>
                <w:rFonts w:hint="eastAsia"/>
                <w:kern w:val="0"/>
                <w:szCs w:val="21"/>
              </w:rPr>
              <w:t>2.0</w:t>
            </w:r>
          </w:p>
        </w:tc>
        <w:tc>
          <w:tcPr>
            <w:tcW w:w="887" w:type="dxa"/>
            <w:vAlign w:val="center"/>
          </w:tcPr>
          <w:p>
            <w:pPr>
              <w:widowControl/>
              <w:spacing w:line="360" w:lineRule="auto"/>
              <w:ind w:right="-105" w:rightChars="-50"/>
              <w:rPr>
                <w:kern w:val="0"/>
                <w:szCs w:val="21"/>
              </w:rPr>
            </w:pPr>
            <w:r>
              <w:rPr>
                <w:kern w:val="0"/>
                <w:szCs w:val="21"/>
              </w:rPr>
              <w:t>&gt;</w:t>
            </w:r>
            <w:r>
              <w:rPr>
                <w:rFonts w:hint="eastAsia"/>
                <w:kern w:val="0"/>
                <w:szCs w:val="21"/>
              </w:rPr>
              <w:t>2.0</w:t>
            </w:r>
            <w:r>
              <w:rPr>
                <w:kern w:val="0"/>
                <w:szCs w:val="21"/>
              </w:rPr>
              <w:t>≤2.</w:t>
            </w:r>
            <w:r>
              <w:rPr>
                <w:rFonts w:hint="eastAsia"/>
                <w:kern w:val="0"/>
                <w:szCs w:val="21"/>
              </w:rPr>
              <w:t>5</w:t>
            </w:r>
          </w:p>
        </w:tc>
        <w:tc>
          <w:tcPr>
            <w:tcW w:w="887" w:type="dxa"/>
            <w:vAlign w:val="center"/>
          </w:tcPr>
          <w:p>
            <w:pPr>
              <w:widowControl/>
              <w:spacing w:line="360" w:lineRule="auto"/>
              <w:ind w:right="-105" w:rightChars="-50"/>
              <w:rPr>
                <w:kern w:val="0"/>
                <w:szCs w:val="21"/>
              </w:rPr>
            </w:pPr>
            <w:r>
              <w:rPr>
                <w:kern w:val="0"/>
                <w:szCs w:val="21"/>
              </w:rPr>
              <w:t>&gt;2.</w:t>
            </w:r>
            <w:r>
              <w:rPr>
                <w:rFonts w:hint="eastAsia"/>
                <w:kern w:val="0"/>
                <w:szCs w:val="21"/>
              </w:rPr>
              <w:t>5</w:t>
            </w:r>
            <w:r>
              <w:rPr>
                <w:kern w:val="0"/>
                <w:szCs w:val="21"/>
              </w:rPr>
              <w:t>≤</w:t>
            </w:r>
            <w:r>
              <w:rPr>
                <w:rFonts w:hint="eastAsia"/>
                <w:kern w:val="0"/>
                <w:szCs w:val="21"/>
              </w:rPr>
              <w:t>3.0</w:t>
            </w:r>
          </w:p>
        </w:tc>
        <w:tc>
          <w:tcPr>
            <w:tcW w:w="887" w:type="dxa"/>
            <w:vAlign w:val="center"/>
          </w:tcPr>
          <w:p>
            <w:pPr>
              <w:widowControl/>
              <w:spacing w:line="360" w:lineRule="auto"/>
              <w:ind w:right="-105" w:rightChars="-50"/>
              <w:rPr>
                <w:kern w:val="0"/>
                <w:szCs w:val="21"/>
              </w:rPr>
            </w:pPr>
            <w:r>
              <w:rPr>
                <w:kern w:val="0"/>
                <w:szCs w:val="21"/>
              </w:rPr>
              <w:t>&gt;</w:t>
            </w:r>
            <w:r>
              <w:rPr>
                <w:rFonts w:hint="eastAsia"/>
                <w:kern w:val="0"/>
                <w:szCs w:val="21"/>
              </w:rPr>
              <w:t>3.0</w:t>
            </w:r>
            <w:r>
              <w:rPr>
                <w:kern w:val="0"/>
                <w:szCs w:val="21"/>
              </w:rPr>
              <w:t>≤</w:t>
            </w:r>
            <w:r>
              <w:rPr>
                <w:rFonts w:hint="eastAsia"/>
                <w:kern w:val="0"/>
                <w:szCs w:val="21"/>
              </w:rPr>
              <w:t>3.5</w:t>
            </w:r>
          </w:p>
        </w:tc>
        <w:tc>
          <w:tcPr>
            <w:tcW w:w="887" w:type="dxa"/>
            <w:vAlign w:val="center"/>
          </w:tcPr>
          <w:p>
            <w:pPr>
              <w:widowControl/>
              <w:spacing w:line="360" w:lineRule="auto"/>
              <w:ind w:right="-105" w:rightChars="-50"/>
              <w:rPr>
                <w:kern w:val="0"/>
                <w:szCs w:val="21"/>
              </w:rPr>
            </w:pPr>
            <w:r>
              <w:rPr>
                <w:kern w:val="0"/>
                <w:szCs w:val="21"/>
              </w:rPr>
              <w:t>&gt;</w:t>
            </w:r>
            <w:r>
              <w:rPr>
                <w:rFonts w:hint="eastAsia"/>
                <w:kern w:val="0"/>
                <w:szCs w:val="21"/>
              </w:rPr>
              <w:t>3.5</w:t>
            </w:r>
            <w:r>
              <w:rPr>
                <w:kern w:val="0"/>
                <w:szCs w:val="21"/>
              </w:rPr>
              <w:t>≤</w:t>
            </w:r>
            <w:r>
              <w:rPr>
                <w:rFonts w:hint="eastAsia"/>
                <w:kern w:val="0"/>
                <w:szCs w:val="21"/>
              </w:rPr>
              <w:t>4.0</w:t>
            </w:r>
          </w:p>
        </w:tc>
        <w:tc>
          <w:tcPr>
            <w:tcW w:w="891" w:type="dxa"/>
            <w:vAlign w:val="center"/>
          </w:tcPr>
          <w:p>
            <w:pPr>
              <w:widowControl/>
              <w:spacing w:line="360" w:lineRule="auto"/>
              <w:ind w:right="-105" w:rightChars="-50"/>
              <w:rPr>
                <w:kern w:val="0"/>
                <w:szCs w:val="21"/>
              </w:rPr>
            </w:pPr>
            <w:r>
              <w:rPr>
                <w:kern w:val="0"/>
                <w:szCs w:val="21"/>
              </w:rPr>
              <w:t>&gt;</w:t>
            </w:r>
            <w:r>
              <w:rPr>
                <w:rFonts w:hint="eastAsia"/>
                <w:kern w:val="0"/>
                <w:szCs w:val="21"/>
              </w:rPr>
              <w:t>4.0</w:t>
            </w:r>
            <w:r>
              <w:rPr>
                <w:kern w:val="0"/>
                <w:szCs w:val="21"/>
              </w:rPr>
              <w:t>≤</w:t>
            </w:r>
            <w:r>
              <w:rPr>
                <w:rFonts w:hint="eastAsia"/>
                <w:kern w:val="0"/>
                <w:szCs w:val="21"/>
              </w:rPr>
              <w:t>4.5</w:t>
            </w:r>
          </w:p>
        </w:tc>
        <w:tc>
          <w:tcPr>
            <w:tcW w:w="657" w:type="dxa"/>
            <w:vAlign w:val="center"/>
          </w:tcPr>
          <w:p>
            <w:pPr>
              <w:widowControl/>
              <w:spacing w:line="360" w:lineRule="auto"/>
              <w:ind w:left="-105" w:leftChars="-50" w:right="-105" w:rightChars="-50"/>
              <w:jc w:val="center"/>
              <w:rPr>
                <w:kern w:val="0"/>
                <w:szCs w:val="21"/>
              </w:rPr>
            </w:pPr>
            <w:r>
              <w:rPr>
                <w:kern w:val="0"/>
                <w:szCs w:val="21"/>
              </w:rPr>
              <w:t>≥</w:t>
            </w:r>
            <w:r>
              <w:rPr>
                <w:rFonts w:hint="eastAsia"/>
                <w:kern w:val="0"/>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1743" w:type="dxa"/>
            <w:vAlign w:val="center"/>
          </w:tcPr>
          <w:p>
            <w:pPr>
              <w:widowControl/>
              <w:spacing w:line="360" w:lineRule="auto"/>
              <w:ind w:left="-105" w:leftChars="-50" w:right="-105" w:rightChars="-50"/>
              <w:jc w:val="center"/>
              <w:rPr>
                <w:kern w:val="0"/>
                <w:szCs w:val="21"/>
              </w:rPr>
            </w:pPr>
            <w:r>
              <w:rPr>
                <w:kern w:val="0"/>
                <w:szCs w:val="21"/>
              </w:rPr>
              <w:t>修正取值</w:t>
            </w:r>
          </w:p>
        </w:tc>
        <w:tc>
          <w:tcPr>
            <w:tcW w:w="700" w:type="dxa"/>
            <w:vAlign w:val="center"/>
          </w:tcPr>
          <w:p>
            <w:pPr>
              <w:widowControl/>
              <w:spacing w:line="360" w:lineRule="auto"/>
              <w:ind w:left="-105" w:leftChars="-50" w:right="-105" w:rightChars="-50"/>
              <w:jc w:val="center"/>
              <w:rPr>
                <w:kern w:val="0"/>
                <w:szCs w:val="21"/>
              </w:rPr>
            </w:pPr>
            <w:r>
              <w:rPr>
                <w:kern w:val="0"/>
                <w:szCs w:val="21"/>
              </w:rPr>
              <w:t>1.0</w:t>
            </w:r>
          </w:p>
        </w:tc>
        <w:tc>
          <w:tcPr>
            <w:tcW w:w="887" w:type="dxa"/>
            <w:vAlign w:val="center"/>
          </w:tcPr>
          <w:p>
            <w:pPr>
              <w:widowControl/>
              <w:spacing w:line="360" w:lineRule="auto"/>
              <w:ind w:left="-105" w:leftChars="-50" w:right="-105" w:rightChars="-50"/>
              <w:jc w:val="center"/>
              <w:rPr>
                <w:kern w:val="0"/>
                <w:szCs w:val="21"/>
              </w:rPr>
            </w:pPr>
            <w:r>
              <w:rPr>
                <w:kern w:val="0"/>
                <w:szCs w:val="21"/>
              </w:rPr>
              <w:t>1.0</w:t>
            </w:r>
            <w:r>
              <w:rPr>
                <w:rFonts w:hint="eastAsia"/>
                <w:kern w:val="0"/>
                <w:szCs w:val="21"/>
              </w:rPr>
              <w:t>3</w:t>
            </w:r>
          </w:p>
        </w:tc>
        <w:tc>
          <w:tcPr>
            <w:tcW w:w="887" w:type="dxa"/>
            <w:vAlign w:val="center"/>
          </w:tcPr>
          <w:p>
            <w:pPr>
              <w:widowControl/>
              <w:spacing w:line="360" w:lineRule="auto"/>
              <w:ind w:left="-105" w:leftChars="-50" w:right="-105" w:rightChars="-50"/>
              <w:jc w:val="center"/>
              <w:rPr>
                <w:kern w:val="0"/>
                <w:szCs w:val="21"/>
              </w:rPr>
            </w:pPr>
            <w:r>
              <w:rPr>
                <w:kern w:val="0"/>
                <w:szCs w:val="21"/>
              </w:rPr>
              <w:t>1.0</w:t>
            </w:r>
            <w:r>
              <w:rPr>
                <w:rFonts w:hint="eastAsia"/>
                <w:kern w:val="0"/>
                <w:szCs w:val="21"/>
              </w:rPr>
              <w:t>7</w:t>
            </w:r>
          </w:p>
        </w:tc>
        <w:tc>
          <w:tcPr>
            <w:tcW w:w="887" w:type="dxa"/>
            <w:vAlign w:val="center"/>
          </w:tcPr>
          <w:p>
            <w:pPr>
              <w:widowControl/>
              <w:spacing w:line="360" w:lineRule="auto"/>
              <w:ind w:left="-105" w:leftChars="-50" w:right="-105" w:rightChars="-50"/>
              <w:jc w:val="center"/>
              <w:rPr>
                <w:kern w:val="0"/>
                <w:szCs w:val="21"/>
              </w:rPr>
            </w:pPr>
            <w:r>
              <w:rPr>
                <w:kern w:val="0"/>
                <w:szCs w:val="21"/>
              </w:rPr>
              <w:t>1.1</w:t>
            </w:r>
            <w:r>
              <w:rPr>
                <w:rFonts w:hint="eastAsia"/>
                <w:kern w:val="0"/>
                <w:szCs w:val="21"/>
              </w:rPr>
              <w:t>2</w:t>
            </w:r>
          </w:p>
        </w:tc>
        <w:tc>
          <w:tcPr>
            <w:tcW w:w="887" w:type="dxa"/>
            <w:vAlign w:val="center"/>
          </w:tcPr>
          <w:p>
            <w:pPr>
              <w:widowControl/>
              <w:spacing w:line="360" w:lineRule="auto"/>
              <w:ind w:left="-105" w:leftChars="-50" w:right="-105" w:rightChars="-50"/>
              <w:jc w:val="center"/>
              <w:rPr>
                <w:kern w:val="0"/>
                <w:szCs w:val="21"/>
              </w:rPr>
            </w:pPr>
            <w:r>
              <w:rPr>
                <w:kern w:val="0"/>
                <w:szCs w:val="21"/>
              </w:rPr>
              <w:t>1.1</w:t>
            </w:r>
            <w:r>
              <w:rPr>
                <w:rFonts w:hint="eastAsia"/>
                <w:kern w:val="0"/>
                <w:szCs w:val="21"/>
              </w:rPr>
              <w:t>7</w:t>
            </w:r>
          </w:p>
        </w:tc>
        <w:tc>
          <w:tcPr>
            <w:tcW w:w="887" w:type="dxa"/>
            <w:vAlign w:val="center"/>
          </w:tcPr>
          <w:p>
            <w:pPr>
              <w:widowControl/>
              <w:spacing w:line="360" w:lineRule="auto"/>
              <w:ind w:left="-105" w:leftChars="-50" w:right="-105" w:rightChars="-50"/>
              <w:jc w:val="center"/>
              <w:rPr>
                <w:kern w:val="0"/>
                <w:szCs w:val="21"/>
              </w:rPr>
            </w:pPr>
            <w:r>
              <w:rPr>
                <w:kern w:val="0"/>
                <w:szCs w:val="21"/>
              </w:rPr>
              <w:t>1.2</w:t>
            </w:r>
            <w:r>
              <w:rPr>
                <w:rFonts w:hint="eastAsia"/>
                <w:kern w:val="0"/>
                <w:szCs w:val="21"/>
              </w:rPr>
              <w:t>2</w:t>
            </w:r>
          </w:p>
        </w:tc>
        <w:tc>
          <w:tcPr>
            <w:tcW w:w="887" w:type="dxa"/>
            <w:vAlign w:val="center"/>
          </w:tcPr>
          <w:p>
            <w:pPr>
              <w:widowControl/>
              <w:spacing w:line="360" w:lineRule="auto"/>
              <w:ind w:left="-105" w:leftChars="-50" w:right="-105" w:rightChars="-50"/>
              <w:jc w:val="center"/>
              <w:rPr>
                <w:kern w:val="0"/>
                <w:szCs w:val="21"/>
              </w:rPr>
            </w:pPr>
            <w:r>
              <w:rPr>
                <w:kern w:val="0"/>
                <w:szCs w:val="21"/>
              </w:rPr>
              <w:t>1.2</w:t>
            </w:r>
            <w:r>
              <w:rPr>
                <w:rFonts w:hint="eastAsia"/>
                <w:kern w:val="0"/>
                <w:szCs w:val="21"/>
              </w:rPr>
              <w:t>6</w:t>
            </w:r>
          </w:p>
        </w:tc>
        <w:tc>
          <w:tcPr>
            <w:tcW w:w="887" w:type="dxa"/>
            <w:vAlign w:val="center"/>
          </w:tcPr>
          <w:p>
            <w:pPr>
              <w:widowControl/>
              <w:spacing w:line="360" w:lineRule="auto"/>
              <w:ind w:left="-105" w:leftChars="-50" w:right="-105" w:rightChars="-50"/>
              <w:jc w:val="center"/>
              <w:rPr>
                <w:kern w:val="0"/>
                <w:szCs w:val="21"/>
              </w:rPr>
            </w:pPr>
            <w:r>
              <w:rPr>
                <w:kern w:val="0"/>
                <w:szCs w:val="21"/>
              </w:rPr>
              <w:t>1.3</w:t>
            </w:r>
            <w:r>
              <w:rPr>
                <w:rFonts w:hint="eastAsia"/>
                <w:kern w:val="0"/>
                <w:szCs w:val="21"/>
              </w:rPr>
              <w:t>0</w:t>
            </w:r>
          </w:p>
        </w:tc>
        <w:tc>
          <w:tcPr>
            <w:tcW w:w="891" w:type="dxa"/>
            <w:vAlign w:val="center"/>
          </w:tcPr>
          <w:p>
            <w:pPr>
              <w:widowControl/>
              <w:spacing w:line="360" w:lineRule="auto"/>
              <w:ind w:left="-105" w:leftChars="-50" w:right="-105" w:rightChars="-50"/>
              <w:jc w:val="center"/>
              <w:rPr>
                <w:kern w:val="0"/>
                <w:szCs w:val="21"/>
              </w:rPr>
            </w:pPr>
            <w:r>
              <w:rPr>
                <w:kern w:val="0"/>
                <w:szCs w:val="21"/>
              </w:rPr>
              <w:t>1.34</w:t>
            </w:r>
          </w:p>
        </w:tc>
        <w:tc>
          <w:tcPr>
            <w:tcW w:w="657" w:type="dxa"/>
            <w:vAlign w:val="center"/>
          </w:tcPr>
          <w:p>
            <w:pPr>
              <w:widowControl/>
              <w:spacing w:line="360" w:lineRule="auto"/>
              <w:ind w:left="-105" w:leftChars="-50" w:right="-105" w:rightChars="-50"/>
              <w:jc w:val="center"/>
              <w:rPr>
                <w:kern w:val="0"/>
                <w:szCs w:val="21"/>
              </w:rPr>
            </w:pPr>
            <w:r>
              <w:rPr>
                <w:kern w:val="0"/>
                <w:szCs w:val="21"/>
              </w:rPr>
              <w:t>1.38</w:t>
            </w:r>
          </w:p>
        </w:tc>
      </w:tr>
    </w:tbl>
    <w:p>
      <w:pPr>
        <w:spacing w:line="360" w:lineRule="auto"/>
        <w:ind w:firstLine="480" w:firstLineChars="200"/>
        <w:rPr>
          <w:sz w:val="24"/>
          <w:lang w:val="zh-CN"/>
        </w:rPr>
      </w:pPr>
      <w:r>
        <w:rPr>
          <w:sz w:val="24"/>
          <w:lang w:val="zh-CN"/>
        </w:rPr>
        <w:t>3、其他个别因素修正</w:t>
      </w:r>
    </w:p>
    <w:p>
      <w:pPr>
        <w:spacing w:line="440" w:lineRule="exact"/>
        <w:ind w:firstLine="480" w:firstLineChars="200"/>
        <w:textAlignment w:val="baseline"/>
        <w:rPr>
          <w:b/>
          <w:sz w:val="28"/>
        </w:rPr>
      </w:pPr>
      <w:r>
        <w:rPr>
          <w:sz w:val="24"/>
        </w:rPr>
        <w:t>除了区域修正和容积率修正外，商服、住宅、工矿仓储用地的出让年期修正、交易期日修正、土地开发程度修正、宗地位置偏离度修正均与城区相应因素修正保持一致。其中商服用地临街宗地的特别因素修正体系也与城区商服修正体系保持一致，包括街角地修正、土地深度修正</w:t>
      </w:r>
      <w:r>
        <w:rPr>
          <w:rFonts w:hint="eastAsia"/>
          <w:sz w:val="24"/>
        </w:rPr>
        <w:t>；</w:t>
      </w:r>
      <w:r>
        <w:rPr>
          <w:sz w:val="24"/>
        </w:rPr>
        <w:t>临街加价修正</w:t>
      </w:r>
      <w:r>
        <w:rPr>
          <w:rFonts w:hint="eastAsia"/>
          <w:sz w:val="24"/>
        </w:rPr>
        <w:t>价格在基准地价基础上增加15%</w:t>
      </w:r>
      <w:r>
        <w:rPr>
          <w:sz w:val="24"/>
        </w:rPr>
        <w:t>。</w:t>
      </w:r>
    </w:p>
    <w:bookmarkEnd w:id="730"/>
    <w:p>
      <w:pPr>
        <w:pStyle w:val="35"/>
        <w:tabs>
          <w:tab w:val="right" w:leader="dot" w:pos="8845"/>
        </w:tabs>
        <w:spacing w:line="360" w:lineRule="auto"/>
        <w:ind w:left="0"/>
        <w:jc w:val="center"/>
        <w:outlineLvl w:val="0"/>
        <w:rPr>
          <w:rFonts w:eastAsia="黑体"/>
          <w:sz w:val="36"/>
          <w:szCs w:val="36"/>
        </w:rPr>
      </w:pPr>
      <w:bookmarkStart w:id="968" w:name="_Toc469296526"/>
      <w:bookmarkStart w:id="969" w:name="_Toc432083239"/>
      <w:bookmarkStart w:id="970" w:name="_Toc436407901"/>
      <w:bookmarkStart w:id="971" w:name="_Toc467846909"/>
      <w:bookmarkStart w:id="972" w:name="_Toc470721376"/>
      <w:r>
        <w:rPr>
          <w:rFonts w:eastAsia="黑体"/>
          <w:sz w:val="36"/>
          <w:szCs w:val="36"/>
        </w:rPr>
        <w:br w:type="page"/>
      </w:r>
      <w:bookmarkStart w:id="973" w:name="_Toc31639"/>
      <w:bookmarkStart w:id="974" w:name="_Toc10624"/>
      <w:bookmarkStart w:id="975" w:name="_Toc14366"/>
      <w:bookmarkStart w:id="976" w:name="_Toc29741"/>
      <w:r>
        <w:rPr>
          <w:rFonts w:eastAsia="黑体"/>
          <w:sz w:val="36"/>
          <w:szCs w:val="36"/>
        </w:rPr>
        <w:t>第六篇  基准地价更新成果分析与应用</w:t>
      </w:r>
      <w:bookmarkEnd w:id="968"/>
      <w:bookmarkEnd w:id="969"/>
      <w:bookmarkEnd w:id="970"/>
      <w:bookmarkEnd w:id="971"/>
      <w:bookmarkEnd w:id="972"/>
      <w:bookmarkEnd w:id="973"/>
      <w:bookmarkEnd w:id="974"/>
      <w:bookmarkEnd w:id="975"/>
      <w:bookmarkEnd w:id="976"/>
    </w:p>
    <w:p>
      <w:pPr>
        <w:spacing w:line="360" w:lineRule="auto"/>
        <w:jc w:val="center"/>
        <w:textAlignment w:val="baseline"/>
        <w:outlineLvl w:val="1"/>
        <w:rPr>
          <w:rFonts w:eastAsia="黑体"/>
          <w:sz w:val="32"/>
          <w:szCs w:val="32"/>
        </w:rPr>
      </w:pPr>
      <w:bookmarkStart w:id="977" w:name="_Toc22681"/>
      <w:bookmarkStart w:id="978" w:name="_Toc18766"/>
      <w:bookmarkStart w:id="979" w:name="_Toc17814"/>
      <w:bookmarkStart w:id="980" w:name="_Toc466018431"/>
      <w:bookmarkStart w:id="981" w:name="_Toc19047"/>
      <w:bookmarkStart w:id="982" w:name="_Toc525807086"/>
      <w:bookmarkStart w:id="983" w:name="_Toc436407902"/>
      <w:bookmarkStart w:id="984" w:name="_Toc470721377"/>
      <w:bookmarkStart w:id="985" w:name="_Toc469296527"/>
      <w:bookmarkStart w:id="986" w:name="_Toc432083240"/>
      <w:bookmarkStart w:id="987" w:name="_Toc271529534"/>
      <w:bookmarkStart w:id="988" w:name="_Toc467846910"/>
      <w:bookmarkStart w:id="989" w:name="_Toc213589873"/>
      <w:r>
        <w:rPr>
          <w:rFonts w:eastAsia="黑体"/>
          <w:sz w:val="32"/>
          <w:szCs w:val="32"/>
        </w:rPr>
        <w:t>第</w:t>
      </w:r>
      <w:r>
        <w:rPr>
          <w:rFonts w:hint="eastAsia" w:eastAsia="黑体"/>
          <w:sz w:val="32"/>
          <w:szCs w:val="32"/>
        </w:rPr>
        <w:t>一</w:t>
      </w:r>
      <w:r>
        <w:rPr>
          <w:rFonts w:eastAsia="黑体"/>
          <w:sz w:val="32"/>
          <w:szCs w:val="32"/>
        </w:rPr>
        <w:t>章  基准地价结果分析</w:t>
      </w:r>
      <w:bookmarkEnd w:id="977"/>
      <w:bookmarkEnd w:id="978"/>
    </w:p>
    <w:p>
      <w:pPr>
        <w:spacing w:line="600" w:lineRule="exact"/>
        <w:ind w:firstLine="560" w:firstLineChars="200"/>
        <w:outlineLvl w:val="2"/>
        <w:rPr>
          <w:rFonts w:eastAsia="黑体"/>
          <w:sz w:val="28"/>
          <w:szCs w:val="28"/>
        </w:rPr>
      </w:pPr>
      <w:bookmarkStart w:id="990" w:name="_Toc30841"/>
      <w:bookmarkStart w:id="991" w:name="_Toc461568219"/>
      <w:bookmarkStart w:id="992" w:name="_Toc456642412"/>
      <w:bookmarkStart w:id="993" w:name="_Toc470721345"/>
      <w:bookmarkStart w:id="994" w:name="_Toc467846877"/>
      <w:bookmarkStart w:id="995" w:name="_Toc7282"/>
      <w:bookmarkStart w:id="996" w:name="_Toc469296495"/>
      <w:bookmarkStart w:id="997" w:name="_Toc455735141"/>
      <w:bookmarkStart w:id="998" w:name="_Toc419796825"/>
      <w:bookmarkStart w:id="999" w:name="_Toc458068362"/>
      <w:bookmarkStart w:id="1000" w:name="_Toc451409537"/>
      <w:bookmarkStart w:id="1001" w:name="_Toc455734920"/>
      <w:r>
        <w:rPr>
          <w:rFonts w:hint="eastAsia" w:eastAsia="黑体"/>
          <w:sz w:val="28"/>
          <w:szCs w:val="28"/>
        </w:rPr>
        <w:t>一、</w:t>
      </w:r>
      <w:r>
        <w:rPr>
          <w:rFonts w:eastAsia="黑体"/>
          <w:sz w:val="28"/>
          <w:szCs w:val="28"/>
        </w:rPr>
        <w:t>级别基准地价结果</w:t>
      </w:r>
      <w:r>
        <w:rPr>
          <w:rFonts w:hint="eastAsia" w:eastAsia="黑体"/>
          <w:sz w:val="28"/>
          <w:szCs w:val="28"/>
        </w:rPr>
        <w:t>分析</w:t>
      </w:r>
      <w:bookmarkEnd w:id="990"/>
    </w:p>
    <w:p>
      <w:pPr>
        <w:spacing w:line="460" w:lineRule="exact"/>
        <w:ind w:firstLine="480" w:firstLineChars="200"/>
        <w:rPr>
          <w:sz w:val="24"/>
        </w:rPr>
      </w:pPr>
      <w:r>
        <w:rPr>
          <w:sz w:val="24"/>
        </w:rPr>
        <w:t>商服、住宅、工矿仓储三种用途级别基准地价的测算结果见长沙县基准地价表（表</w:t>
      </w:r>
      <w:r>
        <w:rPr>
          <w:rFonts w:hint="eastAsia"/>
          <w:sz w:val="24"/>
        </w:rPr>
        <w:t>6</w:t>
      </w:r>
      <w:r>
        <w:rPr>
          <w:sz w:val="24"/>
        </w:rPr>
        <w:t>-</w:t>
      </w:r>
      <w:r>
        <w:rPr>
          <w:rFonts w:hint="eastAsia"/>
          <w:sz w:val="24"/>
        </w:rPr>
        <w:t>1</w:t>
      </w:r>
      <w:r>
        <w:rPr>
          <w:sz w:val="24"/>
        </w:rPr>
        <w:t>-</w:t>
      </w:r>
      <w:r>
        <w:rPr>
          <w:rFonts w:hint="eastAsia"/>
          <w:sz w:val="24"/>
        </w:rPr>
        <w:t>1</w:t>
      </w:r>
      <w:r>
        <w:rPr>
          <w:sz w:val="24"/>
        </w:rPr>
        <w:t>）。</w:t>
      </w:r>
    </w:p>
    <w:p>
      <w:pPr>
        <w:spacing w:line="360" w:lineRule="auto"/>
        <w:jc w:val="center"/>
        <w:rPr>
          <w:b/>
          <w:sz w:val="24"/>
          <w:szCs w:val="24"/>
        </w:rPr>
      </w:pPr>
      <w:r>
        <w:rPr>
          <w:b/>
          <w:sz w:val="24"/>
          <w:szCs w:val="24"/>
        </w:rPr>
        <w:t>表</w:t>
      </w:r>
      <w:r>
        <w:rPr>
          <w:rFonts w:hint="eastAsia"/>
          <w:b/>
          <w:sz w:val="24"/>
          <w:szCs w:val="24"/>
        </w:rPr>
        <w:t>6</w:t>
      </w:r>
      <w:r>
        <w:rPr>
          <w:b/>
          <w:sz w:val="24"/>
          <w:szCs w:val="24"/>
        </w:rPr>
        <w:t>-</w:t>
      </w:r>
      <w:r>
        <w:rPr>
          <w:rFonts w:hint="eastAsia"/>
          <w:b/>
          <w:sz w:val="24"/>
          <w:szCs w:val="24"/>
        </w:rPr>
        <w:t>1</w:t>
      </w:r>
      <w:r>
        <w:rPr>
          <w:b/>
          <w:sz w:val="24"/>
          <w:szCs w:val="24"/>
        </w:rPr>
        <w:t>-</w:t>
      </w:r>
      <w:r>
        <w:rPr>
          <w:rFonts w:hint="eastAsia"/>
          <w:b/>
          <w:sz w:val="24"/>
          <w:szCs w:val="24"/>
        </w:rPr>
        <w:t>1</w:t>
      </w:r>
      <w:r>
        <w:rPr>
          <w:b/>
          <w:sz w:val="24"/>
          <w:szCs w:val="24"/>
        </w:rPr>
        <w:t xml:space="preserve">  长沙县城区地面基准地价表</w:t>
      </w:r>
    </w:p>
    <w:p>
      <w:pPr>
        <w:ind w:right="315" w:firstLine="420" w:firstLineChars="200"/>
        <w:jc w:val="right"/>
      </w:pPr>
      <w:r>
        <w:t>单位：元/平方米</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99"/>
        <w:gridCol w:w="1047"/>
        <w:gridCol w:w="1441"/>
        <w:gridCol w:w="1047"/>
        <w:gridCol w:w="1441"/>
        <w:gridCol w:w="1047"/>
        <w:gridCol w:w="14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599"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b/>
                <w:bCs/>
                <w:kern w:val="0"/>
                <w:szCs w:val="21"/>
              </w:rPr>
            </w:pPr>
            <w:r>
              <w:rPr>
                <w:b/>
                <w:bCs/>
                <w:kern w:val="0"/>
                <w:szCs w:val="21"/>
              </w:rPr>
              <w:t>土地级别</w:t>
            </w:r>
          </w:p>
        </w:tc>
        <w:tc>
          <w:tcPr>
            <w:tcW w:w="2488" w:type="dxa"/>
            <w:gridSpan w:val="2"/>
            <w:tcBorders>
              <w:top w:val="single" w:color="auto" w:sz="4" w:space="0"/>
              <w:left w:val="nil"/>
              <w:bottom w:val="single" w:color="auto" w:sz="4" w:space="0"/>
              <w:right w:val="single" w:color="000000" w:sz="4" w:space="0"/>
            </w:tcBorders>
            <w:vAlign w:val="center"/>
          </w:tcPr>
          <w:p>
            <w:pPr>
              <w:widowControl/>
              <w:jc w:val="center"/>
              <w:rPr>
                <w:b/>
                <w:bCs/>
                <w:kern w:val="0"/>
                <w:szCs w:val="21"/>
              </w:rPr>
            </w:pPr>
            <w:r>
              <w:rPr>
                <w:b/>
                <w:bCs/>
                <w:kern w:val="0"/>
                <w:szCs w:val="21"/>
              </w:rPr>
              <w:t>商服</w:t>
            </w:r>
          </w:p>
        </w:tc>
        <w:tc>
          <w:tcPr>
            <w:tcW w:w="2488" w:type="dxa"/>
            <w:gridSpan w:val="2"/>
            <w:tcBorders>
              <w:top w:val="single" w:color="auto" w:sz="4" w:space="0"/>
              <w:left w:val="nil"/>
              <w:bottom w:val="single" w:color="auto" w:sz="4" w:space="0"/>
              <w:right w:val="single" w:color="000000" w:sz="4" w:space="0"/>
            </w:tcBorders>
            <w:vAlign w:val="center"/>
          </w:tcPr>
          <w:p>
            <w:pPr>
              <w:widowControl/>
              <w:jc w:val="center"/>
              <w:rPr>
                <w:b/>
                <w:bCs/>
                <w:kern w:val="0"/>
                <w:szCs w:val="21"/>
              </w:rPr>
            </w:pPr>
            <w:r>
              <w:rPr>
                <w:b/>
                <w:bCs/>
                <w:kern w:val="0"/>
                <w:szCs w:val="21"/>
              </w:rPr>
              <w:t>住宅</w:t>
            </w:r>
          </w:p>
        </w:tc>
        <w:tc>
          <w:tcPr>
            <w:tcW w:w="2486" w:type="dxa"/>
            <w:gridSpan w:val="2"/>
            <w:tcBorders>
              <w:top w:val="single" w:color="auto" w:sz="4" w:space="0"/>
              <w:left w:val="nil"/>
              <w:bottom w:val="single" w:color="auto" w:sz="4" w:space="0"/>
              <w:right w:val="single" w:color="000000" w:sz="4" w:space="0"/>
            </w:tcBorders>
            <w:vAlign w:val="center"/>
          </w:tcPr>
          <w:p>
            <w:pPr>
              <w:widowControl/>
              <w:jc w:val="center"/>
              <w:rPr>
                <w:b/>
                <w:bCs/>
                <w:kern w:val="0"/>
                <w:szCs w:val="21"/>
              </w:rPr>
            </w:pPr>
            <w:r>
              <w:rPr>
                <w:b/>
                <w:bCs/>
                <w:kern w:val="0"/>
                <w:szCs w:val="21"/>
              </w:rPr>
              <w:t>工矿仓储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b/>
                <w:bCs/>
                <w:kern w:val="0"/>
                <w:szCs w:val="21"/>
              </w:rPr>
            </w:pPr>
          </w:p>
        </w:tc>
        <w:tc>
          <w:tcPr>
            <w:tcW w:w="1047" w:type="dxa"/>
            <w:tcBorders>
              <w:top w:val="nil"/>
              <w:left w:val="nil"/>
              <w:bottom w:val="single" w:color="auto" w:sz="4" w:space="0"/>
              <w:right w:val="single" w:color="auto" w:sz="4" w:space="0"/>
            </w:tcBorders>
            <w:vAlign w:val="center"/>
          </w:tcPr>
          <w:p>
            <w:pPr>
              <w:widowControl/>
              <w:jc w:val="center"/>
              <w:rPr>
                <w:b/>
                <w:bCs/>
                <w:kern w:val="0"/>
                <w:szCs w:val="21"/>
              </w:rPr>
            </w:pPr>
            <w:r>
              <w:rPr>
                <w:b/>
                <w:bCs/>
                <w:kern w:val="0"/>
                <w:szCs w:val="21"/>
              </w:rPr>
              <w:t>元/m</w:t>
            </w:r>
            <w:r>
              <w:rPr>
                <w:b/>
                <w:bCs/>
                <w:kern w:val="0"/>
                <w:szCs w:val="21"/>
                <w:vertAlign w:val="superscript"/>
              </w:rPr>
              <w:t>2</w:t>
            </w:r>
          </w:p>
        </w:tc>
        <w:tc>
          <w:tcPr>
            <w:tcW w:w="1441" w:type="dxa"/>
            <w:tcBorders>
              <w:top w:val="nil"/>
              <w:left w:val="nil"/>
              <w:bottom w:val="single" w:color="auto" w:sz="4" w:space="0"/>
              <w:right w:val="single" w:color="auto" w:sz="4" w:space="0"/>
            </w:tcBorders>
            <w:vAlign w:val="center"/>
          </w:tcPr>
          <w:p>
            <w:pPr>
              <w:widowControl/>
              <w:jc w:val="center"/>
              <w:rPr>
                <w:b/>
                <w:bCs/>
                <w:kern w:val="0"/>
                <w:szCs w:val="21"/>
              </w:rPr>
            </w:pPr>
            <w:r>
              <w:rPr>
                <w:b/>
                <w:bCs/>
                <w:kern w:val="0"/>
                <w:szCs w:val="21"/>
              </w:rPr>
              <w:t>万元/亩</w:t>
            </w:r>
          </w:p>
        </w:tc>
        <w:tc>
          <w:tcPr>
            <w:tcW w:w="1047" w:type="dxa"/>
            <w:tcBorders>
              <w:top w:val="nil"/>
              <w:left w:val="nil"/>
              <w:bottom w:val="single" w:color="auto" w:sz="4" w:space="0"/>
              <w:right w:val="single" w:color="auto" w:sz="4" w:space="0"/>
            </w:tcBorders>
            <w:vAlign w:val="center"/>
          </w:tcPr>
          <w:p>
            <w:pPr>
              <w:widowControl/>
              <w:jc w:val="center"/>
              <w:rPr>
                <w:b/>
                <w:bCs/>
                <w:kern w:val="0"/>
                <w:szCs w:val="21"/>
              </w:rPr>
            </w:pPr>
            <w:r>
              <w:rPr>
                <w:b/>
                <w:bCs/>
                <w:kern w:val="0"/>
                <w:szCs w:val="21"/>
              </w:rPr>
              <w:t>元/m</w:t>
            </w:r>
            <w:r>
              <w:rPr>
                <w:b/>
                <w:bCs/>
                <w:kern w:val="0"/>
                <w:szCs w:val="21"/>
                <w:vertAlign w:val="superscript"/>
              </w:rPr>
              <w:t>2</w:t>
            </w:r>
          </w:p>
        </w:tc>
        <w:tc>
          <w:tcPr>
            <w:tcW w:w="1441" w:type="dxa"/>
            <w:tcBorders>
              <w:top w:val="nil"/>
              <w:left w:val="nil"/>
              <w:bottom w:val="single" w:color="auto" w:sz="4" w:space="0"/>
              <w:right w:val="single" w:color="auto" w:sz="4" w:space="0"/>
            </w:tcBorders>
            <w:vAlign w:val="center"/>
          </w:tcPr>
          <w:p>
            <w:pPr>
              <w:widowControl/>
              <w:jc w:val="center"/>
              <w:rPr>
                <w:b/>
                <w:bCs/>
                <w:kern w:val="0"/>
                <w:szCs w:val="21"/>
              </w:rPr>
            </w:pPr>
            <w:r>
              <w:rPr>
                <w:b/>
                <w:bCs/>
                <w:kern w:val="0"/>
                <w:szCs w:val="21"/>
              </w:rPr>
              <w:t>万元/亩</w:t>
            </w:r>
          </w:p>
        </w:tc>
        <w:tc>
          <w:tcPr>
            <w:tcW w:w="1047" w:type="dxa"/>
            <w:tcBorders>
              <w:top w:val="nil"/>
              <w:left w:val="nil"/>
              <w:bottom w:val="single" w:color="auto" w:sz="4" w:space="0"/>
              <w:right w:val="single" w:color="auto" w:sz="4" w:space="0"/>
            </w:tcBorders>
            <w:vAlign w:val="center"/>
          </w:tcPr>
          <w:p>
            <w:pPr>
              <w:widowControl/>
              <w:jc w:val="center"/>
              <w:rPr>
                <w:b/>
                <w:bCs/>
                <w:kern w:val="0"/>
                <w:szCs w:val="21"/>
              </w:rPr>
            </w:pPr>
            <w:r>
              <w:rPr>
                <w:b/>
                <w:bCs/>
                <w:kern w:val="0"/>
                <w:szCs w:val="21"/>
              </w:rPr>
              <w:t>元/m</w:t>
            </w:r>
            <w:r>
              <w:rPr>
                <w:b/>
                <w:bCs/>
                <w:kern w:val="0"/>
                <w:szCs w:val="21"/>
                <w:vertAlign w:val="superscript"/>
              </w:rPr>
              <w:t>2</w:t>
            </w:r>
          </w:p>
        </w:tc>
        <w:tc>
          <w:tcPr>
            <w:tcW w:w="1439" w:type="dxa"/>
            <w:tcBorders>
              <w:top w:val="nil"/>
              <w:left w:val="nil"/>
              <w:bottom w:val="single" w:color="auto" w:sz="4" w:space="0"/>
              <w:right w:val="single" w:color="auto" w:sz="4" w:space="0"/>
            </w:tcBorders>
            <w:vAlign w:val="center"/>
          </w:tcPr>
          <w:p>
            <w:pPr>
              <w:widowControl/>
              <w:jc w:val="center"/>
              <w:rPr>
                <w:b/>
                <w:bCs/>
                <w:kern w:val="0"/>
                <w:szCs w:val="21"/>
              </w:rPr>
            </w:pPr>
            <w:r>
              <w:rPr>
                <w:b/>
                <w:bCs/>
                <w:kern w:val="0"/>
                <w:szCs w:val="21"/>
              </w:rPr>
              <w:t>万元/亩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Ⅰ</w:t>
            </w:r>
          </w:p>
        </w:tc>
        <w:tc>
          <w:tcPr>
            <w:tcW w:w="1047"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4590</w:t>
            </w:r>
          </w:p>
        </w:tc>
        <w:tc>
          <w:tcPr>
            <w:tcW w:w="1441"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306</w:t>
            </w:r>
          </w:p>
        </w:tc>
        <w:tc>
          <w:tcPr>
            <w:tcW w:w="1047" w:type="dxa"/>
            <w:tcBorders>
              <w:top w:val="nil"/>
              <w:left w:val="nil"/>
              <w:bottom w:val="single" w:color="auto" w:sz="4" w:space="0"/>
              <w:right w:val="single" w:color="auto" w:sz="4" w:space="0"/>
            </w:tcBorders>
            <w:vAlign w:val="center"/>
          </w:tcPr>
          <w:p>
            <w:pPr>
              <w:jc w:val="center"/>
              <w:rPr>
                <w:kern w:val="0"/>
                <w:sz w:val="22"/>
                <w:szCs w:val="22"/>
              </w:rPr>
            </w:pPr>
            <w:r>
              <w:rPr>
                <w:color w:val="000000"/>
                <w:sz w:val="22"/>
                <w:szCs w:val="22"/>
              </w:rPr>
              <w:t>3480</w:t>
            </w:r>
          </w:p>
        </w:tc>
        <w:tc>
          <w:tcPr>
            <w:tcW w:w="1441"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232</w:t>
            </w:r>
          </w:p>
        </w:tc>
        <w:tc>
          <w:tcPr>
            <w:tcW w:w="1047"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1280</w:t>
            </w:r>
          </w:p>
        </w:tc>
        <w:tc>
          <w:tcPr>
            <w:tcW w:w="1439"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Ⅱ</w:t>
            </w:r>
          </w:p>
        </w:tc>
        <w:tc>
          <w:tcPr>
            <w:tcW w:w="1047"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3360</w:t>
            </w:r>
          </w:p>
        </w:tc>
        <w:tc>
          <w:tcPr>
            <w:tcW w:w="1441"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224</w:t>
            </w:r>
          </w:p>
        </w:tc>
        <w:tc>
          <w:tcPr>
            <w:tcW w:w="1047" w:type="dxa"/>
            <w:tcBorders>
              <w:top w:val="nil"/>
              <w:left w:val="nil"/>
              <w:bottom w:val="single" w:color="auto" w:sz="4" w:space="0"/>
              <w:right w:val="single" w:color="auto" w:sz="4" w:space="0"/>
            </w:tcBorders>
            <w:vAlign w:val="center"/>
          </w:tcPr>
          <w:p>
            <w:pPr>
              <w:jc w:val="center"/>
              <w:rPr>
                <w:kern w:val="0"/>
                <w:sz w:val="22"/>
                <w:szCs w:val="22"/>
              </w:rPr>
            </w:pPr>
            <w:r>
              <w:rPr>
                <w:color w:val="000000"/>
                <w:sz w:val="22"/>
                <w:szCs w:val="22"/>
              </w:rPr>
              <w:t>2540</w:t>
            </w:r>
          </w:p>
        </w:tc>
        <w:tc>
          <w:tcPr>
            <w:tcW w:w="1441"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169</w:t>
            </w:r>
          </w:p>
        </w:tc>
        <w:tc>
          <w:tcPr>
            <w:tcW w:w="1047"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100</w:t>
            </w:r>
            <w:r>
              <w:rPr>
                <w:rFonts w:hint="eastAsia" w:eastAsia="Tahoma"/>
                <w:color w:val="000000"/>
                <w:kern w:val="0"/>
                <w:sz w:val="22"/>
                <w:szCs w:val="22"/>
                <w:lang/>
              </w:rPr>
              <w:t>0</w:t>
            </w:r>
          </w:p>
        </w:tc>
        <w:tc>
          <w:tcPr>
            <w:tcW w:w="1439"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Ⅲ</w:t>
            </w:r>
          </w:p>
        </w:tc>
        <w:tc>
          <w:tcPr>
            <w:tcW w:w="1047"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2550</w:t>
            </w:r>
          </w:p>
        </w:tc>
        <w:tc>
          <w:tcPr>
            <w:tcW w:w="1441"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170</w:t>
            </w:r>
          </w:p>
        </w:tc>
        <w:tc>
          <w:tcPr>
            <w:tcW w:w="1047" w:type="dxa"/>
            <w:tcBorders>
              <w:top w:val="nil"/>
              <w:left w:val="nil"/>
              <w:bottom w:val="single" w:color="auto" w:sz="4" w:space="0"/>
              <w:right w:val="single" w:color="auto" w:sz="4" w:space="0"/>
            </w:tcBorders>
            <w:vAlign w:val="center"/>
          </w:tcPr>
          <w:p>
            <w:pPr>
              <w:jc w:val="center"/>
              <w:rPr>
                <w:kern w:val="0"/>
                <w:sz w:val="22"/>
                <w:szCs w:val="22"/>
              </w:rPr>
            </w:pPr>
            <w:r>
              <w:rPr>
                <w:color w:val="000000"/>
                <w:sz w:val="22"/>
                <w:szCs w:val="22"/>
              </w:rPr>
              <w:t>1920</w:t>
            </w:r>
          </w:p>
        </w:tc>
        <w:tc>
          <w:tcPr>
            <w:tcW w:w="1441"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128</w:t>
            </w:r>
          </w:p>
        </w:tc>
        <w:tc>
          <w:tcPr>
            <w:tcW w:w="1047"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78</w:t>
            </w:r>
            <w:r>
              <w:rPr>
                <w:rFonts w:hint="eastAsia" w:eastAsia="Tahoma"/>
                <w:color w:val="000000"/>
                <w:kern w:val="0"/>
                <w:sz w:val="22"/>
                <w:szCs w:val="22"/>
                <w:lang/>
              </w:rPr>
              <w:t>0</w:t>
            </w:r>
          </w:p>
        </w:tc>
        <w:tc>
          <w:tcPr>
            <w:tcW w:w="1439"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Ⅳ</w:t>
            </w:r>
          </w:p>
        </w:tc>
        <w:tc>
          <w:tcPr>
            <w:tcW w:w="1047"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1780</w:t>
            </w:r>
          </w:p>
        </w:tc>
        <w:tc>
          <w:tcPr>
            <w:tcW w:w="1441"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119</w:t>
            </w:r>
          </w:p>
        </w:tc>
        <w:tc>
          <w:tcPr>
            <w:tcW w:w="1047" w:type="dxa"/>
            <w:tcBorders>
              <w:top w:val="nil"/>
              <w:left w:val="nil"/>
              <w:bottom w:val="single" w:color="auto" w:sz="4" w:space="0"/>
              <w:right w:val="single" w:color="auto" w:sz="4" w:space="0"/>
            </w:tcBorders>
            <w:vAlign w:val="center"/>
          </w:tcPr>
          <w:p>
            <w:pPr>
              <w:jc w:val="center"/>
              <w:rPr>
                <w:kern w:val="0"/>
                <w:sz w:val="22"/>
                <w:szCs w:val="22"/>
              </w:rPr>
            </w:pPr>
            <w:r>
              <w:rPr>
                <w:color w:val="000000"/>
                <w:sz w:val="22"/>
                <w:szCs w:val="22"/>
              </w:rPr>
              <w:t>1</w:t>
            </w:r>
            <w:r>
              <w:rPr>
                <w:rFonts w:hint="eastAsia"/>
                <w:color w:val="000000"/>
                <w:sz w:val="22"/>
                <w:szCs w:val="22"/>
              </w:rPr>
              <w:t>48</w:t>
            </w:r>
            <w:r>
              <w:rPr>
                <w:color w:val="000000"/>
                <w:sz w:val="22"/>
                <w:szCs w:val="22"/>
              </w:rPr>
              <w:t>0</w:t>
            </w:r>
          </w:p>
        </w:tc>
        <w:tc>
          <w:tcPr>
            <w:tcW w:w="1441"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99</w:t>
            </w:r>
          </w:p>
        </w:tc>
        <w:tc>
          <w:tcPr>
            <w:tcW w:w="1047"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61</w:t>
            </w:r>
            <w:r>
              <w:rPr>
                <w:rFonts w:hint="eastAsia" w:eastAsia="Tahoma"/>
                <w:color w:val="000000"/>
                <w:kern w:val="0"/>
                <w:sz w:val="22"/>
                <w:szCs w:val="22"/>
                <w:lang/>
              </w:rPr>
              <w:t>0</w:t>
            </w:r>
          </w:p>
        </w:tc>
        <w:tc>
          <w:tcPr>
            <w:tcW w:w="1439"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Ⅴ</w:t>
            </w:r>
          </w:p>
        </w:tc>
        <w:tc>
          <w:tcPr>
            <w:tcW w:w="1047"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1280</w:t>
            </w:r>
          </w:p>
        </w:tc>
        <w:tc>
          <w:tcPr>
            <w:tcW w:w="1441" w:type="dxa"/>
            <w:tcBorders>
              <w:top w:val="nil"/>
              <w:left w:val="nil"/>
              <w:bottom w:val="single" w:color="auto" w:sz="4" w:space="0"/>
              <w:right w:val="single" w:color="auto" w:sz="4" w:space="0"/>
            </w:tcBorders>
            <w:vAlign w:val="center"/>
          </w:tcPr>
          <w:p>
            <w:pPr>
              <w:jc w:val="center"/>
              <w:rPr>
                <w:sz w:val="22"/>
                <w:szCs w:val="22"/>
              </w:rPr>
            </w:pPr>
            <w:r>
              <w:rPr>
                <w:color w:val="000000"/>
                <w:sz w:val="22"/>
                <w:szCs w:val="22"/>
              </w:rPr>
              <w:t>85</w:t>
            </w:r>
          </w:p>
        </w:tc>
        <w:tc>
          <w:tcPr>
            <w:tcW w:w="1047" w:type="dxa"/>
            <w:tcBorders>
              <w:top w:val="nil"/>
              <w:left w:val="nil"/>
              <w:bottom w:val="single" w:color="auto" w:sz="4" w:space="0"/>
              <w:right w:val="single" w:color="auto" w:sz="4" w:space="0"/>
            </w:tcBorders>
            <w:vAlign w:val="center"/>
          </w:tcPr>
          <w:p>
            <w:pPr>
              <w:jc w:val="center"/>
              <w:rPr>
                <w:kern w:val="0"/>
                <w:sz w:val="22"/>
                <w:szCs w:val="22"/>
              </w:rPr>
            </w:pPr>
            <w:r>
              <w:rPr>
                <w:color w:val="000000"/>
                <w:sz w:val="22"/>
                <w:szCs w:val="22"/>
              </w:rPr>
              <w:t>1</w:t>
            </w:r>
            <w:r>
              <w:rPr>
                <w:rFonts w:hint="eastAsia"/>
                <w:color w:val="000000"/>
                <w:sz w:val="22"/>
                <w:szCs w:val="22"/>
              </w:rPr>
              <w:t>06</w:t>
            </w:r>
            <w:r>
              <w:rPr>
                <w:color w:val="000000"/>
                <w:sz w:val="22"/>
                <w:szCs w:val="22"/>
              </w:rPr>
              <w:t>0</w:t>
            </w:r>
          </w:p>
        </w:tc>
        <w:tc>
          <w:tcPr>
            <w:tcW w:w="1441"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71</w:t>
            </w:r>
          </w:p>
        </w:tc>
        <w:tc>
          <w:tcPr>
            <w:tcW w:w="1047"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480</w:t>
            </w:r>
          </w:p>
        </w:tc>
        <w:tc>
          <w:tcPr>
            <w:tcW w:w="1439" w:type="dxa"/>
            <w:tcBorders>
              <w:top w:val="nil"/>
              <w:left w:val="nil"/>
              <w:bottom w:val="single" w:color="auto" w:sz="4" w:space="0"/>
              <w:right w:val="single" w:color="auto" w:sz="4" w:space="0"/>
            </w:tcBorders>
            <w:vAlign w:val="top"/>
          </w:tcPr>
          <w:p>
            <w:pPr>
              <w:widowControl/>
              <w:jc w:val="center"/>
              <w:textAlignment w:val="top"/>
              <w:rPr>
                <w:kern w:val="0"/>
                <w:sz w:val="22"/>
                <w:szCs w:val="22"/>
              </w:rPr>
            </w:pPr>
            <w:r>
              <w:rPr>
                <w:rFonts w:eastAsia="Tahoma"/>
                <w:color w:val="000000"/>
                <w:kern w:val="0"/>
                <w:sz w:val="22"/>
                <w:szCs w:val="22"/>
                <w:lang/>
              </w:rPr>
              <w:t>32</w:t>
            </w:r>
          </w:p>
        </w:tc>
      </w:tr>
    </w:tbl>
    <w:p>
      <w:pPr>
        <w:spacing w:line="460" w:lineRule="exact"/>
        <w:ind w:firstLine="480" w:firstLineChars="200"/>
      </w:pPr>
      <w:r>
        <w:rPr>
          <w:sz w:val="24"/>
          <w:szCs w:val="22"/>
        </w:rPr>
        <w:t>依据所划定的土地级别与评估出来的基准地价结果，划分出商服、住宅和工矿仓储地土地级别与基准地价分布图。（单位：元/平方米）</w:t>
      </w:r>
    </w:p>
    <w:p>
      <w:pPr>
        <w:spacing w:line="360" w:lineRule="auto"/>
        <w:jc w:val="center"/>
      </w:pPr>
      <w:r>
        <w:rPr>
          <w:rFonts w:ascii="Times New Roman" w:hAnsi="Times New Roman" w:eastAsia="宋体" w:cs="Times New Roman"/>
          <w:kern w:val="2"/>
          <w:sz w:val="21"/>
          <w:lang w:val="en-US" w:eastAsia="zh-CN" w:bidi="ar-SA"/>
        </w:rPr>
        <w:pict>
          <v:shape id="图表 1" o:spid="_x0000_s1384" type="" style="height:176.75pt;width:360pt;rotation:0f;" o:ole="f" fillcolor="#FFFFFF" filled="t" o:preferrelative="t" stroked="t" coordorigin="0,0" coordsize="21600,21600">
            <v:stroke color="#000000" color2="#FFFFFF" miterlimit="2"/>
            <v:imagedata gain="65536f" blacklevel="0f" gamma="0"/>
            <o:lock v:ext="edit" position="f" selection="f" grouping="f" rotation="f" cropping="f" text="f" aspectratio="f"/>
            <w10:wrap type="none"/>
            <w10:anchorlock/>
          </v:shape>
        </w:pict>
      </w:r>
    </w:p>
    <w:p>
      <w:pPr>
        <w:spacing w:line="360" w:lineRule="auto"/>
        <w:jc w:val="center"/>
        <w:rPr>
          <w:b/>
          <w:sz w:val="24"/>
          <w:szCs w:val="24"/>
        </w:rPr>
      </w:pPr>
      <w:r>
        <w:rPr>
          <w:b/>
          <w:sz w:val="24"/>
          <w:szCs w:val="24"/>
        </w:rPr>
        <w:t>图</w:t>
      </w:r>
      <w:r>
        <w:rPr>
          <w:rFonts w:hint="eastAsia"/>
          <w:b/>
          <w:sz w:val="24"/>
          <w:szCs w:val="24"/>
        </w:rPr>
        <w:t>6</w:t>
      </w:r>
      <w:r>
        <w:rPr>
          <w:b/>
          <w:sz w:val="24"/>
          <w:szCs w:val="24"/>
        </w:rPr>
        <w:t>-</w:t>
      </w:r>
      <w:r>
        <w:rPr>
          <w:rFonts w:hint="eastAsia"/>
          <w:b/>
          <w:sz w:val="24"/>
          <w:szCs w:val="24"/>
        </w:rPr>
        <w:t>1</w:t>
      </w:r>
      <w:r>
        <w:rPr>
          <w:b/>
          <w:sz w:val="24"/>
          <w:szCs w:val="24"/>
        </w:rPr>
        <w:t>-1  商住工用地级别与基准地价对应关系图</w:t>
      </w:r>
    </w:p>
    <w:p>
      <w:pPr>
        <w:spacing w:line="480" w:lineRule="exact"/>
        <w:ind w:firstLine="480" w:firstLineChars="200"/>
        <w:rPr>
          <w:sz w:val="24"/>
          <w:szCs w:val="22"/>
        </w:rPr>
      </w:pPr>
      <w:r>
        <w:rPr>
          <w:sz w:val="24"/>
          <w:szCs w:val="22"/>
        </w:rPr>
        <w:t>从商服、住宅和工矿仓储用地级别与基准地价关系对应分布图中可以看出，对三类用地划分的土地级别，级差收益明显，不仅在区位关系方面反映了土地质量的差异，而且也从经济效益方面反映了土地质量的差异，说明长沙县商服、住宅和工矿仓储用地的土地级别划分是合理的，基准地价水平是合适的。</w:t>
      </w:r>
    </w:p>
    <w:p>
      <w:pPr>
        <w:spacing w:line="600" w:lineRule="exact"/>
        <w:ind w:firstLine="560" w:firstLineChars="200"/>
        <w:outlineLvl w:val="2"/>
        <w:rPr>
          <w:rFonts w:eastAsia="黑体"/>
          <w:sz w:val="28"/>
          <w:szCs w:val="28"/>
        </w:rPr>
      </w:pPr>
      <w:bookmarkStart w:id="1002" w:name="_Toc9718"/>
      <w:r>
        <w:rPr>
          <w:rFonts w:hint="eastAsia" w:eastAsia="黑体"/>
          <w:sz w:val="28"/>
          <w:szCs w:val="28"/>
        </w:rPr>
        <w:t>二</w:t>
      </w:r>
      <w:r>
        <w:rPr>
          <w:rFonts w:eastAsia="黑体"/>
          <w:sz w:val="28"/>
          <w:szCs w:val="28"/>
        </w:rPr>
        <w:t>、基准地价更新成果主要变化</w:t>
      </w:r>
      <w:bookmarkEnd w:id="991"/>
      <w:bookmarkEnd w:id="992"/>
      <w:bookmarkEnd w:id="993"/>
      <w:bookmarkEnd w:id="994"/>
      <w:bookmarkEnd w:id="995"/>
      <w:bookmarkEnd w:id="996"/>
      <w:bookmarkEnd w:id="1002"/>
    </w:p>
    <w:p>
      <w:pPr>
        <w:spacing w:line="440" w:lineRule="exact"/>
        <w:ind w:firstLine="480" w:firstLineChars="200"/>
        <w:jc w:val="left"/>
        <w:rPr>
          <w:sz w:val="24"/>
        </w:rPr>
      </w:pPr>
      <w:r>
        <w:rPr>
          <w:sz w:val="24"/>
        </w:rPr>
        <w:t>与</w:t>
      </w:r>
      <w:r>
        <w:rPr>
          <w:sz w:val="24"/>
          <w:szCs w:val="22"/>
        </w:rPr>
        <w:t>2013</w:t>
      </w:r>
      <w:r>
        <w:rPr>
          <w:sz w:val="24"/>
        </w:rPr>
        <w:t>年成果相比，这项更新成果有以下几个变化：</w:t>
      </w:r>
    </w:p>
    <w:p>
      <w:pPr>
        <w:tabs>
          <w:tab w:val="right" w:pos="9298"/>
        </w:tabs>
        <w:spacing w:line="600" w:lineRule="exact"/>
        <w:ind w:firstLine="482" w:firstLineChars="200"/>
        <w:rPr>
          <w:b/>
          <w:sz w:val="24"/>
          <w:szCs w:val="22"/>
        </w:rPr>
      </w:pPr>
      <w:r>
        <w:rPr>
          <w:b/>
          <w:sz w:val="24"/>
          <w:szCs w:val="22"/>
        </w:rPr>
        <w:t>1、长沙县地价体系按县城区、街道、建制镇、和片区分别设定更科学</w:t>
      </w:r>
    </w:p>
    <w:p>
      <w:pPr>
        <w:spacing w:line="440" w:lineRule="exact"/>
        <w:ind w:firstLine="480" w:firstLineChars="200"/>
        <w:jc w:val="left"/>
        <w:rPr>
          <w:sz w:val="24"/>
          <w:szCs w:val="22"/>
        </w:rPr>
      </w:pPr>
      <w:r>
        <w:rPr>
          <w:sz w:val="24"/>
          <w:szCs w:val="22"/>
        </w:rPr>
        <w:t>《城镇土地分等定级规程》（GB/T 18507-2014）于2014年12月1日作为国标开始实施，该标准适用于我国城市、县城镇开展的土地分等和我国所有城镇开展的土地定级工作。独立工矿区土地定级可参照本标准执行。本次更新，严格依据规程规定，从延续性角度出发，既考虑县城循序渐进的发展趋势，也考虑行政区划调整的变化，还考虑到政府发展战略的调整，比如空港城以及高铁新城的发展，需要重点进行定级和估价，这样设置既保证了地价体系的整体性，也有利于提高技术成果的操作性。</w:t>
      </w:r>
    </w:p>
    <w:p>
      <w:pPr>
        <w:tabs>
          <w:tab w:val="right" w:pos="9298"/>
        </w:tabs>
        <w:spacing w:line="600" w:lineRule="exact"/>
        <w:ind w:firstLine="482" w:firstLineChars="200"/>
        <w:rPr>
          <w:b/>
          <w:sz w:val="24"/>
          <w:szCs w:val="22"/>
        </w:rPr>
      </w:pPr>
      <w:r>
        <w:rPr>
          <w:b/>
          <w:sz w:val="24"/>
          <w:szCs w:val="22"/>
        </w:rPr>
        <w:t>2、基准地价成果体系设置更合理</w:t>
      </w:r>
    </w:p>
    <w:p>
      <w:pPr>
        <w:spacing w:line="440" w:lineRule="exact"/>
        <w:ind w:firstLine="480" w:firstLineChars="200"/>
        <w:jc w:val="left"/>
        <w:rPr>
          <w:sz w:val="24"/>
          <w:szCs w:val="22"/>
        </w:rPr>
      </w:pPr>
      <w:r>
        <w:rPr>
          <w:sz w:val="24"/>
          <w:szCs w:val="22"/>
        </w:rPr>
        <w:t>（1）本次基准地价更新工作对基准地价内涵进行了明确的、全面的界定，使基准地价成果更具有科学性。</w:t>
      </w:r>
    </w:p>
    <w:p>
      <w:pPr>
        <w:spacing w:line="440" w:lineRule="exact"/>
        <w:ind w:firstLine="480" w:firstLineChars="200"/>
        <w:jc w:val="left"/>
        <w:rPr>
          <w:sz w:val="24"/>
          <w:szCs w:val="22"/>
        </w:rPr>
      </w:pPr>
      <w:r>
        <w:rPr>
          <w:sz w:val="24"/>
          <w:szCs w:val="22"/>
        </w:rPr>
        <w:t>分用途确定了基准地价内涵，依据《城镇土地估价规程》和《土地利用分类》（国华人民共和国标准GB/T21010-2007）分商服用地、住宅用地、工矿仓储用地分别确定了地价内涵。从六个方面对基准地价内涵进行了设定。把基准地价设定为设定基准日、设定用途、设定权利状态、设定法定最高使用年期、设定容积率下的平均土地价格（具体见地价内涵表）。</w:t>
      </w:r>
    </w:p>
    <w:p>
      <w:pPr>
        <w:spacing w:line="440" w:lineRule="exact"/>
        <w:ind w:firstLine="480" w:firstLineChars="200"/>
        <w:jc w:val="left"/>
        <w:rPr>
          <w:sz w:val="24"/>
          <w:szCs w:val="22"/>
        </w:rPr>
      </w:pPr>
      <w:r>
        <w:rPr>
          <w:sz w:val="24"/>
          <w:szCs w:val="22"/>
        </w:rPr>
        <w:t>（2）为真实准确的反应地价在不同路段、不同的地价差，本次在级别基准地价的基础上，还将增加楼面基准地价，商服用地还将增加了路线价。</w:t>
      </w:r>
    </w:p>
    <w:p>
      <w:pPr>
        <w:spacing w:line="440" w:lineRule="exact"/>
        <w:ind w:firstLine="480" w:firstLineChars="200"/>
        <w:jc w:val="left"/>
        <w:rPr>
          <w:sz w:val="24"/>
          <w:szCs w:val="22"/>
        </w:rPr>
      </w:pPr>
      <w:r>
        <w:rPr>
          <w:sz w:val="24"/>
          <w:szCs w:val="22"/>
        </w:rPr>
        <w:t>（3）本次还将增加城市地下空间土地使用权基准地价，以丰富了地价类型，满足因</w:t>
      </w:r>
      <w:r>
        <w:rPr>
          <w:rFonts w:hint="eastAsia"/>
          <w:sz w:val="24"/>
          <w:szCs w:val="22"/>
        </w:rPr>
        <w:t>轨道交通</w:t>
      </w:r>
      <w:r>
        <w:rPr>
          <w:sz w:val="24"/>
          <w:szCs w:val="22"/>
        </w:rPr>
        <w:t>建设而导致的实际需求。</w:t>
      </w:r>
    </w:p>
    <w:p>
      <w:pPr>
        <w:spacing w:line="440" w:lineRule="exact"/>
        <w:ind w:firstLine="480" w:firstLineChars="200"/>
        <w:jc w:val="left"/>
        <w:rPr>
          <w:sz w:val="24"/>
          <w:szCs w:val="22"/>
        </w:rPr>
      </w:pPr>
      <w:r>
        <w:rPr>
          <w:sz w:val="24"/>
          <w:szCs w:val="22"/>
        </w:rPr>
        <w:t>（4）严格《国土资源部办公厅关于加强公示地价体系建设和管理有关问题的通知》（国土资厅发[2017]27号）文件要求，补充了公共服务项目用地基准地价，并在此基础上，将结合新的分类系统，完善城市公益性项目用地地价测算参照表。</w:t>
      </w:r>
    </w:p>
    <w:p>
      <w:pPr>
        <w:tabs>
          <w:tab w:val="right" w:pos="9298"/>
        </w:tabs>
        <w:spacing w:line="600" w:lineRule="exact"/>
        <w:ind w:firstLine="482" w:firstLineChars="200"/>
        <w:rPr>
          <w:b/>
          <w:sz w:val="24"/>
          <w:szCs w:val="22"/>
        </w:rPr>
      </w:pPr>
      <w:r>
        <w:rPr>
          <w:b/>
          <w:sz w:val="24"/>
          <w:szCs w:val="22"/>
        </w:rPr>
        <w:t>3、土地级别划定更科学合理</w:t>
      </w:r>
    </w:p>
    <w:p>
      <w:pPr>
        <w:spacing w:line="440" w:lineRule="exact"/>
        <w:ind w:firstLine="480" w:firstLineChars="200"/>
        <w:jc w:val="left"/>
        <w:rPr>
          <w:sz w:val="24"/>
          <w:szCs w:val="22"/>
        </w:rPr>
      </w:pPr>
      <w:r>
        <w:rPr>
          <w:sz w:val="24"/>
          <w:szCs w:val="22"/>
        </w:rPr>
        <w:t>根据《城镇土地分等定级规程》（GB/T 18507-2014）要求，社会经济条件发生变化，已有的级别成果不能满足经济建设需要，应适时采用本标准规定的定级方法全面更新。上一轮成果基准日为2013年3月1日，距今已经有五年多时间。五年间，长沙县社会经济发生了很大变化，县城继续往北和往南扩展、城市化水平提高，城区交通道路、</w:t>
      </w:r>
      <w:r>
        <w:rPr>
          <w:rFonts w:hint="eastAsia"/>
          <w:sz w:val="24"/>
          <w:szCs w:val="22"/>
        </w:rPr>
        <w:t>轨道交通</w:t>
      </w:r>
      <w:r>
        <w:rPr>
          <w:sz w:val="24"/>
          <w:szCs w:val="22"/>
        </w:rPr>
        <w:t>三号线和四号线的继续施工、松雅湖湿地公园等绿地广场等基础设施的提质改造，旧城改造力度的加大、高铁新城东广场的竣工开放、磁悬浮铁路、红旗路以及万家丽快速交通、长浏高速相继竣工通车的实施建设等，大大提高了县城的品质，改变了长沙县不同区段和不同区片的经济区位，因此，调整后的土地级别更符合发展实际，更能显化土地资产价值。</w:t>
      </w:r>
    </w:p>
    <w:p>
      <w:pPr>
        <w:spacing w:line="600" w:lineRule="exact"/>
        <w:ind w:firstLine="560" w:firstLineChars="200"/>
        <w:outlineLvl w:val="2"/>
        <w:rPr>
          <w:rFonts w:eastAsia="黑体"/>
          <w:sz w:val="28"/>
          <w:szCs w:val="28"/>
        </w:rPr>
      </w:pPr>
      <w:bookmarkStart w:id="1003" w:name="_Toc8155"/>
      <w:bookmarkStart w:id="1004" w:name="_Toc8368"/>
      <w:r>
        <w:rPr>
          <w:rFonts w:hint="eastAsia" w:eastAsia="黑体"/>
          <w:sz w:val="28"/>
          <w:szCs w:val="28"/>
        </w:rPr>
        <w:t>三</w:t>
      </w:r>
      <w:r>
        <w:rPr>
          <w:rFonts w:eastAsia="黑体"/>
          <w:sz w:val="28"/>
          <w:szCs w:val="28"/>
        </w:rPr>
        <w:t>、基准地价水平纵向变化分析</w:t>
      </w:r>
      <w:bookmarkEnd w:id="1003"/>
      <w:bookmarkEnd w:id="1004"/>
    </w:p>
    <w:p>
      <w:pPr>
        <w:spacing w:line="440" w:lineRule="exact"/>
        <w:ind w:firstLine="480" w:firstLineChars="200"/>
        <w:jc w:val="left"/>
        <w:rPr>
          <w:sz w:val="24"/>
          <w:szCs w:val="22"/>
        </w:rPr>
      </w:pPr>
      <w:r>
        <w:rPr>
          <w:sz w:val="24"/>
          <w:szCs w:val="22"/>
        </w:rPr>
        <w:t>近四年，长沙县国民经济和投资持续快速发展，居民收入平稳增长，房产市场需求继续保持平稳发展的态势。在城市建设过程中，土地利用越来越集约，</w:t>
      </w:r>
      <w:r>
        <w:rPr>
          <w:rFonts w:hint="eastAsia"/>
          <w:sz w:val="24"/>
          <w:szCs w:val="22"/>
        </w:rPr>
        <w:t>轨道交通</w:t>
      </w:r>
      <w:r>
        <w:rPr>
          <w:sz w:val="24"/>
          <w:szCs w:val="22"/>
        </w:rPr>
        <w:t>和磁悬浮的修建、新的商业广场和楼盘的相继开发建设，新城建设、交通区位等各类因素的迅速提升，对县城土地价格的提升带来了强劲动力。</w:t>
      </w:r>
    </w:p>
    <w:p>
      <w:pPr>
        <w:spacing w:line="440" w:lineRule="exact"/>
        <w:ind w:firstLine="480" w:firstLineChars="200"/>
        <w:jc w:val="left"/>
        <w:rPr>
          <w:sz w:val="24"/>
          <w:szCs w:val="22"/>
        </w:rPr>
      </w:pPr>
      <w:r>
        <w:rPr>
          <w:sz w:val="24"/>
          <w:szCs w:val="22"/>
        </w:rPr>
        <w:t>与上轮相比，根据成果由表</w:t>
      </w:r>
      <w:r>
        <w:rPr>
          <w:rFonts w:hint="eastAsia"/>
          <w:sz w:val="24"/>
          <w:szCs w:val="22"/>
        </w:rPr>
        <w:t>6</w:t>
      </w:r>
      <w:r>
        <w:rPr>
          <w:sz w:val="24"/>
          <w:szCs w:val="22"/>
        </w:rPr>
        <w:t>-</w:t>
      </w:r>
      <w:r>
        <w:rPr>
          <w:rFonts w:hint="eastAsia"/>
          <w:sz w:val="24"/>
          <w:szCs w:val="22"/>
        </w:rPr>
        <w:t>1</w:t>
      </w:r>
      <w:r>
        <w:rPr>
          <w:sz w:val="24"/>
          <w:szCs w:val="22"/>
        </w:rPr>
        <w:t>-</w:t>
      </w:r>
      <w:r>
        <w:rPr>
          <w:rFonts w:hint="eastAsia"/>
          <w:sz w:val="24"/>
          <w:szCs w:val="22"/>
        </w:rPr>
        <w:t>2</w:t>
      </w:r>
      <w:r>
        <w:rPr>
          <w:sz w:val="24"/>
          <w:szCs w:val="22"/>
        </w:rPr>
        <w:t>可知，长沙县城区商服用地平均提高幅度为2.19%，住宅用地价平均提高幅度为12.44%，工矿仓储用地</w:t>
      </w:r>
      <w:r>
        <w:rPr>
          <w:rFonts w:hint="eastAsia"/>
          <w:sz w:val="24"/>
          <w:szCs w:val="22"/>
        </w:rPr>
        <w:t>基本</w:t>
      </w:r>
      <w:r>
        <w:rPr>
          <w:sz w:val="24"/>
          <w:szCs w:val="22"/>
        </w:rPr>
        <w:t>没有变化，整体而言，本次基准地价水平调整与长沙县城区土地市场及房产交易市场变化情况基本吻合。</w:t>
      </w:r>
    </w:p>
    <w:p>
      <w:pPr>
        <w:snapToGrid w:val="0"/>
        <w:spacing w:line="440" w:lineRule="exact"/>
        <w:jc w:val="center"/>
        <w:rPr>
          <w:b/>
          <w:sz w:val="24"/>
          <w:szCs w:val="24"/>
        </w:rPr>
      </w:pPr>
      <w:r>
        <w:rPr>
          <w:b/>
          <w:sz w:val="24"/>
          <w:szCs w:val="24"/>
        </w:rPr>
        <w:t>表</w:t>
      </w:r>
      <w:r>
        <w:rPr>
          <w:rFonts w:hint="eastAsia"/>
          <w:b/>
          <w:sz w:val="24"/>
          <w:szCs w:val="24"/>
        </w:rPr>
        <w:t>6</w:t>
      </w:r>
      <w:r>
        <w:rPr>
          <w:b/>
          <w:sz w:val="24"/>
          <w:szCs w:val="24"/>
        </w:rPr>
        <w:t>-</w:t>
      </w:r>
      <w:r>
        <w:rPr>
          <w:rFonts w:hint="eastAsia"/>
          <w:b/>
          <w:sz w:val="24"/>
          <w:szCs w:val="24"/>
        </w:rPr>
        <w:t>1</w:t>
      </w:r>
      <w:r>
        <w:rPr>
          <w:b/>
          <w:sz w:val="24"/>
          <w:szCs w:val="24"/>
        </w:rPr>
        <w:t>-</w:t>
      </w:r>
      <w:r>
        <w:rPr>
          <w:rFonts w:hint="eastAsia"/>
          <w:b/>
          <w:sz w:val="24"/>
          <w:szCs w:val="24"/>
        </w:rPr>
        <w:t>2</w:t>
      </w:r>
      <w:r>
        <w:rPr>
          <w:b/>
          <w:sz w:val="24"/>
          <w:szCs w:val="24"/>
        </w:rPr>
        <w:t>长沙县201</w:t>
      </w:r>
      <w:r>
        <w:rPr>
          <w:rFonts w:hint="eastAsia"/>
          <w:b/>
          <w:sz w:val="24"/>
          <w:szCs w:val="24"/>
        </w:rPr>
        <w:t>8</w:t>
      </w:r>
      <w:r>
        <w:rPr>
          <w:b/>
          <w:sz w:val="24"/>
          <w:szCs w:val="24"/>
        </w:rPr>
        <w:t>年基准地价与2013年基准地价对比</w:t>
      </w:r>
    </w:p>
    <w:p>
      <w:pPr>
        <w:shd w:val="clear" w:color="auto" w:fill="FFFFFF"/>
        <w:ind w:firstLine="402" w:firstLineChars="200"/>
        <w:jc w:val="right"/>
        <w:rPr>
          <w:b/>
          <w:sz w:val="20"/>
        </w:rPr>
      </w:pPr>
      <w:r>
        <w:rPr>
          <w:b/>
          <w:sz w:val="20"/>
        </w:rPr>
        <w:t>元/平方米</w:t>
      </w:r>
    </w:p>
    <w:tbl>
      <w:tblPr>
        <w:tblW w:w="93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3"/>
        <w:gridCol w:w="860"/>
        <w:gridCol w:w="850"/>
        <w:gridCol w:w="992"/>
        <w:gridCol w:w="851"/>
        <w:gridCol w:w="992"/>
        <w:gridCol w:w="1080"/>
        <w:gridCol w:w="856"/>
        <w:gridCol w:w="851"/>
        <w:gridCol w:w="14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3" w:hRule="exact"/>
          <w:tblHeader/>
          <w:jc w:val="center"/>
        </w:trPr>
        <w:tc>
          <w:tcPr>
            <w:tcW w:w="57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 w:val="20"/>
              </w:rPr>
            </w:pPr>
            <w:r>
              <w:rPr>
                <w:b/>
                <w:bCs/>
                <w:color w:val="000000"/>
                <w:kern w:val="0"/>
                <w:sz w:val="20"/>
              </w:rPr>
              <w:t>级别</w:t>
            </w:r>
          </w:p>
        </w:tc>
        <w:tc>
          <w:tcPr>
            <w:tcW w:w="2702"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b/>
                <w:bCs/>
                <w:color w:val="000000"/>
                <w:kern w:val="0"/>
                <w:sz w:val="20"/>
              </w:rPr>
            </w:pPr>
            <w:r>
              <w:rPr>
                <w:b/>
                <w:bCs/>
                <w:color w:val="000000"/>
                <w:kern w:val="0"/>
                <w:sz w:val="20"/>
              </w:rPr>
              <w:t>商服</w:t>
            </w:r>
          </w:p>
        </w:tc>
        <w:tc>
          <w:tcPr>
            <w:tcW w:w="2923"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b/>
                <w:bCs/>
                <w:color w:val="000000"/>
                <w:kern w:val="0"/>
                <w:sz w:val="20"/>
              </w:rPr>
            </w:pPr>
            <w:r>
              <w:rPr>
                <w:b/>
                <w:bCs/>
                <w:color w:val="000000"/>
                <w:kern w:val="0"/>
                <w:sz w:val="20"/>
              </w:rPr>
              <w:t>住宅</w:t>
            </w:r>
          </w:p>
        </w:tc>
        <w:tc>
          <w:tcPr>
            <w:tcW w:w="318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b/>
                <w:bCs/>
                <w:color w:val="000000"/>
                <w:kern w:val="0"/>
                <w:sz w:val="20"/>
              </w:rPr>
            </w:pPr>
            <w:r>
              <w:rPr>
                <w:b/>
                <w:bCs/>
                <w:color w:val="000000"/>
                <w:kern w:val="0"/>
                <w:sz w:val="20"/>
              </w:rPr>
              <w:t>工矿仓储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exact"/>
          <w:tblHeader/>
          <w:jc w:val="center"/>
        </w:trPr>
        <w:tc>
          <w:tcPr>
            <w:tcW w:w="57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 w:val="20"/>
              </w:rPr>
            </w:pPr>
          </w:p>
        </w:tc>
        <w:tc>
          <w:tcPr>
            <w:tcW w:w="860"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b/>
                <w:bCs/>
                <w:color w:val="000000"/>
                <w:kern w:val="0"/>
                <w:sz w:val="20"/>
              </w:rPr>
            </w:pPr>
            <w:r>
              <w:rPr>
                <w:b/>
                <w:bCs/>
                <w:color w:val="000000"/>
                <w:kern w:val="0"/>
                <w:sz w:val="20"/>
              </w:rPr>
              <w:t>201</w:t>
            </w:r>
            <w:r>
              <w:rPr>
                <w:rFonts w:hint="eastAsia"/>
                <w:b/>
                <w:bCs/>
                <w:color w:val="000000"/>
                <w:kern w:val="0"/>
                <w:sz w:val="20"/>
              </w:rPr>
              <w:t>8</w:t>
            </w:r>
            <w:r>
              <w:rPr>
                <w:b/>
                <w:bCs/>
                <w:color w:val="000000"/>
                <w:kern w:val="0"/>
                <w:sz w:val="20"/>
              </w:rPr>
              <w:t>年</w:t>
            </w:r>
          </w:p>
        </w:tc>
        <w:tc>
          <w:tcPr>
            <w:tcW w:w="850"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b/>
                <w:bCs/>
                <w:color w:val="000000"/>
                <w:kern w:val="0"/>
                <w:sz w:val="20"/>
              </w:rPr>
            </w:pPr>
            <w:r>
              <w:rPr>
                <w:b/>
                <w:bCs/>
                <w:color w:val="000000"/>
                <w:kern w:val="0"/>
                <w:sz w:val="20"/>
              </w:rPr>
              <w:t>2013年</w:t>
            </w:r>
          </w:p>
        </w:tc>
        <w:tc>
          <w:tcPr>
            <w:tcW w:w="992" w:type="dxa"/>
            <w:tcBorders>
              <w:top w:val="nil"/>
              <w:left w:val="nil"/>
              <w:bottom w:val="single" w:color="auto" w:sz="4" w:space="0"/>
              <w:right w:val="single" w:color="auto" w:sz="4" w:space="0"/>
            </w:tcBorders>
            <w:vAlign w:val="center"/>
          </w:tcPr>
          <w:p>
            <w:pPr>
              <w:widowControl/>
              <w:ind w:left="-105" w:leftChars="-50" w:right="-105" w:rightChars="-50"/>
              <w:jc w:val="center"/>
              <w:rPr>
                <w:b/>
                <w:bCs/>
                <w:color w:val="000000"/>
                <w:kern w:val="0"/>
                <w:sz w:val="20"/>
              </w:rPr>
            </w:pPr>
            <w:r>
              <w:rPr>
                <w:b/>
                <w:bCs/>
                <w:color w:val="000000"/>
                <w:kern w:val="0"/>
                <w:sz w:val="20"/>
              </w:rPr>
              <w:t>变化幅度</w:t>
            </w:r>
          </w:p>
        </w:tc>
        <w:tc>
          <w:tcPr>
            <w:tcW w:w="85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b/>
                <w:bCs/>
                <w:color w:val="000000"/>
                <w:kern w:val="0"/>
                <w:sz w:val="20"/>
              </w:rPr>
            </w:pPr>
            <w:r>
              <w:rPr>
                <w:b/>
                <w:bCs/>
                <w:color w:val="000000"/>
                <w:kern w:val="0"/>
                <w:sz w:val="20"/>
              </w:rPr>
              <w:t>201</w:t>
            </w:r>
            <w:r>
              <w:rPr>
                <w:rFonts w:hint="eastAsia"/>
                <w:b/>
                <w:bCs/>
                <w:color w:val="000000"/>
                <w:kern w:val="0"/>
                <w:sz w:val="20"/>
              </w:rPr>
              <w:t>8</w:t>
            </w:r>
            <w:r>
              <w:rPr>
                <w:b/>
                <w:bCs/>
                <w:color w:val="000000"/>
                <w:kern w:val="0"/>
                <w:sz w:val="20"/>
              </w:rPr>
              <w:t>年</w:t>
            </w:r>
          </w:p>
        </w:tc>
        <w:tc>
          <w:tcPr>
            <w:tcW w:w="992"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b/>
                <w:bCs/>
                <w:color w:val="000000"/>
                <w:kern w:val="0"/>
                <w:sz w:val="20"/>
              </w:rPr>
            </w:pPr>
            <w:r>
              <w:rPr>
                <w:b/>
                <w:bCs/>
                <w:color w:val="000000"/>
                <w:kern w:val="0"/>
                <w:sz w:val="20"/>
              </w:rPr>
              <w:t>2013年</w:t>
            </w:r>
          </w:p>
        </w:tc>
        <w:tc>
          <w:tcPr>
            <w:tcW w:w="1080"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b/>
                <w:bCs/>
                <w:color w:val="000000"/>
                <w:kern w:val="0"/>
                <w:sz w:val="20"/>
              </w:rPr>
            </w:pPr>
            <w:r>
              <w:rPr>
                <w:b/>
                <w:bCs/>
                <w:color w:val="000000"/>
                <w:kern w:val="0"/>
                <w:sz w:val="20"/>
              </w:rPr>
              <w:t>变化幅度</w:t>
            </w:r>
          </w:p>
        </w:tc>
        <w:tc>
          <w:tcPr>
            <w:tcW w:w="856"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b/>
                <w:bCs/>
                <w:color w:val="000000"/>
                <w:kern w:val="0"/>
                <w:sz w:val="20"/>
              </w:rPr>
            </w:pPr>
            <w:r>
              <w:rPr>
                <w:b/>
                <w:bCs/>
                <w:color w:val="000000"/>
                <w:kern w:val="0"/>
                <w:sz w:val="20"/>
              </w:rPr>
              <w:t>201</w:t>
            </w:r>
            <w:r>
              <w:rPr>
                <w:rFonts w:hint="eastAsia"/>
                <w:b/>
                <w:bCs/>
                <w:color w:val="000000"/>
                <w:kern w:val="0"/>
                <w:sz w:val="20"/>
              </w:rPr>
              <w:t>8</w:t>
            </w:r>
            <w:r>
              <w:rPr>
                <w:b/>
                <w:bCs/>
                <w:color w:val="000000"/>
                <w:kern w:val="0"/>
                <w:sz w:val="20"/>
              </w:rPr>
              <w:t>年</w:t>
            </w:r>
          </w:p>
        </w:tc>
        <w:tc>
          <w:tcPr>
            <w:tcW w:w="851" w:type="dxa"/>
            <w:tcBorders>
              <w:top w:val="nil"/>
              <w:left w:val="single" w:color="auto" w:sz="4" w:space="0"/>
              <w:bottom w:val="single" w:color="auto" w:sz="4" w:space="0"/>
              <w:right w:val="single" w:color="auto" w:sz="4" w:space="0"/>
            </w:tcBorders>
            <w:vAlign w:val="center"/>
          </w:tcPr>
          <w:p>
            <w:pPr>
              <w:widowControl/>
              <w:ind w:left="-105" w:leftChars="-50" w:right="-105" w:rightChars="-50"/>
              <w:jc w:val="center"/>
              <w:rPr>
                <w:b/>
                <w:bCs/>
                <w:color w:val="000000"/>
                <w:kern w:val="0"/>
                <w:sz w:val="20"/>
              </w:rPr>
            </w:pPr>
            <w:r>
              <w:rPr>
                <w:b/>
                <w:bCs/>
                <w:color w:val="000000"/>
                <w:kern w:val="0"/>
                <w:sz w:val="20"/>
              </w:rPr>
              <w:t>2013年</w:t>
            </w:r>
          </w:p>
        </w:tc>
        <w:tc>
          <w:tcPr>
            <w:tcW w:w="1481" w:type="dxa"/>
            <w:tcBorders>
              <w:top w:val="nil"/>
              <w:left w:val="nil"/>
              <w:bottom w:val="single" w:color="auto" w:sz="4" w:space="0"/>
              <w:right w:val="single" w:color="auto" w:sz="4" w:space="0"/>
            </w:tcBorders>
            <w:vAlign w:val="center"/>
          </w:tcPr>
          <w:p>
            <w:pPr>
              <w:ind w:left="-105" w:leftChars="-50" w:right="-105" w:rightChars="-50"/>
              <w:jc w:val="center"/>
              <w:rPr>
                <w:b/>
                <w:bCs/>
                <w:color w:val="000000"/>
                <w:kern w:val="0"/>
                <w:sz w:val="20"/>
              </w:rPr>
            </w:pPr>
            <w:r>
              <w:rPr>
                <w:b/>
                <w:bCs/>
                <w:color w:val="000000"/>
                <w:kern w:val="0"/>
                <w:sz w:val="20"/>
              </w:rPr>
              <w:t>变化幅度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exact"/>
          <w:jc w:val="center"/>
        </w:trPr>
        <w:tc>
          <w:tcPr>
            <w:tcW w:w="573" w:type="dxa"/>
            <w:tcBorders>
              <w:top w:val="nil"/>
              <w:left w:val="single" w:color="auto" w:sz="4" w:space="0"/>
              <w:bottom w:val="single" w:color="auto" w:sz="4" w:space="0"/>
              <w:right w:val="single" w:color="auto" w:sz="4" w:space="0"/>
            </w:tcBorders>
            <w:vAlign w:val="center"/>
          </w:tcPr>
          <w:p>
            <w:pPr>
              <w:widowControl/>
              <w:jc w:val="center"/>
              <w:rPr>
                <w:b/>
                <w:bCs/>
                <w:color w:val="000000"/>
                <w:kern w:val="0"/>
                <w:sz w:val="20"/>
              </w:rPr>
            </w:pPr>
            <w:r>
              <w:rPr>
                <w:b/>
                <w:bCs/>
                <w:color w:val="000000"/>
                <w:kern w:val="0"/>
                <w:sz w:val="20"/>
              </w:rPr>
              <w:t>Ⅰ</w:t>
            </w:r>
          </w:p>
        </w:tc>
        <w:tc>
          <w:tcPr>
            <w:tcW w:w="860"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4590</w:t>
            </w:r>
          </w:p>
        </w:tc>
        <w:tc>
          <w:tcPr>
            <w:tcW w:w="850"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4560</w:t>
            </w:r>
          </w:p>
        </w:tc>
        <w:tc>
          <w:tcPr>
            <w:tcW w:w="992" w:type="dxa"/>
            <w:tcBorders>
              <w:top w:val="single" w:color="auto" w:sz="4" w:space="0"/>
              <w:left w:val="nil"/>
              <w:bottom w:val="single" w:color="auto" w:sz="4" w:space="0"/>
              <w:right w:val="single" w:color="auto" w:sz="4" w:space="0"/>
            </w:tcBorders>
            <w:vAlign w:val="center"/>
          </w:tcPr>
          <w:p>
            <w:pPr>
              <w:jc w:val="center"/>
              <w:rPr>
                <w:color w:val="000000"/>
                <w:sz w:val="20"/>
              </w:rPr>
            </w:pPr>
            <w:r>
              <w:rPr>
                <w:color w:val="000000"/>
                <w:sz w:val="20"/>
              </w:rPr>
              <w:t>0.66%</w:t>
            </w:r>
          </w:p>
        </w:tc>
        <w:tc>
          <w:tcPr>
            <w:tcW w:w="851" w:type="dxa"/>
            <w:tcBorders>
              <w:top w:val="nil"/>
              <w:left w:val="nil"/>
              <w:bottom w:val="single" w:color="auto" w:sz="4" w:space="0"/>
              <w:right w:val="single" w:color="auto" w:sz="4" w:space="0"/>
            </w:tcBorders>
            <w:vAlign w:val="center"/>
          </w:tcPr>
          <w:p>
            <w:pPr>
              <w:widowControl/>
              <w:jc w:val="center"/>
              <w:textAlignment w:val="top"/>
              <w:rPr>
                <w:color w:val="000000"/>
                <w:sz w:val="20"/>
              </w:rPr>
            </w:pPr>
            <w:r>
              <w:rPr>
                <w:rFonts w:eastAsia="Tahoma"/>
                <w:color w:val="000000"/>
                <w:kern w:val="0"/>
                <w:sz w:val="20"/>
                <w:lang/>
              </w:rPr>
              <w:t>3480</w:t>
            </w:r>
          </w:p>
        </w:tc>
        <w:tc>
          <w:tcPr>
            <w:tcW w:w="992"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3320</w:t>
            </w:r>
          </w:p>
        </w:tc>
        <w:tc>
          <w:tcPr>
            <w:tcW w:w="1080" w:type="dxa"/>
            <w:tcBorders>
              <w:top w:val="nil"/>
              <w:left w:val="nil"/>
              <w:bottom w:val="single" w:color="auto" w:sz="4" w:space="0"/>
              <w:right w:val="single" w:color="auto" w:sz="4" w:space="0"/>
            </w:tcBorders>
            <w:vAlign w:val="center"/>
          </w:tcPr>
          <w:p>
            <w:pPr>
              <w:widowControl/>
              <w:jc w:val="center"/>
              <w:textAlignment w:val="center"/>
              <w:rPr>
                <w:sz w:val="20"/>
              </w:rPr>
            </w:pPr>
            <w:r>
              <w:rPr>
                <w:rFonts w:eastAsia="Tahoma"/>
                <w:color w:val="000000"/>
                <w:kern w:val="0"/>
                <w:sz w:val="20"/>
                <w:lang/>
              </w:rPr>
              <w:t>4.82%</w:t>
            </w:r>
          </w:p>
        </w:tc>
        <w:tc>
          <w:tcPr>
            <w:tcW w:w="856"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1280</w:t>
            </w:r>
          </w:p>
        </w:tc>
        <w:tc>
          <w:tcPr>
            <w:tcW w:w="85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1280</w:t>
            </w:r>
          </w:p>
        </w:tc>
        <w:tc>
          <w:tcPr>
            <w:tcW w:w="1481" w:type="dxa"/>
            <w:tcBorders>
              <w:top w:val="nil"/>
              <w:left w:val="nil"/>
              <w:bottom w:val="single" w:color="auto" w:sz="4" w:space="0"/>
              <w:right w:val="single" w:color="auto" w:sz="4" w:space="0"/>
            </w:tcBorders>
            <w:vAlign w:val="center"/>
          </w:tcPr>
          <w:p>
            <w:pPr>
              <w:widowControl/>
              <w:jc w:val="center"/>
              <w:textAlignment w:val="center"/>
              <w:rPr>
                <w:sz w:val="20"/>
              </w:rPr>
            </w:pPr>
            <w:r>
              <w:rPr>
                <w:rFonts w:eastAsia="Tahoma"/>
                <w:color w:val="000000"/>
                <w:kern w:val="0"/>
                <w:sz w:val="20"/>
                <w:lang/>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exact"/>
          <w:jc w:val="center"/>
        </w:trPr>
        <w:tc>
          <w:tcPr>
            <w:tcW w:w="573" w:type="dxa"/>
            <w:tcBorders>
              <w:top w:val="nil"/>
              <w:left w:val="single" w:color="auto" w:sz="4" w:space="0"/>
              <w:bottom w:val="single" w:color="auto" w:sz="4" w:space="0"/>
              <w:right w:val="single" w:color="auto" w:sz="4" w:space="0"/>
            </w:tcBorders>
            <w:vAlign w:val="center"/>
          </w:tcPr>
          <w:p>
            <w:pPr>
              <w:widowControl/>
              <w:jc w:val="center"/>
              <w:rPr>
                <w:b/>
                <w:bCs/>
                <w:color w:val="000000"/>
                <w:kern w:val="0"/>
                <w:sz w:val="20"/>
              </w:rPr>
            </w:pPr>
            <w:r>
              <w:rPr>
                <w:b/>
                <w:bCs/>
                <w:color w:val="000000"/>
                <w:kern w:val="0"/>
                <w:sz w:val="20"/>
              </w:rPr>
              <w:t>Ⅱ</w:t>
            </w:r>
          </w:p>
        </w:tc>
        <w:tc>
          <w:tcPr>
            <w:tcW w:w="860"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3360</w:t>
            </w:r>
          </w:p>
        </w:tc>
        <w:tc>
          <w:tcPr>
            <w:tcW w:w="850"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3270</w:t>
            </w:r>
          </w:p>
        </w:tc>
        <w:tc>
          <w:tcPr>
            <w:tcW w:w="992"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2.75%</w:t>
            </w:r>
          </w:p>
        </w:tc>
        <w:tc>
          <w:tcPr>
            <w:tcW w:w="851" w:type="dxa"/>
            <w:tcBorders>
              <w:top w:val="nil"/>
              <w:left w:val="nil"/>
              <w:bottom w:val="single" w:color="auto" w:sz="4" w:space="0"/>
              <w:right w:val="single" w:color="auto" w:sz="4" w:space="0"/>
            </w:tcBorders>
            <w:vAlign w:val="center"/>
          </w:tcPr>
          <w:p>
            <w:pPr>
              <w:widowControl/>
              <w:jc w:val="center"/>
              <w:textAlignment w:val="top"/>
              <w:rPr>
                <w:color w:val="000000"/>
                <w:sz w:val="20"/>
              </w:rPr>
            </w:pPr>
            <w:r>
              <w:rPr>
                <w:rFonts w:eastAsia="Tahoma"/>
                <w:color w:val="000000"/>
                <w:kern w:val="0"/>
                <w:sz w:val="20"/>
                <w:lang/>
              </w:rPr>
              <w:t>2540</w:t>
            </w:r>
          </w:p>
        </w:tc>
        <w:tc>
          <w:tcPr>
            <w:tcW w:w="992"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2280</w:t>
            </w:r>
          </w:p>
        </w:tc>
        <w:tc>
          <w:tcPr>
            <w:tcW w:w="1080" w:type="dxa"/>
            <w:tcBorders>
              <w:top w:val="nil"/>
              <w:left w:val="nil"/>
              <w:bottom w:val="single" w:color="auto" w:sz="4" w:space="0"/>
              <w:right w:val="single" w:color="auto" w:sz="4" w:space="0"/>
            </w:tcBorders>
            <w:vAlign w:val="center"/>
          </w:tcPr>
          <w:p>
            <w:pPr>
              <w:widowControl/>
              <w:jc w:val="center"/>
              <w:textAlignment w:val="center"/>
              <w:rPr>
                <w:sz w:val="20"/>
              </w:rPr>
            </w:pPr>
            <w:r>
              <w:rPr>
                <w:rFonts w:eastAsia="Tahoma"/>
                <w:color w:val="000000"/>
                <w:kern w:val="0"/>
                <w:sz w:val="20"/>
                <w:lang/>
              </w:rPr>
              <w:t>11.40%</w:t>
            </w:r>
          </w:p>
        </w:tc>
        <w:tc>
          <w:tcPr>
            <w:tcW w:w="856"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100</w:t>
            </w:r>
            <w:r>
              <w:rPr>
                <w:rFonts w:hint="eastAsia"/>
                <w:color w:val="000000"/>
                <w:sz w:val="20"/>
              </w:rPr>
              <w:t>0</w:t>
            </w:r>
          </w:p>
        </w:tc>
        <w:tc>
          <w:tcPr>
            <w:tcW w:w="85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1002</w:t>
            </w:r>
          </w:p>
        </w:tc>
        <w:tc>
          <w:tcPr>
            <w:tcW w:w="1481" w:type="dxa"/>
            <w:tcBorders>
              <w:top w:val="nil"/>
              <w:left w:val="nil"/>
              <w:bottom w:val="single" w:color="auto" w:sz="4" w:space="0"/>
              <w:right w:val="single" w:color="auto" w:sz="4" w:space="0"/>
            </w:tcBorders>
            <w:vAlign w:val="center"/>
          </w:tcPr>
          <w:p>
            <w:pPr>
              <w:jc w:val="center"/>
              <w:rPr>
                <w:color w:val="000000"/>
                <w:sz w:val="20"/>
              </w:rPr>
            </w:pPr>
            <w:r>
              <w:rPr>
                <w:rFonts w:hint="eastAsia"/>
                <w:color w:val="000000"/>
                <w:sz w:val="20"/>
              </w:rPr>
              <w:t>-</w:t>
            </w:r>
            <w:r>
              <w:rPr>
                <w:color w:val="000000"/>
                <w:sz w:val="20"/>
              </w:rPr>
              <w:t>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exact"/>
          <w:jc w:val="center"/>
        </w:trPr>
        <w:tc>
          <w:tcPr>
            <w:tcW w:w="573" w:type="dxa"/>
            <w:tcBorders>
              <w:top w:val="nil"/>
              <w:left w:val="single" w:color="auto" w:sz="4" w:space="0"/>
              <w:bottom w:val="single" w:color="auto" w:sz="4" w:space="0"/>
              <w:right w:val="single" w:color="auto" w:sz="4" w:space="0"/>
            </w:tcBorders>
            <w:vAlign w:val="center"/>
          </w:tcPr>
          <w:p>
            <w:pPr>
              <w:widowControl/>
              <w:jc w:val="center"/>
              <w:rPr>
                <w:b/>
                <w:bCs/>
                <w:color w:val="000000"/>
                <w:kern w:val="0"/>
                <w:sz w:val="20"/>
              </w:rPr>
            </w:pPr>
            <w:r>
              <w:rPr>
                <w:b/>
                <w:bCs/>
                <w:color w:val="000000"/>
                <w:kern w:val="0"/>
                <w:sz w:val="20"/>
              </w:rPr>
              <w:t>Ⅲ</w:t>
            </w:r>
          </w:p>
        </w:tc>
        <w:tc>
          <w:tcPr>
            <w:tcW w:w="860"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2550</w:t>
            </w:r>
          </w:p>
        </w:tc>
        <w:tc>
          <w:tcPr>
            <w:tcW w:w="850"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2480</w:t>
            </w:r>
          </w:p>
        </w:tc>
        <w:tc>
          <w:tcPr>
            <w:tcW w:w="992"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2.82%</w:t>
            </w:r>
          </w:p>
        </w:tc>
        <w:tc>
          <w:tcPr>
            <w:tcW w:w="851" w:type="dxa"/>
            <w:tcBorders>
              <w:top w:val="nil"/>
              <w:left w:val="nil"/>
              <w:bottom w:val="single" w:color="auto" w:sz="4" w:space="0"/>
              <w:right w:val="single" w:color="auto" w:sz="4" w:space="0"/>
            </w:tcBorders>
            <w:vAlign w:val="center"/>
          </w:tcPr>
          <w:p>
            <w:pPr>
              <w:widowControl/>
              <w:jc w:val="center"/>
              <w:textAlignment w:val="top"/>
              <w:rPr>
                <w:color w:val="000000"/>
                <w:sz w:val="20"/>
              </w:rPr>
            </w:pPr>
            <w:r>
              <w:rPr>
                <w:rFonts w:eastAsia="Tahoma"/>
                <w:color w:val="000000"/>
                <w:kern w:val="0"/>
                <w:sz w:val="20"/>
                <w:lang/>
              </w:rPr>
              <w:t>1920</w:t>
            </w:r>
          </w:p>
        </w:tc>
        <w:tc>
          <w:tcPr>
            <w:tcW w:w="992"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1700</w:t>
            </w:r>
          </w:p>
        </w:tc>
        <w:tc>
          <w:tcPr>
            <w:tcW w:w="1080" w:type="dxa"/>
            <w:tcBorders>
              <w:top w:val="nil"/>
              <w:left w:val="nil"/>
              <w:bottom w:val="single" w:color="auto" w:sz="4" w:space="0"/>
              <w:right w:val="single" w:color="auto" w:sz="4" w:space="0"/>
            </w:tcBorders>
            <w:vAlign w:val="center"/>
          </w:tcPr>
          <w:p>
            <w:pPr>
              <w:widowControl/>
              <w:jc w:val="center"/>
              <w:textAlignment w:val="center"/>
              <w:rPr>
                <w:sz w:val="20"/>
              </w:rPr>
            </w:pPr>
            <w:r>
              <w:rPr>
                <w:rFonts w:eastAsia="Tahoma"/>
                <w:color w:val="000000"/>
                <w:kern w:val="0"/>
                <w:sz w:val="20"/>
                <w:lang/>
              </w:rPr>
              <w:t>12.94%</w:t>
            </w:r>
          </w:p>
        </w:tc>
        <w:tc>
          <w:tcPr>
            <w:tcW w:w="856"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78</w:t>
            </w:r>
            <w:r>
              <w:rPr>
                <w:rFonts w:hint="eastAsia"/>
                <w:color w:val="000000"/>
                <w:sz w:val="20"/>
              </w:rPr>
              <w:t>0</w:t>
            </w:r>
          </w:p>
        </w:tc>
        <w:tc>
          <w:tcPr>
            <w:tcW w:w="85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784</w:t>
            </w:r>
          </w:p>
        </w:tc>
        <w:tc>
          <w:tcPr>
            <w:tcW w:w="1481" w:type="dxa"/>
            <w:tcBorders>
              <w:top w:val="nil"/>
              <w:left w:val="nil"/>
              <w:bottom w:val="single" w:color="auto" w:sz="4" w:space="0"/>
              <w:right w:val="single" w:color="auto" w:sz="4" w:space="0"/>
            </w:tcBorders>
            <w:vAlign w:val="center"/>
          </w:tcPr>
          <w:p>
            <w:pPr>
              <w:jc w:val="center"/>
              <w:rPr>
                <w:color w:val="000000"/>
                <w:sz w:val="20"/>
              </w:rPr>
            </w:pPr>
            <w:r>
              <w:rPr>
                <w:rFonts w:hint="eastAsia"/>
                <w:color w:val="000000"/>
                <w:sz w:val="20"/>
              </w:rPr>
              <w:t>-</w:t>
            </w:r>
            <w:r>
              <w:rPr>
                <w:color w:val="000000"/>
                <w:sz w:val="20"/>
              </w:rPr>
              <w:t>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exact"/>
          <w:jc w:val="center"/>
        </w:trPr>
        <w:tc>
          <w:tcPr>
            <w:tcW w:w="573" w:type="dxa"/>
            <w:tcBorders>
              <w:top w:val="nil"/>
              <w:left w:val="single" w:color="auto" w:sz="4" w:space="0"/>
              <w:bottom w:val="single" w:color="auto" w:sz="4" w:space="0"/>
              <w:right w:val="single" w:color="auto" w:sz="4" w:space="0"/>
            </w:tcBorders>
            <w:vAlign w:val="center"/>
          </w:tcPr>
          <w:p>
            <w:pPr>
              <w:widowControl/>
              <w:jc w:val="center"/>
              <w:rPr>
                <w:b/>
                <w:bCs/>
                <w:color w:val="000000"/>
                <w:kern w:val="0"/>
                <w:sz w:val="20"/>
              </w:rPr>
            </w:pPr>
            <w:r>
              <w:rPr>
                <w:b/>
                <w:bCs/>
                <w:color w:val="000000"/>
                <w:kern w:val="0"/>
                <w:sz w:val="20"/>
              </w:rPr>
              <w:t>Ⅳ</w:t>
            </w:r>
          </w:p>
        </w:tc>
        <w:tc>
          <w:tcPr>
            <w:tcW w:w="860"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1780</w:t>
            </w:r>
          </w:p>
        </w:tc>
        <w:tc>
          <w:tcPr>
            <w:tcW w:w="850"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1740</w:t>
            </w:r>
          </w:p>
        </w:tc>
        <w:tc>
          <w:tcPr>
            <w:tcW w:w="992"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2.30%</w:t>
            </w:r>
          </w:p>
        </w:tc>
        <w:tc>
          <w:tcPr>
            <w:tcW w:w="851" w:type="dxa"/>
            <w:tcBorders>
              <w:top w:val="nil"/>
              <w:left w:val="nil"/>
              <w:bottom w:val="single" w:color="auto" w:sz="4" w:space="0"/>
              <w:right w:val="single" w:color="auto" w:sz="4" w:space="0"/>
            </w:tcBorders>
            <w:vAlign w:val="center"/>
          </w:tcPr>
          <w:p>
            <w:pPr>
              <w:widowControl/>
              <w:jc w:val="center"/>
              <w:textAlignment w:val="top"/>
              <w:rPr>
                <w:color w:val="000000"/>
                <w:sz w:val="20"/>
              </w:rPr>
            </w:pPr>
            <w:r>
              <w:rPr>
                <w:rFonts w:eastAsia="Tahoma"/>
                <w:color w:val="000000"/>
                <w:kern w:val="0"/>
                <w:sz w:val="20"/>
                <w:lang/>
              </w:rPr>
              <w:t>1480</w:t>
            </w:r>
          </w:p>
        </w:tc>
        <w:tc>
          <w:tcPr>
            <w:tcW w:w="992"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1270</w:t>
            </w:r>
          </w:p>
        </w:tc>
        <w:tc>
          <w:tcPr>
            <w:tcW w:w="1080" w:type="dxa"/>
            <w:tcBorders>
              <w:top w:val="nil"/>
              <w:left w:val="nil"/>
              <w:bottom w:val="single" w:color="auto" w:sz="4" w:space="0"/>
              <w:right w:val="single" w:color="auto" w:sz="4" w:space="0"/>
            </w:tcBorders>
            <w:vAlign w:val="center"/>
          </w:tcPr>
          <w:p>
            <w:pPr>
              <w:widowControl/>
              <w:jc w:val="center"/>
              <w:textAlignment w:val="center"/>
              <w:rPr>
                <w:sz w:val="20"/>
              </w:rPr>
            </w:pPr>
            <w:r>
              <w:rPr>
                <w:rFonts w:eastAsia="Tahoma"/>
                <w:color w:val="000000"/>
                <w:kern w:val="0"/>
                <w:sz w:val="20"/>
                <w:lang/>
              </w:rPr>
              <w:t>16.54%</w:t>
            </w:r>
          </w:p>
        </w:tc>
        <w:tc>
          <w:tcPr>
            <w:tcW w:w="856"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61</w:t>
            </w:r>
            <w:r>
              <w:rPr>
                <w:rFonts w:hint="eastAsia"/>
                <w:color w:val="000000"/>
                <w:sz w:val="20"/>
              </w:rPr>
              <w:t>0</w:t>
            </w:r>
          </w:p>
        </w:tc>
        <w:tc>
          <w:tcPr>
            <w:tcW w:w="85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613</w:t>
            </w:r>
          </w:p>
        </w:tc>
        <w:tc>
          <w:tcPr>
            <w:tcW w:w="1481" w:type="dxa"/>
            <w:tcBorders>
              <w:top w:val="nil"/>
              <w:left w:val="nil"/>
              <w:bottom w:val="single" w:color="auto" w:sz="4" w:space="0"/>
              <w:right w:val="single" w:color="auto" w:sz="4" w:space="0"/>
            </w:tcBorders>
            <w:vAlign w:val="center"/>
          </w:tcPr>
          <w:p>
            <w:pPr>
              <w:jc w:val="center"/>
              <w:rPr>
                <w:color w:val="000000"/>
                <w:sz w:val="20"/>
              </w:rPr>
            </w:pPr>
            <w:r>
              <w:rPr>
                <w:rFonts w:hint="eastAsia"/>
                <w:color w:val="000000"/>
                <w:sz w:val="20"/>
              </w:rPr>
              <w:t>-</w:t>
            </w:r>
            <w:r>
              <w:rPr>
                <w:color w:val="000000"/>
                <w:sz w:val="20"/>
              </w:rPr>
              <w:t>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exact"/>
          <w:jc w:val="center"/>
        </w:trPr>
        <w:tc>
          <w:tcPr>
            <w:tcW w:w="573" w:type="dxa"/>
            <w:tcBorders>
              <w:top w:val="nil"/>
              <w:left w:val="single" w:color="auto" w:sz="4" w:space="0"/>
              <w:bottom w:val="single" w:color="auto" w:sz="4" w:space="0"/>
              <w:right w:val="single" w:color="auto" w:sz="4" w:space="0"/>
            </w:tcBorders>
            <w:vAlign w:val="center"/>
          </w:tcPr>
          <w:p>
            <w:pPr>
              <w:widowControl/>
              <w:jc w:val="center"/>
              <w:rPr>
                <w:b/>
                <w:bCs/>
                <w:color w:val="000000"/>
                <w:kern w:val="0"/>
                <w:sz w:val="20"/>
              </w:rPr>
            </w:pPr>
            <w:r>
              <w:rPr>
                <w:b/>
                <w:bCs/>
                <w:color w:val="000000"/>
                <w:kern w:val="0"/>
                <w:sz w:val="20"/>
              </w:rPr>
              <w:t>Ⅴ</w:t>
            </w:r>
          </w:p>
        </w:tc>
        <w:tc>
          <w:tcPr>
            <w:tcW w:w="860"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1280</w:t>
            </w:r>
          </w:p>
        </w:tc>
        <w:tc>
          <w:tcPr>
            <w:tcW w:w="850"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1250</w:t>
            </w:r>
          </w:p>
        </w:tc>
        <w:tc>
          <w:tcPr>
            <w:tcW w:w="992"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2.40%</w:t>
            </w:r>
          </w:p>
        </w:tc>
        <w:tc>
          <w:tcPr>
            <w:tcW w:w="851" w:type="dxa"/>
            <w:tcBorders>
              <w:top w:val="nil"/>
              <w:left w:val="nil"/>
              <w:bottom w:val="single" w:color="auto" w:sz="4" w:space="0"/>
              <w:right w:val="single" w:color="auto" w:sz="4" w:space="0"/>
            </w:tcBorders>
            <w:vAlign w:val="center"/>
          </w:tcPr>
          <w:p>
            <w:pPr>
              <w:widowControl/>
              <w:jc w:val="center"/>
              <w:textAlignment w:val="top"/>
              <w:rPr>
                <w:color w:val="000000"/>
                <w:sz w:val="20"/>
              </w:rPr>
            </w:pPr>
            <w:r>
              <w:rPr>
                <w:rFonts w:eastAsia="Tahoma"/>
                <w:color w:val="000000"/>
                <w:kern w:val="0"/>
                <w:sz w:val="20"/>
                <w:lang/>
              </w:rPr>
              <w:t>1060</w:t>
            </w:r>
          </w:p>
        </w:tc>
        <w:tc>
          <w:tcPr>
            <w:tcW w:w="992"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910</w:t>
            </w:r>
          </w:p>
        </w:tc>
        <w:tc>
          <w:tcPr>
            <w:tcW w:w="1080" w:type="dxa"/>
            <w:tcBorders>
              <w:top w:val="nil"/>
              <w:left w:val="nil"/>
              <w:bottom w:val="single" w:color="auto" w:sz="4" w:space="0"/>
              <w:right w:val="single" w:color="auto" w:sz="4" w:space="0"/>
            </w:tcBorders>
            <w:vAlign w:val="center"/>
          </w:tcPr>
          <w:p>
            <w:pPr>
              <w:widowControl/>
              <w:jc w:val="center"/>
              <w:textAlignment w:val="center"/>
              <w:rPr>
                <w:sz w:val="20"/>
              </w:rPr>
            </w:pPr>
            <w:r>
              <w:rPr>
                <w:rFonts w:eastAsia="Tahoma"/>
                <w:color w:val="000000"/>
                <w:kern w:val="0"/>
                <w:sz w:val="20"/>
                <w:lang/>
              </w:rPr>
              <w:t>16.48%</w:t>
            </w:r>
          </w:p>
        </w:tc>
        <w:tc>
          <w:tcPr>
            <w:tcW w:w="856"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480</w:t>
            </w:r>
          </w:p>
        </w:tc>
        <w:tc>
          <w:tcPr>
            <w:tcW w:w="85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480</w:t>
            </w:r>
          </w:p>
        </w:tc>
        <w:tc>
          <w:tcPr>
            <w:tcW w:w="148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0.00%</w:t>
            </w:r>
          </w:p>
        </w:tc>
      </w:tr>
    </w:tbl>
    <w:p>
      <w:pPr>
        <w:spacing w:line="600" w:lineRule="exact"/>
        <w:ind w:firstLine="560" w:firstLineChars="200"/>
        <w:outlineLvl w:val="2"/>
        <w:rPr>
          <w:rFonts w:eastAsia="黑体"/>
          <w:sz w:val="28"/>
          <w:szCs w:val="28"/>
        </w:rPr>
      </w:pPr>
      <w:bookmarkStart w:id="1005" w:name="_Toc10757"/>
      <w:bookmarkStart w:id="1006" w:name="_Toc19037"/>
      <w:r>
        <w:rPr>
          <w:rFonts w:hint="eastAsia" w:eastAsia="黑体"/>
          <w:sz w:val="28"/>
          <w:szCs w:val="28"/>
        </w:rPr>
        <w:t>四</w:t>
      </w:r>
      <w:r>
        <w:rPr>
          <w:rFonts w:eastAsia="黑体"/>
          <w:sz w:val="28"/>
          <w:szCs w:val="28"/>
        </w:rPr>
        <w:t>、基准地价横向对比分析</w:t>
      </w:r>
      <w:bookmarkEnd w:id="1005"/>
      <w:bookmarkEnd w:id="1006"/>
    </w:p>
    <w:p>
      <w:pPr>
        <w:spacing w:line="440" w:lineRule="exact"/>
        <w:ind w:firstLine="480" w:firstLineChars="200"/>
        <w:jc w:val="left"/>
        <w:rPr>
          <w:sz w:val="24"/>
        </w:rPr>
      </w:pPr>
      <w:r>
        <w:rPr>
          <w:sz w:val="24"/>
        </w:rPr>
        <w:t>1、与长沙市市区接壤区域横向比较分析</w:t>
      </w:r>
    </w:p>
    <w:p>
      <w:pPr>
        <w:spacing w:line="440" w:lineRule="exact"/>
        <w:ind w:firstLine="480" w:firstLineChars="200"/>
        <w:jc w:val="left"/>
        <w:rPr>
          <w:sz w:val="24"/>
        </w:rPr>
      </w:pPr>
      <w:r>
        <w:rPr>
          <w:sz w:val="24"/>
        </w:rPr>
        <w:t>为了充分对比，本次更新过程中收集了长沙市市区的最新基准地价成果，将更新区域更新范围分商住和工矿仓储分别整合在一张图进行对比，如图</w:t>
      </w:r>
      <w:r>
        <w:rPr>
          <w:rFonts w:hint="eastAsia"/>
          <w:sz w:val="24"/>
        </w:rPr>
        <w:t>6-1</w:t>
      </w:r>
      <w:r>
        <w:rPr>
          <w:sz w:val="24"/>
        </w:rPr>
        <w:t>-1、</w:t>
      </w:r>
      <w:r>
        <w:rPr>
          <w:rFonts w:hint="eastAsia"/>
          <w:sz w:val="24"/>
        </w:rPr>
        <w:t>6-1</w:t>
      </w:r>
      <w:r>
        <w:rPr>
          <w:sz w:val="24"/>
        </w:rPr>
        <w:t>-2。由图可知，本次长沙县城区商住用地二、三、四、五级与长沙市区四、五、六级区域相毗邻，工矿仓储用地一、二、三、四级与市区三、四、五、六级相毗邻。</w:t>
      </w:r>
    </w:p>
    <w:p>
      <w:pPr>
        <w:spacing w:line="440" w:lineRule="exact"/>
        <w:ind w:firstLine="480" w:firstLineChars="200"/>
        <w:jc w:val="left"/>
        <w:rPr>
          <w:sz w:val="24"/>
        </w:rPr>
      </w:pPr>
      <w:r>
        <w:rPr>
          <w:sz w:val="24"/>
        </w:rPr>
        <w:t>作为长沙市的次中心，长沙县城区已纳入长沙市中心城区范围，本次更新，既考虑了相邻区域地价水平的匹配和吻合，也考虑相邻区域的实际差异，长沙县商住的一级区域价格接近于市区四级区域价格水平，其他级别依次类推。</w:t>
      </w:r>
    </w:p>
    <w:p>
      <w:pPr>
        <w:spacing w:line="440" w:lineRule="exact"/>
        <w:ind w:firstLine="480" w:firstLineChars="200"/>
        <w:jc w:val="left"/>
        <w:rPr>
          <w:sz w:val="24"/>
        </w:rPr>
      </w:pPr>
      <w:r>
        <w:rPr>
          <w:sz w:val="24"/>
        </w:rPr>
        <w:t>本次工矿仓储用地基准地价更新成果</w:t>
      </w:r>
      <w:r>
        <w:rPr>
          <w:rFonts w:hint="eastAsia"/>
          <w:sz w:val="24"/>
        </w:rPr>
        <w:t>土地定级结果调整后与上轮保持一致</w:t>
      </w:r>
      <w:r>
        <w:rPr>
          <w:sz w:val="24"/>
        </w:rPr>
        <w:t>，长沙市区</w:t>
      </w:r>
      <w:r>
        <w:rPr>
          <w:rFonts w:hint="eastAsia"/>
          <w:sz w:val="24"/>
        </w:rPr>
        <w:t>2016年</w:t>
      </w:r>
      <w:r>
        <w:rPr>
          <w:sz w:val="24"/>
        </w:rPr>
        <w:t>工矿仓储用地基准地价</w:t>
      </w:r>
      <w:r>
        <w:rPr>
          <w:rFonts w:hint="eastAsia"/>
          <w:sz w:val="24"/>
        </w:rPr>
        <w:t>更新成果</w:t>
      </w:r>
      <w:r>
        <w:rPr>
          <w:sz w:val="24"/>
        </w:rPr>
        <w:t>级别范围进行了调整，价格水平也有较大幅下调</w:t>
      </w:r>
      <w:r>
        <w:rPr>
          <w:rFonts w:hint="eastAsia"/>
          <w:sz w:val="24"/>
        </w:rPr>
        <w:t>，</w:t>
      </w:r>
      <w:r>
        <w:rPr>
          <w:sz w:val="24"/>
        </w:rPr>
        <w:t>因此导致长沙县城区西南部二</w:t>
      </w:r>
      <w:r>
        <w:rPr>
          <w:rFonts w:hint="eastAsia"/>
          <w:sz w:val="24"/>
        </w:rPr>
        <w:t>、</w:t>
      </w:r>
      <w:r>
        <w:rPr>
          <w:sz w:val="24"/>
        </w:rPr>
        <w:t>三级工矿仓储用地价格（分别为100</w:t>
      </w:r>
      <w:r>
        <w:rPr>
          <w:rFonts w:hint="eastAsia"/>
          <w:sz w:val="24"/>
        </w:rPr>
        <w:t>0</w:t>
      </w:r>
      <w:r>
        <w:rPr>
          <w:sz w:val="24"/>
        </w:rPr>
        <w:t>元/平方米和78</w:t>
      </w:r>
      <w:r>
        <w:rPr>
          <w:rFonts w:hint="eastAsia"/>
          <w:sz w:val="24"/>
        </w:rPr>
        <w:t>0</w:t>
      </w:r>
      <w:r>
        <w:rPr>
          <w:sz w:val="24"/>
        </w:rPr>
        <w:t>元/平方米）</w:t>
      </w:r>
      <w:r>
        <w:rPr>
          <w:rFonts w:hint="eastAsia"/>
          <w:sz w:val="24"/>
        </w:rPr>
        <w:t>高于</w:t>
      </w:r>
      <w:r>
        <w:rPr>
          <w:sz w:val="24"/>
        </w:rPr>
        <w:t>市区工矿仓储用地五级价格（680元/平方米）</w:t>
      </w:r>
      <w:r>
        <w:rPr>
          <w:rFonts w:hint="eastAsia"/>
          <w:sz w:val="24"/>
        </w:rPr>
        <w:t>（</w:t>
      </w:r>
      <w:r>
        <w:rPr>
          <w:sz w:val="24"/>
        </w:rPr>
        <w:t>详见表</w:t>
      </w:r>
      <w:r>
        <w:rPr>
          <w:rFonts w:hint="eastAsia"/>
          <w:sz w:val="24"/>
        </w:rPr>
        <w:t>6-1</w:t>
      </w:r>
      <w:r>
        <w:rPr>
          <w:sz w:val="24"/>
        </w:rPr>
        <w:t>-</w:t>
      </w:r>
      <w:r>
        <w:rPr>
          <w:rFonts w:hint="eastAsia"/>
          <w:sz w:val="24"/>
        </w:rPr>
        <w:t>2），但长沙县对应的</w:t>
      </w:r>
      <w:r>
        <w:rPr>
          <w:sz w:val="24"/>
        </w:rPr>
        <w:t>长沙县城区西南部二</w:t>
      </w:r>
      <w:r>
        <w:rPr>
          <w:rFonts w:hint="eastAsia"/>
          <w:sz w:val="24"/>
        </w:rPr>
        <w:t>、</w:t>
      </w:r>
      <w:r>
        <w:rPr>
          <w:sz w:val="24"/>
        </w:rPr>
        <w:t>三级</w:t>
      </w:r>
      <w:r>
        <w:rPr>
          <w:rFonts w:hint="eastAsia"/>
          <w:sz w:val="24"/>
        </w:rPr>
        <w:t>主要为国家级长沙经济开发区，长沙市市区相毗邻的五级区域主要为</w:t>
      </w:r>
      <w:r>
        <w:rPr>
          <w:rFonts w:hint="eastAsia"/>
          <w:sz w:val="24"/>
          <w:lang w:eastAsia="zh-CN"/>
        </w:rPr>
        <w:t>长沙市芙蓉区</w:t>
      </w:r>
      <w:r>
        <w:rPr>
          <w:rFonts w:hint="eastAsia"/>
          <w:sz w:val="24"/>
        </w:rPr>
        <w:t>，根据其规划不会规划工矿仓储用地，不会造成工矿仓储用地价格有影响。</w:t>
      </w:r>
    </w:p>
    <w:p>
      <w:pPr>
        <w:spacing w:line="360" w:lineRule="auto"/>
        <w:ind w:firstLine="560" w:firstLineChars="200"/>
        <w:jc w:val="left"/>
        <w:rPr>
          <w:sz w:val="28"/>
          <w:szCs w:val="28"/>
        </w:rPr>
      </w:pPr>
      <w:r>
        <w:rPr>
          <w:rFonts w:ascii="Times New Roman" w:hAnsi="Times New Roman" w:eastAsia="宋体" w:cs="Times New Roman"/>
          <w:kern w:val="2"/>
          <w:sz w:val="28"/>
          <w:szCs w:val="28"/>
          <w:lang w:val="en-US" w:eastAsia="zh-CN" w:bidi="ar-SA"/>
        </w:rPr>
        <w:pict>
          <v:shape id="图片 440" o:spid="_x0000_s1385" type="#_x0000_t75" style="position:absolute;left:0;margin-left:-15.3pt;margin-top:6.4pt;height:322.4pt;width:231.2pt;mso-wrap-distance-bottom:0pt;mso-wrap-distance-top:0pt;rotation:0f;z-index:251714560;" o:ole="f" fillcolor="#FFFFFF" filled="f" o:preferrelative="t" stroked="f" coordorigin="0,0" coordsize="21600,21600">
            <v:fill on="f" color2="#FFFFFF" focus="0%"/>
            <v:imagedata gain="65536f" blacklevel="0f" gamma="0" o:title="" r:id="rId186"/>
            <o:lock v:ext="edit" position="f" selection="f" grouping="f" rotation="f" cropping="f" text="f" aspectratio="t"/>
            <w10:wrap type="topAndBottom"/>
          </v:shape>
        </w:pict>
      </w:r>
      <w:r>
        <w:rPr>
          <w:rFonts w:ascii="Times New Roman" w:hAnsi="Times New Roman" w:eastAsia="宋体" w:cs="Times New Roman"/>
          <w:kern w:val="2"/>
          <w:sz w:val="28"/>
          <w:szCs w:val="28"/>
          <w:lang w:val="en-US" w:eastAsia="zh-CN" w:bidi="ar-SA"/>
        </w:rPr>
        <w:pict>
          <v:rect id="文本框 7" o:spid="_x0000_s1386" style="position:absolute;left:0;margin-left:260.75pt;margin-top:331.2pt;height:37.4pt;width:176.9pt;rotation:0f;z-index:251713536;" o:ole="f" fillcolor="#FFFFFF" filled="t" o:preferrelative="t" stroked="f" coordsize="21600,21600">
            <v:fill opacity="0%" focus="0%"/>
            <v:imagedata gain="65536f" blacklevel="0f" gamma="0"/>
            <o:lock v:ext="edit" position="f" selection="f" grouping="f" rotation="f" cropping="f" text="f" aspectratio="f"/>
            <v:textbox>
              <w:txbxContent>
                <w:p>
                  <w:pPr>
                    <w:shd w:val="clear" w:color="auto" w:fill="FFFFFF"/>
                    <w:spacing w:line="240" w:lineRule="exact"/>
                    <w:jc w:val="center"/>
                    <w:rPr>
                      <w:b/>
                      <w:sz w:val="20"/>
                    </w:rPr>
                  </w:pPr>
                  <w:r>
                    <w:rPr>
                      <w:b/>
                      <w:sz w:val="20"/>
                    </w:rPr>
                    <w:t>图</w:t>
                  </w:r>
                  <w:r>
                    <w:rPr>
                      <w:rFonts w:hint="eastAsia"/>
                      <w:b/>
                      <w:sz w:val="20"/>
                    </w:rPr>
                    <w:t>6-1</w:t>
                  </w:r>
                  <w:r>
                    <w:rPr>
                      <w:b/>
                      <w:sz w:val="20"/>
                    </w:rPr>
                    <w:t>-</w:t>
                  </w:r>
                  <w:r>
                    <w:rPr>
                      <w:rFonts w:hint="eastAsia"/>
                      <w:b/>
                      <w:sz w:val="20"/>
                    </w:rPr>
                    <w:t>2</w:t>
                  </w:r>
                  <w:r>
                    <w:rPr>
                      <w:b/>
                      <w:sz w:val="20"/>
                    </w:rPr>
                    <w:t xml:space="preserve"> 长沙县城区与长沙市市区</w:t>
                  </w:r>
                </w:p>
                <w:p>
                  <w:pPr>
                    <w:shd w:val="clear" w:color="auto" w:fill="FFFFFF"/>
                    <w:spacing w:line="240" w:lineRule="exact"/>
                    <w:jc w:val="center"/>
                    <w:rPr>
                      <w:b/>
                      <w:sz w:val="20"/>
                    </w:rPr>
                  </w:pPr>
                  <w:r>
                    <w:rPr>
                      <w:rFonts w:hint="eastAsia"/>
                      <w:b/>
                      <w:sz w:val="20"/>
                    </w:rPr>
                    <w:t>工矿仓储</w:t>
                  </w:r>
                  <w:r>
                    <w:rPr>
                      <w:b/>
                      <w:sz w:val="20"/>
                    </w:rPr>
                    <w:t>土地级别及基准地价对比图</w:t>
                  </w:r>
                </w:p>
              </w:txbxContent>
            </v:textbox>
          </v:rect>
        </w:pict>
      </w:r>
      <w:r>
        <w:rPr>
          <w:rFonts w:ascii="Times New Roman" w:hAnsi="Times New Roman" w:eastAsia="宋体" w:cs="Times New Roman"/>
          <w:b/>
          <w:kern w:val="2"/>
          <w:sz w:val="20"/>
          <w:lang w:val="en-US" w:eastAsia="zh-CN" w:bidi="ar-SA"/>
        </w:rPr>
        <w:pict>
          <v:rect id="文本框 6" o:spid="_x0000_s1387" style="position:absolute;left:0;margin-left:-4.1pt;margin-top:331.95pt;height:35.7pt;width:197.8pt;rotation:0f;z-index:251712512;" o:ole="f" fillcolor="#FFFFFF" filled="t" o:preferrelative="t" stroked="f" coordsize="21600,21600">
            <v:fill opacity="0%" focus="0%"/>
            <v:imagedata gain="65536f" blacklevel="0f" gamma="0"/>
            <o:lock v:ext="edit" position="f" selection="f" grouping="f" rotation="f" cropping="f" text="f" aspectratio="f"/>
            <v:textbox>
              <w:txbxContent>
                <w:p>
                  <w:pPr>
                    <w:shd w:val="clear" w:color="auto" w:fill="FFFFFF"/>
                    <w:spacing w:line="240" w:lineRule="exact"/>
                    <w:jc w:val="center"/>
                    <w:rPr>
                      <w:b/>
                      <w:sz w:val="20"/>
                    </w:rPr>
                  </w:pPr>
                  <w:r>
                    <w:rPr>
                      <w:rFonts w:hint="eastAsia"/>
                      <w:b/>
                      <w:sz w:val="20"/>
                    </w:rPr>
                    <w:t>图6-1-1 长沙县城区与长沙市市区</w:t>
                  </w:r>
                </w:p>
                <w:p>
                  <w:pPr>
                    <w:shd w:val="clear" w:color="auto" w:fill="FFFFFF"/>
                    <w:spacing w:line="240" w:lineRule="exact"/>
                    <w:jc w:val="center"/>
                    <w:rPr>
                      <w:rFonts w:ascii="仿宋_GB2312"/>
                      <w:b/>
                      <w:sz w:val="20"/>
                    </w:rPr>
                  </w:pPr>
                  <w:r>
                    <w:rPr>
                      <w:rFonts w:hint="eastAsia"/>
                      <w:b/>
                      <w:sz w:val="20"/>
                    </w:rPr>
                    <w:t>商服与住宅土地级别及基准地价对比图</w:t>
                  </w:r>
                </w:p>
              </w:txbxContent>
            </v:textbox>
          </v:rect>
        </w:pict>
      </w:r>
      <w:r>
        <w:rPr>
          <w:rFonts w:ascii="Times New Roman" w:hAnsi="Times New Roman" w:eastAsia="宋体" w:cs="Times New Roman"/>
          <w:kern w:val="0"/>
          <w:sz w:val="24"/>
          <w:lang w:val="en-US" w:eastAsia="zh-CN" w:bidi="ar-SA"/>
        </w:rPr>
        <w:pict>
          <v:shape id="图片 16" o:spid="_x0000_s1388" type="#_x0000_t75" style="position:absolute;left:0;margin-left:230.75pt;margin-top:10.6pt;height:316.1pt;width:223.25pt;mso-wrap-distance-bottom:0pt;mso-wrap-distance-top:0pt;rotation:0f;z-index:251711488;" o:ole="f" fillcolor="#FFFFFF" filled="f" o:preferrelative="t" stroked="t" coordorigin="0,0" coordsize="21600,21600">
            <v:fill on="f" color2="#FFFFFF" focus="0%"/>
            <v:stroke weight="1pt" color="#000000" color2="#FFFFFF" joinstyle="round"/>
            <v:imagedata gain="65536f" blacklevel="0f" gamma="0" o:title="" r:id="rId187"/>
            <o:lock v:ext="edit" position="f" selection="f" grouping="f" rotation="f" cropping="f" text="f" aspectratio="t"/>
            <w10:wrap type="topAndBottom"/>
          </v:shape>
        </w:pict>
      </w:r>
      <w:r>
        <w:rPr>
          <w:sz w:val="28"/>
          <w:szCs w:val="28"/>
        </w:rPr>
        <w:t xml:space="preserve">   </w:t>
      </w:r>
    </w:p>
    <w:p>
      <w:pPr>
        <w:shd w:val="clear" w:color="auto" w:fill="FFFFFF"/>
        <w:spacing w:line="240" w:lineRule="exact"/>
        <w:ind w:firstLine="482" w:firstLineChars="200"/>
        <w:jc w:val="center"/>
        <w:rPr>
          <w:b/>
          <w:sz w:val="24"/>
          <w:szCs w:val="24"/>
        </w:rPr>
      </w:pPr>
    </w:p>
    <w:p>
      <w:pPr>
        <w:shd w:val="clear" w:color="auto" w:fill="FFFFFF"/>
        <w:spacing w:line="240" w:lineRule="exact"/>
        <w:ind w:firstLine="482" w:firstLineChars="200"/>
        <w:jc w:val="center"/>
        <w:rPr>
          <w:b/>
          <w:sz w:val="24"/>
          <w:szCs w:val="24"/>
        </w:rPr>
      </w:pPr>
    </w:p>
    <w:p>
      <w:pPr>
        <w:shd w:val="clear" w:color="auto" w:fill="FFFFFF"/>
        <w:spacing w:line="240" w:lineRule="exact"/>
        <w:ind w:firstLine="482" w:firstLineChars="200"/>
        <w:jc w:val="center"/>
        <w:rPr>
          <w:b/>
          <w:sz w:val="24"/>
          <w:szCs w:val="24"/>
        </w:rPr>
      </w:pPr>
      <w:r>
        <w:rPr>
          <w:b/>
          <w:sz w:val="24"/>
          <w:szCs w:val="24"/>
        </w:rPr>
        <w:t>表</w:t>
      </w:r>
      <w:r>
        <w:rPr>
          <w:rFonts w:hint="eastAsia"/>
          <w:b/>
          <w:sz w:val="24"/>
          <w:szCs w:val="24"/>
        </w:rPr>
        <w:t>6</w:t>
      </w:r>
      <w:r>
        <w:rPr>
          <w:b/>
          <w:sz w:val="24"/>
          <w:szCs w:val="24"/>
        </w:rPr>
        <w:t>-</w:t>
      </w:r>
      <w:r>
        <w:rPr>
          <w:rFonts w:hint="eastAsia"/>
          <w:b/>
          <w:sz w:val="24"/>
          <w:szCs w:val="24"/>
        </w:rPr>
        <w:t>1</w:t>
      </w:r>
      <w:r>
        <w:rPr>
          <w:b/>
          <w:sz w:val="24"/>
          <w:szCs w:val="24"/>
        </w:rPr>
        <w:t>-</w:t>
      </w:r>
      <w:r>
        <w:rPr>
          <w:rFonts w:hint="eastAsia"/>
          <w:b/>
          <w:sz w:val="24"/>
          <w:szCs w:val="24"/>
        </w:rPr>
        <w:t>2</w:t>
      </w:r>
      <w:r>
        <w:rPr>
          <w:b/>
          <w:sz w:val="24"/>
          <w:szCs w:val="24"/>
        </w:rPr>
        <w:t>长沙县城区与长沙市市区基准地价横向对比</w:t>
      </w:r>
    </w:p>
    <w:p>
      <w:pPr>
        <w:shd w:val="clear" w:color="auto" w:fill="FFFFFF"/>
        <w:spacing w:line="240" w:lineRule="exact"/>
        <w:ind w:firstLine="402" w:firstLineChars="200"/>
        <w:jc w:val="right"/>
        <w:rPr>
          <w:b/>
          <w:sz w:val="20"/>
        </w:rPr>
      </w:pPr>
      <w:r>
        <w:rPr>
          <w:b/>
          <w:sz w:val="20"/>
        </w:rPr>
        <w:t>单位：元/平方米</w:t>
      </w:r>
    </w:p>
    <w:tbl>
      <w:tblPr>
        <w:tblW w:w="90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63"/>
        <w:gridCol w:w="1363"/>
        <w:gridCol w:w="953"/>
        <w:gridCol w:w="821"/>
        <w:gridCol w:w="821"/>
        <w:gridCol w:w="821"/>
        <w:gridCol w:w="821"/>
        <w:gridCol w:w="821"/>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tblHeader/>
          <w:jc w:val="center"/>
        </w:trPr>
        <w:tc>
          <w:tcPr>
            <w:tcW w:w="1363" w:type="dxa"/>
            <w:tcBorders>
              <w:top w:val="single" w:color="auto" w:sz="4" w:space="0"/>
              <w:left w:val="single" w:color="auto" w:sz="4" w:space="0"/>
              <w:bottom w:val="single" w:color="auto" w:sz="4" w:space="0"/>
              <w:right w:val="single" w:color="auto" w:sz="4" w:space="0"/>
            </w:tcBorders>
            <w:vAlign w:val="center"/>
          </w:tcPr>
          <w:p>
            <w:pPr>
              <w:widowControl/>
              <w:jc w:val="center"/>
              <w:rPr>
                <w:b/>
                <w:bCs/>
                <w:color w:val="000000"/>
                <w:kern w:val="0"/>
                <w:sz w:val="20"/>
              </w:rPr>
            </w:pPr>
            <w:r>
              <w:rPr>
                <w:b/>
                <w:bCs/>
                <w:color w:val="000000"/>
                <w:kern w:val="0"/>
                <w:sz w:val="20"/>
              </w:rPr>
              <w:t>用地类型</w:t>
            </w:r>
          </w:p>
        </w:tc>
        <w:tc>
          <w:tcPr>
            <w:tcW w:w="1363" w:type="dxa"/>
            <w:tcBorders>
              <w:top w:val="single" w:color="auto" w:sz="4" w:space="0"/>
              <w:left w:val="nil"/>
              <w:bottom w:val="single" w:color="auto" w:sz="4" w:space="0"/>
              <w:right w:val="single" w:color="000000" w:sz="4" w:space="0"/>
            </w:tcBorders>
            <w:vAlign w:val="center"/>
          </w:tcPr>
          <w:p>
            <w:pPr>
              <w:widowControl/>
              <w:jc w:val="center"/>
              <w:rPr>
                <w:b/>
                <w:bCs/>
                <w:color w:val="000000"/>
                <w:kern w:val="0"/>
                <w:sz w:val="20"/>
              </w:rPr>
            </w:pPr>
            <w:r>
              <w:rPr>
                <w:b/>
                <w:bCs/>
                <w:color w:val="000000"/>
                <w:kern w:val="0"/>
                <w:sz w:val="20"/>
              </w:rPr>
              <w:t>行政单位</w:t>
            </w:r>
          </w:p>
        </w:tc>
        <w:tc>
          <w:tcPr>
            <w:tcW w:w="953" w:type="dxa"/>
            <w:tcBorders>
              <w:top w:val="single" w:color="auto" w:sz="4" w:space="0"/>
              <w:left w:val="nil"/>
              <w:bottom w:val="single" w:color="auto" w:sz="4" w:space="0"/>
              <w:right w:val="single" w:color="auto" w:sz="4" w:space="0"/>
            </w:tcBorders>
            <w:vAlign w:val="center"/>
          </w:tcPr>
          <w:p>
            <w:pPr>
              <w:widowControl/>
              <w:jc w:val="center"/>
              <w:rPr>
                <w:b/>
                <w:bCs/>
                <w:color w:val="000000"/>
                <w:kern w:val="0"/>
                <w:sz w:val="20"/>
              </w:rPr>
            </w:pPr>
            <w:r>
              <w:rPr>
                <w:b/>
                <w:bCs/>
                <w:color w:val="000000"/>
                <w:kern w:val="0"/>
                <w:sz w:val="20"/>
              </w:rPr>
              <w:t>一级</w:t>
            </w:r>
          </w:p>
        </w:tc>
        <w:tc>
          <w:tcPr>
            <w:tcW w:w="82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 w:val="20"/>
              </w:rPr>
            </w:pPr>
            <w:r>
              <w:rPr>
                <w:b/>
                <w:bCs/>
                <w:color w:val="000000"/>
                <w:kern w:val="0"/>
                <w:sz w:val="20"/>
              </w:rPr>
              <w:t>二级</w:t>
            </w:r>
          </w:p>
        </w:tc>
        <w:tc>
          <w:tcPr>
            <w:tcW w:w="82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 w:val="20"/>
              </w:rPr>
            </w:pPr>
            <w:r>
              <w:rPr>
                <w:b/>
                <w:bCs/>
                <w:color w:val="000000"/>
                <w:kern w:val="0"/>
                <w:sz w:val="20"/>
              </w:rPr>
              <w:t>三级</w:t>
            </w:r>
          </w:p>
        </w:tc>
        <w:tc>
          <w:tcPr>
            <w:tcW w:w="82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 w:val="20"/>
              </w:rPr>
            </w:pPr>
            <w:r>
              <w:rPr>
                <w:b/>
                <w:bCs/>
                <w:color w:val="000000"/>
                <w:kern w:val="0"/>
                <w:sz w:val="20"/>
              </w:rPr>
              <w:t>四级</w:t>
            </w:r>
          </w:p>
        </w:tc>
        <w:tc>
          <w:tcPr>
            <w:tcW w:w="82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 w:val="20"/>
              </w:rPr>
            </w:pPr>
            <w:r>
              <w:rPr>
                <w:b/>
                <w:bCs/>
                <w:color w:val="000000"/>
                <w:kern w:val="0"/>
                <w:sz w:val="20"/>
              </w:rPr>
              <w:t>五级</w:t>
            </w:r>
          </w:p>
        </w:tc>
        <w:tc>
          <w:tcPr>
            <w:tcW w:w="821" w:type="dxa"/>
            <w:tcBorders>
              <w:top w:val="single" w:color="auto" w:sz="4" w:space="0"/>
              <w:left w:val="nil"/>
              <w:bottom w:val="single" w:color="auto" w:sz="4" w:space="0"/>
              <w:right w:val="single" w:color="auto" w:sz="4" w:space="0"/>
            </w:tcBorders>
            <w:vAlign w:val="center"/>
          </w:tcPr>
          <w:p>
            <w:pPr>
              <w:widowControl/>
              <w:jc w:val="center"/>
              <w:rPr>
                <w:b/>
                <w:bCs/>
                <w:color w:val="000000"/>
                <w:kern w:val="0"/>
                <w:sz w:val="20"/>
              </w:rPr>
            </w:pPr>
            <w:r>
              <w:rPr>
                <w:b/>
                <w:bCs/>
                <w:color w:val="000000"/>
                <w:kern w:val="0"/>
                <w:sz w:val="20"/>
              </w:rPr>
              <w:t>六级</w:t>
            </w:r>
          </w:p>
        </w:tc>
        <w:tc>
          <w:tcPr>
            <w:tcW w:w="1219" w:type="dxa"/>
            <w:tcBorders>
              <w:top w:val="single" w:color="auto" w:sz="4" w:space="0"/>
              <w:left w:val="nil"/>
              <w:bottom w:val="single" w:color="auto" w:sz="4" w:space="0"/>
              <w:right w:val="single" w:color="auto" w:sz="4" w:space="0"/>
            </w:tcBorders>
            <w:vAlign w:val="center"/>
          </w:tcPr>
          <w:p>
            <w:pPr>
              <w:widowControl/>
              <w:jc w:val="center"/>
              <w:rPr>
                <w:b/>
                <w:bCs/>
                <w:color w:val="000000"/>
                <w:kern w:val="0"/>
                <w:sz w:val="20"/>
              </w:rPr>
            </w:pPr>
            <w:r>
              <w:rPr>
                <w:b/>
                <w:bCs/>
                <w:color w:val="000000"/>
                <w:kern w:val="0"/>
                <w:sz w:val="20"/>
              </w:rPr>
              <w:t>基准日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商服</w:t>
            </w:r>
          </w:p>
        </w:tc>
        <w:tc>
          <w:tcPr>
            <w:tcW w:w="1363" w:type="dxa"/>
            <w:tcBorders>
              <w:top w:val="single" w:color="auto" w:sz="4" w:space="0"/>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长沙县</w:t>
            </w:r>
          </w:p>
        </w:tc>
        <w:tc>
          <w:tcPr>
            <w:tcW w:w="953" w:type="dxa"/>
            <w:tcBorders>
              <w:top w:val="nil"/>
              <w:left w:val="nil"/>
              <w:bottom w:val="single" w:color="auto" w:sz="4" w:space="0"/>
              <w:right w:val="single" w:color="auto" w:sz="4" w:space="0"/>
            </w:tcBorders>
            <w:vAlign w:val="center"/>
          </w:tcPr>
          <w:p>
            <w:pPr>
              <w:jc w:val="center"/>
              <w:rPr>
                <w:rFonts w:eastAsia="仿宋_GB2312"/>
                <w:color w:val="000000"/>
                <w:sz w:val="20"/>
              </w:rPr>
            </w:pPr>
            <w:r>
              <w:rPr>
                <w:color w:val="000000"/>
                <w:sz w:val="20"/>
              </w:rPr>
              <w:t>4590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3360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2550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1780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1280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w:t>
            </w:r>
          </w:p>
        </w:tc>
        <w:tc>
          <w:tcPr>
            <w:tcW w:w="1219"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color w:val="000000"/>
                <w:sz w:val="20"/>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p>
        </w:tc>
        <w:tc>
          <w:tcPr>
            <w:tcW w:w="1363" w:type="dxa"/>
            <w:tcBorders>
              <w:top w:val="single" w:color="auto" w:sz="4" w:space="0"/>
              <w:left w:val="nil"/>
              <w:bottom w:val="single" w:color="auto" w:sz="4" w:space="0"/>
              <w:right w:val="single" w:color="000000" w:sz="4" w:space="0"/>
            </w:tcBorders>
            <w:vAlign w:val="center"/>
          </w:tcPr>
          <w:p>
            <w:pPr>
              <w:widowControl/>
              <w:jc w:val="center"/>
              <w:rPr>
                <w:color w:val="000000"/>
                <w:kern w:val="0"/>
                <w:sz w:val="20"/>
              </w:rPr>
            </w:pPr>
            <w:r>
              <w:rPr>
                <w:color w:val="000000"/>
                <w:kern w:val="0"/>
                <w:sz w:val="20"/>
              </w:rPr>
              <w:t>长沙市</w:t>
            </w:r>
          </w:p>
        </w:tc>
        <w:tc>
          <w:tcPr>
            <w:tcW w:w="953"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12100</w:t>
            </w:r>
          </w:p>
        </w:tc>
        <w:tc>
          <w:tcPr>
            <w:tcW w:w="821"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8600</w:t>
            </w:r>
          </w:p>
        </w:tc>
        <w:tc>
          <w:tcPr>
            <w:tcW w:w="821"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6190</w:t>
            </w:r>
          </w:p>
        </w:tc>
        <w:tc>
          <w:tcPr>
            <w:tcW w:w="821"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4470</w:t>
            </w:r>
          </w:p>
        </w:tc>
        <w:tc>
          <w:tcPr>
            <w:tcW w:w="821"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3020</w:t>
            </w:r>
          </w:p>
        </w:tc>
        <w:tc>
          <w:tcPr>
            <w:tcW w:w="821"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2120</w:t>
            </w:r>
          </w:p>
        </w:tc>
        <w:tc>
          <w:tcPr>
            <w:tcW w:w="1219"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2016.5.1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住宅</w:t>
            </w:r>
          </w:p>
        </w:tc>
        <w:tc>
          <w:tcPr>
            <w:tcW w:w="1363" w:type="dxa"/>
            <w:tcBorders>
              <w:top w:val="single" w:color="auto" w:sz="4" w:space="0"/>
              <w:left w:val="nil"/>
              <w:bottom w:val="single" w:color="auto" w:sz="4" w:space="0"/>
              <w:right w:val="single" w:color="000000" w:sz="4" w:space="0"/>
            </w:tcBorders>
            <w:vAlign w:val="center"/>
          </w:tcPr>
          <w:p>
            <w:pPr>
              <w:widowControl/>
              <w:jc w:val="center"/>
              <w:rPr>
                <w:color w:val="000000"/>
                <w:kern w:val="0"/>
                <w:sz w:val="20"/>
              </w:rPr>
            </w:pPr>
            <w:r>
              <w:rPr>
                <w:color w:val="000000"/>
                <w:kern w:val="0"/>
                <w:sz w:val="20"/>
              </w:rPr>
              <w:t>长沙县</w:t>
            </w:r>
          </w:p>
        </w:tc>
        <w:tc>
          <w:tcPr>
            <w:tcW w:w="953"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3480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2540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1920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1480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1060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w:t>
            </w:r>
          </w:p>
        </w:tc>
        <w:tc>
          <w:tcPr>
            <w:tcW w:w="1219"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color w:val="000000"/>
                <w:sz w:val="20"/>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p>
        </w:tc>
        <w:tc>
          <w:tcPr>
            <w:tcW w:w="1363" w:type="dxa"/>
            <w:tcBorders>
              <w:top w:val="single" w:color="auto" w:sz="4" w:space="0"/>
              <w:left w:val="nil"/>
              <w:bottom w:val="single" w:color="auto" w:sz="4" w:space="0"/>
              <w:right w:val="single" w:color="000000" w:sz="4" w:space="0"/>
            </w:tcBorders>
            <w:vAlign w:val="center"/>
          </w:tcPr>
          <w:p>
            <w:pPr>
              <w:widowControl/>
              <w:jc w:val="center"/>
              <w:rPr>
                <w:color w:val="000000"/>
                <w:kern w:val="0"/>
                <w:sz w:val="20"/>
              </w:rPr>
            </w:pPr>
            <w:r>
              <w:rPr>
                <w:color w:val="000000"/>
                <w:kern w:val="0"/>
                <w:sz w:val="20"/>
              </w:rPr>
              <w:t>长沙市</w:t>
            </w:r>
          </w:p>
        </w:tc>
        <w:tc>
          <w:tcPr>
            <w:tcW w:w="953"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9000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6480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4750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3320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2340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1620</w:t>
            </w:r>
          </w:p>
        </w:tc>
        <w:tc>
          <w:tcPr>
            <w:tcW w:w="1219"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2016.5.1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工矿仓储</w:t>
            </w:r>
          </w:p>
        </w:tc>
        <w:tc>
          <w:tcPr>
            <w:tcW w:w="1363" w:type="dxa"/>
            <w:tcBorders>
              <w:top w:val="single" w:color="auto" w:sz="4" w:space="0"/>
              <w:left w:val="nil"/>
              <w:bottom w:val="single" w:color="auto" w:sz="4" w:space="0"/>
              <w:right w:val="single" w:color="000000" w:sz="4" w:space="0"/>
            </w:tcBorders>
            <w:vAlign w:val="center"/>
          </w:tcPr>
          <w:p>
            <w:pPr>
              <w:widowControl/>
              <w:jc w:val="center"/>
              <w:rPr>
                <w:color w:val="000000"/>
                <w:kern w:val="0"/>
                <w:sz w:val="20"/>
              </w:rPr>
            </w:pPr>
            <w:r>
              <w:rPr>
                <w:color w:val="000000"/>
                <w:kern w:val="0"/>
                <w:sz w:val="20"/>
              </w:rPr>
              <w:t>长沙县</w:t>
            </w:r>
          </w:p>
        </w:tc>
        <w:tc>
          <w:tcPr>
            <w:tcW w:w="953"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1280</w:t>
            </w:r>
          </w:p>
        </w:tc>
        <w:tc>
          <w:tcPr>
            <w:tcW w:w="821"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100</w:t>
            </w:r>
            <w:r>
              <w:rPr>
                <w:rFonts w:hint="eastAsia"/>
                <w:color w:val="000000"/>
                <w:kern w:val="0"/>
                <w:sz w:val="20"/>
              </w:rPr>
              <w:t>0</w:t>
            </w:r>
          </w:p>
        </w:tc>
        <w:tc>
          <w:tcPr>
            <w:tcW w:w="821"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78</w:t>
            </w:r>
            <w:r>
              <w:rPr>
                <w:rFonts w:hint="eastAsia"/>
                <w:color w:val="000000"/>
                <w:kern w:val="0"/>
                <w:sz w:val="20"/>
              </w:rPr>
              <w:t>0</w:t>
            </w:r>
          </w:p>
        </w:tc>
        <w:tc>
          <w:tcPr>
            <w:tcW w:w="821"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61</w:t>
            </w:r>
            <w:r>
              <w:rPr>
                <w:rFonts w:hint="eastAsia"/>
                <w:color w:val="000000"/>
                <w:kern w:val="0"/>
                <w:sz w:val="20"/>
              </w:rPr>
              <w:t>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480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w:t>
            </w:r>
          </w:p>
        </w:tc>
        <w:tc>
          <w:tcPr>
            <w:tcW w:w="1219"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color w:val="000000"/>
                <w:sz w:val="20"/>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rPr>
            </w:pPr>
          </w:p>
        </w:tc>
        <w:tc>
          <w:tcPr>
            <w:tcW w:w="1363" w:type="dxa"/>
            <w:tcBorders>
              <w:top w:val="single" w:color="auto" w:sz="4" w:space="0"/>
              <w:left w:val="nil"/>
              <w:bottom w:val="single" w:color="auto" w:sz="4" w:space="0"/>
              <w:right w:val="single" w:color="000000" w:sz="4" w:space="0"/>
            </w:tcBorders>
            <w:vAlign w:val="center"/>
          </w:tcPr>
          <w:p>
            <w:pPr>
              <w:widowControl/>
              <w:jc w:val="center"/>
              <w:rPr>
                <w:color w:val="000000"/>
                <w:kern w:val="0"/>
                <w:sz w:val="20"/>
              </w:rPr>
            </w:pPr>
            <w:r>
              <w:rPr>
                <w:color w:val="000000"/>
                <w:kern w:val="0"/>
                <w:sz w:val="20"/>
              </w:rPr>
              <w:t>长沙市</w:t>
            </w:r>
          </w:p>
        </w:tc>
        <w:tc>
          <w:tcPr>
            <w:tcW w:w="953" w:type="dxa"/>
            <w:tcBorders>
              <w:top w:val="nil"/>
              <w:left w:val="nil"/>
              <w:bottom w:val="single" w:color="auto" w:sz="4" w:space="0"/>
              <w:right w:val="single" w:color="auto" w:sz="4" w:space="0"/>
            </w:tcBorders>
            <w:vAlign w:val="center"/>
          </w:tcPr>
          <w:p>
            <w:pPr>
              <w:widowControl/>
              <w:jc w:val="center"/>
              <w:rPr>
                <w:color w:val="000000"/>
                <w:kern w:val="0"/>
                <w:sz w:val="20"/>
              </w:rPr>
            </w:pPr>
            <w:r>
              <w:rPr>
                <w:color w:val="000000"/>
                <w:kern w:val="0"/>
                <w:sz w:val="20"/>
              </w:rPr>
              <w:t>2120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1630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1250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800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680</w:t>
            </w:r>
          </w:p>
        </w:tc>
        <w:tc>
          <w:tcPr>
            <w:tcW w:w="821"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570</w:t>
            </w:r>
          </w:p>
        </w:tc>
        <w:tc>
          <w:tcPr>
            <w:tcW w:w="1219" w:type="dxa"/>
            <w:tcBorders>
              <w:top w:val="nil"/>
              <w:left w:val="nil"/>
              <w:bottom w:val="single" w:color="auto" w:sz="4" w:space="0"/>
              <w:right w:val="single" w:color="auto" w:sz="4" w:space="0"/>
            </w:tcBorders>
            <w:vAlign w:val="center"/>
          </w:tcPr>
          <w:p>
            <w:pPr>
              <w:jc w:val="center"/>
              <w:rPr>
                <w:color w:val="000000"/>
                <w:sz w:val="20"/>
              </w:rPr>
            </w:pPr>
            <w:r>
              <w:rPr>
                <w:color w:val="000000"/>
                <w:sz w:val="20"/>
              </w:rPr>
              <w:t>2016.5.1</w:t>
            </w:r>
          </w:p>
        </w:tc>
      </w:tr>
    </w:tbl>
    <w:p>
      <w:pPr>
        <w:spacing w:line="440" w:lineRule="exact"/>
        <w:ind w:firstLine="480" w:firstLineChars="200"/>
        <w:jc w:val="left"/>
        <w:rPr>
          <w:sz w:val="24"/>
        </w:rPr>
      </w:pPr>
      <w:r>
        <w:rPr>
          <w:sz w:val="24"/>
        </w:rPr>
        <w:t>2、与市域内其他县市横向对比分析</w:t>
      </w:r>
    </w:p>
    <w:p>
      <w:pPr>
        <w:spacing w:line="440" w:lineRule="exact"/>
        <w:ind w:firstLine="480" w:firstLineChars="200"/>
        <w:jc w:val="left"/>
        <w:rPr>
          <w:sz w:val="24"/>
        </w:rPr>
      </w:pPr>
      <w:r>
        <w:rPr>
          <w:sz w:val="24"/>
        </w:rPr>
        <w:t>众所周知，不同区域的地价水平相差较大，这种差异主要由于各区域的社会经济发展水平及土地供需状况等因素的不同所致，但一个城市的地价水平应该与它的社会经济指标，如人均国内生产总值、社会商品零售总额等在地区的地位相协调。为了分析长沙县城区土地基准地价测算结果及其地价总体水平合理与否，我们收集了长沙县、宁乡市和浏阳市的人均国内生产总值、人均消费品零售额、城镇固定资产投资、地方财政收入、城镇化水平等社会经济指标及基准地价资料；详见表</w:t>
      </w:r>
      <w:r>
        <w:rPr>
          <w:rFonts w:hint="eastAsia"/>
          <w:sz w:val="24"/>
        </w:rPr>
        <w:t>6</w:t>
      </w:r>
      <w:r>
        <w:rPr>
          <w:sz w:val="24"/>
        </w:rPr>
        <w:t>-</w:t>
      </w:r>
      <w:r>
        <w:rPr>
          <w:rFonts w:hint="eastAsia"/>
          <w:sz w:val="24"/>
        </w:rPr>
        <w:t>1</w:t>
      </w:r>
      <w:r>
        <w:rPr>
          <w:sz w:val="24"/>
        </w:rPr>
        <w:t>-</w:t>
      </w:r>
      <w:r>
        <w:rPr>
          <w:rFonts w:hint="eastAsia"/>
          <w:sz w:val="24"/>
        </w:rPr>
        <w:t>3</w:t>
      </w:r>
      <w:r>
        <w:rPr>
          <w:sz w:val="24"/>
        </w:rPr>
        <w:t>,表</w:t>
      </w:r>
      <w:r>
        <w:rPr>
          <w:rFonts w:hint="eastAsia"/>
          <w:sz w:val="24"/>
        </w:rPr>
        <w:t>6</w:t>
      </w:r>
      <w:r>
        <w:rPr>
          <w:sz w:val="24"/>
        </w:rPr>
        <w:t>-</w:t>
      </w:r>
      <w:r>
        <w:rPr>
          <w:rFonts w:hint="eastAsia"/>
          <w:sz w:val="24"/>
        </w:rPr>
        <w:t>1</w:t>
      </w:r>
      <w:r>
        <w:rPr>
          <w:sz w:val="24"/>
        </w:rPr>
        <w:t>-</w:t>
      </w:r>
      <w:r>
        <w:rPr>
          <w:rFonts w:hint="eastAsia"/>
          <w:sz w:val="24"/>
        </w:rPr>
        <w:t>4</w:t>
      </w:r>
      <w:r>
        <w:rPr>
          <w:sz w:val="24"/>
        </w:rPr>
        <w:t>。</w:t>
      </w:r>
    </w:p>
    <w:p>
      <w:pPr>
        <w:widowControl/>
        <w:jc w:val="center"/>
        <w:rPr>
          <w:b/>
          <w:sz w:val="20"/>
        </w:rPr>
      </w:pPr>
      <w:r>
        <w:rPr>
          <w:b/>
          <w:sz w:val="24"/>
          <w:szCs w:val="24"/>
        </w:rPr>
        <w:t>表</w:t>
      </w:r>
      <w:r>
        <w:rPr>
          <w:rFonts w:hint="eastAsia"/>
          <w:b/>
          <w:sz w:val="24"/>
          <w:szCs w:val="24"/>
        </w:rPr>
        <w:t>6</w:t>
      </w:r>
      <w:r>
        <w:rPr>
          <w:b/>
          <w:sz w:val="24"/>
          <w:szCs w:val="24"/>
        </w:rPr>
        <w:t>-</w:t>
      </w:r>
      <w:r>
        <w:rPr>
          <w:rFonts w:hint="eastAsia"/>
          <w:b/>
          <w:sz w:val="24"/>
          <w:szCs w:val="24"/>
        </w:rPr>
        <w:t>1</w:t>
      </w:r>
      <w:r>
        <w:rPr>
          <w:b/>
          <w:sz w:val="24"/>
          <w:szCs w:val="24"/>
        </w:rPr>
        <w:t>-</w:t>
      </w:r>
      <w:r>
        <w:rPr>
          <w:rFonts w:hint="eastAsia"/>
          <w:b/>
          <w:sz w:val="24"/>
          <w:szCs w:val="24"/>
        </w:rPr>
        <w:t>3</w:t>
      </w:r>
      <w:r>
        <w:rPr>
          <w:b/>
          <w:sz w:val="24"/>
          <w:szCs w:val="24"/>
        </w:rPr>
        <w:t xml:space="preserve"> 长沙市各县（市、区）2017年社会经济统计表</w:t>
      </w:r>
    </w:p>
    <w:tbl>
      <w:tblPr>
        <w:tblpPr w:leftFromText="180" w:rightFromText="180" w:vertAnchor="text" w:horzAnchor="margin" w:tblpXSpec="center" w:tblpY="634"/>
        <w:tblW w:w="1038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9"/>
        <w:gridCol w:w="850"/>
        <w:gridCol w:w="1134"/>
        <w:gridCol w:w="1134"/>
        <w:gridCol w:w="993"/>
        <w:gridCol w:w="1134"/>
        <w:gridCol w:w="1134"/>
        <w:gridCol w:w="1134"/>
        <w:gridCol w:w="992"/>
        <w:gridCol w:w="9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trPr>
        <w:tc>
          <w:tcPr>
            <w:tcW w:w="959"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40" w:lineRule="exact"/>
              <w:jc w:val="center"/>
              <w:rPr>
                <w:b/>
                <w:kern w:val="0"/>
                <w:sz w:val="20"/>
              </w:rPr>
            </w:pPr>
            <w:r>
              <w:rPr>
                <w:b/>
                <w:kern w:val="0"/>
                <w:sz w:val="20"/>
              </w:rPr>
              <w:t>县（市、区）</w:t>
            </w:r>
          </w:p>
        </w:tc>
        <w:tc>
          <w:tcPr>
            <w:tcW w:w="3118" w:type="dxa"/>
            <w:gridSpan w:val="3"/>
            <w:tcBorders>
              <w:top w:val="single" w:color="auto" w:sz="4" w:space="0"/>
              <w:left w:val="nil"/>
              <w:bottom w:val="single" w:color="auto" w:sz="4" w:space="0"/>
              <w:right w:val="single" w:color="000000" w:sz="4" w:space="0"/>
            </w:tcBorders>
            <w:vAlign w:val="center"/>
          </w:tcPr>
          <w:p>
            <w:pPr>
              <w:widowControl/>
              <w:spacing w:line="240" w:lineRule="exact"/>
              <w:jc w:val="center"/>
              <w:rPr>
                <w:b/>
                <w:kern w:val="0"/>
                <w:sz w:val="20"/>
              </w:rPr>
            </w:pPr>
            <w:r>
              <w:rPr>
                <w:b/>
                <w:kern w:val="0"/>
                <w:sz w:val="20"/>
              </w:rPr>
              <w:t>地均GDP产值</w:t>
            </w:r>
          </w:p>
        </w:tc>
        <w:tc>
          <w:tcPr>
            <w:tcW w:w="3261" w:type="dxa"/>
            <w:gridSpan w:val="3"/>
            <w:tcBorders>
              <w:top w:val="single" w:color="auto" w:sz="4" w:space="0"/>
              <w:left w:val="nil"/>
              <w:bottom w:val="single" w:color="auto" w:sz="4" w:space="0"/>
              <w:right w:val="single" w:color="000000" w:sz="4" w:space="0"/>
            </w:tcBorders>
            <w:vAlign w:val="center"/>
          </w:tcPr>
          <w:p>
            <w:pPr>
              <w:widowControl/>
              <w:spacing w:line="240" w:lineRule="exact"/>
              <w:jc w:val="center"/>
              <w:rPr>
                <w:b/>
                <w:kern w:val="0"/>
                <w:sz w:val="20"/>
              </w:rPr>
            </w:pPr>
            <w:r>
              <w:rPr>
                <w:b/>
                <w:kern w:val="0"/>
                <w:sz w:val="20"/>
              </w:rPr>
              <w:t>人均消费品零售额</w:t>
            </w:r>
          </w:p>
        </w:tc>
        <w:tc>
          <w:tcPr>
            <w:tcW w:w="1134"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40" w:lineRule="exact"/>
              <w:jc w:val="center"/>
              <w:rPr>
                <w:b/>
                <w:kern w:val="0"/>
                <w:sz w:val="20"/>
              </w:rPr>
            </w:pPr>
            <w:r>
              <w:rPr>
                <w:b/>
                <w:kern w:val="0"/>
                <w:sz w:val="20"/>
              </w:rPr>
              <w:t>城镇固定资产投资</w:t>
            </w:r>
          </w:p>
        </w:tc>
        <w:tc>
          <w:tcPr>
            <w:tcW w:w="992"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40" w:lineRule="exact"/>
              <w:jc w:val="center"/>
              <w:rPr>
                <w:b/>
                <w:kern w:val="0"/>
                <w:sz w:val="20"/>
              </w:rPr>
            </w:pPr>
            <w:r>
              <w:rPr>
                <w:b/>
                <w:kern w:val="0"/>
                <w:sz w:val="20"/>
              </w:rPr>
              <w:t>地方财政收入</w:t>
            </w:r>
          </w:p>
        </w:tc>
        <w:tc>
          <w:tcPr>
            <w:tcW w:w="919"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40" w:lineRule="exact"/>
              <w:jc w:val="center"/>
              <w:rPr>
                <w:b/>
                <w:kern w:val="0"/>
                <w:sz w:val="20"/>
              </w:rPr>
            </w:pPr>
            <w:r>
              <w:rPr>
                <w:b/>
                <w:kern w:val="0"/>
                <w:sz w:val="20"/>
              </w:rPr>
              <w:t>城镇化水平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trPr>
        <w:tc>
          <w:tcPr>
            <w:tcW w:w="95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kern w:val="0"/>
                <w:sz w:val="20"/>
              </w:rPr>
            </w:pPr>
          </w:p>
        </w:tc>
        <w:tc>
          <w:tcPr>
            <w:tcW w:w="850" w:type="dxa"/>
            <w:tcBorders>
              <w:top w:val="nil"/>
              <w:left w:val="nil"/>
              <w:bottom w:val="single" w:color="auto" w:sz="4" w:space="0"/>
              <w:right w:val="single" w:color="auto" w:sz="4" w:space="0"/>
            </w:tcBorders>
            <w:vAlign w:val="center"/>
          </w:tcPr>
          <w:p>
            <w:pPr>
              <w:widowControl/>
              <w:spacing w:line="240" w:lineRule="exact"/>
              <w:jc w:val="center"/>
              <w:rPr>
                <w:b/>
                <w:kern w:val="0"/>
                <w:sz w:val="20"/>
              </w:rPr>
            </w:pPr>
            <w:r>
              <w:rPr>
                <w:b/>
                <w:kern w:val="0"/>
                <w:sz w:val="20"/>
              </w:rPr>
              <w:t>土地总面积</w:t>
            </w:r>
          </w:p>
        </w:tc>
        <w:tc>
          <w:tcPr>
            <w:tcW w:w="1134" w:type="dxa"/>
            <w:tcBorders>
              <w:top w:val="nil"/>
              <w:left w:val="nil"/>
              <w:bottom w:val="single" w:color="auto" w:sz="4" w:space="0"/>
              <w:right w:val="single" w:color="auto" w:sz="4" w:space="0"/>
            </w:tcBorders>
            <w:vAlign w:val="center"/>
          </w:tcPr>
          <w:p>
            <w:pPr>
              <w:widowControl/>
              <w:spacing w:line="240" w:lineRule="exact"/>
              <w:jc w:val="center"/>
              <w:rPr>
                <w:b/>
                <w:kern w:val="0"/>
                <w:sz w:val="20"/>
              </w:rPr>
            </w:pPr>
            <w:r>
              <w:rPr>
                <w:b/>
                <w:kern w:val="0"/>
                <w:sz w:val="20"/>
              </w:rPr>
              <w:t>GDP</w:t>
            </w:r>
          </w:p>
        </w:tc>
        <w:tc>
          <w:tcPr>
            <w:tcW w:w="1134" w:type="dxa"/>
            <w:tcBorders>
              <w:top w:val="nil"/>
              <w:left w:val="nil"/>
              <w:bottom w:val="single" w:color="auto" w:sz="4" w:space="0"/>
              <w:right w:val="single" w:color="auto" w:sz="4" w:space="0"/>
            </w:tcBorders>
            <w:vAlign w:val="center"/>
          </w:tcPr>
          <w:p>
            <w:pPr>
              <w:widowControl/>
              <w:spacing w:line="240" w:lineRule="exact"/>
              <w:jc w:val="center"/>
              <w:rPr>
                <w:b/>
                <w:kern w:val="0"/>
                <w:sz w:val="20"/>
              </w:rPr>
            </w:pPr>
            <w:r>
              <w:rPr>
                <w:b/>
                <w:kern w:val="0"/>
                <w:sz w:val="20"/>
              </w:rPr>
              <w:t>地均GDP</w:t>
            </w:r>
          </w:p>
        </w:tc>
        <w:tc>
          <w:tcPr>
            <w:tcW w:w="993" w:type="dxa"/>
            <w:tcBorders>
              <w:top w:val="nil"/>
              <w:left w:val="nil"/>
              <w:bottom w:val="single" w:color="auto" w:sz="4" w:space="0"/>
              <w:right w:val="single" w:color="auto" w:sz="4" w:space="0"/>
            </w:tcBorders>
            <w:vAlign w:val="center"/>
          </w:tcPr>
          <w:p>
            <w:pPr>
              <w:widowControl/>
              <w:spacing w:line="240" w:lineRule="exact"/>
              <w:jc w:val="center"/>
              <w:rPr>
                <w:b/>
                <w:kern w:val="0"/>
                <w:sz w:val="20"/>
              </w:rPr>
            </w:pPr>
            <w:r>
              <w:rPr>
                <w:b/>
                <w:kern w:val="0"/>
                <w:sz w:val="20"/>
              </w:rPr>
              <w:t>总人口</w:t>
            </w:r>
          </w:p>
        </w:tc>
        <w:tc>
          <w:tcPr>
            <w:tcW w:w="1134" w:type="dxa"/>
            <w:tcBorders>
              <w:top w:val="nil"/>
              <w:left w:val="nil"/>
              <w:bottom w:val="single" w:color="auto" w:sz="4" w:space="0"/>
              <w:right w:val="single" w:color="auto" w:sz="4" w:space="0"/>
            </w:tcBorders>
            <w:vAlign w:val="center"/>
          </w:tcPr>
          <w:p>
            <w:pPr>
              <w:widowControl/>
              <w:spacing w:line="240" w:lineRule="exact"/>
              <w:jc w:val="center"/>
              <w:rPr>
                <w:b/>
                <w:kern w:val="0"/>
                <w:sz w:val="20"/>
              </w:rPr>
            </w:pPr>
            <w:r>
              <w:rPr>
                <w:b/>
                <w:kern w:val="0"/>
                <w:sz w:val="20"/>
              </w:rPr>
              <w:t>消费品零售总额</w:t>
            </w:r>
          </w:p>
        </w:tc>
        <w:tc>
          <w:tcPr>
            <w:tcW w:w="1134" w:type="dxa"/>
            <w:tcBorders>
              <w:top w:val="nil"/>
              <w:left w:val="nil"/>
              <w:bottom w:val="single" w:color="auto" w:sz="4" w:space="0"/>
              <w:right w:val="single" w:color="auto" w:sz="4" w:space="0"/>
            </w:tcBorders>
            <w:vAlign w:val="center"/>
          </w:tcPr>
          <w:p>
            <w:pPr>
              <w:widowControl/>
              <w:spacing w:line="240" w:lineRule="exact"/>
              <w:jc w:val="center"/>
              <w:rPr>
                <w:b/>
                <w:kern w:val="0"/>
                <w:sz w:val="20"/>
              </w:rPr>
            </w:pPr>
            <w:r>
              <w:rPr>
                <w:b/>
                <w:kern w:val="0"/>
                <w:sz w:val="20"/>
              </w:rPr>
              <w:t>人均消费品零售额</w:t>
            </w:r>
          </w:p>
        </w:tc>
        <w:tc>
          <w:tcPr>
            <w:tcW w:w="113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kern w:val="0"/>
                <w:sz w:val="20"/>
              </w:rPr>
            </w:pPr>
          </w:p>
        </w:tc>
        <w:tc>
          <w:tcPr>
            <w:tcW w:w="99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kern w:val="0"/>
                <w:sz w:val="20"/>
              </w:rPr>
            </w:pPr>
          </w:p>
        </w:tc>
        <w:tc>
          <w:tcPr>
            <w:tcW w:w="91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kern w:val="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959" w:type="dxa"/>
            <w:tcBorders>
              <w:top w:val="nil"/>
              <w:left w:val="single" w:color="auto" w:sz="4" w:space="0"/>
              <w:bottom w:val="single" w:color="auto" w:sz="4" w:space="0"/>
              <w:right w:val="single" w:color="auto" w:sz="4" w:space="0"/>
            </w:tcBorders>
            <w:vAlign w:val="center"/>
          </w:tcPr>
          <w:p>
            <w:pPr>
              <w:widowControl/>
              <w:spacing w:line="480" w:lineRule="exact"/>
              <w:jc w:val="center"/>
              <w:rPr>
                <w:kern w:val="0"/>
                <w:sz w:val="20"/>
              </w:rPr>
            </w:pPr>
            <w:r>
              <w:rPr>
                <w:kern w:val="0"/>
                <w:sz w:val="20"/>
              </w:rPr>
              <w:t>长沙县</w:t>
            </w:r>
          </w:p>
        </w:tc>
        <w:tc>
          <w:tcPr>
            <w:tcW w:w="850"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1756</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14311000</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8150</w:t>
            </w:r>
          </w:p>
        </w:tc>
        <w:tc>
          <w:tcPr>
            <w:tcW w:w="993"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104.1</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4795000</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46061</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9559000</w:t>
            </w:r>
          </w:p>
        </w:tc>
        <w:tc>
          <w:tcPr>
            <w:tcW w:w="992"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2859000</w:t>
            </w:r>
          </w:p>
        </w:tc>
        <w:tc>
          <w:tcPr>
            <w:tcW w:w="919"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65.20%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959" w:type="dxa"/>
            <w:tcBorders>
              <w:top w:val="nil"/>
              <w:left w:val="single" w:color="auto" w:sz="4" w:space="0"/>
              <w:bottom w:val="single" w:color="auto" w:sz="4" w:space="0"/>
              <w:right w:val="single" w:color="auto" w:sz="4" w:space="0"/>
            </w:tcBorders>
            <w:vAlign w:val="center"/>
          </w:tcPr>
          <w:p>
            <w:pPr>
              <w:widowControl/>
              <w:spacing w:line="480" w:lineRule="exact"/>
              <w:jc w:val="center"/>
              <w:rPr>
                <w:kern w:val="0"/>
                <w:sz w:val="20"/>
              </w:rPr>
            </w:pPr>
            <w:r>
              <w:rPr>
                <w:kern w:val="0"/>
                <w:sz w:val="20"/>
              </w:rPr>
              <w:t>望城区</w:t>
            </w:r>
          </w:p>
        </w:tc>
        <w:tc>
          <w:tcPr>
            <w:tcW w:w="850"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951</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6587600</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6927</w:t>
            </w:r>
          </w:p>
        </w:tc>
        <w:tc>
          <w:tcPr>
            <w:tcW w:w="993"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63.33</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1527800</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24124</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7523500</w:t>
            </w:r>
          </w:p>
        </w:tc>
        <w:tc>
          <w:tcPr>
            <w:tcW w:w="992"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800300</w:t>
            </w:r>
          </w:p>
        </w:tc>
        <w:tc>
          <w:tcPr>
            <w:tcW w:w="919"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58.17%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959" w:type="dxa"/>
            <w:tcBorders>
              <w:top w:val="nil"/>
              <w:left w:val="single" w:color="auto" w:sz="4" w:space="0"/>
              <w:bottom w:val="single" w:color="auto" w:sz="4" w:space="0"/>
              <w:right w:val="single" w:color="auto" w:sz="4" w:space="0"/>
            </w:tcBorders>
            <w:vAlign w:val="center"/>
          </w:tcPr>
          <w:p>
            <w:pPr>
              <w:widowControl/>
              <w:spacing w:line="480" w:lineRule="exact"/>
              <w:jc w:val="center"/>
              <w:rPr>
                <w:kern w:val="0"/>
                <w:sz w:val="20"/>
              </w:rPr>
            </w:pPr>
            <w:r>
              <w:rPr>
                <w:kern w:val="0"/>
                <w:sz w:val="20"/>
              </w:rPr>
              <w:t>浏阳市</w:t>
            </w:r>
          </w:p>
        </w:tc>
        <w:tc>
          <w:tcPr>
            <w:tcW w:w="850"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4997</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13651000</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2732</w:t>
            </w:r>
          </w:p>
        </w:tc>
        <w:tc>
          <w:tcPr>
            <w:tcW w:w="993"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148.37</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3202000</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21581</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10731000</w:t>
            </w:r>
          </w:p>
        </w:tc>
        <w:tc>
          <w:tcPr>
            <w:tcW w:w="992"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1402000</w:t>
            </w:r>
          </w:p>
        </w:tc>
        <w:tc>
          <w:tcPr>
            <w:tcW w:w="919"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58.20%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8" w:hRule="atLeast"/>
        </w:trPr>
        <w:tc>
          <w:tcPr>
            <w:tcW w:w="959" w:type="dxa"/>
            <w:tcBorders>
              <w:top w:val="nil"/>
              <w:left w:val="single" w:color="auto" w:sz="4" w:space="0"/>
              <w:bottom w:val="single" w:color="auto" w:sz="4" w:space="0"/>
              <w:right w:val="single" w:color="auto" w:sz="4" w:space="0"/>
            </w:tcBorders>
            <w:vAlign w:val="center"/>
          </w:tcPr>
          <w:p>
            <w:pPr>
              <w:widowControl/>
              <w:spacing w:line="480" w:lineRule="exact"/>
              <w:jc w:val="center"/>
              <w:rPr>
                <w:kern w:val="0"/>
                <w:sz w:val="20"/>
              </w:rPr>
            </w:pPr>
            <w:r>
              <w:rPr>
                <w:kern w:val="0"/>
                <w:sz w:val="20"/>
              </w:rPr>
              <w:t>宁乡市</w:t>
            </w:r>
          </w:p>
        </w:tc>
        <w:tc>
          <w:tcPr>
            <w:tcW w:w="850"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2912</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12244500</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4205</w:t>
            </w:r>
          </w:p>
        </w:tc>
        <w:tc>
          <w:tcPr>
            <w:tcW w:w="993"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128.22</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3181200</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24810</w:t>
            </w:r>
          </w:p>
        </w:tc>
        <w:tc>
          <w:tcPr>
            <w:tcW w:w="1134"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10590900</w:t>
            </w:r>
          </w:p>
        </w:tc>
        <w:tc>
          <w:tcPr>
            <w:tcW w:w="992"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932200</w:t>
            </w:r>
          </w:p>
        </w:tc>
        <w:tc>
          <w:tcPr>
            <w:tcW w:w="919" w:type="dxa"/>
            <w:tcBorders>
              <w:top w:val="nil"/>
              <w:left w:val="nil"/>
              <w:bottom w:val="single" w:color="auto" w:sz="4" w:space="0"/>
              <w:right w:val="single" w:color="auto" w:sz="4" w:space="0"/>
            </w:tcBorders>
            <w:vAlign w:val="center"/>
          </w:tcPr>
          <w:p>
            <w:pPr>
              <w:widowControl/>
              <w:spacing w:line="480" w:lineRule="exact"/>
              <w:jc w:val="center"/>
              <w:rPr>
                <w:kern w:val="0"/>
                <w:sz w:val="20"/>
              </w:rPr>
            </w:pPr>
            <w:r>
              <w:rPr>
                <w:kern w:val="0"/>
                <w:sz w:val="20"/>
              </w:rPr>
              <w:t>59.50%</w:t>
            </w:r>
          </w:p>
        </w:tc>
      </w:tr>
    </w:tbl>
    <w:p>
      <w:pPr>
        <w:shd w:val="clear" w:color="auto" w:fill="FFFFFF"/>
        <w:ind w:firstLine="402" w:firstLineChars="200"/>
        <w:jc w:val="right"/>
        <w:rPr>
          <w:b/>
          <w:sz w:val="20"/>
        </w:rPr>
      </w:pPr>
      <w:r>
        <w:rPr>
          <w:b/>
          <w:sz w:val="20"/>
        </w:rPr>
        <w:t>单位：平方公里、万元、万人</w:t>
      </w:r>
    </w:p>
    <w:p>
      <w:pPr>
        <w:spacing w:line="440" w:lineRule="exact"/>
        <w:ind w:firstLine="480" w:firstLineChars="200"/>
        <w:jc w:val="left"/>
        <w:rPr>
          <w:sz w:val="24"/>
        </w:rPr>
      </w:pPr>
      <w:r>
        <w:rPr>
          <w:sz w:val="24"/>
        </w:rPr>
        <w:t>长沙县近年来的综合实力大幅攀升，经济规模成倍增长，是中西部地区唯一进入全国前十强的县。由表对比可知，长沙县各项指标均排在各县市前列，所以相应的，本次长沙县基准地价水平都高于其他长沙市其他县（市、区）。纵观长沙县周边县市区以及湖南省内各地区经济发展状况，长沙县此次更新的地价水平不仅符合城区发展状况，也与长沙县未来发展趋势相吻合。</w:t>
      </w:r>
    </w:p>
    <w:p>
      <w:pPr>
        <w:widowControl/>
        <w:jc w:val="center"/>
        <w:rPr>
          <w:b/>
          <w:sz w:val="24"/>
          <w:szCs w:val="24"/>
        </w:rPr>
      </w:pPr>
      <w:r>
        <w:rPr>
          <w:b/>
          <w:sz w:val="24"/>
          <w:szCs w:val="24"/>
        </w:rPr>
        <w:br w:type="page"/>
      </w:r>
    </w:p>
    <w:p>
      <w:pPr>
        <w:widowControl/>
        <w:jc w:val="center"/>
        <w:rPr>
          <w:b/>
          <w:sz w:val="20"/>
        </w:rPr>
      </w:pPr>
      <w:r>
        <w:rPr>
          <w:b/>
          <w:sz w:val="24"/>
          <w:szCs w:val="24"/>
        </w:rPr>
        <w:t>表</w:t>
      </w:r>
      <w:r>
        <w:rPr>
          <w:rFonts w:hint="eastAsia"/>
          <w:b/>
          <w:sz w:val="24"/>
          <w:szCs w:val="24"/>
        </w:rPr>
        <w:t>6</w:t>
      </w:r>
      <w:r>
        <w:rPr>
          <w:b/>
          <w:sz w:val="24"/>
          <w:szCs w:val="24"/>
        </w:rPr>
        <w:t>-</w:t>
      </w:r>
      <w:r>
        <w:rPr>
          <w:rFonts w:hint="eastAsia"/>
          <w:b/>
          <w:sz w:val="24"/>
          <w:szCs w:val="24"/>
        </w:rPr>
        <w:t>1</w:t>
      </w:r>
      <w:r>
        <w:rPr>
          <w:b/>
          <w:sz w:val="24"/>
          <w:szCs w:val="24"/>
        </w:rPr>
        <w:t>-</w:t>
      </w:r>
      <w:r>
        <w:rPr>
          <w:rFonts w:hint="eastAsia"/>
          <w:b/>
          <w:sz w:val="24"/>
          <w:szCs w:val="24"/>
        </w:rPr>
        <w:t>4</w:t>
      </w:r>
      <w:r>
        <w:rPr>
          <w:b/>
          <w:sz w:val="24"/>
          <w:szCs w:val="24"/>
        </w:rPr>
        <w:t>长沙县城区与相邻县（区）城区基准地价横向对比</w:t>
      </w:r>
    </w:p>
    <w:p>
      <w:pPr>
        <w:shd w:val="clear" w:color="auto" w:fill="FFFFFF"/>
        <w:ind w:right="300" w:firstLine="402" w:firstLineChars="200"/>
        <w:jc w:val="right"/>
        <w:rPr>
          <w:b/>
          <w:sz w:val="20"/>
        </w:rPr>
      </w:pPr>
      <w:r>
        <w:rPr>
          <w:b/>
          <w:sz w:val="20"/>
        </w:rPr>
        <w:t>单位：元/平方米</w:t>
      </w:r>
    </w:p>
    <w:tbl>
      <w:tblPr>
        <w:tblW w:w="81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64"/>
        <w:gridCol w:w="1364"/>
        <w:gridCol w:w="953"/>
        <w:gridCol w:w="821"/>
        <w:gridCol w:w="821"/>
        <w:gridCol w:w="821"/>
        <w:gridCol w:w="821"/>
        <w:gridCol w:w="12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tblHeader/>
          <w:jc w:val="center"/>
        </w:trPr>
        <w:tc>
          <w:tcPr>
            <w:tcW w:w="1364"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b/>
                <w:bCs/>
                <w:color w:val="000000"/>
                <w:kern w:val="0"/>
                <w:sz w:val="20"/>
              </w:rPr>
            </w:pPr>
            <w:r>
              <w:rPr>
                <w:b/>
                <w:bCs/>
                <w:color w:val="000000"/>
                <w:kern w:val="0"/>
                <w:sz w:val="20"/>
              </w:rPr>
              <w:t>用地类型</w:t>
            </w:r>
          </w:p>
        </w:tc>
        <w:tc>
          <w:tcPr>
            <w:tcW w:w="1364" w:type="dxa"/>
            <w:tcBorders>
              <w:top w:val="single" w:color="auto" w:sz="4" w:space="0"/>
              <w:left w:val="nil"/>
              <w:bottom w:val="single" w:color="auto" w:sz="4" w:space="0"/>
              <w:right w:val="single" w:color="000000" w:sz="4" w:space="0"/>
            </w:tcBorders>
            <w:vAlign w:val="center"/>
          </w:tcPr>
          <w:p>
            <w:pPr>
              <w:widowControl/>
              <w:spacing w:line="400" w:lineRule="exact"/>
              <w:jc w:val="center"/>
              <w:rPr>
                <w:b/>
                <w:bCs/>
                <w:color w:val="000000"/>
                <w:kern w:val="0"/>
                <w:sz w:val="20"/>
              </w:rPr>
            </w:pPr>
            <w:r>
              <w:rPr>
                <w:b/>
                <w:bCs/>
                <w:color w:val="000000"/>
                <w:kern w:val="0"/>
                <w:sz w:val="20"/>
              </w:rPr>
              <w:t>行政单位</w:t>
            </w:r>
          </w:p>
        </w:tc>
        <w:tc>
          <w:tcPr>
            <w:tcW w:w="953" w:type="dxa"/>
            <w:tcBorders>
              <w:top w:val="single" w:color="auto" w:sz="4" w:space="0"/>
              <w:left w:val="nil"/>
              <w:bottom w:val="single" w:color="auto" w:sz="4" w:space="0"/>
              <w:right w:val="single" w:color="auto" w:sz="4" w:space="0"/>
            </w:tcBorders>
            <w:vAlign w:val="center"/>
          </w:tcPr>
          <w:p>
            <w:pPr>
              <w:widowControl/>
              <w:spacing w:line="400" w:lineRule="exact"/>
              <w:jc w:val="center"/>
              <w:rPr>
                <w:b/>
                <w:bCs/>
                <w:color w:val="000000"/>
                <w:kern w:val="0"/>
                <w:sz w:val="20"/>
              </w:rPr>
            </w:pPr>
            <w:r>
              <w:rPr>
                <w:b/>
                <w:bCs/>
                <w:color w:val="000000"/>
                <w:kern w:val="0"/>
                <w:sz w:val="20"/>
              </w:rPr>
              <w:t>一级</w:t>
            </w:r>
          </w:p>
        </w:tc>
        <w:tc>
          <w:tcPr>
            <w:tcW w:w="821" w:type="dxa"/>
            <w:tcBorders>
              <w:top w:val="single" w:color="auto" w:sz="4" w:space="0"/>
              <w:left w:val="nil"/>
              <w:bottom w:val="single" w:color="auto" w:sz="4" w:space="0"/>
              <w:right w:val="single" w:color="auto" w:sz="4" w:space="0"/>
            </w:tcBorders>
            <w:vAlign w:val="center"/>
          </w:tcPr>
          <w:p>
            <w:pPr>
              <w:widowControl/>
              <w:spacing w:line="400" w:lineRule="exact"/>
              <w:jc w:val="center"/>
              <w:rPr>
                <w:b/>
                <w:bCs/>
                <w:color w:val="000000"/>
                <w:kern w:val="0"/>
                <w:sz w:val="20"/>
              </w:rPr>
            </w:pPr>
            <w:r>
              <w:rPr>
                <w:b/>
                <w:bCs/>
                <w:color w:val="000000"/>
                <w:kern w:val="0"/>
                <w:sz w:val="20"/>
              </w:rPr>
              <w:t>二级</w:t>
            </w:r>
          </w:p>
        </w:tc>
        <w:tc>
          <w:tcPr>
            <w:tcW w:w="821" w:type="dxa"/>
            <w:tcBorders>
              <w:top w:val="single" w:color="auto" w:sz="4" w:space="0"/>
              <w:left w:val="nil"/>
              <w:bottom w:val="single" w:color="auto" w:sz="4" w:space="0"/>
              <w:right w:val="single" w:color="auto" w:sz="4" w:space="0"/>
            </w:tcBorders>
            <w:vAlign w:val="center"/>
          </w:tcPr>
          <w:p>
            <w:pPr>
              <w:widowControl/>
              <w:spacing w:line="400" w:lineRule="exact"/>
              <w:jc w:val="center"/>
              <w:rPr>
                <w:b/>
                <w:bCs/>
                <w:color w:val="000000"/>
                <w:kern w:val="0"/>
                <w:sz w:val="20"/>
              </w:rPr>
            </w:pPr>
            <w:r>
              <w:rPr>
                <w:b/>
                <w:bCs/>
                <w:color w:val="000000"/>
                <w:kern w:val="0"/>
                <w:sz w:val="20"/>
              </w:rPr>
              <w:t>三级</w:t>
            </w:r>
          </w:p>
        </w:tc>
        <w:tc>
          <w:tcPr>
            <w:tcW w:w="821" w:type="dxa"/>
            <w:tcBorders>
              <w:top w:val="single" w:color="auto" w:sz="4" w:space="0"/>
              <w:left w:val="nil"/>
              <w:bottom w:val="single" w:color="auto" w:sz="4" w:space="0"/>
              <w:right w:val="single" w:color="auto" w:sz="4" w:space="0"/>
            </w:tcBorders>
            <w:vAlign w:val="center"/>
          </w:tcPr>
          <w:p>
            <w:pPr>
              <w:widowControl/>
              <w:spacing w:line="400" w:lineRule="exact"/>
              <w:jc w:val="center"/>
              <w:rPr>
                <w:b/>
                <w:bCs/>
                <w:color w:val="000000"/>
                <w:kern w:val="0"/>
                <w:sz w:val="20"/>
              </w:rPr>
            </w:pPr>
            <w:r>
              <w:rPr>
                <w:b/>
                <w:bCs/>
                <w:color w:val="000000"/>
                <w:kern w:val="0"/>
                <w:sz w:val="20"/>
              </w:rPr>
              <w:t>四级</w:t>
            </w:r>
          </w:p>
        </w:tc>
        <w:tc>
          <w:tcPr>
            <w:tcW w:w="821" w:type="dxa"/>
            <w:tcBorders>
              <w:top w:val="single" w:color="auto" w:sz="4" w:space="0"/>
              <w:left w:val="nil"/>
              <w:bottom w:val="single" w:color="auto" w:sz="4" w:space="0"/>
              <w:right w:val="single" w:color="auto" w:sz="4" w:space="0"/>
            </w:tcBorders>
            <w:vAlign w:val="center"/>
          </w:tcPr>
          <w:p>
            <w:pPr>
              <w:widowControl/>
              <w:spacing w:line="400" w:lineRule="exact"/>
              <w:jc w:val="center"/>
              <w:rPr>
                <w:b/>
                <w:bCs/>
                <w:color w:val="000000"/>
                <w:kern w:val="0"/>
                <w:sz w:val="20"/>
              </w:rPr>
            </w:pPr>
            <w:r>
              <w:rPr>
                <w:b/>
                <w:bCs/>
                <w:color w:val="000000"/>
                <w:kern w:val="0"/>
                <w:sz w:val="20"/>
              </w:rPr>
              <w:t>五级</w:t>
            </w:r>
          </w:p>
        </w:tc>
        <w:tc>
          <w:tcPr>
            <w:tcW w:w="1217" w:type="dxa"/>
            <w:tcBorders>
              <w:top w:val="single" w:color="auto" w:sz="4" w:space="0"/>
              <w:left w:val="nil"/>
              <w:bottom w:val="single" w:color="auto" w:sz="4" w:space="0"/>
              <w:right w:val="single" w:color="auto" w:sz="4" w:space="0"/>
            </w:tcBorders>
            <w:vAlign w:val="center"/>
          </w:tcPr>
          <w:p>
            <w:pPr>
              <w:widowControl/>
              <w:spacing w:line="400" w:lineRule="exact"/>
              <w:jc w:val="center"/>
              <w:rPr>
                <w:b/>
                <w:bCs/>
                <w:color w:val="000000"/>
                <w:kern w:val="0"/>
                <w:sz w:val="20"/>
              </w:rPr>
            </w:pPr>
            <w:r>
              <w:rPr>
                <w:b/>
                <w:bCs/>
                <w:color w:val="000000"/>
                <w:kern w:val="0"/>
                <w:sz w:val="20"/>
              </w:rPr>
              <w:t>基准日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4" w:type="dxa"/>
            <w:vMerge w:val="restart"/>
            <w:tcBorders>
              <w:top w:val="single" w:color="auto" w:sz="4" w:space="0"/>
              <w:left w:val="single" w:color="auto" w:sz="4" w:space="0"/>
              <w:right w:val="single" w:color="auto" w:sz="4" w:space="0"/>
            </w:tcBorders>
            <w:vAlign w:val="center"/>
          </w:tcPr>
          <w:p>
            <w:pPr>
              <w:widowControl/>
              <w:spacing w:line="400" w:lineRule="exact"/>
              <w:jc w:val="center"/>
              <w:rPr>
                <w:b/>
                <w:color w:val="000000"/>
                <w:kern w:val="0"/>
                <w:sz w:val="20"/>
              </w:rPr>
            </w:pPr>
            <w:r>
              <w:rPr>
                <w:b/>
                <w:color w:val="000000"/>
                <w:kern w:val="0"/>
                <w:sz w:val="20"/>
              </w:rPr>
              <w:t>商服</w:t>
            </w:r>
          </w:p>
        </w:tc>
        <w:tc>
          <w:tcPr>
            <w:tcW w:w="1364" w:type="dxa"/>
            <w:tcBorders>
              <w:top w:val="single" w:color="auto" w:sz="4" w:space="0"/>
              <w:left w:val="nil"/>
              <w:bottom w:val="single" w:color="auto" w:sz="4" w:space="0"/>
              <w:right w:val="single" w:color="auto" w:sz="4" w:space="0"/>
            </w:tcBorders>
            <w:vAlign w:val="center"/>
          </w:tcPr>
          <w:p>
            <w:pPr>
              <w:widowControl/>
              <w:spacing w:line="400" w:lineRule="exact"/>
              <w:jc w:val="center"/>
              <w:rPr>
                <w:color w:val="000000"/>
                <w:kern w:val="0"/>
                <w:sz w:val="20"/>
              </w:rPr>
            </w:pPr>
            <w:r>
              <w:rPr>
                <w:color w:val="000000"/>
                <w:kern w:val="0"/>
                <w:sz w:val="20"/>
              </w:rPr>
              <w:t>长沙县</w:t>
            </w:r>
          </w:p>
        </w:tc>
        <w:tc>
          <w:tcPr>
            <w:tcW w:w="953" w:type="dxa"/>
            <w:tcBorders>
              <w:top w:val="nil"/>
              <w:left w:val="nil"/>
              <w:bottom w:val="single" w:color="auto" w:sz="4" w:space="0"/>
              <w:right w:val="single" w:color="auto" w:sz="4" w:space="0"/>
            </w:tcBorders>
            <w:vAlign w:val="center"/>
          </w:tcPr>
          <w:p>
            <w:pPr>
              <w:spacing w:line="400" w:lineRule="exact"/>
              <w:jc w:val="center"/>
              <w:rPr>
                <w:color w:val="000000"/>
                <w:sz w:val="20"/>
              </w:rPr>
            </w:pPr>
            <w:r>
              <w:rPr>
                <w:color w:val="000000"/>
                <w:sz w:val="20"/>
              </w:rPr>
              <w:t>4590</w:t>
            </w:r>
          </w:p>
        </w:tc>
        <w:tc>
          <w:tcPr>
            <w:tcW w:w="821" w:type="dxa"/>
            <w:tcBorders>
              <w:top w:val="nil"/>
              <w:left w:val="nil"/>
              <w:bottom w:val="single" w:color="auto" w:sz="4" w:space="0"/>
              <w:right w:val="single" w:color="auto" w:sz="4" w:space="0"/>
            </w:tcBorders>
            <w:vAlign w:val="center"/>
          </w:tcPr>
          <w:p>
            <w:pPr>
              <w:spacing w:line="400" w:lineRule="exact"/>
              <w:jc w:val="center"/>
              <w:rPr>
                <w:color w:val="000000"/>
                <w:sz w:val="20"/>
              </w:rPr>
            </w:pPr>
            <w:r>
              <w:rPr>
                <w:color w:val="000000"/>
                <w:sz w:val="20"/>
              </w:rPr>
              <w:t>3360</w:t>
            </w:r>
          </w:p>
        </w:tc>
        <w:tc>
          <w:tcPr>
            <w:tcW w:w="821" w:type="dxa"/>
            <w:tcBorders>
              <w:top w:val="nil"/>
              <w:left w:val="nil"/>
              <w:bottom w:val="single" w:color="auto" w:sz="4" w:space="0"/>
              <w:right w:val="single" w:color="auto" w:sz="4" w:space="0"/>
            </w:tcBorders>
            <w:vAlign w:val="center"/>
          </w:tcPr>
          <w:p>
            <w:pPr>
              <w:spacing w:line="400" w:lineRule="exact"/>
              <w:jc w:val="center"/>
              <w:rPr>
                <w:color w:val="000000"/>
                <w:sz w:val="20"/>
              </w:rPr>
            </w:pPr>
            <w:r>
              <w:rPr>
                <w:color w:val="000000"/>
                <w:sz w:val="20"/>
              </w:rPr>
              <w:t>2550</w:t>
            </w:r>
          </w:p>
        </w:tc>
        <w:tc>
          <w:tcPr>
            <w:tcW w:w="821" w:type="dxa"/>
            <w:tcBorders>
              <w:top w:val="nil"/>
              <w:left w:val="nil"/>
              <w:bottom w:val="single" w:color="auto" w:sz="4" w:space="0"/>
              <w:right w:val="single" w:color="auto" w:sz="4" w:space="0"/>
            </w:tcBorders>
            <w:vAlign w:val="center"/>
          </w:tcPr>
          <w:p>
            <w:pPr>
              <w:spacing w:line="400" w:lineRule="exact"/>
              <w:jc w:val="center"/>
              <w:rPr>
                <w:color w:val="000000"/>
                <w:sz w:val="20"/>
              </w:rPr>
            </w:pPr>
            <w:r>
              <w:rPr>
                <w:color w:val="000000"/>
                <w:sz w:val="20"/>
              </w:rPr>
              <w:t>1780</w:t>
            </w:r>
          </w:p>
        </w:tc>
        <w:tc>
          <w:tcPr>
            <w:tcW w:w="821" w:type="dxa"/>
            <w:tcBorders>
              <w:top w:val="nil"/>
              <w:left w:val="nil"/>
              <w:bottom w:val="single" w:color="auto" w:sz="4" w:space="0"/>
              <w:right w:val="single" w:color="auto" w:sz="4" w:space="0"/>
            </w:tcBorders>
            <w:vAlign w:val="center"/>
          </w:tcPr>
          <w:p>
            <w:pPr>
              <w:spacing w:line="400" w:lineRule="exact"/>
              <w:jc w:val="center"/>
              <w:rPr>
                <w:color w:val="000000"/>
                <w:sz w:val="20"/>
              </w:rPr>
            </w:pPr>
            <w:r>
              <w:rPr>
                <w:color w:val="000000"/>
                <w:sz w:val="20"/>
              </w:rPr>
              <w:t>1280</w:t>
            </w:r>
          </w:p>
        </w:tc>
        <w:tc>
          <w:tcPr>
            <w:tcW w:w="1217" w:type="dxa"/>
            <w:tcBorders>
              <w:top w:val="nil"/>
              <w:left w:val="nil"/>
              <w:bottom w:val="single" w:color="auto" w:sz="4" w:space="0"/>
              <w:right w:val="single" w:color="auto" w:sz="4" w:space="0"/>
            </w:tcBorders>
            <w:vAlign w:val="center"/>
          </w:tcPr>
          <w:p>
            <w:pPr>
              <w:widowControl/>
              <w:spacing w:line="400" w:lineRule="exact"/>
              <w:jc w:val="center"/>
              <w:rPr>
                <w:rFonts w:hint="eastAsia" w:eastAsia="宋体"/>
                <w:kern w:val="0"/>
                <w:sz w:val="20"/>
                <w:lang w:eastAsia="zh-CN"/>
              </w:rPr>
            </w:pPr>
            <w:r>
              <w:rPr>
                <w:rFonts w:hint="eastAsia"/>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4" w:type="dxa"/>
            <w:vMerge w:val="continue"/>
            <w:tcBorders>
              <w:left w:val="single" w:color="auto" w:sz="4" w:space="0"/>
              <w:right w:val="single" w:color="auto" w:sz="4" w:space="0"/>
            </w:tcBorders>
            <w:vAlign w:val="center"/>
          </w:tcPr>
          <w:p>
            <w:pPr>
              <w:widowControl/>
              <w:spacing w:line="400" w:lineRule="exact"/>
              <w:jc w:val="center"/>
              <w:rPr>
                <w:b/>
                <w:color w:val="000000"/>
                <w:kern w:val="0"/>
                <w:sz w:val="20"/>
              </w:rPr>
            </w:pPr>
          </w:p>
        </w:tc>
        <w:tc>
          <w:tcPr>
            <w:tcW w:w="1364" w:type="dxa"/>
            <w:tcBorders>
              <w:top w:val="single" w:color="auto" w:sz="4" w:space="0"/>
              <w:left w:val="nil"/>
              <w:bottom w:val="single" w:color="auto" w:sz="4" w:space="0"/>
              <w:right w:val="single" w:color="000000" w:sz="4" w:space="0"/>
            </w:tcBorders>
            <w:vAlign w:val="center"/>
          </w:tcPr>
          <w:p>
            <w:pPr>
              <w:widowControl/>
              <w:spacing w:line="400" w:lineRule="exact"/>
              <w:jc w:val="center"/>
              <w:rPr>
                <w:kern w:val="0"/>
                <w:sz w:val="20"/>
              </w:rPr>
            </w:pPr>
            <w:r>
              <w:rPr>
                <w:kern w:val="0"/>
                <w:sz w:val="20"/>
              </w:rPr>
              <w:t>望城区</w:t>
            </w:r>
          </w:p>
        </w:tc>
        <w:tc>
          <w:tcPr>
            <w:tcW w:w="953"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3420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2860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2350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1910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1490</w:t>
            </w:r>
          </w:p>
        </w:tc>
        <w:tc>
          <w:tcPr>
            <w:tcW w:w="1217"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2016.5.1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4" w:type="dxa"/>
            <w:vMerge w:val="continue"/>
            <w:tcBorders>
              <w:left w:val="single" w:color="auto" w:sz="4" w:space="0"/>
              <w:right w:val="single" w:color="auto" w:sz="4" w:space="0"/>
            </w:tcBorders>
            <w:vAlign w:val="center"/>
          </w:tcPr>
          <w:p>
            <w:pPr>
              <w:widowControl/>
              <w:spacing w:line="400" w:lineRule="exact"/>
              <w:jc w:val="center"/>
              <w:rPr>
                <w:b/>
                <w:color w:val="000000"/>
                <w:kern w:val="0"/>
                <w:sz w:val="20"/>
              </w:rPr>
            </w:pPr>
          </w:p>
        </w:tc>
        <w:tc>
          <w:tcPr>
            <w:tcW w:w="1364" w:type="dxa"/>
            <w:tcBorders>
              <w:top w:val="single" w:color="auto" w:sz="4" w:space="0"/>
              <w:left w:val="nil"/>
              <w:bottom w:val="single" w:color="auto" w:sz="4" w:space="0"/>
              <w:right w:val="single" w:color="000000" w:sz="4" w:space="0"/>
            </w:tcBorders>
            <w:vAlign w:val="center"/>
          </w:tcPr>
          <w:p>
            <w:pPr>
              <w:widowControl/>
              <w:spacing w:line="400" w:lineRule="exact"/>
              <w:jc w:val="center"/>
              <w:rPr>
                <w:color w:val="000000"/>
                <w:kern w:val="0"/>
                <w:sz w:val="20"/>
              </w:rPr>
            </w:pPr>
            <w:r>
              <w:rPr>
                <w:color w:val="000000"/>
                <w:kern w:val="0"/>
                <w:sz w:val="20"/>
              </w:rPr>
              <w:t>浏阳市</w:t>
            </w:r>
          </w:p>
        </w:tc>
        <w:tc>
          <w:tcPr>
            <w:tcW w:w="953" w:type="dxa"/>
            <w:tcBorders>
              <w:top w:val="nil"/>
              <w:left w:val="nil"/>
              <w:bottom w:val="single" w:color="auto" w:sz="4" w:space="0"/>
              <w:right w:val="single" w:color="auto" w:sz="4" w:space="0"/>
            </w:tcBorders>
            <w:vAlign w:val="center"/>
          </w:tcPr>
          <w:p>
            <w:pPr>
              <w:spacing w:line="400" w:lineRule="exact"/>
              <w:jc w:val="center"/>
              <w:rPr>
                <w:sz w:val="20"/>
              </w:rPr>
            </w:pPr>
            <w:r>
              <w:rPr>
                <w:sz w:val="20"/>
              </w:rPr>
              <w:t>3720</w:t>
            </w:r>
          </w:p>
        </w:tc>
        <w:tc>
          <w:tcPr>
            <w:tcW w:w="821" w:type="dxa"/>
            <w:tcBorders>
              <w:top w:val="nil"/>
              <w:left w:val="nil"/>
              <w:bottom w:val="single" w:color="auto" w:sz="4" w:space="0"/>
              <w:right w:val="single" w:color="auto" w:sz="4" w:space="0"/>
            </w:tcBorders>
            <w:vAlign w:val="center"/>
          </w:tcPr>
          <w:p>
            <w:pPr>
              <w:spacing w:line="400" w:lineRule="exact"/>
              <w:jc w:val="center"/>
              <w:rPr>
                <w:sz w:val="20"/>
              </w:rPr>
            </w:pPr>
            <w:r>
              <w:rPr>
                <w:sz w:val="20"/>
              </w:rPr>
              <w:t>2930</w:t>
            </w:r>
          </w:p>
        </w:tc>
        <w:tc>
          <w:tcPr>
            <w:tcW w:w="821" w:type="dxa"/>
            <w:tcBorders>
              <w:top w:val="nil"/>
              <w:left w:val="nil"/>
              <w:bottom w:val="single" w:color="auto" w:sz="4" w:space="0"/>
              <w:right w:val="single" w:color="auto" w:sz="4" w:space="0"/>
            </w:tcBorders>
            <w:vAlign w:val="center"/>
          </w:tcPr>
          <w:p>
            <w:pPr>
              <w:spacing w:line="400" w:lineRule="exact"/>
              <w:jc w:val="center"/>
              <w:rPr>
                <w:sz w:val="20"/>
              </w:rPr>
            </w:pPr>
            <w:r>
              <w:rPr>
                <w:sz w:val="20"/>
              </w:rPr>
              <w:t>2250</w:t>
            </w:r>
          </w:p>
        </w:tc>
        <w:tc>
          <w:tcPr>
            <w:tcW w:w="821" w:type="dxa"/>
            <w:tcBorders>
              <w:top w:val="nil"/>
              <w:left w:val="nil"/>
              <w:bottom w:val="single" w:color="auto" w:sz="4" w:space="0"/>
              <w:right w:val="single" w:color="auto" w:sz="4" w:space="0"/>
            </w:tcBorders>
            <w:vAlign w:val="center"/>
          </w:tcPr>
          <w:p>
            <w:pPr>
              <w:spacing w:line="400" w:lineRule="exact"/>
              <w:jc w:val="center"/>
              <w:rPr>
                <w:sz w:val="20"/>
              </w:rPr>
            </w:pPr>
            <w:r>
              <w:rPr>
                <w:sz w:val="20"/>
              </w:rPr>
              <w:t>1760</w:t>
            </w:r>
          </w:p>
        </w:tc>
        <w:tc>
          <w:tcPr>
            <w:tcW w:w="821" w:type="dxa"/>
            <w:tcBorders>
              <w:top w:val="nil"/>
              <w:left w:val="nil"/>
              <w:bottom w:val="single" w:color="auto" w:sz="4" w:space="0"/>
              <w:right w:val="single" w:color="auto" w:sz="4" w:space="0"/>
            </w:tcBorders>
            <w:vAlign w:val="center"/>
          </w:tcPr>
          <w:p>
            <w:pPr>
              <w:spacing w:line="400" w:lineRule="exact"/>
              <w:jc w:val="center"/>
              <w:rPr>
                <w:sz w:val="20"/>
              </w:rPr>
            </w:pPr>
            <w:r>
              <w:rPr>
                <w:sz w:val="20"/>
              </w:rPr>
              <w:t>1320</w:t>
            </w:r>
          </w:p>
        </w:tc>
        <w:tc>
          <w:tcPr>
            <w:tcW w:w="1217"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2017.1.1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4"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b/>
                <w:color w:val="000000"/>
                <w:kern w:val="0"/>
                <w:sz w:val="20"/>
              </w:rPr>
            </w:pPr>
          </w:p>
        </w:tc>
        <w:tc>
          <w:tcPr>
            <w:tcW w:w="1364" w:type="dxa"/>
            <w:tcBorders>
              <w:top w:val="single" w:color="auto" w:sz="4" w:space="0"/>
              <w:left w:val="nil"/>
              <w:bottom w:val="single" w:color="auto" w:sz="4" w:space="0"/>
              <w:right w:val="single" w:color="000000" w:sz="4" w:space="0"/>
            </w:tcBorders>
            <w:vAlign w:val="center"/>
          </w:tcPr>
          <w:p>
            <w:pPr>
              <w:widowControl/>
              <w:spacing w:line="400" w:lineRule="exact"/>
              <w:jc w:val="center"/>
              <w:rPr>
                <w:kern w:val="0"/>
                <w:sz w:val="20"/>
              </w:rPr>
            </w:pPr>
            <w:r>
              <w:rPr>
                <w:kern w:val="0"/>
                <w:sz w:val="20"/>
              </w:rPr>
              <w:t>宁乡市</w:t>
            </w:r>
          </w:p>
        </w:tc>
        <w:tc>
          <w:tcPr>
            <w:tcW w:w="953"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3450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2800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2230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1730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1300</w:t>
            </w:r>
          </w:p>
        </w:tc>
        <w:tc>
          <w:tcPr>
            <w:tcW w:w="1217"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2017.12.31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4" w:type="dxa"/>
            <w:vMerge w:val="restart"/>
            <w:tcBorders>
              <w:top w:val="single" w:color="auto" w:sz="4" w:space="0"/>
              <w:left w:val="single" w:color="auto" w:sz="4" w:space="0"/>
              <w:right w:val="single" w:color="auto" w:sz="4" w:space="0"/>
            </w:tcBorders>
            <w:vAlign w:val="center"/>
          </w:tcPr>
          <w:p>
            <w:pPr>
              <w:widowControl/>
              <w:spacing w:line="400" w:lineRule="exact"/>
              <w:jc w:val="center"/>
              <w:rPr>
                <w:b/>
                <w:color w:val="000000"/>
                <w:kern w:val="0"/>
                <w:sz w:val="20"/>
              </w:rPr>
            </w:pPr>
            <w:r>
              <w:rPr>
                <w:b/>
                <w:color w:val="000000"/>
                <w:kern w:val="0"/>
                <w:sz w:val="20"/>
              </w:rPr>
              <w:t>住宅</w:t>
            </w:r>
          </w:p>
        </w:tc>
        <w:tc>
          <w:tcPr>
            <w:tcW w:w="1364" w:type="dxa"/>
            <w:tcBorders>
              <w:top w:val="single" w:color="auto" w:sz="4" w:space="0"/>
              <w:left w:val="nil"/>
              <w:bottom w:val="single" w:color="auto" w:sz="4" w:space="0"/>
              <w:right w:val="single" w:color="000000" w:sz="4" w:space="0"/>
            </w:tcBorders>
            <w:vAlign w:val="center"/>
          </w:tcPr>
          <w:p>
            <w:pPr>
              <w:widowControl/>
              <w:spacing w:line="400" w:lineRule="exact"/>
              <w:jc w:val="center"/>
              <w:rPr>
                <w:color w:val="000000"/>
                <w:kern w:val="0"/>
                <w:sz w:val="20"/>
              </w:rPr>
            </w:pPr>
            <w:r>
              <w:rPr>
                <w:color w:val="000000"/>
                <w:kern w:val="0"/>
                <w:sz w:val="20"/>
              </w:rPr>
              <w:t>长沙县</w:t>
            </w:r>
          </w:p>
        </w:tc>
        <w:tc>
          <w:tcPr>
            <w:tcW w:w="953"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0"/>
              </w:rPr>
            </w:pPr>
            <w:r>
              <w:rPr>
                <w:color w:val="000000"/>
                <w:kern w:val="0"/>
                <w:sz w:val="20"/>
              </w:rPr>
              <w:t>3480</w:t>
            </w:r>
          </w:p>
        </w:tc>
        <w:tc>
          <w:tcPr>
            <w:tcW w:w="821"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0"/>
              </w:rPr>
            </w:pPr>
            <w:r>
              <w:rPr>
                <w:color w:val="000000"/>
                <w:kern w:val="0"/>
                <w:sz w:val="20"/>
              </w:rPr>
              <w:t>2540</w:t>
            </w:r>
          </w:p>
        </w:tc>
        <w:tc>
          <w:tcPr>
            <w:tcW w:w="821"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0"/>
              </w:rPr>
            </w:pPr>
            <w:r>
              <w:rPr>
                <w:color w:val="000000"/>
                <w:kern w:val="0"/>
                <w:sz w:val="20"/>
              </w:rPr>
              <w:t>1920</w:t>
            </w:r>
          </w:p>
        </w:tc>
        <w:tc>
          <w:tcPr>
            <w:tcW w:w="821"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0"/>
              </w:rPr>
            </w:pPr>
            <w:r>
              <w:rPr>
                <w:color w:val="000000"/>
                <w:kern w:val="0"/>
                <w:sz w:val="20"/>
              </w:rPr>
              <w:t>1480</w:t>
            </w:r>
          </w:p>
        </w:tc>
        <w:tc>
          <w:tcPr>
            <w:tcW w:w="821"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0"/>
              </w:rPr>
            </w:pPr>
            <w:r>
              <w:rPr>
                <w:color w:val="000000"/>
                <w:kern w:val="0"/>
                <w:sz w:val="20"/>
              </w:rPr>
              <w:t>1060</w:t>
            </w:r>
          </w:p>
        </w:tc>
        <w:tc>
          <w:tcPr>
            <w:tcW w:w="1217" w:type="dxa"/>
            <w:tcBorders>
              <w:top w:val="nil"/>
              <w:left w:val="nil"/>
              <w:bottom w:val="single" w:color="auto" w:sz="4" w:space="0"/>
              <w:right w:val="single" w:color="auto" w:sz="4" w:space="0"/>
            </w:tcBorders>
            <w:vAlign w:val="center"/>
          </w:tcPr>
          <w:p>
            <w:pPr>
              <w:widowControl/>
              <w:spacing w:line="400" w:lineRule="exact"/>
              <w:jc w:val="center"/>
              <w:rPr>
                <w:rFonts w:hint="eastAsia" w:eastAsia="宋体"/>
                <w:kern w:val="0"/>
                <w:sz w:val="20"/>
                <w:lang w:eastAsia="zh-CN"/>
              </w:rPr>
            </w:pPr>
            <w:r>
              <w:rPr>
                <w:rFonts w:hint="eastAsia"/>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4" w:type="dxa"/>
            <w:vMerge w:val="continue"/>
            <w:tcBorders>
              <w:left w:val="single" w:color="auto" w:sz="4" w:space="0"/>
              <w:right w:val="single" w:color="auto" w:sz="4" w:space="0"/>
            </w:tcBorders>
            <w:vAlign w:val="center"/>
          </w:tcPr>
          <w:p>
            <w:pPr>
              <w:widowControl/>
              <w:spacing w:line="400" w:lineRule="exact"/>
              <w:jc w:val="center"/>
              <w:rPr>
                <w:b/>
                <w:color w:val="000000"/>
                <w:kern w:val="0"/>
                <w:sz w:val="20"/>
              </w:rPr>
            </w:pPr>
          </w:p>
        </w:tc>
        <w:tc>
          <w:tcPr>
            <w:tcW w:w="1364" w:type="dxa"/>
            <w:tcBorders>
              <w:top w:val="single" w:color="auto" w:sz="4" w:space="0"/>
              <w:left w:val="nil"/>
              <w:bottom w:val="single" w:color="auto" w:sz="4" w:space="0"/>
              <w:right w:val="single" w:color="000000" w:sz="4" w:space="0"/>
            </w:tcBorders>
            <w:vAlign w:val="center"/>
          </w:tcPr>
          <w:p>
            <w:pPr>
              <w:widowControl/>
              <w:spacing w:line="400" w:lineRule="exact"/>
              <w:jc w:val="center"/>
              <w:rPr>
                <w:kern w:val="0"/>
                <w:sz w:val="20"/>
              </w:rPr>
            </w:pPr>
            <w:r>
              <w:rPr>
                <w:kern w:val="0"/>
                <w:sz w:val="20"/>
              </w:rPr>
              <w:t>望城区</w:t>
            </w:r>
          </w:p>
        </w:tc>
        <w:tc>
          <w:tcPr>
            <w:tcW w:w="953"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3120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2610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2160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1750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1400</w:t>
            </w:r>
          </w:p>
        </w:tc>
        <w:tc>
          <w:tcPr>
            <w:tcW w:w="1217"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2016.5.1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4"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b/>
                <w:color w:val="000000"/>
                <w:kern w:val="0"/>
                <w:sz w:val="20"/>
              </w:rPr>
            </w:pPr>
          </w:p>
        </w:tc>
        <w:tc>
          <w:tcPr>
            <w:tcW w:w="1364" w:type="dxa"/>
            <w:tcBorders>
              <w:top w:val="single" w:color="auto" w:sz="4" w:space="0"/>
              <w:left w:val="nil"/>
              <w:bottom w:val="single" w:color="auto" w:sz="4" w:space="0"/>
              <w:right w:val="single" w:color="000000" w:sz="4" w:space="0"/>
            </w:tcBorders>
            <w:vAlign w:val="center"/>
          </w:tcPr>
          <w:p>
            <w:pPr>
              <w:widowControl/>
              <w:spacing w:line="400" w:lineRule="exact"/>
              <w:jc w:val="center"/>
              <w:rPr>
                <w:color w:val="000000"/>
                <w:kern w:val="0"/>
                <w:sz w:val="20"/>
              </w:rPr>
            </w:pPr>
            <w:r>
              <w:rPr>
                <w:color w:val="000000"/>
                <w:kern w:val="0"/>
                <w:sz w:val="20"/>
              </w:rPr>
              <w:t>浏阳市</w:t>
            </w:r>
          </w:p>
        </w:tc>
        <w:tc>
          <w:tcPr>
            <w:tcW w:w="953" w:type="dxa"/>
            <w:tcBorders>
              <w:top w:val="nil"/>
              <w:left w:val="nil"/>
              <w:bottom w:val="single" w:color="auto" w:sz="4" w:space="0"/>
              <w:right w:val="single" w:color="auto" w:sz="4" w:space="0"/>
            </w:tcBorders>
            <w:vAlign w:val="center"/>
          </w:tcPr>
          <w:p>
            <w:pPr>
              <w:spacing w:line="400" w:lineRule="exact"/>
              <w:jc w:val="center"/>
              <w:rPr>
                <w:sz w:val="20"/>
              </w:rPr>
            </w:pPr>
            <w:r>
              <w:rPr>
                <w:sz w:val="20"/>
              </w:rPr>
              <w:t>2900</w:t>
            </w:r>
          </w:p>
        </w:tc>
        <w:tc>
          <w:tcPr>
            <w:tcW w:w="821" w:type="dxa"/>
            <w:tcBorders>
              <w:top w:val="nil"/>
              <w:left w:val="nil"/>
              <w:bottom w:val="single" w:color="auto" w:sz="4" w:space="0"/>
              <w:right w:val="single" w:color="auto" w:sz="4" w:space="0"/>
            </w:tcBorders>
            <w:vAlign w:val="center"/>
          </w:tcPr>
          <w:p>
            <w:pPr>
              <w:spacing w:line="400" w:lineRule="exact"/>
              <w:jc w:val="center"/>
              <w:rPr>
                <w:sz w:val="20"/>
              </w:rPr>
            </w:pPr>
            <w:r>
              <w:rPr>
                <w:sz w:val="20"/>
              </w:rPr>
              <w:t>2330</w:t>
            </w:r>
          </w:p>
        </w:tc>
        <w:tc>
          <w:tcPr>
            <w:tcW w:w="821" w:type="dxa"/>
            <w:tcBorders>
              <w:top w:val="nil"/>
              <w:left w:val="nil"/>
              <w:bottom w:val="single" w:color="auto" w:sz="4" w:space="0"/>
              <w:right w:val="single" w:color="auto" w:sz="4" w:space="0"/>
            </w:tcBorders>
            <w:vAlign w:val="center"/>
          </w:tcPr>
          <w:p>
            <w:pPr>
              <w:spacing w:line="400" w:lineRule="exact"/>
              <w:jc w:val="center"/>
              <w:rPr>
                <w:sz w:val="20"/>
              </w:rPr>
            </w:pPr>
            <w:r>
              <w:rPr>
                <w:sz w:val="20"/>
              </w:rPr>
              <w:t>1830</w:t>
            </w:r>
          </w:p>
        </w:tc>
        <w:tc>
          <w:tcPr>
            <w:tcW w:w="821" w:type="dxa"/>
            <w:tcBorders>
              <w:top w:val="nil"/>
              <w:left w:val="nil"/>
              <w:bottom w:val="single" w:color="auto" w:sz="4" w:space="0"/>
              <w:right w:val="single" w:color="auto" w:sz="4" w:space="0"/>
            </w:tcBorders>
            <w:vAlign w:val="center"/>
          </w:tcPr>
          <w:p>
            <w:pPr>
              <w:spacing w:line="400" w:lineRule="exact"/>
              <w:jc w:val="center"/>
              <w:rPr>
                <w:sz w:val="20"/>
              </w:rPr>
            </w:pPr>
            <w:r>
              <w:rPr>
                <w:sz w:val="20"/>
              </w:rPr>
              <w:t>1460</w:t>
            </w:r>
          </w:p>
        </w:tc>
        <w:tc>
          <w:tcPr>
            <w:tcW w:w="821" w:type="dxa"/>
            <w:tcBorders>
              <w:top w:val="nil"/>
              <w:left w:val="nil"/>
              <w:bottom w:val="single" w:color="auto" w:sz="4" w:space="0"/>
              <w:right w:val="single" w:color="auto" w:sz="4" w:space="0"/>
            </w:tcBorders>
            <w:vAlign w:val="center"/>
          </w:tcPr>
          <w:p>
            <w:pPr>
              <w:spacing w:line="400" w:lineRule="exact"/>
              <w:jc w:val="center"/>
              <w:rPr>
                <w:sz w:val="20"/>
              </w:rPr>
            </w:pPr>
            <w:r>
              <w:rPr>
                <w:sz w:val="20"/>
              </w:rPr>
              <w:t>1170</w:t>
            </w:r>
          </w:p>
        </w:tc>
        <w:tc>
          <w:tcPr>
            <w:tcW w:w="1217"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2017.1.1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b/>
                <w:color w:val="000000"/>
                <w:kern w:val="0"/>
                <w:sz w:val="20"/>
              </w:rPr>
            </w:pPr>
          </w:p>
        </w:tc>
        <w:tc>
          <w:tcPr>
            <w:tcW w:w="1364" w:type="dxa"/>
            <w:tcBorders>
              <w:top w:val="single" w:color="auto" w:sz="4" w:space="0"/>
              <w:left w:val="nil"/>
              <w:bottom w:val="single" w:color="auto" w:sz="4" w:space="0"/>
              <w:right w:val="single" w:color="000000" w:sz="4" w:space="0"/>
            </w:tcBorders>
            <w:vAlign w:val="center"/>
          </w:tcPr>
          <w:p>
            <w:pPr>
              <w:widowControl/>
              <w:spacing w:line="400" w:lineRule="exact"/>
              <w:jc w:val="center"/>
              <w:rPr>
                <w:kern w:val="0"/>
                <w:sz w:val="20"/>
              </w:rPr>
            </w:pPr>
            <w:r>
              <w:rPr>
                <w:kern w:val="0"/>
                <w:sz w:val="20"/>
              </w:rPr>
              <w:t>宁乡市</w:t>
            </w:r>
          </w:p>
        </w:tc>
        <w:tc>
          <w:tcPr>
            <w:tcW w:w="953"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2800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2300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1765</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1385</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1050</w:t>
            </w:r>
          </w:p>
        </w:tc>
        <w:tc>
          <w:tcPr>
            <w:tcW w:w="1217"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2017.12.31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b/>
                <w:color w:val="000000"/>
                <w:kern w:val="0"/>
                <w:sz w:val="20"/>
              </w:rPr>
            </w:pPr>
            <w:r>
              <w:rPr>
                <w:b/>
                <w:color w:val="000000"/>
                <w:kern w:val="0"/>
                <w:sz w:val="20"/>
              </w:rPr>
              <w:t>工矿仓储</w:t>
            </w:r>
          </w:p>
        </w:tc>
        <w:tc>
          <w:tcPr>
            <w:tcW w:w="1364" w:type="dxa"/>
            <w:tcBorders>
              <w:top w:val="single" w:color="auto" w:sz="4" w:space="0"/>
              <w:left w:val="nil"/>
              <w:bottom w:val="single" w:color="auto" w:sz="4" w:space="0"/>
              <w:right w:val="single" w:color="auto" w:sz="4" w:space="0"/>
            </w:tcBorders>
            <w:vAlign w:val="center"/>
          </w:tcPr>
          <w:p>
            <w:pPr>
              <w:widowControl/>
              <w:spacing w:line="400" w:lineRule="exact"/>
              <w:jc w:val="center"/>
              <w:rPr>
                <w:color w:val="000000"/>
                <w:kern w:val="0"/>
                <w:sz w:val="20"/>
              </w:rPr>
            </w:pPr>
            <w:r>
              <w:rPr>
                <w:color w:val="000000"/>
                <w:kern w:val="0"/>
                <w:sz w:val="20"/>
              </w:rPr>
              <w:t>长沙县</w:t>
            </w:r>
          </w:p>
        </w:tc>
        <w:tc>
          <w:tcPr>
            <w:tcW w:w="953" w:type="dxa"/>
            <w:tcBorders>
              <w:top w:val="nil"/>
              <w:left w:val="single" w:color="auto" w:sz="4" w:space="0"/>
              <w:bottom w:val="single" w:color="auto" w:sz="4" w:space="0"/>
              <w:right w:val="single" w:color="auto" w:sz="4" w:space="0"/>
            </w:tcBorders>
            <w:vAlign w:val="center"/>
          </w:tcPr>
          <w:p>
            <w:pPr>
              <w:widowControl/>
              <w:spacing w:line="400" w:lineRule="exact"/>
              <w:jc w:val="center"/>
              <w:rPr>
                <w:color w:val="000000"/>
                <w:kern w:val="0"/>
                <w:sz w:val="20"/>
              </w:rPr>
            </w:pPr>
            <w:r>
              <w:rPr>
                <w:color w:val="000000"/>
                <w:kern w:val="0"/>
                <w:sz w:val="20"/>
              </w:rPr>
              <w:t>1280</w:t>
            </w:r>
          </w:p>
        </w:tc>
        <w:tc>
          <w:tcPr>
            <w:tcW w:w="821"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0"/>
              </w:rPr>
            </w:pPr>
            <w:r>
              <w:rPr>
                <w:color w:val="000000"/>
                <w:kern w:val="0"/>
                <w:sz w:val="20"/>
              </w:rPr>
              <w:t>100</w:t>
            </w:r>
            <w:r>
              <w:rPr>
                <w:rFonts w:hint="eastAsia"/>
                <w:color w:val="000000"/>
                <w:kern w:val="0"/>
                <w:sz w:val="20"/>
              </w:rPr>
              <w:t>0</w:t>
            </w:r>
          </w:p>
        </w:tc>
        <w:tc>
          <w:tcPr>
            <w:tcW w:w="821"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0"/>
              </w:rPr>
            </w:pPr>
            <w:r>
              <w:rPr>
                <w:color w:val="000000"/>
                <w:kern w:val="0"/>
                <w:sz w:val="20"/>
              </w:rPr>
              <w:t>78</w:t>
            </w:r>
            <w:r>
              <w:rPr>
                <w:rFonts w:hint="eastAsia"/>
                <w:color w:val="000000"/>
                <w:kern w:val="0"/>
                <w:sz w:val="20"/>
              </w:rPr>
              <w:t>0</w:t>
            </w:r>
          </w:p>
        </w:tc>
        <w:tc>
          <w:tcPr>
            <w:tcW w:w="821"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0"/>
              </w:rPr>
            </w:pPr>
            <w:r>
              <w:rPr>
                <w:color w:val="000000"/>
                <w:kern w:val="0"/>
                <w:sz w:val="20"/>
              </w:rPr>
              <w:t>61</w:t>
            </w:r>
            <w:r>
              <w:rPr>
                <w:rFonts w:hint="eastAsia"/>
                <w:color w:val="000000"/>
                <w:kern w:val="0"/>
                <w:sz w:val="20"/>
              </w:rPr>
              <w:t>0</w:t>
            </w:r>
          </w:p>
        </w:tc>
        <w:tc>
          <w:tcPr>
            <w:tcW w:w="821" w:type="dxa"/>
            <w:tcBorders>
              <w:top w:val="nil"/>
              <w:left w:val="nil"/>
              <w:bottom w:val="single" w:color="auto" w:sz="4" w:space="0"/>
              <w:right w:val="single" w:color="auto" w:sz="4" w:space="0"/>
            </w:tcBorders>
            <w:vAlign w:val="center"/>
          </w:tcPr>
          <w:p>
            <w:pPr>
              <w:widowControl/>
              <w:spacing w:line="400" w:lineRule="exact"/>
              <w:jc w:val="center"/>
              <w:rPr>
                <w:color w:val="000000"/>
                <w:kern w:val="0"/>
                <w:sz w:val="20"/>
              </w:rPr>
            </w:pPr>
            <w:r>
              <w:rPr>
                <w:color w:val="000000"/>
                <w:kern w:val="0"/>
                <w:sz w:val="20"/>
              </w:rPr>
              <w:t>480</w:t>
            </w:r>
          </w:p>
        </w:tc>
        <w:tc>
          <w:tcPr>
            <w:tcW w:w="1217" w:type="dxa"/>
            <w:tcBorders>
              <w:top w:val="nil"/>
              <w:left w:val="nil"/>
              <w:bottom w:val="single" w:color="auto" w:sz="4" w:space="0"/>
              <w:right w:val="single" w:color="auto" w:sz="4" w:space="0"/>
            </w:tcBorders>
            <w:vAlign w:val="center"/>
          </w:tcPr>
          <w:p>
            <w:pPr>
              <w:widowControl/>
              <w:spacing w:line="400" w:lineRule="exact"/>
              <w:jc w:val="center"/>
              <w:rPr>
                <w:rFonts w:hint="eastAsia" w:eastAsia="宋体"/>
                <w:kern w:val="0"/>
                <w:sz w:val="20"/>
                <w:lang w:eastAsia="zh-CN"/>
              </w:rPr>
            </w:pPr>
            <w:r>
              <w:rPr>
                <w:rFonts w:hint="eastAsia"/>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0"/>
              </w:rPr>
            </w:pPr>
          </w:p>
        </w:tc>
        <w:tc>
          <w:tcPr>
            <w:tcW w:w="1364" w:type="dxa"/>
            <w:tcBorders>
              <w:top w:val="single" w:color="auto" w:sz="4" w:space="0"/>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望城区</w:t>
            </w:r>
          </w:p>
        </w:tc>
        <w:tc>
          <w:tcPr>
            <w:tcW w:w="953" w:type="dxa"/>
            <w:tcBorders>
              <w:top w:val="nil"/>
              <w:left w:val="single" w:color="auto" w:sz="4" w:space="0"/>
              <w:bottom w:val="single" w:color="auto" w:sz="4" w:space="0"/>
              <w:right w:val="single" w:color="auto" w:sz="4" w:space="0"/>
            </w:tcBorders>
            <w:vAlign w:val="center"/>
          </w:tcPr>
          <w:p>
            <w:pPr>
              <w:widowControl/>
              <w:spacing w:line="400" w:lineRule="exact"/>
              <w:jc w:val="center"/>
              <w:rPr>
                <w:kern w:val="0"/>
                <w:sz w:val="20"/>
              </w:rPr>
            </w:pPr>
            <w:r>
              <w:rPr>
                <w:kern w:val="0"/>
                <w:sz w:val="20"/>
              </w:rPr>
              <w:t>790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660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550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470</w:t>
            </w:r>
          </w:p>
        </w:tc>
        <w:tc>
          <w:tcPr>
            <w:tcW w:w="821"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400</w:t>
            </w:r>
          </w:p>
        </w:tc>
        <w:tc>
          <w:tcPr>
            <w:tcW w:w="1217" w:type="dxa"/>
            <w:tcBorders>
              <w:top w:val="nil"/>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2016.5.1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0"/>
              </w:rPr>
            </w:pPr>
          </w:p>
        </w:tc>
        <w:tc>
          <w:tcPr>
            <w:tcW w:w="1364" w:type="dxa"/>
            <w:tcBorders>
              <w:top w:val="single" w:color="auto" w:sz="4" w:space="0"/>
              <w:left w:val="nil"/>
              <w:bottom w:val="single" w:color="auto" w:sz="4" w:space="0"/>
              <w:right w:val="single" w:color="auto" w:sz="4" w:space="0"/>
            </w:tcBorders>
            <w:vAlign w:val="center"/>
          </w:tcPr>
          <w:p>
            <w:pPr>
              <w:widowControl/>
              <w:spacing w:line="400" w:lineRule="exact"/>
              <w:jc w:val="center"/>
              <w:rPr>
                <w:color w:val="000000"/>
                <w:kern w:val="0"/>
                <w:sz w:val="20"/>
              </w:rPr>
            </w:pPr>
            <w:r>
              <w:rPr>
                <w:color w:val="000000"/>
                <w:kern w:val="0"/>
                <w:sz w:val="20"/>
              </w:rPr>
              <w:t>浏阳市</w:t>
            </w:r>
          </w:p>
        </w:tc>
        <w:tc>
          <w:tcPr>
            <w:tcW w:w="9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0"/>
              </w:rPr>
            </w:pPr>
            <w:r>
              <w:rPr>
                <w:sz w:val="20"/>
              </w:rPr>
              <w:t>830</w:t>
            </w:r>
          </w:p>
        </w:tc>
        <w:tc>
          <w:tcPr>
            <w:tcW w:w="8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0"/>
              </w:rPr>
            </w:pPr>
            <w:r>
              <w:rPr>
                <w:sz w:val="20"/>
              </w:rPr>
              <w:t>670</w:t>
            </w:r>
          </w:p>
        </w:tc>
        <w:tc>
          <w:tcPr>
            <w:tcW w:w="8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0"/>
              </w:rPr>
            </w:pPr>
            <w:r>
              <w:rPr>
                <w:sz w:val="20"/>
              </w:rPr>
              <w:t>550</w:t>
            </w:r>
          </w:p>
        </w:tc>
        <w:tc>
          <w:tcPr>
            <w:tcW w:w="8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0"/>
              </w:rPr>
            </w:pPr>
            <w:r>
              <w:rPr>
                <w:sz w:val="20"/>
              </w:rPr>
              <w:t>440</w:t>
            </w:r>
          </w:p>
        </w:tc>
        <w:tc>
          <w:tcPr>
            <w:tcW w:w="8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0"/>
              </w:rPr>
            </w:pPr>
            <w:r>
              <w:rPr>
                <w:sz w:val="20"/>
              </w:rPr>
              <w:t>360</w:t>
            </w:r>
          </w:p>
        </w:tc>
        <w:tc>
          <w:tcPr>
            <w:tcW w:w="1217"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kern w:val="0"/>
                <w:sz w:val="20"/>
              </w:rPr>
            </w:pPr>
            <w:r>
              <w:rPr>
                <w:kern w:val="0"/>
                <w:sz w:val="20"/>
              </w:rPr>
              <w:t>2017.1.1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jc w:val="center"/>
        </w:trPr>
        <w:tc>
          <w:tcPr>
            <w:tcW w:w="13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0"/>
              </w:rPr>
            </w:pPr>
          </w:p>
        </w:tc>
        <w:tc>
          <w:tcPr>
            <w:tcW w:w="1364" w:type="dxa"/>
            <w:tcBorders>
              <w:top w:val="single" w:color="auto" w:sz="4" w:space="0"/>
              <w:left w:val="nil"/>
              <w:bottom w:val="single" w:color="auto" w:sz="4" w:space="0"/>
              <w:right w:val="single" w:color="auto" w:sz="4" w:space="0"/>
            </w:tcBorders>
            <w:vAlign w:val="center"/>
          </w:tcPr>
          <w:p>
            <w:pPr>
              <w:widowControl/>
              <w:spacing w:line="400" w:lineRule="exact"/>
              <w:jc w:val="center"/>
              <w:rPr>
                <w:kern w:val="0"/>
                <w:sz w:val="20"/>
              </w:rPr>
            </w:pPr>
            <w:r>
              <w:rPr>
                <w:kern w:val="0"/>
                <w:sz w:val="20"/>
              </w:rPr>
              <w:t>宁乡市</w:t>
            </w:r>
          </w:p>
        </w:tc>
        <w:tc>
          <w:tcPr>
            <w:tcW w:w="95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kern w:val="0"/>
                <w:sz w:val="20"/>
              </w:rPr>
            </w:pPr>
            <w:r>
              <w:rPr>
                <w:kern w:val="0"/>
                <w:sz w:val="20"/>
              </w:rPr>
              <w:t>1050</w:t>
            </w:r>
          </w:p>
        </w:tc>
        <w:tc>
          <w:tcPr>
            <w:tcW w:w="82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kern w:val="0"/>
                <w:sz w:val="20"/>
              </w:rPr>
            </w:pPr>
            <w:r>
              <w:rPr>
                <w:kern w:val="0"/>
                <w:sz w:val="20"/>
              </w:rPr>
              <w:t>680</w:t>
            </w:r>
          </w:p>
        </w:tc>
        <w:tc>
          <w:tcPr>
            <w:tcW w:w="82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kern w:val="0"/>
                <w:sz w:val="20"/>
              </w:rPr>
            </w:pPr>
            <w:r>
              <w:rPr>
                <w:kern w:val="0"/>
                <w:sz w:val="20"/>
              </w:rPr>
              <w:t>420</w:t>
            </w:r>
          </w:p>
        </w:tc>
        <w:tc>
          <w:tcPr>
            <w:tcW w:w="82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kern w:val="0"/>
                <w:sz w:val="20"/>
              </w:rPr>
            </w:pPr>
            <w:r>
              <w:rPr>
                <w:color w:val="000000"/>
                <w:kern w:val="0"/>
                <w:sz w:val="20"/>
              </w:rPr>
              <w:t>-</w:t>
            </w:r>
          </w:p>
        </w:tc>
        <w:tc>
          <w:tcPr>
            <w:tcW w:w="82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kern w:val="0"/>
                <w:sz w:val="20"/>
              </w:rPr>
            </w:pPr>
            <w:r>
              <w:rPr>
                <w:color w:val="000000"/>
                <w:kern w:val="0"/>
                <w:sz w:val="20"/>
              </w:rPr>
              <w:t>-</w:t>
            </w:r>
          </w:p>
        </w:tc>
        <w:tc>
          <w:tcPr>
            <w:tcW w:w="1217"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kern w:val="0"/>
                <w:sz w:val="20"/>
              </w:rPr>
            </w:pPr>
            <w:r>
              <w:rPr>
                <w:kern w:val="0"/>
                <w:sz w:val="20"/>
              </w:rPr>
              <w:t>2017.12.31</w:t>
            </w:r>
          </w:p>
        </w:tc>
      </w:tr>
      <w:bookmarkEnd w:id="997"/>
      <w:bookmarkEnd w:id="998"/>
      <w:bookmarkEnd w:id="999"/>
      <w:bookmarkEnd w:id="1000"/>
      <w:bookmarkEnd w:id="1001"/>
    </w:tbl>
    <w:p>
      <w:pPr>
        <w:tabs>
          <w:tab w:val="left" w:pos="2620"/>
        </w:tabs>
        <w:spacing w:beforeLines="50" w:afterLines="50" w:line="460" w:lineRule="exact"/>
        <w:ind w:firstLine="560" w:firstLineChars="200"/>
        <w:outlineLvl w:val="2"/>
        <w:rPr>
          <w:bCs/>
          <w:sz w:val="28"/>
          <w:szCs w:val="28"/>
        </w:rPr>
      </w:pPr>
      <w:bookmarkStart w:id="1007" w:name="_Toc21880"/>
      <w:bookmarkStart w:id="1008" w:name="_Toc525807083"/>
      <w:bookmarkStart w:id="1009" w:name="_Toc23999"/>
      <w:r>
        <w:rPr>
          <w:rFonts w:eastAsia="黑体"/>
          <w:sz w:val="28"/>
          <w:szCs w:val="28"/>
        </w:rPr>
        <w:t>四、乡镇基准地价主要变化情况</w:t>
      </w:r>
      <w:bookmarkEnd w:id="1007"/>
      <w:bookmarkEnd w:id="1008"/>
      <w:bookmarkEnd w:id="1009"/>
    </w:p>
    <w:p>
      <w:pPr>
        <w:spacing w:line="460" w:lineRule="exact"/>
        <w:ind w:firstLine="480" w:firstLineChars="200"/>
        <w:rPr>
          <w:sz w:val="24"/>
        </w:rPr>
      </w:pPr>
      <w:r>
        <w:rPr>
          <w:sz w:val="24"/>
        </w:rPr>
        <w:t>(1)调整或扩大了各乡镇定级范围。</w:t>
      </w:r>
    </w:p>
    <w:p>
      <w:pPr>
        <w:spacing w:line="460" w:lineRule="exact"/>
        <w:ind w:firstLine="480" w:firstLineChars="200"/>
        <w:rPr>
          <w:sz w:val="24"/>
        </w:rPr>
      </w:pPr>
      <w:r>
        <w:rPr>
          <w:sz w:val="24"/>
        </w:rPr>
        <w:t>(2)行政区划调整后，原长沙县暮云街道、南托街道和跳马镇划入长沙市区管辖；原黄兴镇和干杉镇成建制合并设立黄兴镇；原开慧乡和白沙乡成建制合并设立开慧镇；原金井镇和双江镇成建制合并设立金井镇。</w:t>
      </w:r>
    </w:p>
    <w:p>
      <w:pPr>
        <w:spacing w:line="460" w:lineRule="exact"/>
        <w:ind w:firstLine="480" w:firstLineChars="200"/>
        <w:rPr>
          <w:sz w:val="24"/>
          <w:szCs w:val="22"/>
        </w:rPr>
      </w:pPr>
      <w:r>
        <w:rPr>
          <w:sz w:val="24"/>
          <w:szCs w:val="22"/>
        </w:rPr>
        <w:t>(3)相比上一轮新增加了“与市区对接的重点区域”乡镇等别并包括了榔梨街道、黄兴镇；改白沙乡和双江镇为白沙片区和双江片区。</w:t>
      </w:r>
    </w:p>
    <w:p>
      <w:pPr>
        <w:spacing w:line="480" w:lineRule="exact"/>
        <w:ind w:firstLine="480" w:firstLineChars="200"/>
        <w:rPr>
          <w:sz w:val="24"/>
        </w:rPr>
      </w:pPr>
      <w:r>
        <w:rPr>
          <w:sz w:val="24"/>
        </w:rPr>
        <w:t>(4)乡镇基准地价水平变化情况为，商服提高33.80%左右，住宅提高36.67%左右，工矿仓储提高5.29%左右。</w:t>
      </w:r>
      <w:r>
        <w:rPr>
          <w:rFonts w:hint="eastAsia"/>
          <w:sz w:val="24"/>
        </w:rPr>
        <w:t>详见表6-1-5</w:t>
      </w:r>
    </w:p>
    <w:p>
      <w:pPr>
        <w:snapToGrid w:val="0"/>
        <w:spacing w:line="440" w:lineRule="exact"/>
        <w:jc w:val="center"/>
        <w:rPr>
          <w:b/>
          <w:sz w:val="24"/>
          <w:szCs w:val="24"/>
        </w:rPr>
      </w:pPr>
      <w:r>
        <w:rPr>
          <w:b/>
          <w:sz w:val="24"/>
          <w:szCs w:val="24"/>
        </w:rPr>
        <w:br w:type="page"/>
      </w:r>
    </w:p>
    <w:p>
      <w:pPr>
        <w:snapToGrid w:val="0"/>
        <w:spacing w:line="440" w:lineRule="exact"/>
        <w:jc w:val="center"/>
        <w:rPr>
          <w:b/>
          <w:sz w:val="24"/>
          <w:szCs w:val="24"/>
        </w:rPr>
      </w:pPr>
      <w:r>
        <w:rPr>
          <w:b/>
          <w:sz w:val="24"/>
          <w:szCs w:val="24"/>
        </w:rPr>
        <w:t>表</w:t>
      </w:r>
      <w:r>
        <w:rPr>
          <w:rFonts w:hint="eastAsia"/>
          <w:b/>
          <w:sz w:val="24"/>
          <w:szCs w:val="24"/>
        </w:rPr>
        <w:t>6</w:t>
      </w:r>
      <w:r>
        <w:rPr>
          <w:b/>
          <w:sz w:val="24"/>
          <w:szCs w:val="24"/>
        </w:rPr>
        <w:t>-</w:t>
      </w:r>
      <w:r>
        <w:rPr>
          <w:rFonts w:hint="eastAsia"/>
          <w:b/>
          <w:sz w:val="24"/>
          <w:szCs w:val="24"/>
        </w:rPr>
        <w:t>1</w:t>
      </w:r>
      <w:r>
        <w:rPr>
          <w:b/>
          <w:sz w:val="24"/>
          <w:szCs w:val="24"/>
        </w:rPr>
        <w:t>-</w:t>
      </w:r>
      <w:r>
        <w:rPr>
          <w:rFonts w:hint="eastAsia"/>
          <w:b/>
          <w:sz w:val="24"/>
          <w:szCs w:val="24"/>
        </w:rPr>
        <w:t>5</w:t>
      </w:r>
      <w:r>
        <w:rPr>
          <w:b/>
          <w:sz w:val="24"/>
          <w:szCs w:val="24"/>
        </w:rPr>
        <w:t>长沙县各乡镇201</w:t>
      </w:r>
      <w:r>
        <w:rPr>
          <w:rFonts w:hint="eastAsia"/>
          <w:b/>
          <w:sz w:val="24"/>
          <w:szCs w:val="24"/>
        </w:rPr>
        <w:t>8</w:t>
      </w:r>
      <w:r>
        <w:rPr>
          <w:b/>
          <w:sz w:val="24"/>
          <w:szCs w:val="24"/>
        </w:rPr>
        <w:t>年基准地价与2013年基准地价对比</w:t>
      </w:r>
    </w:p>
    <w:p>
      <w:pPr>
        <w:widowControl/>
        <w:ind w:right="400" w:firstLine="402" w:firstLineChars="200"/>
        <w:jc w:val="right"/>
        <w:rPr>
          <w:b/>
          <w:sz w:val="20"/>
        </w:rPr>
      </w:pPr>
      <w:r>
        <w:rPr>
          <w:b/>
          <w:sz w:val="20"/>
        </w:rPr>
        <w:t>元/平方米</w:t>
      </w:r>
    </w:p>
    <w:tbl>
      <w:tblPr>
        <w:tblW w:w="778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79"/>
        <w:gridCol w:w="2190"/>
        <w:gridCol w:w="1079"/>
        <w:gridCol w:w="1274"/>
        <w:gridCol w:w="1079"/>
        <w:gridCol w:w="10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b/>
                <w:color w:val="000000"/>
                <w:sz w:val="20"/>
              </w:rPr>
            </w:pPr>
            <w:r>
              <w:rPr>
                <w:rStyle w:val="157"/>
                <w:rFonts w:hint="default" w:ascii="Times New Roman" w:hAnsi="Times New Roman" w:cs="Times New Roman"/>
                <w:lang/>
              </w:rPr>
              <w:t>级别</w:t>
            </w:r>
          </w:p>
        </w:tc>
        <w:tc>
          <w:tcPr>
            <w:tcW w:w="21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b/>
                <w:color w:val="000000"/>
                <w:sz w:val="20"/>
              </w:rPr>
            </w:pPr>
            <w:r>
              <w:rPr>
                <w:rStyle w:val="157"/>
                <w:rFonts w:hint="default" w:ascii="Times New Roman" w:hAnsi="Times New Roman" w:cs="Times New Roman"/>
                <w:lang/>
              </w:rPr>
              <w:t>乡镇名称</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b/>
                <w:color w:val="000000"/>
                <w:sz w:val="20"/>
              </w:rPr>
            </w:pPr>
            <w:r>
              <w:rPr>
                <w:rStyle w:val="157"/>
                <w:rFonts w:hint="default" w:ascii="Times New Roman" w:hAnsi="Times New Roman" w:cs="Times New Roman"/>
                <w:lang/>
              </w:rPr>
              <w:t>用途</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b/>
                <w:color w:val="000000"/>
                <w:sz w:val="20"/>
              </w:rPr>
            </w:pPr>
            <w:r>
              <w:rPr>
                <w:rStyle w:val="157"/>
                <w:rFonts w:hint="default" w:ascii="Times New Roman" w:hAnsi="Times New Roman" w:cs="Times New Roman"/>
                <w:lang/>
              </w:rPr>
              <w:t>一级</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b/>
                <w:color w:val="000000"/>
                <w:sz w:val="20"/>
              </w:rPr>
            </w:pPr>
            <w:r>
              <w:rPr>
                <w:rStyle w:val="157"/>
                <w:rFonts w:hint="default" w:ascii="Times New Roman" w:hAnsi="Times New Roman" w:cs="Times New Roman"/>
                <w:lang/>
              </w:rPr>
              <w:t>二级</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b/>
                <w:color w:val="000000"/>
                <w:sz w:val="22"/>
                <w:szCs w:val="22"/>
              </w:rPr>
            </w:pPr>
            <w:r>
              <w:rPr>
                <w:b/>
                <w:color w:val="000000"/>
                <w:kern w:val="0"/>
                <w:sz w:val="22"/>
                <w:szCs w:val="22"/>
                <w:lang/>
              </w:rPr>
              <w:t>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与市区对接的重点区域</w:t>
            </w:r>
          </w:p>
        </w:tc>
        <w:tc>
          <w:tcPr>
            <w:tcW w:w="2190" w:type="dxa"/>
            <w:vMerge w:val="restart"/>
            <w:tcBorders>
              <w:top w:val="single" w:color="000000" w:sz="4" w:space="0"/>
              <w:left w:val="single" w:color="000000" w:sz="4" w:space="0"/>
              <w:right w:val="single" w:color="000000" w:sz="4" w:space="0"/>
            </w:tcBorders>
            <w:vAlign w:val="center"/>
          </w:tcPr>
          <w:p>
            <w:pPr>
              <w:widowControl/>
              <w:jc w:val="center"/>
              <w:textAlignment w:val="center"/>
              <w:rPr>
                <w:color w:val="000000"/>
                <w:sz w:val="22"/>
                <w:szCs w:val="22"/>
              </w:rPr>
            </w:pPr>
            <w:r>
              <w:rPr>
                <w:color w:val="000000"/>
                <w:kern w:val="0"/>
                <w:sz w:val="22"/>
                <w:szCs w:val="22"/>
                <w:lang/>
              </w:rPr>
              <w:t>榔梨街道、黄兴镇(含干杉片区)</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商业</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54.61%</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60.95%</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90.16%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c>
          <w:tcPr>
            <w:tcW w:w="2190" w:type="dxa"/>
            <w:vMerge w:val="continue"/>
            <w:tcBorders>
              <w:top w:val="single" w:color="000000" w:sz="4" w:space="0"/>
              <w:left w:val="single" w:color="000000" w:sz="4" w:space="0"/>
              <w:right w:val="single" w:color="000000" w:sz="4" w:space="0"/>
            </w:tcBorders>
            <w:vAlign w:val="center"/>
          </w:tcPr>
          <w:p>
            <w:pPr>
              <w:jc w:val="center"/>
              <w:rPr>
                <w:color w:val="000000"/>
                <w:sz w:val="22"/>
                <w:szCs w:val="22"/>
              </w:rPr>
            </w:pP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住宅</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53.62%</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83.53%</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92.98%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c>
          <w:tcPr>
            <w:tcW w:w="2190" w:type="dxa"/>
            <w:vMerge w:val="continue"/>
            <w:tcBorders>
              <w:top w:val="single" w:color="000000" w:sz="4" w:space="0"/>
              <w:left w:val="single" w:color="000000" w:sz="4" w:space="0"/>
              <w:right w:val="single" w:color="000000" w:sz="4" w:space="0"/>
            </w:tcBorders>
            <w:vAlign w:val="center"/>
          </w:tcPr>
          <w:p>
            <w:pPr>
              <w:jc w:val="center"/>
              <w:rPr>
                <w:color w:val="000000"/>
                <w:sz w:val="22"/>
                <w:szCs w:val="22"/>
              </w:rPr>
            </w:pP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工矿仓储</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23.81%</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19.05%</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21.74%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一等镇</w:t>
            </w:r>
          </w:p>
        </w:tc>
        <w:tc>
          <w:tcPr>
            <w:tcW w:w="219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 w:val="22"/>
                <w:szCs w:val="22"/>
              </w:rPr>
            </w:pPr>
            <w:r>
              <w:rPr>
                <w:color w:val="000000"/>
                <w:kern w:val="0"/>
                <w:sz w:val="22"/>
                <w:szCs w:val="22"/>
                <w:lang/>
              </w:rPr>
              <w:t>长龙街道、黄花镇（含空港城片区）</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商业</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8.55%</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21.90%</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40.98%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c>
          <w:tcPr>
            <w:tcW w:w="219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szCs w:val="22"/>
              </w:rPr>
            </w:pP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住宅</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12.32%</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32.94%</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38.60%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c>
          <w:tcPr>
            <w:tcW w:w="219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szCs w:val="22"/>
              </w:rPr>
            </w:pP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工矿仓储</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23.81%</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19.05%</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13.04%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二等镇</w:t>
            </w:r>
          </w:p>
        </w:tc>
        <w:tc>
          <w:tcPr>
            <w:tcW w:w="219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 w:val="22"/>
                <w:szCs w:val="22"/>
              </w:rPr>
            </w:pPr>
            <w:r>
              <w:rPr>
                <w:color w:val="000000"/>
                <w:kern w:val="0"/>
                <w:sz w:val="22"/>
                <w:szCs w:val="22"/>
                <w:lang/>
              </w:rPr>
              <w:t>安沙镇、春华镇、江背镇</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商业</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8.80%</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50.00%</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continue"/>
            <w:tcBorders>
              <w:top w:val="single" w:color="000000" w:sz="4" w:space="0"/>
              <w:left w:val="single" w:color="000000" w:sz="4" w:space="0"/>
              <w:right w:val="single" w:color="000000" w:sz="4" w:space="0"/>
            </w:tcBorders>
            <w:vAlign w:val="center"/>
          </w:tcPr>
          <w:p>
            <w:pPr>
              <w:jc w:val="center"/>
              <w:rPr>
                <w:rFonts w:eastAsia="Tahoma"/>
                <w:color w:val="000000"/>
                <w:sz w:val="22"/>
                <w:szCs w:val="22"/>
              </w:rPr>
            </w:pPr>
          </w:p>
        </w:tc>
        <w:tc>
          <w:tcPr>
            <w:tcW w:w="219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szCs w:val="22"/>
              </w:rPr>
            </w:pP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住宅</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12.75%</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42.59%</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continue"/>
            <w:tcBorders>
              <w:top w:val="single" w:color="000000" w:sz="4" w:space="0"/>
              <w:left w:val="single" w:color="000000" w:sz="4" w:space="0"/>
              <w:right w:val="single" w:color="000000" w:sz="4" w:space="0"/>
            </w:tcBorders>
            <w:vAlign w:val="center"/>
          </w:tcPr>
          <w:p>
            <w:pPr>
              <w:jc w:val="center"/>
              <w:rPr>
                <w:rFonts w:eastAsia="Tahoma"/>
                <w:color w:val="000000"/>
                <w:sz w:val="22"/>
                <w:szCs w:val="22"/>
              </w:rPr>
            </w:pPr>
          </w:p>
        </w:tc>
        <w:tc>
          <w:tcPr>
            <w:tcW w:w="219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szCs w:val="22"/>
              </w:rPr>
            </w:pP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工矿仓储</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2.38%</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14.29%</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三等镇</w:t>
            </w:r>
          </w:p>
        </w:tc>
        <w:tc>
          <w:tcPr>
            <w:tcW w:w="219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 w:val="22"/>
                <w:szCs w:val="22"/>
              </w:rPr>
            </w:pPr>
            <w:r>
              <w:rPr>
                <w:color w:val="000000"/>
                <w:kern w:val="0"/>
                <w:sz w:val="22"/>
                <w:szCs w:val="22"/>
                <w:lang/>
              </w:rPr>
              <w:t>北山镇、果园镇、路口镇、青山铺镇</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bCs/>
                <w:sz w:val="22"/>
                <w:szCs w:val="22"/>
              </w:rPr>
            </w:pPr>
            <w:r>
              <w:rPr>
                <w:bCs/>
                <w:kern w:val="0"/>
                <w:sz w:val="22"/>
                <w:szCs w:val="22"/>
                <w:lang/>
              </w:rPr>
              <w:t>商业</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bCs/>
                <w:sz w:val="22"/>
                <w:szCs w:val="22"/>
              </w:rPr>
            </w:pPr>
            <w:r>
              <w:rPr>
                <w:rFonts w:eastAsia="Tahoma"/>
                <w:bCs/>
                <w:kern w:val="0"/>
                <w:sz w:val="22"/>
                <w:szCs w:val="22"/>
                <w:lang/>
              </w:rPr>
              <w:t>3.42%</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bCs/>
                <w:sz w:val="22"/>
                <w:szCs w:val="22"/>
              </w:rPr>
            </w:pPr>
            <w:r>
              <w:rPr>
                <w:rFonts w:eastAsia="Tahoma"/>
                <w:bCs/>
                <w:kern w:val="0"/>
                <w:sz w:val="22"/>
                <w:szCs w:val="22"/>
                <w:lang/>
              </w:rPr>
              <w:t>41.51%</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c>
          <w:tcPr>
            <w:tcW w:w="219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szCs w:val="22"/>
              </w:rPr>
            </w:pP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bCs/>
                <w:sz w:val="22"/>
                <w:szCs w:val="22"/>
              </w:rPr>
            </w:pPr>
            <w:r>
              <w:rPr>
                <w:rStyle w:val="184"/>
                <w:rFonts w:hint="default" w:ascii="Times New Roman" w:hAnsi="Times New Roman" w:cs="Times New Roman"/>
                <w:bCs/>
                <w:color w:val="auto"/>
                <w:sz w:val="22"/>
                <w:szCs w:val="22"/>
                <w:lang/>
              </w:rPr>
              <w:t>住宅</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bCs/>
                <w:sz w:val="22"/>
                <w:szCs w:val="22"/>
              </w:rPr>
            </w:pPr>
            <w:r>
              <w:rPr>
                <w:rFonts w:eastAsia="Tahoma"/>
                <w:bCs/>
                <w:kern w:val="0"/>
                <w:sz w:val="22"/>
                <w:szCs w:val="22"/>
                <w:lang/>
              </w:rPr>
              <w:t>9.38%</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bCs/>
                <w:sz w:val="22"/>
                <w:szCs w:val="22"/>
              </w:rPr>
            </w:pPr>
            <w:r>
              <w:rPr>
                <w:rFonts w:eastAsia="Tahoma"/>
                <w:bCs/>
                <w:kern w:val="0"/>
                <w:sz w:val="22"/>
                <w:szCs w:val="22"/>
                <w:lang/>
              </w:rPr>
              <w:t>46.94%</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c>
          <w:tcPr>
            <w:tcW w:w="219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szCs w:val="22"/>
              </w:rPr>
            </w:pP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工矿仓储</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5.26%</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7.69%</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c>
          <w:tcPr>
            <w:tcW w:w="219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 w:val="22"/>
                <w:szCs w:val="22"/>
              </w:rPr>
            </w:pPr>
            <w:r>
              <w:rPr>
                <w:color w:val="000000"/>
                <w:kern w:val="0"/>
                <w:sz w:val="22"/>
                <w:szCs w:val="22"/>
                <w:lang/>
              </w:rPr>
              <w:t>金井镇双江片区、开慧镇白沙片区</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商业</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3.77%</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49.02%</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c>
          <w:tcPr>
            <w:tcW w:w="219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szCs w:val="22"/>
              </w:rPr>
            </w:pP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住宅</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4.94%</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42.55%</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c>
          <w:tcPr>
            <w:tcW w:w="219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szCs w:val="22"/>
              </w:rPr>
            </w:pP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工矿仓储</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5.56%</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8.33%</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四等镇</w:t>
            </w:r>
          </w:p>
        </w:tc>
        <w:tc>
          <w:tcPr>
            <w:tcW w:w="219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 w:val="22"/>
                <w:szCs w:val="22"/>
              </w:rPr>
            </w:pPr>
            <w:r>
              <w:rPr>
                <w:color w:val="000000"/>
                <w:kern w:val="0"/>
                <w:sz w:val="22"/>
                <w:szCs w:val="22"/>
                <w:lang/>
              </w:rPr>
              <w:t>福临镇、高桥镇</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商业</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6.60%</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43.14%</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c>
          <w:tcPr>
            <w:tcW w:w="219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szCs w:val="22"/>
              </w:rPr>
            </w:pP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住宅</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7.41%</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38.30%</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jc w:val="center"/>
        </w:trPr>
        <w:tc>
          <w:tcPr>
            <w:tcW w:w="107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c>
          <w:tcPr>
            <w:tcW w:w="219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sz w:val="22"/>
                <w:szCs w:val="22"/>
              </w:rPr>
            </w:pP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Style w:val="184"/>
                <w:rFonts w:hint="default" w:ascii="Times New Roman" w:hAnsi="Times New Roman" w:cs="Times New Roman"/>
                <w:sz w:val="22"/>
                <w:szCs w:val="22"/>
                <w:lang/>
              </w:rPr>
              <w:t>工矿仓储</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2.78%</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ahoma"/>
                <w:color w:val="000000"/>
                <w:sz w:val="22"/>
                <w:szCs w:val="22"/>
              </w:rPr>
            </w:pPr>
            <w:r>
              <w:rPr>
                <w:rFonts w:eastAsia="Tahoma"/>
                <w:color w:val="000000"/>
                <w:kern w:val="0"/>
                <w:sz w:val="22"/>
                <w:szCs w:val="22"/>
                <w:lang/>
              </w:rPr>
              <w:t>8.33%</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eastAsia="Tahoma"/>
                <w:color w:val="000000"/>
                <w:sz w:val="22"/>
                <w:szCs w:val="22"/>
              </w:rPr>
            </w:pPr>
          </w:p>
        </w:tc>
      </w:tr>
    </w:tbl>
    <w:p>
      <w:pPr>
        <w:pStyle w:val="35"/>
        <w:tabs>
          <w:tab w:val="right" w:leader="dot" w:pos="8845"/>
        </w:tabs>
        <w:spacing w:line="360" w:lineRule="auto"/>
        <w:ind w:left="0"/>
        <w:jc w:val="center"/>
        <w:outlineLvl w:val="0"/>
        <w:rPr>
          <w:rFonts w:eastAsia="黑体"/>
          <w:sz w:val="36"/>
          <w:szCs w:val="36"/>
        </w:rPr>
        <w:sectPr>
          <w:pgSz w:w="11907" w:h="16840"/>
          <w:pgMar w:top="1361" w:right="1531" w:bottom="1361" w:left="1531" w:header="851" w:footer="992" w:gutter="0"/>
          <w:cols w:space="720" w:num="1"/>
          <w:docGrid w:linePitch="312" w:charSpace="0"/>
        </w:sectPr>
      </w:pPr>
      <w:r>
        <w:rPr>
          <w:sz w:val="24"/>
        </w:rPr>
        <w:br w:type="page"/>
      </w:r>
    </w:p>
    <w:p>
      <w:pPr>
        <w:spacing w:beforeLines="50" w:afterLines="50" w:line="460" w:lineRule="exact"/>
        <w:jc w:val="center"/>
        <w:outlineLvl w:val="1"/>
        <w:rPr>
          <w:rFonts w:eastAsia="黑体"/>
          <w:sz w:val="30"/>
          <w:szCs w:val="30"/>
        </w:rPr>
      </w:pPr>
      <w:bookmarkStart w:id="1010" w:name="_Toc29061"/>
      <w:bookmarkStart w:id="1011" w:name="_Toc23214"/>
      <w:r>
        <w:rPr>
          <w:rFonts w:eastAsia="黑体"/>
          <w:sz w:val="30"/>
          <w:szCs w:val="30"/>
        </w:rPr>
        <w:t>第</w:t>
      </w:r>
      <w:r>
        <w:rPr>
          <w:rFonts w:hint="eastAsia" w:eastAsia="黑体"/>
          <w:sz w:val="30"/>
          <w:szCs w:val="30"/>
        </w:rPr>
        <w:t>二</w:t>
      </w:r>
      <w:r>
        <w:rPr>
          <w:rFonts w:eastAsia="黑体"/>
          <w:sz w:val="30"/>
          <w:szCs w:val="30"/>
        </w:rPr>
        <w:t>章  基准地价专题地图编制</w:t>
      </w:r>
      <w:bookmarkEnd w:id="979"/>
      <w:bookmarkEnd w:id="980"/>
      <w:bookmarkEnd w:id="981"/>
      <w:bookmarkEnd w:id="982"/>
      <w:bookmarkEnd w:id="1010"/>
      <w:bookmarkEnd w:id="1011"/>
    </w:p>
    <w:p>
      <w:pPr>
        <w:spacing w:line="460" w:lineRule="exact"/>
        <w:ind w:firstLine="480" w:firstLineChars="200"/>
        <w:rPr>
          <w:sz w:val="24"/>
          <w:szCs w:val="24"/>
        </w:rPr>
      </w:pPr>
      <w:r>
        <w:rPr>
          <w:sz w:val="24"/>
          <w:szCs w:val="24"/>
        </w:rPr>
        <w:t>基准地价评估是地籍管理的日常工作之一，为科学管理土地、合理利用城镇土地提供依据，是保障国家土地所有权在经济上的实现及利用经济手段强化土地资产管理的重要手段。基准地价评估中，各类专题地图作为信息的主要载体之一是基准地价评估工作的前提条件，同时也是基准地价评估工作的主要成果。</w:t>
      </w:r>
    </w:p>
    <w:p>
      <w:pPr>
        <w:spacing w:line="460" w:lineRule="exact"/>
        <w:ind w:firstLine="480" w:firstLineChars="200"/>
        <w:rPr>
          <w:sz w:val="24"/>
          <w:szCs w:val="24"/>
        </w:rPr>
      </w:pPr>
      <w:r>
        <w:rPr>
          <w:sz w:val="24"/>
          <w:szCs w:val="24"/>
        </w:rPr>
        <w:t>基准地价图件是基准地价评估的重要成果，主要包括各类用地基准地价图和地价样点图。编制的图件应该能够直观反映城市土地区位的优劣和土地地价的空间分布特征，从而为国土资源管理部门和相关行政、事业、企业单位从事管理、决策、科学研究等提供重要的直观基础图件及土地信息等参考资料。</w:t>
      </w:r>
    </w:p>
    <w:p>
      <w:pPr>
        <w:tabs>
          <w:tab w:val="left" w:pos="2620"/>
        </w:tabs>
        <w:spacing w:beforeLines="50" w:afterLines="50" w:line="460" w:lineRule="exact"/>
        <w:ind w:firstLine="560" w:firstLineChars="200"/>
        <w:outlineLvl w:val="2"/>
        <w:rPr>
          <w:rFonts w:eastAsia="黑体"/>
          <w:sz w:val="28"/>
          <w:szCs w:val="28"/>
        </w:rPr>
      </w:pPr>
      <w:bookmarkStart w:id="1012" w:name="_Toc9397"/>
      <w:bookmarkStart w:id="1013" w:name="_Toc466018432"/>
      <w:bookmarkStart w:id="1014" w:name="_Toc23207"/>
      <w:bookmarkStart w:id="1015" w:name="_Toc525807087"/>
      <w:r>
        <w:rPr>
          <w:rFonts w:eastAsia="黑体"/>
          <w:sz w:val="28"/>
          <w:szCs w:val="28"/>
        </w:rPr>
        <w:t>一、基准地价专题地图编制的特点</w:t>
      </w:r>
      <w:bookmarkEnd w:id="1012"/>
      <w:bookmarkEnd w:id="1013"/>
      <w:bookmarkEnd w:id="1014"/>
      <w:bookmarkEnd w:id="1015"/>
    </w:p>
    <w:p>
      <w:pPr>
        <w:spacing w:line="460" w:lineRule="exact"/>
        <w:ind w:firstLine="480" w:firstLineChars="200"/>
        <w:rPr>
          <w:sz w:val="24"/>
          <w:szCs w:val="24"/>
        </w:rPr>
      </w:pPr>
      <w:r>
        <w:rPr>
          <w:sz w:val="24"/>
          <w:szCs w:val="24"/>
        </w:rPr>
        <w:t>（1）现势性强</w:t>
      </w:r>
    </w:p>
    <w:p>
      <w:pPr>
        <w:spacing w:line="460" w:lineRule="exact"/>
        <w:ind w:firstLine="480" w:firstLineChars="200"/>
        <w:rPr>
          <w:sz w:val="24"/>
          <w:szCs w:val="24"/>
        </w:rPr>
      </w:pPr>
      <w:r>
        <w:rPr>
          <w:sz w:val="24"/>
          <w:szCs w:val="24"/>
        </w:rPr>
        <w:t>城市地产市场是一个动态市场，城市土地随着社会经济的发展和地产市场的发育而不断增值的。城镇土地基准地价评估更新一般应以2～3年为一周期。这就要求基准地价专题地图有较强的可更新性，同时实现前一轮基准地价评估数据的再利用，简化工作流程，并切实地反映地产市场的发展以及影响地价各因素的变化情况。</w:t>
      </w:r>
    </w:p>
    <w:p>
      <w:pPr>
        <w:spacing w:line="460" w:lineRule="exact"/>
        <w:ind w:firstLine="480" w:firstLineChars="200"/>
        <w:rPr>
          <w:sz w:val="24"/>
          <w:szCs w:val="24"/>
        </w:rPr>
      </w:pPr>
      <w:r>
        <w:rPr>
          <w:sz w:val="24"/>
          <w:szCs w:val="24"/>
        </w:rPr>
        <w:t>（2）可比性高</w:t>
      </w:r>
    </w:p>
    <w:p>
      <w:pPr>
        <w:spacing w:line="460" w:lineRule="exact"/>
        <w:ind w:firstLine="480" w:firstLineChars="200"/>
        <w:rPr>
          <w:sz w:val="24"/>
          <w:szCs w:val="24"/>
        </w:rPr>
      </w:pPr>
      <w:r>
        <w:rPr>
          <w:sz w:val="24"/>
          <w:szCs w:val="24"/>
        </w:rPr>
        <w:t>对比分析近几个时期城镇土地级别及基准地价的变化，了解土地利用状况，就要求基准地价专题地图要有较强的可比性。</w:t>
      </w:r>
    </w:p>
    <w:p>
      <w:pPr>
        <w:spacing w:line="460" w:lineRule="exact"/>
        <w:ind w:firstLine="480" w:firstLineChars="200"/>
        <w:rPr>
          <w:sz w:val="24"/>
          <w:szCs w:val="24"/>
        </w:rPr>
      </w:pPr>
      <w:r>
        <w:rPr>
          <w:sz w:val="24"/>
          <w:szCs w:val="24"/>
        </w:rPr>
        <w:t>（3）信息量大</w:t>
      </w:r>
    </w:p>
    <w:p>
      <w:pPr>
        <w:spacing w:line="460" w:lineRule="exact"/>
        <w:ind w:firstLine="480" w:firstLineChars="200"/>
        <w:rPr>
          <w:sz w:val="24"/>
          <w:szCs w:val="24"/>
        </w:rPr>
      </w:pPr>
      <w:r>
        <w:rPr>
          <w:sz w:val="24"/>
          <w:szCs w:val="24"/>
        </w:rPr>
        <w:t>此类专题地图不仅要求标明各要素的位置、形状、名称等基本信息，还应当能反映城镇土地级别的空间范围和价位高低变化等。</w:t>
      </w:r>
    </w:p>
    <w:p>
      <w:pPr>
        <w:tabs>
          <w:tab w:val="left" w:pos="2620"/>
        </w:tabs>
        <w:spacing w:beforeLines="50" w:afterLines="50" w:line="460" w:lineRule="exact"/>
        <w:ind w:firstLine="560" w:firstLineChars="200"/>
        <w:outlineLvl w:val="2"/>
        <w:rPr>
          <w:rFonts w:eastAsia="黑体"/>
          <w:sz w:val="28"/>
          <w:szCs w:val="28"/>
        </w:rPr>
      </w:pPr>
      <w:bookmarkStart w:id="1016" w:name="_Toc466018433"/>
      <w:bookmarkStart w:id="1017" w:name="_Toc525807088"/>
      <w:bookmarkStart w:id="1018" w:name="_Toc25180"/>
      <w:bookmarkStart w:id="1019" w:name="_Toc16973"/>
      <w:r>
        <w:rPr>
          <w:rFonts w:eastAsia="黑体"/>
          <w:sz w:val="28"/>
          <w:szCs w:val="28"/>
        </w:rPr>
        <w:t>二、基准地价专题地图编制的基本原则</w:t>
      </w:r>
      <w:bookmarkEnd w:id="1016"/>
      <w:bookmarkEnd w:id="1017"/>
      <w:bookmarkEnd w:id="1018"/>
      <w:bookmarkEnd w:id="1019"/>
    </w:p>
    <w:p>
      <w:pPr>
        <w:spacing w:line="460" w:lineRule="exact"/>
        <w:ind w:firstLine="480" w:firstLineChars="200"/>
        <w:rPr>
          <w:sz w:val="24"/>
          <w:szCs w:val="24"/>
        </w:rPr>
      </w:pPr>
      <w:r>
        <w:rPr>
          <w:sz w:val="24"/>
          <w:szCs w:val="24"/>
        </w:rPr>
        <w:t>图件编制以“科学、精确、直观、清晰、美观、经济”为指导思想，以中华人民共和国行业标准《城镇土地估价规程》（GB/T18508-2014）和《城镇土地分等定级规程》（GB/T18507-2001）为基本依据，以1：10000地形图为基本底图，以调查实际测量的数据资料为基本专题要素，以城市土地利用现状图、城市土地利用总体规划图、城市交通线路图等为参考资料，经过科学分析和计算机处理，在合理的制图基础上编制而成。</w:t>
      </w:r>
    </w:p>
    <w:p>
      <w:pPr>
        <w:spacing w:line="460" w:lineRule="exact"/>
        <w:ind w:firstLine="480" w:firstLineChars="200"/>
        <w:rPr>
          <w:sz w:val="24"/>
          <w:szCs w:val="24"/>
        </w:rPr>
      </w:pPr>
      <w:r>
        <w:rPr>
          <w:sz w:val="24"/>
          <w:szCs w:val="24"/>
        </w:rPr>
        <w:t>图件编制应遵循的具体原则为：</w:t>
      </w:r>
    </w:p>
    <w:p>
      <w:pPr>
        <w:spacing w:line="460" w:lineRule="exact"/>
        <w:ind w:firstLine="480" w:firstLineChars="200"/>
        <w:rPr>
          <w:sz w:val="24"/>
          <w:szCs w:val="24"/>
        </w:rPr>
      </w:pPr>
      <w:r>
        <w:rPr>
          <w:sz w:val="24"/>
          <w:szCs w:val="24"/>
        </w:rPr>
        <w:t>1、紧扣制图目的，突出实用性。</w:t>
      </w:r>
    </w:p>
    <w:p>
      <w:pPr>
        <w:spacing w:line="460" w:lineRule="exact"/>
        <w:ind w:firstLine="480" w:firstLineChars="200"/>
        <w:rPr>
          <w:sz w:val="24"/>
          <w:szCs w:val="24"/>
        </w:rPr>
      </w:pPr>
      <w:r>
        <w:rPr>
          <w:sz w:val="24"/>
          <w:szCs w:val="24"/>
        </w:rPr>
        <w:t>不同的制图目的、制图原则，方法和技术差异很大。本地图的编制目的，主要是为政府职能部门的国土资源管理和使用服务。基准地价评估基本图件主要作为国土资源管理部门进行土地相关管理之用，既要直接应用就应讲究实用性。</w:t>
      </w:r>
    </w:p>
    <w:p>
      <w:pPr>
        <w:spacing w:line="460" w:lineRule="exact"/>
        <w:ind w:firstLine="480" w:firstLineChars="200"/>
        <w:rPr>
          <w:sz w:val="24"/>
          <w:szCs w:val="24"/>
        </w:rPr>
      </w:pPr>
      <w:r>
        <w:rPr>
          <w:sz w:val="24"/>
          <w:szCs w:val="24"/>
        </w:rPr>
        <w:t>2、突出反映城市地价的空间分布、区域特征和内部组合特点。</w:t>
      </w:r>
    </w:p>
    <w:p>
      <w:pPr>
        <w:spacing w:line="460" w:lineRule="exact"/>
        <w:ind w:firstLine="480" w:firstLineChars="200"/>
        <w:rPr>
          <w:sz w:val="24"/>
          <w:szCs w:val="24"/>
        </w:rPr>
      </w:pPr>
      <w:r>
        <w:rPr>
          <w:sz w:val="24"/>
          <w:szCs w:val="24"/>
        </w:rPr>
        <w:t>基准地价评估图件每种类型应该有自己的侧重点，基准地价图则应当反映出各个地价区片的范围和不同的价格水平。地价样点图应着重反映商服租赁样点的具体点位。</w:t>
      </w:r>
    </w:p>
    <w:p>
      <w:pPr>
        <w:spacing w:line="460" w:lineRule="exact"/>
        <w:ind w:firstLine="480" w:firstLineChars="200"/>
        <w:rPr>
          <w:sz w:val="24"/>
          <w:szCs w:val="24"/>
        </w:rPr>
      </w:pPr>
      <w:r>
        <w:rPr>
          <w:sz w:val="24"/>
          <w:szCs w:val="24"/>
        </w:rPr>
        <w:t>3、注意展示主题要素和底图要素相互制约、相互依存的关系。</w:t>
      </w:r>
    </w:p>
    <w:p>
      <w:pPr>
        <w:spacing w:line="460" w:lineRule="exact"/>
        <w:ind w:firstLine="480" w:firstLineChars="200"/>
        <w:rPr>
          <w:sz w:val="24"/>
          <w:szCs w:val="24"/>
        </w:rPr>
      </w:pPr>
      <w:r>
        <w:rPr>
          <w:sz w:val="24"/>
          <w:szCs w:val="24"/>
        </w:rPr>
        <w:t>在制图过程中，应正确处理主题要素和地图要素的相互关系，既不能淡化主题要素而强化地图要素，又不能把地图要素放在可有可无的位置。</w:t>
      </w:r>
    </w:p>
    <w:p>
      <w:pPr>
        <w:spacing w:line="460" w:lineRule="exact"/>
        <w:ind w:firstLine="480" w:firstLineChars="200"/>
        <w:rPr>
          <w:sz w:val="24"/>
          <w:szCs w:val="24"/>
        </w:rPr>
      </w:pPr>
      <w:r>
        <w:rPr>
          <w:sz w:val="24"/>
          <w:szCs w:val="24"/>
        </w:rPr>
        <w:t>4、注重主题要素的科学性。</w:t>
      </w:r>
    </w:p>
    <w:p>
      <w:pPr>
        <w:spacing w:line="460" w:lineRule="exact"/>
        <w:ind w:firstLine="480" w:firstLineChars="200"/>
        <w:rPr>
          <w:sz w:val="24"/>
          <w:szCs w:val="24"/>
        </w:rPr>
      </w:pPr>
      <w:r>
        <w:rPr>
          <w:sz w:val="24"/>
          <w:szCs w:val="24"/>
        </w:rPr>
        <w:t>主题要素内容的科学性，是鉴别图件质量的基本依据。主题要素的建立，应依据深入、准确的实地填图，保证主题要素的正确性和准确性，并达到制图精度要求。</w:t>
      </w:r>
    </w:p>
    <w:p>
      <w:pPr>
        <w:spacing w:line="460" w:lineRule="exact"/>
        <w:ind w:firstLine="480" w:firstLineChars="200"/>
        <w:rPr>
          <w:sz w:val="24"/>
          <w:szCs w:val="24"/>
        </w:rPr>
      </w:pPr>
      <w:r>
        <w:rPr>
          <w:sz w:val="24"/>
          <w:szCs w:val="24"/>
        </w:rPr>
        <w:t>5、正确掌握制图综合标准。</w:t>
      </w:r>
    </w:p>
    <w:p>
      <w:pPr>
        <w:spacing w:line="460" w:lineRule="exact"/>
        <w:ind w:firstLine="480" w:firstLineChars="200"/>
        <w:rPr>
          <w:sz w:val="24"/>
          <w:szCs w:val="24"/>
        </w:rPr>
      </w:pPr>
      <w:r>
        <w:rPr>
          <w:sz w:val="24"/>
          <w:szCs w:val="24"/>
        </w:rPr>
        <w:t>综合制图标准主要表现在两个方面。一是主题要素的制图综合，它从资料处理、野外调查时就开始，贯穿于编图的全部过程始末；二是地图要素的制图综合，主要体现在地理基础要素的选取和概括。</w:t>
      </w:r>
    </w:p>
    <w:p>
      <w:pPr>
        <w:tabs>
          <w:tab w:val="left" w:pos="2620"/>
        </w:tabs>
        <w:spacing w:beforeLines="50" w:afterLines="50" w:line="460" w:lineRule="exact"/>
        <w:ind w:firstLine="560" w:firstLineChars="200"/>
        <w:outlineLvl w:val="2"/>
        <w:rPr>
          <w:rFonts w:eastAsia="黑体"/>
          <w:sz w:val="28"/>
          <w:szCs w:val="28"/>
        </w:rPr>
      </w:pPr>
      <w:bookmarkStart w:id="1020" w:name="_Toc466018434"/>
      <w:bookmarkStart w:id="1021" w:name="_Toc525807089"/>
      <w:bookmarkStart w:id="1022" w:name="_Toc22960"/>
      <w:bookmarkStart w:id="1023" w:name="_Toc20750"/>
      <w:r>
        <w:rPr>
          <w:rFonts w:eastAsia="黑体"/>
          <w:sz w:val="28"/>
          <w:szCs w:val="28"/>
        </w:rPr>
        <w:t>三、基准地价专题地图编制的基本要求</w:t>
      </w:r>
      <w:bookmarkEnd w:id="1020"/>
      <w:bookmarkEnd w:id="1021"/>
      <w:bookmarkEnd w:id="1022"/>
      <w:bookmarkEnd w:id="1023"/>
    </w:p>
    <w:p>
      <w:pPr>
        <w:spacing w:line="460" w:lineRule="exact"/>
        <w:ind w:firstLine="480" w:firstLineChars="200"/>
        <w:rPr>
          <w:sz w:val="24"/>
          <w:szCs w:val="24"/>
        </w:rPr>
      </w:pPr>
      <w:r>
        <w:rPr>
          <w:sz w:val="24"/>
          <w:szCs w:val="24"/>
        </w:rPr>
        <w:t>基准地价图件的编制应在遵循图件编制的基本原则前提下，有一些相关要求，具体如下。</w:t>
      </w:r>
    </w:p>
    <w:p>
      <w:pPr>
        <w:spacing w:line="460" w:lineRule="exact"/>
        <w:ind w:firstLine="480" w:firstLineChars="200"/>
        <w:rPr>
          <w:sz w:val="24"/>
          <w:szCs w:val="24"/>
        </w:rPr>
      </w:pPr>
      <w:r>
        <w:rPr>
          <w:sz w:val="24"/>
          <w:szCs w:val="24"/>
        </w:rPr>
        <w:t>1、保证图件数据的精确性</w:t>
      </w:r>
    </w:p>
    <w:p>
      <w:pPr>
        <w:spacing w:line="460" w:lineRule="exact"/>
        <w:ind w:firstLine="480" w:firstLineChars="200"/>
        <w:rPr>
          <w:sz w:val="24"/>
          <w:szCs w:val="24"/>
        </w:rPr>
      </w:pPr>
      <w:r>
        <w:rPr>
          <w:sz w:val="24"/>
          <w:szCs w:val="24"/>
        </w:rPr>
        <w:t>为保证图件的精度要求，必须在整个图件编制过程严格按照编图规范要求，尽量保证和提高成图质量。</w:t>
      </w:r>
    </w:p>
    <w:p>
      <w:pPr>
        <w:spacing w:line="460" w:lineRule="exact"/>
        <w:ind w:firstLine="480" w:firstLineChars="200"/>
        <w:rPr>
          <w:sz w:val="24"/>
          <w:szCs w:val="24"/>
        </w:rPr>
      </w:pPr>
      <w:r>
        <w:rPr>
          <w:sz w:val="24"/>
          <w:szCs w:val="24"/>
        </w:rPr>
        <w:t>（1）选用大比例尺地形图作为基准地价图件工作底图。</w:t>
      </w:r>
    </w:p>
    <w:p>
      <w:pPr>
        <w:spacing w:line="460" w:lineRule="exact"/>
        <w:ind w:firstLine="480" w:firstLineChars="200"/>
        <w:rPr>
          <w:sz w:val="24"/>
          <w:szCs w:val="24"/>
        </w:rPr>
      </w:pPr>
      <w:r>
        <w:rPr>
          <w:sz w:val="24"/>
          <w:szCs w:val="24"/>
        </w:rPr>
        <w:t>（2）将原来AutoCAD格式的底图转成MapGIS格式底图，并对底图进行进一步的修改和完善。</w:t>
      </w:r>
    </w:p>
    <w:p>
      <w:pPr>
        <w:spacing w:line="460" w:lineRule="exact"/>
        <w:ind w:firstLine="480" w:firstLineChars="200"/>
        <w:rPr>
          <w:sz w:val="24"/>
          <w:szCs w:val="24"/>
        </w:rPr>
      </w:pPr>
      <w:r>
        <w:rPr>
          <w:sz w:val="24"/>
          <w:szCs w:val="24"/>
        </w:rPr>
        <w:t>（3）专题要素专绘要求较高，线划不能跑线，误差不能超过0.05毫米。</w:t>
      </w:r>
    </w:p>
    <w:p>
      <w:pPr>
        <w:spacing w:line="460" w:lineRule="exact"/>
        <w:ind w:firstLine="480" w:firstLineChars="200"/>
        <w:rPr>
          <w:sz w:val="24"/>
          <w:szCs w:val="24"/>
        </w:rPr>
      </w:pPr>
      <w:r>
        <w:rPr>
          <w:sz w:val="24"/>
          <w:szCs w:val="24"/>
        </w:rPr>
        <w:t>（4）专题要素能定位的应尽可能地进行定位，保证制图内容定位的准确性。</w:t>
      </w:r>
    </w:p>
    <w:p>
      <w:pPr>
        <w:spacing w:line="460" w:lineRule="exact"/>
        <w:ind w:firstLine="480" w:firstLineChars="200"/>
        <w:rPr>
          <w:sz w:val="24"/>
          <w:szCs w:val="24"/>
        </w:rPr>
      </w:pPr>
      <w:r>
        <w:rPr>
          <w:sz w:val="24"/>
          <w:szCs w:val="24"/>
        </w:rPr>
        <w:t>2、保证图件内容的真实性</w:t>
      </w:r>
    </w:p>
    <w:p>
      <w:pPr>
        <w:spacing w:line="460" w:lineRule="exact"/>
        <w:ind w:firstLine="480" w:firstLineChars="200"/>
        <w:rPr>
          <w:sz w:val="24"/>
          <w:szCs w:val="24"/>
        </w:rPr>
      </w:pPr>
      <w:r>
        <w:rPr>
          <w:sz w:val="24"/>
          <w:szCs w:val="24"/>
        </w:rPr>
        <w:t>制图内容的真实性是衡量地图质量最为重要的因素，编图中应予以重点保证。</w:t>
      </w:r>
    </w:p>
    <w:p>
      <w:pPr>
        <w:spacing w:line="460" w:lineRule="exact"/>
        <w:ind w:firstLine="480" w:firstLineChars="200"/>
        <w:rPr>
          <w:sz w:val="24"/>
          <w:szCs w:val="24"/>
        </w:rPr>
      </w:pPr>
      <w:r>
        <w:rPr>
          <w:sz w:val="24"/>
          <w:szCs w:val="24"/>
        </w:rPr>
        <w:t>（1）在制图资料的收集、分析和评价中保证质量</w:t>
      </w:r>
    </w:p>
    <w:p>
      <w:pPr>
        <w:spacing w:line="460" w:lineRule="exact"/>
        <w:ind w:firstLine="480" w:firstLineChars="200"/>
        <w:rPr>
          <w:sz w:val="24"/>
          <w:szCs w:val="24"/>
        </w:rPr>
      </w:pPr>
      <w:r>
        <w:rPr>
          <w:sz w:val="24"/>
          <w:szCs w:val="24"/>
        </w:rPr>
        <w:t>制图资料特别是基本资料对成图质量具有极为重要的影响。长沙市基准地价评估收集了城市规划区和其他相关图件资料。注意了资料的权威性、真实性、可用性，不能用的坚决不用。确实需要，则另外寻找办法。</w:t>
      </w:r>
    </w:p>
    <w:p>
      <w:pPr>
        <w:spacing w:line="460" w:lineRule="exact"/>
        <w:ind w:firstLine="480" w:firstLineChars="200"/>
        <w:rPr>
          <w:sz w:val="24"/>
          <w:szCs w:val="24"/>
        </w:rPr>
      </w:pPr>
      <w:r>
        <w:rPr>
          <w:sz w:val="24"/>
          <w:szCs w:val="24"/>
        </w:rPr>
        <w:t>（2）野外获取数据及时上图</w:t>
      </w:r>
    </w:p>
    <w:p>
      <w:pPr>
        <w:spacing w:line="460" w:lineRule="exact"/>
        <w:ind w:firstLine="480" w:firstLineChars="200"/>
        <w:rPr>
          <w:sz w:val="24"/>
          <w:szCs w:val="24"/>
        </w:rPr>
      </w:pPr>
      <w:r>
        <w:rPr>
          <w:sz w:val="24"/>
          <w:szCs w:val="24"/>
        </w:rPr>
        <w:t>提供的图件都是反映2010年以前市规划区情况的，所以必须通过野外实地考察，对底图上不存在的主要要素应准确补充上图。</w:t>
      </w:r>
    </w:p>
    <w:p>
      <w:pPr>
        <w:spacing w:line="460" w:lineRule="exact"/>
        <w:ind w:firstLine="480" w:firstLineChars="200"/>
        <w:rPr>
          <w:sz w:val="24"/>
          <w:szCs w:val="24"/>
        </w:rPr>
      </w:pPr>
      <w:r>
        <w:rPr>
          <w:sz w:val="24"/>
          <w:szCs w:val="24"/>
        </w:rPr>
        <w:t>（3）制图要素的分级、分类要求有合理性，符合城市的实际情况。</w:t>
      </w:r>
    </w:p>
    <w:p>
      <w:pPr>
        <w:spacing w:line="460" w:lineRule="exact"/>
        <w:ind w:firstLine="480" w:firstLineChars="200"/>
        <w:rPr>
          <w:sz w:val="24"/>
          <w:szCs w:val="24"/>
        </w:rPr>
      </w:pPr>
      <w:r>
        <w:rPr>
          <w:sz w:val="24"/>
          <w:szCs w:val="24"/>
        </w:rPr>
        <w:t>（4）编图中要求有正确的编制程序，一要简捷，二要保证质量。</w:t>
      </w:r>
    </w:p>
    <w:p>
      <w:pPr>
        <w:spacing w:line="460" w:lineRule="exact"/>
        <w:ind w:firstLine="480" w:firstLineChars="200"/>
        <w:rPr>
          <w:sz w:val="24"/>
          <w:szCs w:val="24"/>
        </w:rPr>
      </w:pPr>
      <w:r>
        <w:rPr>
          <w:sz w:val="24"/>
          <w:szCs w:val="24"/>
        </w:rPr>
        <w:t>3、保证图件成图的直观性</w:t>
      </w:r>
    </w:p>
    <w:p>
      <w:pPr>
        <w:spacing w:line="460" w:lineRule="exact"/>
        <w:ind w:firstLine="480" w:firstLineChars="200"/>
        <w:rPr>
          <w:sz w:val="24"/>
          <w:szCs w:val="24"/>
        </w:rPr>
      </w:pPr>
      <w:r>
        <w:rPr>
          <w:sz w:val="24"/>
          <w:szCs w:val="24"/>
        </w:rPr>
        <w:t>地图是采用线划符号、色彩及注记等表达形式来反映制图内容的。表达形式决定地图的易读性。用色彩和注记表示城镇地价、级别差异时，色彩宜鲜明、清楚，注记区分应明显，符号要形象简明等。</w:t>
      </w:r>
    </w:p>
    <w:p>
      <w:pPr>
        <w:spacing w:line="460" w:lineRule="exact"/>
        <w:ind w:firstLine="480" w:firstLineChars="200"/>
        <w:rPr>
          <w:sz w:val="24"/>
          <w:szCs w:val="24"/>
        </w:rPr>
      </w:pPr>
      <w:r>
        <w:rPr>
          <w:sz w:val="24"/>
          <w:szCs w:val="24"/>
        </w:rPr>
        <w:t>4、保证图件制作层面性</w:t>
      </w:r>
    </w:p>
    <w:p>
      <w:pPr>
        <w:spacing w:line="460" w:lineRule="exact"/>
        <w:ind w:firstLine="480" w:firstLineChars="200"/>
        <w:rPr>
          <w:sz w:val="24"/>
          <w:szCs w:val="24"/>
        </w:rPr>
      </w:pPr>
      <w:r>
        <w:rPr>
          <w:sz w:val="24"/>
          <w:szCs w:val="24"/>
        </w:rPr>
        <w:t>层面性包括专题要素、底图要素的层面差异和主题要素本身层面区别。前者要求底图要素要“淡化”，处于“底层平面”，用淡色线划符号表示；主题要素要突出，“浮于”底图要素之上，处于“主层平面”，用鲜艳色彩表示。后者要求专题要素与主题要素之间有层面区别，不能混淆。</w:t>
      </w:r>
    </w:p>
    <w:p>
      <w:pPr>
        <w:spacing w:line="460" w:lineRule="exact"/>
        <w:ind w:firstLine="480" w:firstLineChars="200"/>
        <w:rPr>
          <w:sz w:val="24"/>
          <w:szCs w:val="24"/>
        </w:rPr>
      </w:pPr>
      <w:r>
        <w:rPr>
          <w:sz w:val="24"/>
          <w:szCs w:val="24"/>
        </w:rPr>
        <w:t>5、保证图件制作的艺术性</w:t>
      </w:r>
    </w:p>
    <w:p>
      <w:pPr>
        <w:spacing w:line="460" w:lineRule="exact"/>
        <w:ind w:firstLine="480" w:firstLineChars="200"/>
        <w:rPr>
          <w:sz w:val="24"/>
          <w:szCs w:val="24"/>
        </w:rPr>
      </w:pPr>
      <w:r>
        <w:rPr>
          <w:sz w:val="24"/>
          <w:szCs w:val="24"/>
        </w:rPr>
        <w:t>地图既是科学作品，又必须具备一定的艺术性。地图的艺术性主要体现在图件的符号、色彩的设计、图面整饰、图面配置。图件应有美感，给人以享受。</w:t>
      </w:r>
    </w:p>
    <w:p>
      <w:pPr>
        <w:tabs>
          <w:tab w:val="left" w:pos="2620"/>
        </w:tabs>
        <w:spacing w:beforeLines="50" w:afterLines="50" w:line="460" w:lineRule="exact"/>
        <w:ind w:firstLine="560" w:firstLineChars="200"/>
        <w:outlineLvl w:val="2"/>
        <w:rPr>
          <w:rFonts w:eastAsia="黑体"/>
          <w:sz w:val="28"/>
          <w:szCs w:val="28"/>
        </w:rPr>
      </w:pPr>
      <w:bookmarkStart w:id="1024" w:name="_Toc23924"/>
      <w:bookmarkStart w:id="1025" w:name="_Toc8692"/>
      <w:bookmarkStart w:id="1026" w:name="_Toc466018435"/>
      <w:bookmarkStart w:id="1027" w:name="_Toc525807090"/>
      <w:r>
        <w:rPr>
          <w:rFonts w:eastAsia="黑体"/>
          <w:sz w:val="28"/>
          <w:szCs w:val="28"/>
        </w:rPr>
        <w:t>四、基准地价专题地图的编制</w:t>
      </w:r>
      <w:bookmarkEnd w:id="1024"/>
      <w:bookmarkEnd w:id="1025"/>
      <w:bookmarkEnd w:id="1026"/>
      <w:bookmarkEnd w:id="1027"/>
    </w:p>
    <w:p>
      <w:pPr>
        <w:spacing w:line="460" w:lineRule="exact"/>
        <w:ind w:firstLine="480" w:firstLineChars="200"/>
        <w:rPr>
          <w:sz w:val="24"/>
          <w:szCs w:val="24"/>
        </w:rPr>
      </w:pPr>
      <w:r>
        <w:rPr>
          <w:sz w:val="24"/>
          <w:szCs w:val="24"/>
        </w:rPr>
        <w:t>1、拟定需要的工作底图</w:t>
      </w:r>
    </w:p>
    <w:p>
      <w:pPr>
        <w:spacing w:line="460" w:lineRule="exact"/>
        <w:ind w:firstLine="480" w:firstLineChars="200"/>
        <w:rPr>
          <w:sz w:val="24"/>
          <w:szCs w:val="24"/>
        </w:rPr>
      </w:pPr>
      <w:r>
        <w:rPr>
          <w:sz w:val="24"/>
          <w:szCs w:val="24"/>
        </w:rPr>
        <w:t>根据长沙县城区规划具体情况，将原来AutoCAD格式的地形图和规划图相结合，确定需要更新基准地价的区域，并将此区域放大作为工作的初步底图。</w:t>
      </w:r>
    </w:p>
    <w:p>
      <w:pPr>
        <w:spacing w:line="460" w:lineRule="exact"/>
        <w:ind w:firstLine="480" w:firstLineChars="200"/>
        <w:rPr>
          <w:sz w:val="24"/>
          <w:szCs w:val="24"/>
        </w:rPr>
      </w:pPr>
      <w:r>
        <w:rPr>
          <w:sz w:val="24"/>
          <w:szCs w:val="24"/>
        </w:rPr>
        <w:t>2、研究制图区制图要素的区域特征</w:t>
      </w:r>
    </w:p>
    <w:p>
      <w:pPr>
        <w:spacing w:line="460" w:lineRule="exact"/>
        <w:ind w:firstLine="480" w:firstLineChars="200"/>
        <w:rPr>
          <w:sz w:val="24"/>
          <w:szCs w:val="24"/>
        </w:rPr>
      </w:pPr>
      <w:r>
        <w:rPr>
          <w:sz w:val="24"/>
          <w:szCs w:val="24"/>
        </w:rPr>
        <w:t>通过资料分析、地图判读、实地调查等手段，了解、熟悉区域特征和城市土地级别、影响因素及其估价情况的空间分布规律和地理特征。</w:t>
      </w:r>
    </w:p>
    <w:p>
      <w:pPr>
        <w:spacing w:line="460" w:lineRule="exact"/>
        <w:ind w:firstLine="480" w:firstLineChars="200"/>
        <w:rPr>
          <w:sz w:val="24"/>
          <w:szCs w:val="24"/>
        </w:rPr>
      </w:pPr>
      <w:r>
        <w:rPr>
          <w:sz w:val="24"/>
          <w:szCs w:val="24"/>
        </w:rPr>
        <w:t>3、地图数据转化</w:t>
      </w:r>
    </w:p>
    <w:p>
      <w:pPr>
        <w:spacing w:line="460" w:lineRule="exact"/>
        <w:ind w:firstLine="480" w:firstLineChars="200"/>
        <w:rPr>
          <w:sz w:val="24"/>
          <w:szCs w:val="24"/>
        </w:rPr>
      </w:pPr>
      <w:r>
        <w:rPr>
          <w:sz w:val="24"/>
          <w:szCs w:val="24"/>
        </w:rPr>
        <w:t>将确定好的工作地图数据通过AutoCAD和MapGIS中数据转化功能，根据工作需要，进行分层转入。数据转化并非数据的全要素转入，而是进行一定的分层取舍。主要转化以下要素：</w:t>
      </w:r>
    </w:p>
    <w:p>
      <w:pPr>
        <w:spacing w:line="460" w:lineRule="exact"/>
        <w:ind w:firstLine="480" w:firstLineChars="200"/>
        <w:rPr>
          <w:sz w:val="24"/>
          <w:szCs w:val="24"/>
        </w:rPr>
      </w:pPr>
      <w:r>
        <w:rPr>
          <w:sz w:val="24"/>
          <w:szCs w:val="24"/>
        </w:rPr>
        <w:t>（1）线状要素</w:t>
      </w:r>
    </w:p>
    <w:p>
      <w:pPr>
        <w:spacing w:line="460" w:lineRule="exact"/>
        <w:ind w:firstLine="480" w:firstLineChars="200"/>
        <w:rPr>
          <w:sz w:val="24"/>
          <w:szCs w:val="24"/>
        </w:rPr>
      </w:pPr>
      <w:r>
        <w:rPr>
          <w:sz w:val="24"/>
          <w:szCs w:val="24"/>
        </w:rPr>
        <w:t>主要的线状要素有城镇主干道、次干道、支路、街道、大车道、乡村道路、重要巷道，河流、河沟、渠道等线状要素。</w:t>
      </w:r>
    </w:p>
    <w:p>
      <w:pPr>
        <w:spacing w:line="460" w:lineRule="exact"/>
        <w:ind w:firstLine="480" w:firstLineChars="200"/>
        <w:rPr>
          <w:sz w:val="24"/>
          <w:szCs w:val="24"/>
        </w:rPr>
      </w:pPr>
      <w:r>
        <w:rPr>
          <w:sz w:val="24"/>
          <w:szCs w:val="24"/>
        </w:rPr>
        <w:t>（3）点状要素</w:t>
      </w:r>
    </w:p>
    <w:p>
      <w:pPr>
        <w:spacing w:line="460" w:lineRule="exact"/>
        <w:ind w:firstLine="480" w:firstLineChars="200"/>
        <w:rPr>
          <w:sz w:val="24"/>
          <w:szCs w:val="24"/>
        </w:rPr>
      </w:pPr>
      <w:r>
        <w:rPr>
          <w:sz w:val="24"/>
          <w:szCs w:val="24"/>
        </w:rPr>
        <w:t>点状要素是指具体到某一位置或可以看着一个整体点的地物要素，主要有：各种独立地物（如：电视塔，气象站，休息厅等），政府、事业、企业单位、集体经济组织及其他单位点位及注记，各类地名、道路、河流、河沟等名称注记，道路交叉口绿地、标识，高程点及三角点点位及注记，商服市场中心等。</w:t>
      </w:r>
    </w:p>
    <w:p>
      <w:pPr>
        <w:spacing w:line="460" w:lineRule="exact"/>
        <w:ind w:firstLine="480" w:firstLineChars="200"/>
        <w:rPr>
          <w:sz w:val="24"/>
          <w:szCs w:val="24"/>
        </w:rPr>
      </w:pPr>
      <w:r>
        <w:rPr>
          <w:sz w:val="24"/>
          <w:szCs w:val="24"/>
        </w:rPr>
        <w:t>（3）面状要素</w:t>
      </w:r>
    </w:p>
    <w:p>
      <w:pPr>
        <w:spacing w:line="460" w:lineRule="exact"/>
        <w:ind w:firstLine="480" w:firstLineChars="200"/>
        <w:rPr>
          <w:sz w:val="24"/>
          <w:szCs w:val="24"/>
        </w:rPr>
      </w:pPr>
      <w:r>
        <w:rPr>
          <w:sz w:val="24"/>
          <w:szCs w:val="24"/>
        </w:rPr>
        <w:t>面状要素主要指明显的水域，公园、成片绿地，居民点等。</w:t>
      </w:r>
    </w:p>
    <w:p>
      <w:pPr>
        <w:spacing w:line="460" w:lineRule="exact"/>
        <w:ind w:firstLine="480" w:firstLineChars="200"/>
        <w:rPr>
          <w:sz w:val="24"/>
          <w:szCs w:val="24"/>
        </w:rPr>
      </w:pPr>
      <w:r>
        <w:rPr>
          <w:sz w:val="24"/>
          <w:szCs w:val="24"/>
        </w:rPr>
        <w:t>4、主题要素的添加和图面设计</w:t>
      </w:r>
    </w:p>
    <w:p>
      <w:pPr>
        <w:spacing w:line="460" w:lineRule="exact"/>
        <w:ind w:firstLine="480" w:firstLineChars="200"/>
        <w:rPr>
          <w:sz w:val="24"/>
          <w:szCs w:val="24"/>
        </w:rPr>
      </w:pPr>
      <w:r>
        <w:rPr>
          <w:sz w:val="24"/>
          <w:szCs w:val="24"/>
        </w:rPr>
        <w:t>根据基准地价图件的不同类型，分别进行不同的添加。添加完成后，再进行综合图面整饰，形成完整的基准地价相关图件。</w:t>
      </w:r>
    </w:p>
    <w:p>
      <w:pPr>
        <w:tabs>
          <w:tab w:val="left" w:pos="2620"/>
        </w:tabs>
        <w:spacing w:beforeLines="50" w:afterLines="50" w:line="460" w:lineRule="exact"/>
        <w:ind w:firstLine="560" w:firstLineChars="200"/>
        <w:outlineLvl w:val="2"/>
        <w:rPr>
          <w:rFonts w:eastAsia="黑体"/>
          <w:sz w:val="28"/>
          <w:szCs w:val="28"/>
        </w:rPr>
      </w:pPr>
      <w:bookmarkStart w:id="1028" w:name="_Toc525807091"/>
      <w:bookmarkStart w:id="1029" w:name="_Toc12544"/>
      <w:bookmarkStart w:id="1030" w:name="_Toc16652"/>
      <w:bookmarkStart w:id="1031" w:name="_Toc466018436"/>
      <w:r>
        <w:rPr>
          <w:rFonts w:eastAsia="黑体"/>
          <w:sz w:val="28"/>
          <w:szCs w:val="28"/>
        </w:rPr>
        <w:t>五、基准地价专题地图输出</w:t>
      </w:r>
      <w:bookmarkEnd w:id="1028"/>
      <w:bookmarkEnd w:id="1029"/>
      <w:bookmarkEnd w:id="1030"/>
      <w:bookmarkEnd w:id="1031"/>
    </w:p>
    <w:p>
      <w:pPr>
        <w:spacing w:line="460" w:lineRule="exact"/>
        <w:ind w:firstLine="480" w:firstLineChars="200"/>
        <w:rPr>
          <w:sz w:val="24"/>
          <w:szCs w:val="24"/>
        </w:rPr>
      </w:pPr>
      <w:r>
        <w:rPr>
          <w:sz w:val="24"/>
          <w:szCs w:val="24"/>
        </w:rPr>
        <w:t>通过ArcGIS等专业绘图软件将经过整饰编辑所形成的基准地价图件输出。</w:t>
      </w:r>
    </w:p>
    <w:p>
      <w:pPr>
        <w:spacing w:beforeLines="50" w:afterLines="50" w:line="460" w:lineRule="exact"/>
        <w:jc w:val="center"/>
        <w:outlineLvl w:val="1"/>
        <w:rPr>
          <w:rFonts w:eastAsia="黑体"/>
          <w:sz w:val="30"/>
          <w:szCs w:val="30"/>
        </w:rPr>
      </w:pPr>
      <w:r>
        <w:rPr>
          <w:rFonts w:eastAsia="黑体"/>
          <w:sz w:val="30"/>
          <w:szCs w:val="30"/>
        </w:rPr>
        <w:br w:type="page"/>
      </w:r>
      <w:bookmarkStart w:id="1032" w:name="_Toc9554"/>
      <w:bookmarkStart w:id="1033" w:name="_Toc21131"/>
      <w:bookmarkStart w:id="1034" w:name="_Toc1422"/>
      <w:bookmarkStart w:id="1035" w:name="_Toc29829"/>
      <w:r>
        <w:rPr>
          <w:rFonts w:eastAsia="黑体"/>
          <w:sz w:val="30"/>
          <w:szCs w:val="30"/>
        </w:rPr>
        <w:t>第</w:t>
      </w:r>
      <w:r>
        <w:rPr>
          <w:rFonts w:hint="eastAsia" w:eastAsia="黑体"/>
          <w:sz w:val="30"/>
          <w:szCs w:val="30"/>
        </w:rPr>
        <w:t>三</w:t>
      </w:r>
      <w:r>
        <w:rPr>
          <w:rFonts w:eastAsia="黑体"/>
          <w:sz w:val="30"/>
          <w:szCs w:val="30"/>
        </w:rPr>
        <w:t>章  成果的内容及特点</w:t>
      </w:r>
      <w:bookmarkEnd w:id="983"/>
      <w:bookmarkEnd w:id="984"/>
      <w:bookmarkEnd w:id="985"/>
      <w:bookmarkEnd w:id="986"/>
      <w:bookmarkEnd w:id="987"/>
      <w:bookmarkEnd w:id="988"/>
      <w:bookmarkEnd w:id="989"/>
      <w:bookmarkEnd w:id="1032"/>
      <w:bookmarkEnd w:id="1033"/>
      <w:bookmarkEnd w:id="1034"/>
      <w:bookmarkEnd w:id="1035"/>
    </w:p>
    <w:p>
      <w:pPr>
        <w:tabs>
          <w:tab w:val="left" w:pos="2620"/>
        </w:tabs>
        <w:spacing w:beforeLines="50" w:afterLines="50" w:line="460" w:lineRule="exact"/>
        <w:ind w:firstLine="560" w:firstLineChars="200"/>
        <w:outlineLvl w:val="2"/>
        <w:rPr>
          <w:rFonts w:eastAsia="黑体"/>
          <w:sz w:val="28"/>
          <w:szCs w:val="28"/>
        </w:rPr>
      </w:pPr>
      <w:bookmarkStart w:id="1036" w:name="_Toc467846911"/>
      <w:bookmarkStart w:id="1037" w:name="_Toc469296528"/>
      <w:bookmarkStart w:id="1038" w:name="_Toc436407903"/>
      <w:bookmarkStart w:id="1039" w:name="_Toc3689"/>
      <w:bookmarkStart w:id="1040" w:name="_Toc454467676"/>
      <w:bookmarkStart w:id="1041" w:name="_Toc470721378"/>
      <w:bookmarkStart w:id="1042" w:name="_Toc11778"/>
      <w:bookmarkStart w:id="1043" w:name="_Toc213589874"/>
      <w:bookmarkStart w:id="1044" w:name="_Toc271529535"/>
      <w:r>
        <w:rPr>
          <w:rFonts w:eastAsia="黑体"/>
          <w:sz w:val="28"/>
          <w:szCs w:val="28"/>
        </w:rPr>
        <w:t>一、成果内容</w:t>
      </w:r>
      <w:bookmarkEnd w:id="1036"/>
      <w:bookmarkEnd w:id="1037"/>
      <w:bookmarkEnd w:id="1038"/>
      <w:bookmarkEnd w:id="1039"/>
      <w:bookmarkEnd w:id="1040"/>
      <w:bookmarkEnd w:id="1041"/>
      <w:bookmarkEnd w:id="1042"/>
      <w:bookmarkEnd w:id="1043"/>
      <w:bookmarkEnd w:id="1044"/>
    </w:p>
    <w:p>
      <w:pPr>
        <w:ind w:firstLine="480" w:firstLineChars="200"/>
        <w:rPr>
          <w:sz w:val="24"/>
        </w:rPr>
      </w:pPr>
      <w:r>
        <w:rPr>
          <w:sz w:val="24"/>
        </w:rPr>
        <w:t>1、《长沙县基准地价更新技术报告》</w:t>
      </w:r>
    </w:p>
    <w:p>
      <w:pPr>
        <w:spacing w:line="460" w:lineRule="exact"/>
        <w:ind w:firstLine="480" w:firstLineChars="200"/>
        <w:rPr>
          <w:sz w:val="24"/>
        </w:rPr>
      </w:pPr>
      <w:r>
        <w:rPr>
          <w:sz w:val="24"/>
        </w:rPr>
        <w:t>该报告共分为概述、土地定级、基准地价更新、宗地地价修正体系的编制和基准地价更新成果分析与应用，以及有关表格、图件及相关文件等附录。</w:t>
      </w:r>
    </w:p>
    <w:p>
      <w:pPr>
        <w:spacing w:line="460" w:lineRule="exact"/>
        <w:ind w:firstLine="480" w:firstLineChars="200"/>
        <w:rPr>
          <w:sz w:val="24"/>
        </w:rPr>
      </w:pPr>
      <w:r>
        <w:rPr>
          <w:sz w:val="24"/>
        </w:rPr>
        <w:t>2、主要表格</w:t>
      </w:r>
    </w:p>
    <w:p>
      <w:pPr>
        <w:spacing w:line="460" w:lineRule="exact"/>
        <w:ind w:firstLine="480" w:firstLineChars="200"/>
        <w:rPr>
          <w:sz w:val="24"/>
        </w:rPr>
      </w:pPr>
      <w:r>
        <w:rPr>
          <w:sz w:val="24"/>
        </w:rPr>
        <w:t>其中主要成果表格有：</w:t>
      </w:r>
    </w:p>
    <w:p>
      <w:pPr>
        <w:spacing w:line="460" w:lineRule="exact"/>
        <w:ind w:firstLine="480" w:firstLineChars="200"/>
        <w:rPr>
          <w:sz w:val="24"/>
        </w:rPr>
      </w:pPr>
      <w:r>
        <w:rPr>
          <w:sz w:val="24"/>
        </w:rPr>
        <w:t>（1）长沙县城区土地综合定级边界描述表；</w:t>
      </w:r>
    </w:p>
    <w:p>
      <w:pPr>
        <w:spacing w:line="460" w:lineRule="exact"/>
        <w:ind w:firstLine="480" w:firstLineChars="200"/>
        <w:rPr>
          <w:sz w:val="24"/>
        </w:rPr>
      </w:pPr>
      <w:r>
        <w:rPr>
          <w:sz w:val="24"/>
        </w:rPr>
        <w:t>（2）长沙县乡镇土地级别边界描述表；</w:t>
      </w:r>
    </w:p>
    <w:p>
      <w:pPr>
        <w:spacing w:line="460" w:lineRule="exact"/>
        <w:ind w:firstLine="480" w:firstLineChars="200"/>
        <w:rPr>
          <w:sz w:val="24"/>
        </w:rPr>
      </w:pPr>
      <w:r>
        <w:rPr>
          <w:sz w:val="24"/>
        </w:rPr>
        <w:t>（3）长沙县城区基准地价内涵表；</w:t>
      </w:r>
    </w:p>
    <w:p>
      <w:pPr>
        <w:spacing w:line="460" w:lineRule="exact"/>
        <w:ind w:firstLine="480" w:firstLineChars="200"/>
        <w:rPr>
          <w:sz w:val="24"/>
        </w:rPr>
      </w:pPr>
      <w:r>
        <w:rPr>
          <w:sz w:val="24"/>
        </w:rPr>
        <w:t>（4）长沙县各级别地面基准地价表；</w:t>
      </w:r>
    </w:p>
    <w:p>
      <w:pPr>
        <w:spacing w:line="460" w:lineRule="exact"/>
        <w:ind w:firstLine="480" w:firstLineChars="200"/>
        <w:rPr>
          <w:sz w:val="24"/>
        </w:rPr>
      </w:pPr>
      <w:r>
        <w:rPr>
          <w:sz w:val="24"/>
        </w:rPr>
        <w:t>（5）长沙县城区商服用地和住宅用地均质区域地面基准地价表；</w:t>
      </w:r>
    </w:p>
    <w:p>
      <w:pPr>
        <w:spacing w:line="460" w:lineRule="exact"/>
        <w:ind w:firstLine="480" w:firstLineChars="200"/>
        <w:rPr>
          <w:sz w:val="24"/>
        </w:rPr>
      </w:pPr>
      <w:r>
        <w:rPr>
          <w:sz w:val="24"/>
        </w:rPr>
        <w:t>（6）长沙县城区商服用地路线价表；</w:t>
      </w:r>
    </w:p>
    <w:p>
      <w:pPr>
        <w:spacing w:line="460" w:lineRule="exact"/>
        <w:ind w:firstLine="480" w:firstLineChars="200"/>
        <w:rPr>
          <w:sz w:val="24"/>
        </w:rPr>
      </w:pPr>
      <w:r>
        <w:rPr>
          <w:sz w:val="24"/>
        </w:rPr>
        <w:t>（7）长沙县城区商服用地地下空间土地使用权协议出让单价表；</w:t>
      </w:r>
    </w:p>
    <w:p>
      <w:pPr>
        <w:spacing w:line="460" w:lineRule="exact"/>
        <w:ind w:firstLine="480" w:firstLineChars="200"/>
        <w:rPr>
          <w:sz w:val="24"/>
        </w:rPr>
      </w:pPr>
      <w:r>
        <w:rPr>
          <w:sz w:val="24"/>
        </w:rPr>
        <w:t>（8）长沙县城区住宅用地地下空间土地使用权协议出让单价表；</w:t>
      </w:r>
    </w:p>
    <w:p>
      <w:pPr>
        <w:spacing w:line="460" w:lineRule="exact"/>
        <w:ind w:firstLine="480" w:firstLineChars="200"/>
        <w:rPr>
          <w:sz w:val="24"/>
        </w:rPr>
      </w:pPr>
      <w:r>
        <w:rPr>
          <w:sz w:val="24"/>
        </w:rPr>
        <w:t>5、主要图件</w:t>
      </w:r>
    </w:p>
    <w:p>
      <w:pPr>
        <w:spacing w:line="460" w:lineRule="exact"/>
        <w:ind w:firstLine="480" w:firstLineChars="200"/>
        <w:rPr>
          <w:sz w:val="24"/>
        </w:rPr>
      </w:pPr>
      <w:r>
        <w:rPr>
          <w:sz w:val="24"/>
        </w:rPr>
        <w:t>（1）长沙县城区土地级别及基准地价图；</w:t>
      </w:r>
    </w:p>
    <w:p>
      <w:pPr>
        <w:spacing w:line="460" w:lineRule="exact"/>
        <w:ind w:firstLine="480" w:firstLineChars="200"/>
        <w:rPr>
          <w:sz w:val="24"/>
        </w:rPr>
      </w:pPr>
      <w:r>
        <w:rPr>
          <w:sz w:val="24"/>
        </w:rPr>
        <w:t>（2）长沙县城区商服用地均质区域基准地价图；</w:t>
      </w:r>
    </w:p>
    <w:p>
      <w:pPr>
        <w:spacing w:line="460" w:lineRule="exact"/>
        <w:ind w:firstLine="480" w:firstLineChars="200"/>
        <w:rPr>
          <w:sz w:val="24"/>
        </w:rPr>
      </w:pPr>
      <w:r>
        <w:rPr>
          <w:sz w:val="24"/>
        </w:rPr>
        <w:t>（3）长沙县城区住宅用地均质区域基准地价图；</w:t>
      </w:r>
    </w:p>
    <w:p>
      <w:pPr>
        <w:spacing w:line="460" w:lineRule="exact"/>
        <w:ind w:firstLine="480" w:firstLineChars="200"/>
        <w:rPr>
          <w:sz w:val="24"/>
        </w:rPr>
      </w:pPr>
      <w:r>
        <w:rPr>
          <w:sz w:val="24"/>
        </w:rPr>
        <w:t>（5）长沙县城区商服用地路线价图；</w:t>
      </w:r>
    </w:p>
    <w:p>
      <w:pPr>
        <w:spacing w:line="460" w:lineRule="exact"/>
        <w:ind w:firstLine="480" w:firstLineChars="200"/>
        <w:rPr>
          <w:sz w:val="24"/>
        </w:rPr>
      </w:pPr>
      <w:r>
        <w:rPr>
          <w:sz w:val="24"/>
        </w:rPr>
        <w:t>（6）长沙县乡镇土地级别及基准地价图。</w:t>
      </w:r>
    </w:p>
    <w:p>
      <w:pPr>
        <w:spacing w:line="460" w:lineRule="exact"/>
        <w:ind w:firstLine="480" w:firstLineChars="200"/>
        <w:rPr>
          <w:sz w:val="24"/>
        </w:rPr>
      </w:pPr>
      <w:r>
        <w:rPr>
          <w:sz w:val="24"/>
        </w:rPr>
        <w:t>6、《长沙县基准地价更新基础资料汇编》</w:t>
      </w:r>
    </w:p>
    <w:p>
      <w:pPr>
        <w:spacing w:line="460" w:lineRule="exact"/>
        <w:ind w:firstLine="480" w:firstLineChars="200"/>
        <w:rPr>
          <w:sz w:val="24"/>
        </w:rPr>
      </w:pPr>
      <w:r>
        <w:rPr>
          <w:sz w:val="24"/>
        </w:rPr>
        <w:t>主要包括为开展土地级别调整与基准地价更新工作而搜集的涉及相关部门的方案资料及外业样点调查资料。</w:t>
      </w:r>
    </w:p>
    <w:p>
      <w:pPr>
        <w:tabs>
          <w:tab w:val="left" w:pos="2620"/>
        </w:tabs>
        <w:spacing w:beforeLines="50" w:afterLines="50" w:line="460" w:lineRule="exact"/>
        <w:ind w:firstLine="560" w:firstLineChars="200"/>
        <w:outlineLvl w:val="2"/>
        <w:rPr>
          <w:rFonts w:eastAsia="黑体"/>
          <w:sz w:val="28"/>
          <w:szCs w:val="28"/>
        </w:rPr>
      </w:pPr>
      <w:bookmarkStart w:id="1045" w:name="_Toc469296529"/>
      <w:bookmarkStart w:id="1046" w:name="_Toc470721379"/>
      <w:bookmarkStart w:id="1047" w:name="_Toc436407904"/>
      <w:bookmarkStart w:id="1048" w:name="_Toc18241"/>
      <w:bookmarkStart w:id="1049" w:name="_Toc5041"/>
      <w:bookmarkStart w:id="1050" w:name="_Toc454467677"/>
      <w:bookmarkStart w:id="1051" w:name="_Toc271529536"/>
      <w:bookmarkStart w:id="1052" w:name="_Toc467846912"/>
      <w:bookmarkStart w:id="1053" w:name="_Toc213589875"/>
      <w:r>
        <w:rPr>
          <w:rFonts w:eastAsia="黑体"/>
          <w:sz w:val="28"/>
          <w:szCs w:val="28"/>
        </w:rPr>
        <w:t>二、成果特点</w:t>
      </w:r>
      <w:bookmarkEnd w:id="1045"/>
      <w:bookmarkEnd w:id="1046"/>
      <w:bookmarkEnd w:id="1047"/>
      <w:bookmarkEnd w:id="1048"/>
      <w:bookmarkEnd w:id="1049"/>
      <w:bookmarkEnd w:id="1050"/>
      <w:bookmarkEnd w:id="1051"/>
      <w:bookmarkEnd w:id="1052"/>
      <w:bookmarkEnd w:id="1053"/>
    </w:p>
    <w:p>
      <w:pPr>
        <w:spacing w:line="460" w:lineRule="exact"/>
        <w:ind w:firstLine="480" w:firstLineChars="200"/>
        <w:rPr>
          <w:sz w:val="24"/>
        </w:rPr>
      </w:pPr>
      <w:r>
        <w:rPr>
          <w:sz w:val="24"/>
        </w:rPr>
        <w:t>更新区域土地基准地价更新工作充分发挥了各方面的优势，根据《规程》要求，结合规划区特点，制订了比较完善的基准地价更新的工作方案和技术方案。运用土地级别调整与基准地价更新信息系统，进行更新区域土地的分类定级工作；评定出了各类用途土地级别的基准地价并建立了相应的宗地地价的修正体系。</w:t>
      </w:r>
    </w:p>
    <w:p>
      <w:pPr>
        <w:spacing w:line="460" w:lineRule="exact"/>
        <w:ind w:firstLine="480" w:firstLineChars="200"/>
        <w:rPr>
          <w:sz w:val="24"/>
        </w:rPr>
      </w:pPr>
      <w:r>
        <w:rPr>
          <w:sz w:val="24"/>
        </w:rPr>
        <w:t>1、采用的技术方法严格依据行业规范《城镇土地估价规程》和《城镇土地分等定级规程》，同时结合实际，积极探索创新</w:t>
      </w:r>
    </w:p>
    <w:p>
      <w:pPr>
        <w:spacing w:line="460" w:lineRule="exact"/>
        <w:ind w:firstLine="480" w:firstLineChars="200"/>
        <w:rPr>
          <w:sz w:val="24"/>
        </w:rPr>
      </w:pPr>
      <w:r>
        <w:rPr>
          <w:sz w:val="24"/>
        </w:rPr>
        <w:t>更新区域基准地价更新工作严格按照国家新颁布的《规程》规定的技术路线和技术方法。同时，还结合更新区域实际情况及更新区域地价管理工作已有的基础，进行了一些有益的探索，建立了适合更新区域实际的切实可行的地价评估体系。</w:t>
      </w:r>
    </w:p>
    <w:p>
      <w:pPr>
        <w:spacing w:line="460" w:lineRule="exact"/>
        <w:ind w:firstLine="480" w:firstLineChars="200"/>
        <w:rPr>
          <w:sz w:val="24"/>
        </w:rPr>
      </w:pPr>
      <w:r>
        <w:rPr>
          <w:sz w:val="24"/>
        </w:rPr>
        <w:t>①采集的基础资料真实、可靠。城镇基准地价应反映现时条件下的土地经济价值，因而对各种基础数据现实性要求较高。为此，我们调查的均为近期的定级估价资料（主要包括部门资料和样点资料），特别是工作底图的注记，做到尽量反映城市现状，如添加了新建的广场、道路等地物，体现最新的城市建设成果，具有很强的真实性。</w:t>
      </w:r>
    </w:p>
    <w:p>
      <w:pPr>
        <w:spacing w:line="460" w:lineRule="exact"/>
        <w:ind w:firstLine="480" w:firstLineChars="200"/>
        <w:rPr>
          <w:sz w:val="24"/>
        </w:rPr>
      </w:pPr>
      <w:r>
        <w:rPr>
          <w:sz w:val="24"/>
        </w:rPr>
        <w:t>②为了保证确定的各级别界线及其基准地价更切合市场实际，符合规划区土地价格水平，采取了多种方式对基准地价进行了验证，利用现有资料进行反复校核，具体做了以下工作：a)依据《规程》规定，通过市场交易价检验土地级别，即将样点地价进行修正检验和剔除，通过计算机统计得出各用途级别与级别内样点均价，并分析对应关系，进行比较，充分验证土地级别；b)广泛征求意见。为了验证土地级别和基准地价结果，按照市、局领导的要求，我们多次邀请市级有关部门座谈，听取各方意见，获取最新市场资料，并采取发放回收表格问询的方式收集信息。此外，还多次召集局系统内有关科室、分局熟悉更新区域情况的专家开会，最后确定了更新区域各级别界线范围及基准地价。</w:t>
      </w:r>
    </w:p>
    <w:p>
      <w:pPr>
        <w:spacing w:line="460" w:lineRule="exact"/>
        <w:ind w:firstLine="480" w:firstLineChars="200"/>
        <w:rPr>
          <w:sz w:val="24"/>
        </w:rPr>
      </w:pPr>
      <w:r>
        <w:rPr>
          <w:sz w:val="24"/>
        </w:rPr>
        <w:t>③“定级”和“估价”过程中的工作部分根据更新区域实际情况适当调整及省略。如定级因素的选择，没有包罗所有因素，只是尽可能选用那些对地价影响程度较大的因素。</w:t>
      </w:r>
    </w:p>
    <w:p>
      <w:pPr>
        <w:spacing w:line="460" w:lineRule="exact"/>
        <w:ind w:firstLine="480" w:firstLineChars="200"/>
        <w:rPr>
          <w:sz w:val="24"/>
        </w:rPr>
      </w:pPr>
      <w:r>
        <w:rPr>
          <w:sz w:val="24"/>
        </w:rPr>
        <w:t>④得出的成果形成了点（宗地）、面（级别）、宏观（级别基准地价）、中观（临路加价还原成路线价）和微观（宗地地价、宗地地价修正系数）三个地域层次，时空两个维度相互衔接，相互补充动态修正的地价评估结构体系，有利于发挥不同类型地价在管理、指导和调控地产市场中的作用，便于基准地价的修订更新，也为宗地地价评估提供了可靠依据。</w:t>
      </w:r>
    </w:p>
    <w:p>
      <w:pPr>
        <w:spacing w:line="460" w:lineRule="exact"/>
        <w:ind w:firstLine="480" w:firstLineChars="200"/>
        <w:rPr>
          <w:sz w:val="24"/>
        </w:rPr>
      </w:pPr>
      <w:r>
        <w:rPr>
          <w:sz w:val="24"/>
        </w:rPr>
        <w:t>2、运用的手段先进，基本实现数字地价</w:t>
      </w:r>
    </w:p>
    <w:p>
      <w:pPr>
        <w:spacing w:line="460" w:lineRule="exact"/>
        <w:ind w:firstLine="480" w:firstLineChars="200"/>
        <w:rPr>
          <w:sz w:val="24"/>
        </w:rPr>
      </w:pPr>
      <w:r>
        <w:rPr>
          <w:sz w:val="24"/>
        </w:rPr>
        <w:t>本次土地基准地价更新成果是以先进的地理信息系统为辅助手段，并建立了更新区域土地基准地价更新系统，具有信息处理快捷，便于更新的优点，也为我区今后的基准地价更新工作奠定了基础。同时也根据更新区域地价管理基础资料翔实情况，并为了适应更新区域基础设施建设速度，建立了宗地信息系统。</w:t>
      </w:r>
    </w:p>
    <w:p>
      <w:pPr>
        <w:spacing w:line="460" w:lineRule="exact"/>
        <w:ind w:firstLine="480" w:firstLineChars="200"/>
        <w:rPr>
          <w:sz w:val="24"/>
        </w:rPr>
      </w:pPr>
      <w:r>
        <w:rPr>
          <w:sz w:val="24"/>
        </w:rPr>
        <w:t>3、土地价格体系完整，内涵构成切合实际，具有合理实用的特点</w:t>
      </w:r>
    </w:p>
    <w:p>
      <w:pPr>
        <w:spacing w:line="460" w:lineRule="exact"/>
        <w:ind w:firstLine="480" w:firstLineChars="200"/>
        <w:rPr>
          <w:sz w:val="24"/>
        </w:rPr>
      </w:pPr>
      <w:r>
        <w:rPr>
          <w:sz w:val="24"/>
        </w:rPr>
        <w:t>基准地价是设定在同一估价时点、限定用途、出让状态下、同一开发程度下、区域平均土地利用程度下的平均价格，本次更新区域基准地价更新从三个不同角度探讨基准地价定义。</w:t>
      </w:r>
    </w:p>
    <w:p>
      <w:pPr>
        <w:spacing w:line="460" w:lineRule="exact"/>
        <w:ind w:firstLine="480" w:firstLineChars="200"/>
        <w:rPr>
          <w:sz w:val="24"/>
        </w:rPr>
      </w:pPr>
      <w:r>
        <w:rPr>
          <w:sz w:val="24"/>
        </w:rPr>
        <w:t>①从开发程度上理解，基准地价为开发为熟地后的完整意义上的地价，俗称“熟地地价”，所以当具体宗地开发状况未达到设定的开发程度时，宗地评估时必须进行开发程度修正，这样可以使宗地地价与宗地实际开发状况一致。</w:t>
      </w:r>
    </w:p>
    <w:p>
      <w:pPr>
        <w:spacing w:line="460" w:lineRule="exact"/>
        <w:ind w:firstLine="480" w:firstLineChars="200"/>
        <w:rPr>
          <w:sz w:val="24"/>
        </w:rPr>
      </w:pPr>
      <w:r>
        <w:rPr>
          <w:sz w:val="24"/>
        </w:rPr>
        <w:t>②从收益的角度看，基准地价是土地纯收益与土地原利率的比率，土地还原利率与土地价格密切相关，与宗地地价也紧密相连，所以在土地级别调整与基准地价更新时采取多种方式确定、检验更新区域土地还原利率，最后确定了分用途的土地还原利率。</w:t>
      </w:r>
    </w:p>
    <w:p>
      <w:pPr>
        <w:spacing w:line="460" w:lineRule="exact"/>
        <w:ind w:firstLine="480" w:firstLineChars="200"/>
        <w:rPr>
          <w:sz w:val="24"/>
        </w:rPr>
      </w:pPr>
      <w:r>
        <w:rPr>
          <w:sz w:val="24"/>
        </w:rPr>
        <w:t>③从地价的形成过程即成本角度看，基准地价主要由土地成本、市政配套费、土地纯出让金和区位差价构成，这些构成在基准地价构成中是占一定固定比例的，根据其比例关系，可以用于评估不同权利状况下的宗地地价，可以进行利益分解。</w:t>
      </w:r>
    </w:p>
    <w:p>
      <w:pPr>
        <w:spacing w:line="460" w:lineRule="exact"/>
        <w:ind w:firstLine="480" w:firstLineChars="200"/>
        <w:rPr>
          <w:sz w:val="24"/>
        </w:rPr>
      </w:pPr>
      <w:r>
        <w:rPr>
          <w:sz w:val="24"/>
        </w:rPr>
        <w:t>4、在宗地地价修正体系方面进行了探索创新，使宗地地价评估更为合理、便捷，符合实际</w:t>
      </w:r>
    </w:p>
    <w:p>
      <w:pPr>
        <w:spacing w:line="460" w:lineRule="exact"/>
        <w:ind w:firstLine="480" w:firstLineChars="200"/>
        <w:rPr>
          <w:sz w:val="24"/>
        </w:rPr>
      </w:pPr>
      <w:r>
        <w:rPr>
          <w:sz w:val="24"/>
        </w:rPr>
        <w:t>基准地价评估是在现实宗地利用效益、地价资料的基础上，通过对城镇中已有资料（样点地价）的数理统计分析，求得的平均价格，利用其还原成宗地地价是它的主要目的之一，宗地地价评估与基准地价评估客观上存在着由个别到一般，再由一般到个别的关系。本次土地级别调整与基准地价更新工作采用替代原理，建立基准地价、宗地地价及其影响因素之间的相关关系，编制出了基准地价在不同因素条件下修正为宗地地价的体系，选择的因素（因子）是与更新区域“地价”密切相关，且对更新区域的地价影响作用相当显著，其变化范围较大；所形成的因素修正体系内容完善，分用途确定了修正体系，包括个别因素修正、区域因素修正和特殊因素修正，特殊因素修是与更新区域的地价体系密切相关，像基准地价体系只有点（样点地价）、面（级别地价）结构，未具体包含路线价，但在特殊因素中根据更新区域以前的经验，并作进一步的调整，确定临路宗地通过临路加价实现路线价。</w:t>
      </w:r>
    </w:p>
    <w:p>
      <w:pPr>
        <w:spacing w:line="460" w:lineRule="exact"/>
        <w:ind w:firstLine="480" w:firstLineChars="200"/>
        <w:rPr>
          <w:sz w:val="24"/>
        </w:rPr>
      </w:pPr>
      <w:r>
        <w:rPr>
          <w:sz w:val="24"/>
        </w:rPr>
        <w:t>5、成果的表达方式操作性强</w:t>
      </w:r>
    </w:p>
    <w:p>
      <w:pPr>
        <w:spacing w:line="460" w:lineRule="exact"/>
        <w:ind w:firstLine="480" w:firstLineChars="200"/>
        <w:rPr>
          <w:sz w:val="24"/>
        </w:rPr>
      </w:pPr>
      <w:r>
        <w:rPr>
          <w:sz w:val="24"/>
        </w:rPr>
        <w:t>本次土地级别调整成果和基准地价体系十分全面。从微观的标准的均质网格单元地价，中观的应用评价单元地价到宏观的土地级别基准地价，不仅能够快捷方便地通过网格单元和应用评价单元查询土地级别和确定宗地地价，而且能够从宏观上了解更新区域土地级别分布状况和统计土地资产总量。成果表达的形式上既有文本数据和图件资料，又有电子数据，图文并茂，操作简便快捷。</w:t>
      </w:r>
    </w:p>
    <w:p>
      <w:pPr>
        <w:spacing w:beforeLines="50" w:afterLines="50" w:line="460" w:lineRule="exact"/>
        <w:jc w:val="center"/>
        <w:outlineLvl w:val="1"/>
        <w:rPr>
          <w:rFonts w:eastAsia="黑体"/>
          <w:sz w:val="30"/>
          <w:szCs w:val="30"/>
        </w:rPr>
      </w:pPr>
      <w:bookmarkStart w:id="1054" w:name="_Toc31585"/>
      <w:bookmarkStart w:id="1055" w:name="_Toc470721380"/>
      <w:bookmarkStart w:id="1056" w:name="_Toc5718"/>
      <w:bookmarkStart w:id="1057" w:name="_Toc1321"/>
      <w:bookmarkStart w:id="1058" w:name="_Toc271529537"/>
      <w:bookmarkStart w:id="1059" w:name="_Toc29925"/>
      <w:bookmarkStart w:id="1060" w:name="_Toc432083241"/>
      <w:bookmarkStart w:id="1061" w:name="_Toc213589876"/>
      <w:bookmarkStart w:id="1062" w:name="_Toc467846913"/>
      <w:bookmarkStart w:id="1063" w:name="_Toc436407905"/>
      <w:bookmarkStart w:id="1064" w:name="_Toc469296530"/>
      <w:r>
        <w:rPr>
          <w:rFonts w:eastAsia="黑体"/>
          <w:sz w:val="30"/>
          <w:szCs w:val="30"/>
        </w:rPr>
        <w:t>第</w:t>
      </w:r>
      <w:r>
        <w:rPr>
          <w:rFonts w:hint="eastAsia" w:eastAsia="黑体"/>
          <w:sz w:val="30"/>
          <w:szCs w:val="30"/>
        </w:rPr>
        <w:t>四</w:t>
      </w:r>
      <w:r>
        <w:rPr>
          <w:rFonts w:eastAsia="黑体"/>
          <w:sz w:val="30"/>
          <w:szCs w:val="30"/>
        </w:rPr>
        <w:t>章  成果的应用范围及说明</w:t>
      </w:r>
      <w:bookmarkEnd w:id="1054"/>
      <w:bookmarkEnd w:id="1055"/>
      <w:bookmarkEnd w:id="1056"/>
      <w:bookmarkEnd w:id="1057"/>
      <w:bookmarkEnd w:id="1058"/>
      <w:bookmarkEnd w:id="1059"/>
      <w:bookmarkEnd w:id="1060"/>
      <w:bookmarkEnd w:id="1061"/>
      <w:bookmarkEnd w:id="1062"/>
      <w:bookmarkEnd w:id="1063"/>
      <w:bookmarkEnd w:id="1064"/>
    </w:p>
    <w:p>
      <w:pPr>
        <w:spacing w:line="460" w:lineRule="exact"/>
        <w:ind w:firstLine="480" w:firstLineChars="200"/>
        <w:rPr>
          <w:sz w:val="24"/>
        </w:rPr>
      </w:pPr>
      <w:r>
        <w:rPr>
          <w:sz w:val="24"/>
        </w:rPr>
        <w:t>任何成果最终目的在于应用，土地级别调整与基准地价更新成果也不例外。国土资源管理部门十分重视基准地价成果的应用，已经把它纳入地价管理重要工作内容之一。更新区域土地基准地价更新工作自始至终注重它的作用，它不仅应在指导和规范土地市场方面发挥作用，而且应在城市建设、城市功能的提升、城市经济的发展等方面发挥其优势。</w:t>
      </w:r>
    </w:p>
    <w:p>
      <w:pPr>
        <w:tabs>
          <w:tab w:val="left" w:pos="2620"/>
        </w:tabs>
        <w:spacing w:beforeLines="50" w:afterLines="50" w:line="460" w:lineRule="exact"/>
        <w:ind w:firstLine="560" w:firstLineChars="200"/>
        <w:outlineLvl w:val="2"/>
        <w:rPr>
          <w:rFonts w:eastAsia="黑体"/>
          <w:sz w:val="28"/>
          <w:szCs w:val="28"/>
        </w:rPr>
      </w:pPr>
      <w:bookmarkStart w:id="1065" w:name="_Toc213589877"/>
      <w:bookmarkStart w:id="1066" w:name="_Toc271529538"/>
      <w:bookmarkStart w:id="1067" w:name="_Toc14121"/>
      <w:bookmarkStart w:id="1068" w:name="_Toc436407906"/>
      <w:bookmarkStart w:id="1069" w:name="_Toc469296531"/>
      <w:bookmarkStart w:id="1070" w:name="_Toc454467679"/>
      <w:bookmarkStart w:id="1071" w:name="_Toc470721381"/>
      <w:bookmarkStart w:id="1072" w:name="_Toc467846914"/>
      <w:bookmarkStart w:id="1073" w:name="_Toc11335"/>
      <w:r>
        <w:rPr>
          <w:rFonts w:eastAsia="黑体"/>
          <w:sz w:val="28"/>
          <w:szCs w:val="28"/>
        </w:rPr>
        <w:t>一、成果应用范围</w:t>
      </w:r>
      <w:bookmarkEnd w:id="1065"/>
      <w:bookmarkEnd w:id="1066"/>
      <w:bookmarkEnd w:id="1067"/>
      <w:bookmarkEnd w:id="1068"/>
      <w:bookmarkEnd w:id="1069"/>
      <w:bookmarkEnd w:id="1070"/>
      <w:bookmarkEnd w:id="1071"/>
      <w:bookmarkEnd w:id="1072"/>
      <w:bookmarkEnd w:id="1073"/>
    </w:p>
    <w:p>
      <w:pPr>
        <w:spacing w:line="460" w:lineRule="exact"/>
        <w:ind w:firstLine="480" w:firstLineChars="200"/>
        <w:rPr>
          <w:sz w:val="24"/>
          <w:szCs w:val="24"/>
        </w:rPr>
      </w:pPr>
      <w:r>
        <w:rPr>
          <w:sz w:val="24"/>
          <w:szCs w:val="24"/>
        </w:rPr>
        <w:t>本次工作成果为长沙县深化土地使用制度改革，培育、规范、调控土地市场，优化土地利用结构，科学合理地配置土地资产提供了丰富、翔尽、现实的基础资料。其应用范围有以下几方面：</w:t>
      </w:r>
    </w:p>
    <w:p>
      <w:pPr>
        <w:spacing w:line="460" w:lineRule="exact"/>
        <w:ind w:firstLine="482" w:firstLineChars="200"/>
        <w:rPr>
          <w:b/>
          <w:sz w:val="24"/>
          <w:szCs w:val="24"/>
        </w:rPr>
      </w:pPr>
      <w:r>
        <w:rPr>
          <w:b/>
          <w:sz w:val="24"/>
          <w:szCs w:val="24"/>
        </w:rPr>
        <w:t>（一）宏观调控土地市场、指导地产交易</w:t>
      </w:r>
    </w:p>
    <w:p>
      <w:pPr>
        <w:spacing w:line="460" w:lineRule="exact"/>
        <w:ind w:firstLine="480" w:firstLineChars="200"/>
        <w:rPr>
          <w:sz w:val="24"/>
          <w:szCs w:val="24"/>
        </w:rPr>
      </w:pPr>
      <w:r>
        <w:rPr>
          <w:sz w:val="24"/>
          <w:szCs w:val="24"/>
        </w:rPr>
        <w:t>由于土地市场的特殊性和我国土地管理现行政策的局限性，目前土地交易市场处于一个待完善、待规范的状态。主要表现在：（1）国有土地资产通过市场配置的比例不太高，透明度较低；（2）划拨土地非法入市、隐形交易现象时有发生；（3）政府在出让土地的过程中，由于没有现势性强的基本价格，客观造成隐性减免地价，挤占国有土地收益的现象，使得部分应由国家取得的土地收益流失到少数单位和个人手中；（4）二、三级市场价格的透明度与可比性较差，交易双方难以准确把握市场交易价格信息：（5）政府对土地使用权的转让实行优先购买权没有合理的价格标准。在建立了基准地价及宗地地价修正体系以后，政府管理部门可利用基准地价及宗地地价修正体系迅速快捷地把握地价水平，指导交易活动，规范交易行为。这对于制订合理地价政策、建立正常有序的地产市场将起到积极作用。</w:t>
      </w:r>
    </w:p>
    <w:p>
      <w:pPr>
        <w:spacing w:line="460" w:lineRule="exact"/>
        <w:ind w:firstLine="482" w:firstLineChars="200"/>
        <w:rPr>
          <w:b/>
          <w:sz w:val="24"/>
          <w:szCs w:val="24"/>
        </w:rPr>
      </w:pPr>
      <w:r>
        <w:rPr>
          <w:b/>
          <w:sz w:val="24"/>
          <w:szCs w:val="24"/>
        </w:rPr>
        <w:t>（二）运用经济杠杆管理土地</w:t>
      </w:r>
    </w:p>
    <w:p>
      <w:pPr>
        <w:spacing w:line="460" w:lineRule="exact"/>
        <w:ind w:firstLine="480" w:firstLineChars="200"/>
        <w:rPr>
          <w:sz w:val="24"/>
          <w:szCs w:val="24"/>
        </w:rPr>
      </w:pPr>
      <w:r>
        <w:rPr>
          <w:sz w:val="24"/>
          <w:szCs w:val="24"/>
        </w:rPr>
        <w:t>随着土地使用制度改革的不断深入，规划区土地的出让、转让、出租、入股、抵押等土地经济活动将日益频繁。通过土地级别的评定，基准地价、标定地价的评估，能为土地出让、转让、出租、入股、抵押等土地交易活动计算土地价格或租金提供基础资料和参考依据，能使经济手段管理土地的多项措施得以落实，更有效地管理土地市场。一方面保证政府取得足够的土地收益，进一步扩大城市基础设施投资，改善投资环境；另一方面也使得开发商得到土地投资的合理回报，做到有利可图。基准地价及宗地地价修正体系的建立能使政府根据土地不同区位、使用性质和供求状况等因素，确定土地出让的基础价格。这一价格比以往凭经验估计更具有科学性，易于为国内外投资者接受。另外，在土地出让过程中，还可以基准地价为依据，按不同行业的产业政策，实行不同的地价政策。这对城市经济的协调均衡发展起着较大的推动作用。</w:t>
      </w:r>
    </w:p>
    <w:p>
      <w:pPr>
        <w:spacing w:line="460" w:lineRule="exact"/>
        <w:ind w:firstLine="482" w:firstLineChars="200"/>
        <w:rPr>
          <w:b/>
          <w:sz w:val="24"/>
          <w:szCs w:val="24"/>
        </w:rPr>
      </w:pPr>
      <w:r>
        <w:rPr>
          <w:b/>
          <w:sz w:val="24"/>
          <w:szCs w:val="24"/>
        </w:rPr>
        <w:t>（三）建立健全基准地价体系，为国土资源管理部门测算宗地地价及土地出让金提供依据。</w:t>
      </w:r>
    </w:p>
    <w:p>
      <w:pPr>
        <w:spacing w:line="460" w:lineRule="exact"/>
        <w:ind w:firstLine="480" w:firstLineChars="200"/>
        <w:rPr>
          <w:sz w:val="24"/>
          <w:szCs w:val="24"/>
        </w:rPr>
      </w:pPr>
      <w:r>
        <w:rPr>
          <w:sz w:val="24"/>
          <w:szCs w:val="24"/>
        </w:rPr>
        <w:t>本次测算的基准地价均为楼面地价，具有较强的操作性。同时也给定了各类用地的宗地地价修正体系和宗地地价计算的方法，一方面为国土资源管理部门确定标定地价提供了方便；另一方面也为宗地地价评估提供了一种科学、简便易行的测算方法；从而也为政府出让国有土地使用权时确定土地使用权出让金提供了科学依据，为形成健全的地价体系起到指导作用，也便于政府运用经济杠杆加强对土地市场的管理，引导土地市场的正常发育。</w:t>
      </w:r>
    </w:p>
    <w:p>
      <w:pPr>
        <w:spacing w:line="460" w:lineRule="exact"/>
        <w:ind w:firstLine="482" w:firstLineChars="200"/>
        <w:rPr>
          <w:b/>
          <w:sz w:val="24"/>
          <w:szCs w:val="24"/>
        </w:rPr>
      </w:pPr>
      <w:r>
        <w:rPr>
          <w:b/>
          <w:sz w:val="24"/>
          <w:szCs w:val="24"/>
        </w:rPr>
        <w:t>（四）充分发挥政府对地价的控制和导向作用，合理引导投资方向和土地利用方式。</w:t>
      </w:r>
    </w:p>
    <w:p>
      <w:pPr>
        <w:spacing w:line="460" w:lineRule="exact"/>
        <w:ind w:firstLine="480" w:firstLineChars="200"/>
        <w:rPr>
          <w:sz w:val="24"/>
          <w:szCs w:val="24"/>
        </w:rPr>
      </w:pPr>
      <w:r>
        <w:rPr>
          <w:sz w:val="24"/>
          <w:szCs w:val="24"/>
        </w:rPr>
        <w:t>根据宗地的具体临街条件、容积率，将地价计算与土地利用状况紧密结合，若仅开发临街宗地，则地价就高，综合开发则地价降低。使政府可利用地价杠杆，合理规划土地开发规模，促进开发商之间公平竞争，避免仅开发临街宗地，背街无人开发的情况。</w:t>
      </w:r>
    </w:p>
    <w:p>
      <w:pPr>
        <w:spacing w:line="460" w:lineRule="exact"/>
        <w:ind w:firstLine="482" w:firstLineChars="200"/>
        <w:rPr>
          <w:b/>
          <w:sz w:val="24"/>
          <w:szCs w:val="24"/>
        </w:rPr>
      </w:pPr>
      <w:r>
        <w:rPr>
          <w:b/>
          <w:sz w:val="24"/>
          <w:szCs w:val="24"/>
        </w:rPr>
        <w:t>（五）为合理配置土地资产、优化土地利用结构提供依据</w:t>
      </w:r>
    </w:p>
    <w:p>
      <w:pPr>
        <w:spacing w:line="460" w:lineRule="exact"/>
        <w:ind w:firstLine="480" w:firstLineChars="200"/>
        <w:rPr>
          <w:sz w:val="24"/>
          <w:szCs w:val="24"/>
        </w:rPr>
      </w:pPr>
      <w:r>
        <w:rPr>
          <w:sz w:val="24"/>
          <w:szCs w:val="24"/>
        </w:rPr>
        <w:t>优化土地配置最有效的措施就是利用科学的地价体系，在繁华地段重点发展商服、服务业和房地产业，在适合作工矿仓储用地的城郊结合部和工业开发区重点发展工业，做到地尽其利，有利于引导开发商投资工业，有利于城镇整体实力的增强和城市规模的扩大，加快城镇基础产业的发展。</w:t>
      </w:r>
    </w:p>
    <w:p>
      <w:pPr>
        <w:spacing w:line="460" w:lineRule="exact"/>
        <w:ind w:firstLine="482" w:firstLineChars="200"/>
        <w:rPr>
          <w:b/>
          <w:sz w:val="24"/>
          <w:szCs w:val="24"/>
        </w:rPr>
      </w:pPr>
      <w:r>
        <w:rPr>
          <w:b/>
          <w:sz w:val="24"/>
          <w:szCs w:val="24"/>
        </w:rPr>
        <w:t>（六）为政府征收土地税（费）提供依据</w:t>
      </w:r>
    </w:p>
    <w:p>
      <w:pPr>
        <w:spacing w:line="460" w:lineRule="exact"/>
        <w:ind w:firstLine="480" w:firstLineChars="200"/>
        <w:rPr>
          <w:sz w:val="24"/>
          <w:szCs w:val="24"/>
        </w:rPr>
      </w:pPr>
      <w:r>
        <w:rPr>
          <w:sz w:val="24"/>
          <w:szCs w:val="24"/>
        </w:rPr>
        <w:t>土地使用税、土地增值税均应从价征收，该次评估的基准地价可为其科学征收提供依据。土地增值税的征收，虽然国家公布了征收细则，但是各地在执行过程中均遇到了不少阻力，其中一条很重要的原因是细则中关于土地增值税的计算较为复杂，一般的税务人员或代收的单位操作起来比较困难，如果城市的各个区域有时效性比较强的基准地价体系，以发生转让行为的地块的地价差额为基数来缴纳一定比例的增值税将大大简化该税种的征收难度。在现阶段已有征收细则的情况下，可以在预征土地增值税中发挥一定作用。</w:t>
      </w:r>
    </w:p>
    <w:p>
      <w:pPr>
        <w:spacing w:line="460" w:lineRule="exact"/>
        <w:ind w:firstLine="482" w:firstLineChars="200"/>
        <w:rPr>
          <w:b/>
          <w:sz w:val="24"/>
          <w:szCs w:val="24"/>
        </w:rPr>
      </w:pPr>
      <w:r>
        <w:rPr>
          <w:b/>
          <w:sz w:val="24"/>
          <w:szCs w:val="24"/>
        </w:rPr>
        <w:t>（七）为外引内联合资合作经营服务</w:t>
      </w:r>
    </w:p>
    <w:p>
      <w:pPr>
        <w:spacing w:line="460" w:lineRule="exact"/>
        <w:ind w:firstLine="480" w:firstLineChars="200"/>
        <w:rPr>
          <w:sz w:val="24"/>
          <w:szCs w:val="24"/>
        </w:rPr>
      </w:pPr>
      <w:r>
        <w:rPr>
          <w:sz w:val="24"/>
          <w:szCs w:val="24"/>
        </w:rPr>
        <w:t>随着改革开放的不断深化，中国经济逐步融入世界经济，外资独资和合资企业必将日益增多。如何吸引鼓励外商来岳投资，必须对提供的土地有一个合情合理的能被双方所接受的价格，并且合适的地价水平，既能吸引外资以发展本地区经济又不至于因低地价造成国有资产流失或造成外商对政府的不信任。市委、市政府十分重视各个投资项目的内联外引工作，科学、合理、客观的基准地价体系，可为改革开放，引进外资提供必要的参考。</w:t>
      </w:r>
    </w:p>
    <w:p>
      <w:pPr>
        <w:spacing w:line="460" w:lineRule="exact"/>
        <w:ind w:firstLine="482" w:firstLineChars="200"/>
        <w:rPr>
          <w:b/>
          <w:sz w:val="24"/>
          <w:szCs w:val="24"/>
        </w:rPr>
      </w:pPr>
      <w:r>
        <w:rPr>
          <w:b/>
          <w:sz w:val="24"/>
          <w:szCs w:val="24"/>
        </w:rPr>
        <w:t>（八）为显化企业土地资产提供依据</w:t>
      </w:r>
    </w:p>
    <w:p>
      <w:pPr>
        <w:spacing w:line="460" w:lineRule="exact"/>
        <w:ind w:firstLine="480" w:firstLineChars="200"/>
        <w:rPr>
          <w:sz w:val="24"/>
          <w:szCs w:val="24"/>
        </w:rPr>
      </w:pPr>
      <w:r>
        <w:rPr>
          <w:sz w:val="24"/>
          <w:szCs w:val="24"/>
        </w:rPr>
        <w:t>目前大多数企业账面资产中包括的土地资产部分，有些仅是当时的征地费，不能反映土地资产的现值。为正确反映企业中土地资产的现值，正确衡量企业经营管理水平和发挥土地资产效益，有必要按标定地价对企业土地资产进行显化。特别是当前企业改制过程中，企业兼并、租赁、拍卖、合资过程中，一般都涉及土地使用权的转让、出租、抵押、作价出资等土地资产处置方式，依据基准地价和宗地地价修正体系显化具体宗地的土地资产量是十分必要的。</w:t>
      </w:r>
    </w:p>
    <w:p>
      <w:pPr>
        <w:spacing w:line="460" w:lineRule="exact"/>
        <w:ind w:firstLine="482" w:firstLineChars="200"/>
        <w:rPr>
          <w:b/>
          <w:sz w:val="24"/>
          <w:szCs w:val="24"/>
        </w:rPr>
      </w:pPr>
      <w:r>
        <w:rPr>
          <w:b/>
          <w:sz w:val="24"/>
          <w:szCs w:val="24"/>
        </w:rPr>
        <w:t>（九）促使土地资产管理的完善</w:t>
      </w:r>
    </w:p>
    <w:p>
      <w:pPr>
        <w:spacing w:line="460" w:lineRule="exact"/>
        <w:ind w:firstLine="480" w:firstLineChars="200"/>
        <w:rPr>
          <w:sz w:val="24"/>
          <w:szCs w:val="24"/>
        </w:rPr>
      </w:pPr>
      <w:r>
        <w:rPr>
          <w:sz w:val="24"/>
          <w:szCs w:val="24"/>
        </w:rPr>
        <w:t>城市土地除了数量以外，质量和级别也是土地的基本特征，而且是土地资产的重要量度标志，必须在地籍资料中反映出来，同时地籍资料中反映的土地质量和级别，必须是土地质量的综合反映，并且要求在城市中或一定区域范围内具有可比性。通过评定土地级别和基准地价，可以进一步完善土地资产管理。</w:t>
      </w:r>
    </w:p>
    <w:p>
      <w:pPr>
        <w:spacing w:line="360" w:lineRule="auto"/>
        <w:ind w:firstLine="560" w:firstLineChars="200"/>
        <w:outlineLvl w:val="2"/>
        <w:rPr>
          <w:rFonts w:eastAsia="黑体"/>
          <w:sz w:val="28"/>
          <w:szCs w:val="28"/>
        </w:rPr>
      </w:pPr>
      <w:bookmarkStart w:id="1074" w:name="_Toc248305688"/>
      <w:bookmarkStart w:id="1075" w:name="_Toc467846915"/>
      <w:bookmarkStart w:id="1076" w:name="_Toc213589878"/>
      <w:bookmarkStart w:id="1077" w:name="_Toc436407907"/>
      <w:bookmarkStart w:id="1078" w:name="_Toc454467680"/>
      <w:bookmarkStart w:id="1079" w:name="_Toc470721382"/>
      <w:bookmarkStart w:id="1080" w:name="_Toc24312"/>
      <w:bookmarkStart w:id="1081" w:name="_Toc469296532"/>
      <w:bookmarkStart w:id="1082" w:name="_Toc271529539"/>
      <w:bookmarkStart w:id="1083" w:name="_Toc248306125"/>
      <w:bookmarkStart w:id="1084" w:name="_Toc32738"/>
      <w:r>
        <w:rPr>
          <w:rFonts w:eastAsia="黑体"/>
          <w:sz w:val="28"/>
          <w:szCs w:val="28"/>
        </w:rPr>
        <w:t>二、成果应用说明</w:t>
      </w:r>
      <w:bookmarkEnd w:id="1074"/>
      <w:bookmarkEnd w:id="1075"/>
      <w:bookmarkEnd w:id="1076"/>
      <w:bookmarkEnd w:id="1077"/>
      <w:bookmarkEnd w:id="1078"/>
      <w:bookmarkEnd w:id="1079"/>
      <w:bookmarkEnd w:id="1080"/>
      <w:bookmarkEnd w:id="1081"/>
      <w:bookmarkEnd w:id="1082"/>
      <w:bookmarkEnd w:id="1083"/>
      <w:bookmarkEnd w:id="1084"/>
    </w:p>
    <w:p>
      <w:pPr>
        <w:spacing w:line="460" w:lineRule="exact"/>
        <w:ind w:firstLine="482" w:firstLineChars="200"/>
        <w:rPr>
          <w:b/>
          <w:sz w:val="24"/>
          <w:szCs w:val="24"/>
        </w:rPr>
      </w:pPr>
      <w:r>
        <w:rPr>
          <w:b/>
          <w:sz w:val="24"/>
          <w:szCs w:val="24"/>
        </w:rPr>
        <w:t>（一）基准地价的说明</w:t>
      </w:r>
    </w:p>
    <w:p>
      <w:pPr>
        <w:spacing w:line="460" w:lineRule="exact"/>
        <w:ind w:firstLine="480" w:firstLineChars="200"/>
        <w:rPr>
          <w:sz w:val="24"/>
          <w:szCs w:val="24"/>
        </w:rPr>
      </w:pPr>
      <w:r>
        <w:rPr>
          <w:sz w:val="24"/>
          <w:szCs w:val="24"/>
        </w:rPr>
        <w:t>本次评估的基准地价是指在目前土地开发现状条件设定为土地开发条件的前提下，各级别、各区段土地使用权法定最高出让年期的平均价格。土地取得费、宗地红线外土地开发费和宗地红线内土地平整费、利息、利润和土地增值收益的平均标准已在基准地价中得到体现。基准地价的显著特点就是反映城市内不同区域土地收益的平均水平，并将一定期限土地使用价值以货币形式反映出来，从而为土地使用权的合理出让、出租、转让或作价出资以及政府管理和调控地价提供指导依据。基准地价并不代表每宗地的具体价格，而代表了某一区域（土地级别或地价区段）平均地价，它显示了不同级别、不同地价区段的一般价格水平。在宗地地价评估过程中，可采用基准地价系数修正法进行评估，为此专门建立了宗地地价的修正体系。</w:t>
      </w:r>
    </w:p>
    <w:p>
      <w:pPr>
        <w:spacing w:line="460" w:lineRule="exact"/>
        <w:ind w:firstLine="482" w:firstLineChars="200"/>
        <w:rPr>
          <w:b/>
          <w:sz w:val="24"/>
          <w:szCs w:val="24"/>
        </w:rPr>
      </w:pPr>
      <w:r>
        <w:rPr>
          <w:b/>
          <w:sz w:val="24"/>
          <w:szCs w:val="24"/>
        </w:rPr>
        <w:t>（二）应用基准地价和宗地地价修正体系成果的说明</w:t>
      </w:r>
    </w:p>
    <w:p>
      <w:pPr>
        <w:spacing w:line="460" w:lineRule="exact"/>
        <w:ind w:firstLine="480" w:firstLineChars="200"/>
        <w:rPr>
          <w:sz w:val="24"/>
          <w:szCs w:val="24"/>
        </w:rPr>
      </w:pPr>
      <w:r>
        <w:rPr>
          <w:sz w:val="24"/>
          <w:szCs w:val="24"/>
        </w:rPr>
        <w:t>基准地价包括了商服、住宅、工矿仓储用地级别基准地价，均质区域价、路线价，宗地地价修正体系包括了商服、住宅、工矿仓储用地级别基准地价评估宗地地价修正体系，各类基准地价的差异较大，修正方法和系数也不同，故在进行宗地地价修正时，应选择合理的基准地价和宗地地价修正体系，在级别基准地价的基础上修正。</w:t>
      </w:r>
    </w:p>
    <w:p>
      <w:pPr>
        <w:spacing w:line="460" w:lineRule="exact"/>
        <w:ind w:firstLine="482" w:firstLineChars="200"/>
        <w:rPr>
          <w:b/>
          <w:sz w:val="24"/>
          <w:szCs w:val="24"/>
        </w:rPr>
      </w:pPr>
      <w:r>
        <w:rPr>
          <w:b/>
          <w:sz w:val="24"/>
          <w:szCs w:val="24"/>
        </w:rPr>
        <w:t>（三）成果应用的实效性说明</w:t>
      </w:r>
    </w:p>
    <w:p>
      <w:pPr>
        <w:spacing w:line="460" w:lineRule="exact"/>
        <w:ind w:firstLine="480" w:firstLineChars="200"/>
        <w:rPr>
          <w:sz w:val="24"/>
        </w:rPr>
        <w:sectPr>
          <w:headerReference r:id="rId13" w:type="default"/>
          <w:pgSz w:w="11907" w:h="16840"/>
          <w:pgMar w:top="1361" w:right="1531" w:bottom="1361" w:left="1531" w:header="851" w:footer="992" w:gutter="0"/>
          <w:cols w:space="720" w:num="1"/>
          <w:docGrid w:linePitch="312" w:charSpace="0"/>
        </w:sectPr>
      </w:pPr>
      <w:r>
        <w:rPr>
          <w:sz w:val="24"/>
          <w:szCs w:val="24"/>
        </w:rPr>
        <w:t>土地估价是依据土地市场现状和近三年商服、住宅、工业企业用地效益状况为基础评估的。由于基准地价受到土地供需关系（如土地利用规划、土地供应计划）、经济发展水平、地价指数等多方面影响，基准地价评估成果动态变化比土地定级成果变化快，因此，基准地价应根据市场状况随时调整。</w:t>
      </w:r>
    </w:p>
    <w:p>
      <w:pPr>
        <w:pStyle w:val="35"/>
        <w:tabs>
          <w:tab w:val="right" w:leader="dot" w:pos="8845"/>
        </w:tabs>
        <w:spacing w:line="360" w:lineRule="auto"/>
        <w:ind w:left="0"/>
        <w:jc w:val="center"/>
        <w:outlineLvl w:val="0"/>
        <w:rPr>
          <w:sz w:val="40"/>
        </w:rPr>
      </w:pPr>
      <w:bookmarkStart w:id="1085" w:name="_Toc468969166"/>
      <w:bookmarkStart w:id="1086" w:name="_Toc469296533"/>
      <w:bookmarkStart w:id="1087" w:name="_Toc524956860"/>
      <w:bookmarkStart w:id="1088" w:name="_Toc467846916"/>
      <w:bookmarkStart w:id="1089" w:name="_Toc470719207"/>
      <w:bookmarkStart w:id="1090" w:name="_Toc470721383"/>
      <w:bookmarkStart w:id="1091" w:name="_Toc20253"/>
      <w:bookmarkStart w:id="1092" w:name="_Toc525807098"/>
      <w:bookmarkStart w:id="1093" w:name="_Toc483296062"/>
      <w:bookmarkStart w:id="1094" w:name="_Toc468355123"/>
      <w:bookmarkStart w:id="1095" w:name="_Toc10168"/>
      <w:bookmarkStart w:id="1096" w:name="_Toc466303320"/>
      <w:bookmarkStart w:id="1097" w:name="_Toc468355124"/>
      <w:bookmarkStart w:id="1098" w:name="_Toc470719208"/>
      <w:bookmarkStart w:id="1099" w:name="_Toc32436"/>
      <w:bookmarkStart w:id="1100" w:name="_Toc8460"/>
      <w:bookmarkStart w:id="1101" w:name="_Toc468969167"/>
      <w:r>
        <w:rPr>
          <w:rFonts w:eastAsia="黑体"/>
          <w:sz w:val="36"/>
          <w:szCs w:val="36"/>
        </w:rPr>
        <w:t>长沙县基准地价更新项目表格成果</w:t>
      </w:r>
      <w:bookmarkEnd w:id="1085"/>
      <w:bookmarkEnd w:id="1086"/>
      <w:bookmarkEnd w:id="1087"/>
      <w:bookmarkEnd w:id="1088"/>
      <w:bookmarkEnd w:id="1089"/>
      <w:bookmarkEnd w:id="1090"/>
      <w:bookmarkEnd w:id="1091"/>
      <w:bookmarkEnd w:id="1092"/>
      <w:bookmarkEnd w:id="1093"/>
      <w:bookmarkEnd w:id="1094"/>
      <w:bookmarkEnd w:id="1095"/>
    </w:p>
    <w:p>
      <w:pPr>
        <w:spacing w:line="360" w:lineRule="auto"/>
        <w:outlineLvl w:val="1"/>
        <w:rPr>
          <w:rFonts w:eastAsia="黑体"/>
          <w:sz w:val="28"/>
          <w:szCs w:val="28"/>
        </w:rPr>
      </w:pPr>
      <w:bookmarkStart w:id="1102" w:name="_Toc25414"/>
      <w:bookmarkStart w:id="1103" w:name="_Toc22645"/>
      <w:r>
        <w:rPr>
          <w:rFonts w:eastAsia="黑体"/>
          <w:sz w:val="28"/>
          <w:szCs w:val="28"/>
        </w:rPr>
        <w:t>一、土地定级成果表格</w:t>
      </w:r>
      <w:bookmarkEnd w:id="1096"/>
      <w:bookmarkEnd w:id="1097"/>
      <w:bookmarkEnd w:id="1098"/>
      <w:bookmarkEnd w:id="1099"/>
      <w:bookmarkEnd w:id="1100"/>
      <w:bookmarkEnd w:id="1101"/>
      <w:bookmarkEnd w:id="1102"/>
      <w:bookmarkEnd w:id="1103"/>
    </w:p>
    <w:p>
      <w:pPr>
        <w:ind w:firstLine="482" w:firstLineChars="200"/>
        <w:outlineLvl w:val="2"/>
        <w:rPr>
          <w:b/>
          <w:sz w:val="24"/>
          <w:szCs w:val="24"/>
        </w:rPr>
      </w:pPr>
      <w:bookmarkStart w:id="1104" w:name="_Toc7416"/>
      <w:bookmarkStart w:id="1105" w:name="_Toc468355125"/>
      <w:bookmarkStart w:id="1106" w:name="_Toc470719209"/>
      <w:bookmarkStart w:id="1107" w:name="_Toc31810"/>
      <w:bookmarkStart w:id="1108" w:name="_Toc468969168"/>
      <w:bookmarkStart w:id="1109" w:name="_Toc16725"/>
      <w:bookmarkStart w:id="1110" w:name="_Toc466303321"/>
      <w:r>
        <w:rPr>
          <w:b/>
          <w:sz w:val="24"/>
          <w:szCs w:val="24"/>
        </w:rPr>
        <w:t>1、长沙县城区土地综合定级边界描述表</w:t>
      </w:r>
      <w:bookmarkEnd w:id="1104"/>
      <w:bookmarkEnd w:id="1105"/>
      <w:bookmarkEnd w:id="1106"/>
      <w:bookmarkEnd w:id="1107"/>
      <w:bookmarkEnd w:id="1108"/>
      <w:bookmarkEnd w:id="1109"/>
      <w:bookmarkEnd w:id="1110"/>
    </w:p>
    <w:p>
      <w:pPr>
        <w:pStyle w:val="131"/>
        <w:spacing w:beforeLines="50" w:afterLines="50"/>
        <w:ind w:firstLine="0" w:firstLineChars="0"/>
        <w:rPr>
          <w:rFonts w:ascii="Times New Roman" w:hAnsi="Times New Roman"/>
          <w:sz w:val="24"/>
          <w:szCs w:val="22"/>
        </w:rPr>
      </w:pPr>
      <w:r>
        <w:rPr>
          <w:rFonts w:ascii="Times New Roman" w:hAnsi="Times New Roman"/>
          <w:sz w:val="24"/>
          <w:szCs w:val="22"/>
        </w:rPr>
        <w:t>表1-1  长沙县城区商服、住宅和公共管理与公共服务用地级别范围描述</w:t>
      </w:r>
    </w:p>
    <w:tbl>
      <w:tblPr>
        <w:tblW w:w="90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01" w:type="dxa"/>
            <w:vAlign w:val="center"/>
          </w:tcPr>
          <w:p>
            <w:pPr>
              <w:widowControl/>
              <w:spacing w:line="240" w:lineRule="exact"/>
              <w:jc w:val="center"/>
              <w:rPr>
                <w:b/>
                <w:bCs/>
                <w:color w:val="000000"/>
                <w:kern w:val="0"/>
                <w:szCs w:val="21"/>
              </w:rPr>
            </w:pPr>
            <w:r>
              <w:rPr>
                <w:b/>
                <w:bCs/>
                <w:color w:val="000000"/>
                <w:kern w:val="0"/>
                <w:szCs w:val="21"/>
              </w:rPr>
              <w:t>土地级别</w:t>
            </w:r>
          </w:p>
        </w:tc>
        <w:tc>
          <w:tcPr>
            <w:tcW w:w="7938" w:type="dxa"/>
            <w:vAlign w:val="center"/>
          </w:tcPr>
          <w:p>
            <w:pPr>
              <w:widowControl/>
              <w:spacing w:line="240" w:lineRule="exact"/>
              <w:jc w:val="center"/>
              <w:rPr>
                <w:b/>
                <w:bCs/>
                <w:color w:val="000000"/>
                <w:kern w:val="0"/>
                <w:szCs w:val="21"/>
              </w:rPr>
            </w:pPr>
            <w:r>
              <w:rPr>
                <w:b/>
                <w:bCs/>
                <w:color w:val="000000"/>
                <w:kern w:val="0"/>
                <w:szCs w:val="21"/>
              </w:rPr>
              <w:t>片区范围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01" w:type="dxa"/>
            <w:vAlign w:val="top"/>
          </w:tcPr>
          <w:p>
            <w:pPr>
              <w:jc w:val="center"/>
              <w:rPr>
                <w:b/>
                <w:bCs/>
                <w:color w:val="000000"/>
                <w:sz w:val="22"/>
                <w:szCs w:val="22"/>
              </w:rPr>
            </w:pPr>
            <w:r>
              <w:rPr>
                <w:b/>
                <w:bCs/>
                <w:color w:val="000000"/>
                <w:sz w:val="22"/>
                <w:szCs w:val="22"/>
              </w:rPr>
              <w:t>Ⅰ</w:t>
            </w:r>
          </w:p>
        </w:tc>
        <w:tc>
          <w:tcPr>
            <w:tcW w:w="7938" w:type="dxa"/>
            <w:vAlign w:val="center"/>
          </w:tcPr>
          <w:p>
            <w:pPr>
              <w:widowControl/>
              <w:shd w:val="clear" w:color="auto" w:fill="FFFFFF"/>
              <w:spacing w:line="240" w:lineRule="exact"/>
              <w:rPr>
                <w:color w:val="000000"/>
                <w:kern w:val="0"/>
                <w:sz w:val="22"/>
                <w:szCs w:val="22"/>
              </w:rPr>
            </w:pPr>
            <w:r>
              <w:rPr>
                <w:bCs/>
                <w:kern w:val="0"/>
                <w:sz w:val="20"/>
              </w:rPr>
              <w:t>京珠高速—望仙路—东三线—开元路—东一线—长浏高速—京珠高速；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01" w:type="dxa"/>
            <w:vAlign w:val="top"/>
          </w:tcPr>
          <w:p>
            <w:pPr>
              <w:jc w:val="center"/>
              <w:rPr>
                <w:b/>
                <w:bCs/>
                <w:color w:val="000000"/>
                <w:sz w:val="22"/>
                <w:szCs w:val="22"/>
              </w:rPr>
            </w:pPr>
            <w:r>
              <w:rPr>
                <w:b/>
                <w:bCs/>
                <w:color w:val="000000"/>
                <w:sz w:val="22"/>
                <w:szCs w:val="22"/>
              </w:rPr>
              <w:t>Ⅱ</w:t>
            </w:r>
          </w:p>
        </w:tc>
        <w:tc>
          <w:tcPr>
            <w:tcW w:w="7938" w:type="dxa"/>
            <w:vAlign w:val="center"/>
          </w:tcPr>
          <w:p>
            <w:pPr>
              <w:widowControl/>
              <w:shd w:val="clear" w:color="auto" w:fill="FFFFFF"/>
              <w:spacing w:line="240" w:lineRule="exact"/>
              <w:rPr>
                <w:color w:val="000000"/>
                <w:kern w:val="0"/>
                <w:sz w:val="22"/>
                <w:szCs w:val="22"/>
              </w:rPr>
            </w:pPr>
            <w:r>
              <w:rPr>
                <w:sz w:val="20"/>
              </w:rPr>
              <w:t>规划道路—捞刀河路—捞刀河—捞刀河路—东七线—漓湘路—小塘路—泉源路—东六线—远大二路—长沙县靠市区行政界线—规划道路（Ⅰ级区域除外）；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01" w:type="dxa"/>
            <w:vAlign w:val="top"/>
          </w:tcPr>
          <w:p>
            <w:pPr>
              <w:jc w:val="center"/>
              <w:rPr>
                <w:b/>
                <w:bCs/>
                <w:color w:val="000000"/>
                <w:sz w:val="22"/>
                <w:szCs w:val="22"/>
              </w:rPr>
            </w:pPr>
            <w:r>
              <w:rPr>
                <w:b/>
                <w:bCs/>
                <w:color w:val="000000"/>
                <w:sz w:val="22"/>
                <w:szCs w:val="22"/>
              </w:rPr>
              <w:t>Ⅲ</w:t>
            </w:r>
          </w:p>
        </w:tc>
        <w:tc>
          <w:tcPr>
            <w:tcW w:w="7938" w:type="dxa"/>
            <w:vAlign w:val="center"/>
          </w:tcPr>
          <w:p>
            <w:pPr>
              <w:widowControl/>
              <w:shd w:val="clear" w:color="auto" w:fill="FFFFFF"/>
              <w:spacing w:line="240" w:lineRule="exact"/>
              <w:rPr>
                <w:color w:val="000000"/>
                <w:kern w:val="0"/>
                <w:sz w:val="22"/>
                <w:szCs w:val="22"/>
              </w:rPr>
            </w:pPr>
            <w:r>
              <w:rPr>
                <w:sz w:val="20"/>
              </w:rPr>
              <w:t>长沙县靠市区行政界线—捞刀河—韶塘坡路—福安路—北头港路—黄兴大道—滨湖东路—龙塘路—漓湘路—黄兴大道—机场高速—浏阳河—长沙县靠市区行政界线（Ⅰ级、Ⅱ级区域除外）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01" w:type="dxa"/>
            <w:vAlign w:val="top"/>
          </w:tcPr>
          <w:p>
            <w:pPr>
              <w:jc w:val="center"/>
              <w:rPr>
                <w:b/>
                <w:bCs/>
                <w:color w:val="000000"/>
                <w:sz w:val="22"/>
                <w:szCs w:val="22"/>
              </w:rPr>
            </w:pPr>
            <w:r>
              <w:rPr>
                <w:b/>
                <w:bCs/>
                <w:color w:val="000000"/>
                <w:sz w:val="22"/>
                <w:szCs w:val="22"/>
              </w:rPr>
              <w:t>Ⅳ</w:t>
            </w:r>
          </w:p>
        </w:tc>
        <w:tc>
          <w:tcPr>
            <w:tcW w:w="7938" w:type="dxa"/>
            <w:vAlign w:val="center"/>
          </w:tcPr>
          <w:p>
            <w:pPr>
              <w:widowControl/>
              <w:shd w:val="clear" w:color="auto" w:fill="FFFFFF"/>
              <w:spacing w:line="240" w:lineRule="exact"/>
              <w:rPr>
                <w:color w:val="000000"/>
                <w:kern w:val="0"/>
                <w:sz w:val="22"/>
                <w:szCs w:val="22"/>
              </w:rPr>
            </w:pPr>
            <w:r>
              <w:rPr>
                <w:sz w:val="20"/>
              </w:rPr>
              <w:t>长沙县靠市区行政界线—物流大道—东十一线—机场高速—黄兴大道—北头港路—福安路—韶塘坡路—浏阳河—长沙县靠市区行政界线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01" w:type="dxa"/>
            <w:vAlign w:val="top"/>
          </w:tcPr>
          <w:p>
            <w:pPr>
              <w:jc w:val="center"/>
              <w:rPr>
                <w:b/>
                <w:bCs/>
                <w:color w:val="000000"/>
                <w:sz w:val="22"/>
                <w:szCs w:val="22"/>
              </w:rPr>
            </w:pPr>
            <w:r>
              <w:rPr>
                <w:b/>
                <w:bCs/>
                <w:color w:val="000000"/>
                <w:sz w:val="22"/>
                <w:szCs w:val="22"/>
              </w:rPr>
              <w:t>Ⅴ</w:t>
            </w:r>
          </w:p>
        </w:tc>
        <w:tc>
          <w:tcPr>
            <w:tcW w:w="7938" w:type="dxa"/>
            <w:vAlign w:val="center"/>
          </w:tcPr>
          <w:p>
            <w:pPr>
              <w:widowControl/>
              <w:shd w:val="clear" w:color="auto" w:fill="FFFFFF"/>
              <w:spacing w:line="240" w:lineRule="exact"/>
              <w:rPr>
                <w:color w:val="000000"/>
                <w:kern w:val="0"/>
                <w:sz w:val="22"/>
                <w:szCs w:val="22"/>
              </w:rPr>
            </w:pPr>
            <w:r>
              <w:rPr>
                <w:sz w:val="20"/>
              </w:rPr>
              <w:t>在县城基准地价更新范围内，除Ⅰ、Ⅱ、Ⅲ、Ⅳ级区以外的区域。</w:t>
            </w:r>
          </w:p>
        </w:tc>
      </w:tr>
    </w:tbl>
    <w:p>
      <w:pPr>
        <w:spacing w:line="360" w:lineRule="auto"/>
        <w:ind w:firstLine="482" w:firstLineChars="200"/>
        <w:jc w:val="center"/>
        <w:rPr>
          <w:rFonts w:eastAsia="黑体"/>
          <w:b/>
          <w:bCs/>
          <w:sz w:val="24"/>
        </w:rPr>
      </w:pPr>
    </w:p>
    <w:p>
      <w:pPr>
        <w:pStyle w:val="131"/>
        <w:spacing w:beforeLines="50" w:afterLines="50"/>
        <w:ind w:firstLine="0" w:firstLineChars="0"/>
        <w:rPr>
          <w:rFonts w:ascii="Times New Roman" w:hAnsi="Times New Roman"/>
          <w:sz w:val="24"/>
          <w:szCs w:val="22"/>
        </w:rPr>
      </w:pPr>
      <w:bookmarkStart w:id="1111" w:name="_Toc466303322"/>
      <w:r>
        <w:rPr>
          <w:rFonts w:ascii="Times New Roman" w:hAnsi="Times New Roman"/>
          <w:sz w:val="24"/>
          <w:szCs w:val="22"/>
        </w:rPr>
        <w:t>表1-2  长沙县城区工矿仓储用地级别范围描述</w:t>
      </w:r>
    </w:p>
    <w:tbl>
      <w:tblPr>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7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933" w:type="dxa"/>
            <w:vAlign w:val="center"/>
          </w:tcPr>
          <w:p>
            <w:pPr>
              <w:widowControl/>
              <w:shd w:val="clear" w:color="auto" w:fill="FFFFFF"/>
              <w:spacing w:line="240" w:lineRule="exact"/>
              <w:jc w:val="center"/>
              <w:rPr>
                <w:b/>
                <w:sz w:val="20"/>
              </w:rPr>
            </w:pPr>
            <w:r>
              <w:rPr>
                <w:b/>
                <w:sz w:val="20"/>
              </w:rPr>
              <w:t>级别</w:t>
            </w:r>
          </w:p>
        </w:tc>
        <w:tc>
          <w:tcPr>
            <w:tcW w:w="7964" w:type="dxa"/>
            <w:vAlign w:val="center"/>
          </w:tcPr>
          <w:p>
            <w:pPr>
              <w:widowControl/>
              <w:shd w:val="clear" w:color="auto" w:fill="FFFFFF"/>
              <w:spacing w:line="240" w:lineRule="exact"/>
              <w:jc w:val="center"/>
              <w:rPr>
                <w:b/>
                <w:sz w:val="20"/>
              </w:rPr>
            </w:pPr>
            <w:r>
              <w:rPr>
                <w:b/>
                <w:sz w:val="20"/>
              </w:rPr>
              <w:t>范围描述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33" w:type="dxa"/>
            <w:vAlign w:val="center"/>
          </w:tcPr>
          <w:p>
            <w:pPr>
              <w:jc w:val="center"/>
              <w:rPr>
                <w:sz w:val="20"/>
              </w:rPr>
            </w:pPr>
            <w:r>
              <w:rPr>
                <w:b/>
                <w:bCs/>
                <w:color w:val="000000"/>
                <w:sz w:val="22"/>
                <w:szCs w:val="22"/>
              </w:rPr>
              <w:t>Ⅰ</w:t>
            </w:r>
          </w:p>
        </w:tc>
        <w:tc>
          <w:tcPr>
            <w:tcW w:w="7964" w:type="dxa"/>
            <w:vAlign w:val="center"/>
          </w:tcPr>
          <w:p>
            <w:pPr>
              <w:widowControl/>
              <w:shd w:val="clear" w:color="auto" w:fill="FFFFFF"/>
              <w:spacing w:line="240" w:lineRule="exact"/>
              <w:jc w:val="left"/>
              <w:rPr>
                <w:sz w:val="20"/>
              </w:rPr>
            </w:pPr>
            <w:r>
              <w:rPr>
                <w:bCs/>
                <w:kern w:val="0"/>
                <w:sz w:val="20"/>
              </w:rPr>
              <w:t>板仓中路—开元路—棠坡路—东一线—长浏高速—板仓中路；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933" w:type="dxa"/>
            <w:vAlign w:val="center"/>
          </w:tcPr>
          <w:p>
            <w:pPr>
              <w:jc w:val="center"/>
              <w:rPr>
                <w:sz w:val="20"/>
              </w:rPr>
            </w:pPr>
            <w:r>
              <w:rPr>
                <w:b/>
                <w:bCs/>
                <w:color w:val="000000"/>
                <w:sz w:val="22"/>
                <w:szCs w:val="22"/>
              </w:rPr>
              <w:t>Ⅱ</w:t>
            </w:r>
          </w:p>
        </w:tc>
        <w:tc>
          <w:tcPr>
            <w:tcW w:w="7964" w:type="dxa"/>
            <w:vAlign w:val="center"/>
          </w:tcPr>
          <w:p>
            <w:pPr>
              <w:widowControl/>
              <w:shd w:val="clear" w:color="auto" w:fill="FFFFFF"/>
              <w:spacing w:line="240" w:lineRule="exact"/>
              <w:jc w:val="left"/>
              <w:rPr>
                <w:sz w:val="20"/>
              </w:rPr>
            </w:pPr>
            <w:r>
              <w:rPr>
                <w:sz w:val="20"/>
              </w:rPr>
              <w:t>漓湘路—万家丽路—捞刀河路—捞刀河—滨湖中路—特立路—长浏高速—小塘路—泉源路—东四线—盼盼路—星沙大道—长沙县靠近市区行政界线—漓湘路（Ⅰ级区域除外）；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933" w:type="dxa"/>
            <w:vAlign w:val="center"/>
          </w:tcPr>
          <w:p>
            <w:pPr>
              <w:jc w:val="center"/>
              <w:rPr>
                <w:sz w:val="20"/>
              </w:rPr>
            </w:pPr>
            <w:r>
              <w:rPr>
                <w:b/>
                <w:bCs/>
                <w:color w:val="000000"/>
                <w:sz w:val="22"/>
                <w:szCs w:val="22"/>
              </w:rPr>
              <w:t>Ⅲ</w:t>
            </w:r>
          </w:p>
        </w:tc>
        <w:tc>
          <w:tcPr>
            <w:tcW w:w="7964" w:type="dxa"/>
            <w:vAlign w:val="center"/>
          </w:tcPr>
          <w:p>
            <w:pPr>
              <w:widowControl/>
              <w:shd w:val="clear" w:color="auto" w:fill="FFFFFF"/>
              <w:spacing w:line="240" w:lineRule="exact"/>
              <w:jc w:val="left"/>
              <w:rPr>
                <w:sz w:val="20"/>
              </w:rPr>
            </w:pPr>
            <w:r>
              <w:rPr>
                <w:sz w:val="20"/>
              </w:rPr>
              <w:t>长沙县靠近市区行政界线—捞刀河—韶塘破路—白头洲路—回龙路—黄兴大道—远大二路—长沙县靠近市区行政界线（Ⅰ级、Ⅱ级区域除外）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933" w:type="dxa"/>
            <w:vAlign w:val="center"/>
          </w:tcPr>
          <w:p>
            <w:pPr>
              <w:jc w:val="center"/>
              <w:rPr>
                <w:sz w:val="20"/>
              </w:rPr>
            </w:pPr>
            <w:r>
              <w:rPr>
                <w:b/>
                <w:bCs/>
                <w:color w:val="000000"/>
                <w:sz w:val="22"/>
                <w:szCs w:val="22"/>
              </w:rPr>
              <w:t>Ⅳ</w:t>
            </w:r>
          </w:p>
        </w:tc>
        <w:tc>
          <w:tcPr>
            <w:tcW w:w="7964" w:type="dxa"/>
            <w:vAlign w:val="center"/>
          </w:tcPr>
          <w:p>
            <w:pPr>
              <w:widowControl/>
              <w:shd w:val="clear" w:color="auto" w:fill="FFFFFF"/>
              <w:jc w:val="left"/>
              <w:rPr>
                <w:sz w:val="20"/>
              </w:rPr>
            </w:pPr>
            <w:r>
              <w:rPr>
                <w:sz w:val="20"/>
              </w:rPr>
              <w:t>长沙县靠近市区行政界线—沙安路—物流大道—捞刀河—北头港路—东十一线—映霞路—长沙县靠近市区行政界线（Ⅰ级、Ⅱ级、Ⅲ级区域除外）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933" w:type="dxa"/>
            <w:vAlign w:val="center"/>
          </w:tcPr>
          <w:p>
            <w:pPr>
              <w:widowControl/>
              <w:shd w:val="clear" w:color="auto" w:fill="FFFFFF"/>
              <w:jc w:val="center"/>
              <w:rPr>
                <w:sz w:val="20"/>
              </w:rPr>
            </w:pPr>
            <w:r>
              <w:rPr>
                <w:b/>
                <w:bCs/>
                <w:color w:val="000000"/>
                <w:sz w:val="22"/>
                <w:szCs w:val="22"/>
              </w:rPr>
              <w:t>Ⅴ</w:t>
            </w:r>
          </w:p>
        </w:tc>
        <w:tc>
          <w:tcPr>
            <w:tcW w:w="7964" w:type="dxa"/>
            <w:vAlign w:val="center"/>
          </w:tcPr>
          <w:p>
            <w:pPr>
              <w:widowControl/>
              <w:shd w:val="clear" w:color="auto" w:fill="FFFFFF"/>
              <w:jc w:val="left"/>
              <w:rPr>
                <w:sz w:val="20"/>
              </w:rPr>
            </w:pPr>
            <w:r>
              <w:rPr>
                <w:sz w:val="20"/>
              </w:rPr>
              <w:t>在县城基准地价更新范围内，除Ⅰ、Ⅱ、Ⅲ、Ⅳ级区以外的区域。</w:t>
            </w:r>
          </w:p>
        </w:tc>
      </w:tr>
    </w:tbl>
    <w:p>
      <w:pPr>
        <w:widowControl/>
        <w:ind w:firstLine="482" w:firstLineChars="200"/>
        <w:jc w:val="center"/>
        <w:rPr>
          <w:b/>
          <w:sz w:val="24"/>
          <w:szCs w:val="24"/>
        </w:rPr>
      </w:pPr>
      <w:r>
        <w:rPr>
          <w:b/>
          <w:sz w:val="24"/>
          <w:szCs w:val="24"/>
        </w:rPr>
        <w:br w:type="page"/>
      </w:r>
    </w:p>
    <w:p>
      <w:pPr>
        <w:ind w:firstLine="482" w:firstLineChars="200"/>
        <w:outlineLvl w:val="2"/>
        <w:rPr>
          <w:b/>
          <w:sz w:val="24"/>
          <w:szCs w:val="24"/>
        </w:rPr>
      </w:pPr>
      <w:bookmarkStart w:id="1112" w:name="_Toc32592"/>
      <w:bookmarkStart w:id="1113" w:name="_Toc470719210"/>
      <w:bookmarkStart w:id="1114" w:name="_Toc28582"/>
      <w:bookmarkStart w:id="1115" w:name="_Toc468969169"/>
      <w:bookmarkStart w:id="1116" w:name="_Toc15761"/>
      <w:bookmarkStart w:id="1117" w:name="_Toc468355126"/>
      <w:r>
        <w:rPr>
          <w:b/>
          <w:sz w:val="24"/>
          <w:szCs w:val="24"/>
        </w:rPr>
        <w:t>2、长沙县乡镇土地级别边界描述表</w:t>
      </w:r>
      <w:bookmarkEnd w:id="1111"/>
      <w:bookmarkEnd w:id="1112"/>
      <w:bookmarkEnd w:id="1113"/>
      <w:bookmarkEnd w:id="1114"/>
      <w:bookmarkEnd w:id="1115"/>
      <w:bookmarkEnd w:id="1116"/>
      <w:bookmarkEnd w:id="1117"/>
    </w:p>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表1-2-1长沙县与市区对接的重点区域级别描述</w:t>
      </w:r>
    </w:p>
    <w:tbl>
      <w:tblPr>
        <w:tblW w:w="88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21"/>
        <w:gridCol w:w="7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blHeader/>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乡镇</w:t>
            </w:r>
          </w:p>
          <w:p>
            <w:pPr>
              <w:widowControl/>
              <w:spacing w:line="240" w:lineRule="exact"/>
              <w:jc w:val="center"/>
              <w:rPr>
                <w:b/>
                <w:color w:val="000000"/>
                <w:kern w:val="0"/>
                <w:sz w:val="20"/>
              </w:rPr>
            </w:pPr>
            <w:r>
              <w:rPr>
                <w:b/>
                <w:color w:val="000000"/>
                <w:kern w:val="0"/>
                <w:sz w:val="20"/>
              </w:rPr>
              <w:t>名称</w:t>
            </w:r>
          </w:p>
        </w:tc>
        <w:tc>
          <w:tcPr>
            <w:tcW w:w="921"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级别</w:t>
            </w:r>
          </w:p>
        </w:tc>
        <w:tc>
          <w:tcPr>
            <w:tcW w:w="712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级别范围描述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restart"/>
            <w:tcBorders>
              <w:top w:val="single" w:color="auto" w:sz="4" w:space="0"/>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黄兴镇</w:t>
            </w:r>
          </w:p>
        </w:tc>
        <w:tc>
          <w:tcPr>
            <w:tcW w:w="92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12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西至浏阳河，北至浏阳河，东至螺塘湾西路—香樟东路—高塘坪路，南至黄江大道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92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12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ind w:firstLine="400" w:firstLineChars="200"/>
              <w:jc w:val="left"/>
              <w:rPr>
                <w:bCs/>
                <w:kern w:val="0"/>
                <w:sz w:val="20"/>
              </w:rPr>
            </w:pPr>
            <w:r>
              <w:rPr>
                <w:bCs/>
                <w:kern w:val="0"/>
                <w:sz w:val="20"/>
              </w:rPr>
              <w:t>区块1（西）：西至浏阳河，北至浏阳河，东至黄兴镇行政边界线—东六线，南至湘府东路（Ⅰ级区域除外）</w:t>
            </w:r>
          </w:p>
          <w:p>
            <w:pPr>
              <w:widowControl/>
              <w:shd w:val="clear" w:color="auto" w:fill="FFFFFF"/>
              <w:spacing w:line="240" w:lineRule="exact"/>
              <w:ind w:firstLine="400" w:firstLineChars="200"/>
              <w:jc w:val="left"/>
              <w:rPr>
                <w:bCs/>
                <w:kern w:val="0"/>
                <w:sz w:val="20"/>
              </w:rPr>
            </w:pPr>
            <w:r>
              <w:rPr>
                <w:bCs/>
                <w:kern w:val="0"/>
                <w:sz w:val="20"/>
              </w:rPr>
              <w:t>区块2（东）：西至明月路，北至劳动路，东至黄金大道，南至湘府东路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92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三级</w:t>
            </w:r>
          </w:p>
        </w:tc>
        <w:tc>
          <w:tcPr>
            <w:tcW w:w="712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基准地价更新范围内除一、二级外的其他区域（更新范围为乡镇土地利用总体规划线（2006—2020年））。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restart"/>
            <w:tcBorders>
              <w:left w:val="single" w:color="auto" w:sz="4" w:space="0"/>
              <w:right w:val="single" w:color="auto" w:sz="4" w:space="0"/>
            </w:tcBorders>
            <w:vAlign w:val="center"/>
          </w:tcPr>
          <w:p>
            <w:pPr>
              <w:shd w:val="clear" w:color="auto" w:fill="FFFFFF"/>
              <w:spacing w:line="240" w:lineRule="exact"/>
              <w:jc w:val="center"/>
              <w:rPr>
                <w:bCs/>
                <w:kern w:val="0"/>
                <w:sz w:val="20"/>
              </w:rPr>
            </w:pPr>
            <w:r>
              <w:rPr>
                <w:bCs/>
                <w:kern w:val="0"/>
                <w:sz w:val="20"/>
              </w:rPr>
              <w:t>榔梨街道办事处</w:t>
            </w:r>
          </w:p>
        </w:tc>
        <w:tc>
          <w:tcPr>
            <w:tcW w:w="92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12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ind w:left="105" w:leftChars="50"/>
              <w:jc w:val="left"/>
              <w:rPr>
                <w:bCs/>
                <w:kern w:val="0"/>
                <w:sz w:val="20"/>
              </w:rPr>
            </w:pPr>
            <w:r>
              <w:rPr>
                <w:bCs/>
                <w:kern w:val="0"/>
                <w:sz w:val="20"/>
              </w:rPr>
              <w:t>浏园路—秋江路—东六线—福中路—佳园路—黎江大道—黄兴大道—行政边界—浏园路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92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12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ind w:left="105" w:leftChars="50"/>
              <w:jc w:val="left"/>
              <w:rPr>
                <w:bCs/>
                <w:kern w:val="0"/>
                <w:sz w:val="20"/>
              </w:rPr>
            </w:pPr>
            <w:r>
              <w:rPr>
                <w:bCs/>
                <w:kern w:val="0"/>
                <w:sz w:val="20"/>
              </w:rPr>
              <w:t>浏园路—行政边界—东六线—东六线—劳动东路—东十一线—行政边界—浏园路（Ⅰ级区域除外）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92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三级</w:t>
            </w:r>
          </w:p>
        </w:tc>
        <w:tc>
          <w:tcPr>
            <w:tcW w:w="712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ind w:left="105" w:leftChars="50"/>
              <w:jc w:val="left"/>
              <w:rPr>
                <w:bCs/>
                <w:kern w:val="0"/>
                <w:sz w:val="20"/>
              </w:rPr>
            </w:pPr>
            <w:r>
              <w:rPr>
                <w:bCs/>
                <w:kern w:val="0"/>
                <w:sz w:val="20"/>
              </w:rPr>
              <w:t>基准地价更新范围内除一、二级外的其他区域（更新范围为乡镇土地利用总体规划线（2006-2020年））。</w:t>
            </w:r>
          </w:p>
        </w:tc>
      </w:tr>
    </w:tbl>
    <w:p>
      <w:pPr>
        <w:pStyle w:val="131"/>
        <w:spacing w:beforeLines="50" w:afterLines="50"/>
        <w:ind w:firstLine="0" w:firstLineChars="0"/>
        <w:rPr>
          <w:rFonts w:ascii="Times New Roman" w:hAnsi="Times New Roman"/>
          <w:sz w:val="24"/>
          <w:szCs w:val="22"/>
        </w:rPr>
      </w:pPr>
      <w:r>
        <w:rPr>
          <w:rFonts w:ascii="Times New Roman" w:hAnsi="Times New Roman"/>
          <w:sz w:val="24"/>
          <w:szCs w:val="22"/>
        </w:rPr>
        <w:t>表1-2-2长沙县一等建制镇镇和街道级别描述</w:t>
      </w:r>
    </w:p>
    <w:tbl>
      <w:tblPr>
        <w:tblW w:w="88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2"/>
        <w:gridCol w:w="7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93"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240" w:lineRule="exact"/>
              <w:jc w:val="center"/>
              <w:rPr>
                <w:b/>
                <w:sz w:val="20"/>
              </w:rPr>
            </w:pPr>
            <w:r>
              <w:rPr>
                <w:b/>
                <w:sz w:val="20"/>
              </w:rPr>
              <w:t>乡镇</w:t>
            </w:r>
          </w:p>
          <w:p>
            <w:pPr>
              <w:shd w:val="clear" w:color="auto" w:fill="FFFFFF"/>
              <w:spacing w:line="240" w:lineRule="exact"/>
              <w:jc w:val="center"/>
              <w:rPr>
                <w:b/>
                <w:sz w:val="20"/>
              </w:rPr>
            </w:pPr>
            <w:r>
              <w:rPr>
                <w:b/>
                <w:sz w:val="20"/>
              </w:rPr>
              <w:t>名称</w:t>
            </w:r>
          </w:p>
        </w:tc>
        <w:tc>
          <w:tcPr>
            <w:tcW w:w="822"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240" w:lineRule="exact"/>
              <w:jc w:val="center"/>
              <w:rPr>
                <w:b/>
                <w:sz w:val="20"/>
              </w:rPr>
            </w:pPr>
            <w:r>
              <w:rPr>
                <w:b/>
                <w:sz w:val="20"/>
              </w:rPr>
              <w:t>级别</w:t>
            </w:r>
          </w:p>
        </w:tc>
        <w:tc>
          <w:tcPr>
            <w:tcW w:w="7080"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240" w:lineRule="exact"/>
              <w:jc w:val="center"/>
              <w:rPr>
                <w:b/>
                <w:sz w:val="20"/>
              </w:rPr>
            </w:pPr>
            <w:r>
              <w:rPr>
                <w:b/>
                <w:sz w:val="20"/>
              </w:rPr>
              <w:t>级别范围描述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993"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黄花镇</w:t>
            </w:r>
          </w:p>
        </w:tc>
        <w:tc>
          <w:tcPr>
            <w:tcW w:w="82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西至黄谷西路，北至黄谷北路，东至金湘路，南至远大路和黄春南路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蓝田大道—长永高速—黄金大道—漓湘路—龙峰大道—盼盼路—蓝田大道（Ⅰ级区域除外）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三级</w:t>
            </w:r>
          </w:p>
        </w:tc>
        <w:tc>
          <w:tcPr>
            <w:tcW w:w="708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993"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空港城</w:t>
            </w:r>
          </w:p>
        </w:tc>
        <w:tc>
          <w:tcPr>
            <w:tcW w:w="82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东至机场联络大道，南至机场高速，西至龙峰大道，北至思源路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ind w:firstLine="400" w:firstLineChars="200"/>
              <w:jc w:val="left"/>
              <w:rPr>
                <w:bCs/>
                <w:kern w:val="0"/>
                <w:sz w:val="20"/>
              </w:rPr>
            </w:pPr>
            <w:r>
              <w:rPr>
                <w:bCs/>
                <w:kern w:val="0"/>
                <w:sz w:val="20"/>
              </w:rPr>
              <w:t>区块1：漓湘路—机场联络大道—思源路—龙峰大道—机场高速—蓝田大道—远大路—龙峰大道—漓湘路</w:t>
            </w:r>
          </w:p>
          <w:p>
            <w:pPr>
              <w:widowControl/>
              <w:shd w:val="clear" w:color="auto" w:fill="FFFFFF"/>
              <w:spacing w:line="240" w:lineRule="exact"/>
              <w:ind w:firstLine="400" w:firstLineChars="200"/>
              <w:jc w:val="left"/>
              <w:rPr>
                <w:bCs/>
                <w:kern w:val="0"/>
                <w:sz w:val="20"/>
              </w:rPr>
            </w:pPr>
            <w:r>
              <w:rPr>
                <w:bCs/>
                <w:kern w:val="0"/>
                <w:sz w:val="20"/>
              </w:rPr>
              <w:t>区块2：东至机场联络大道，南至劳动路，西至龙峰大道，北至机场高速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993"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三级</w:t>
            </w:r>
          </w:p>
        </w:tc>
        <w:tc>
          <w:tcPr>
            <w:tcW w:w="708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基准地价更新范围内除一、二级外的其他区域（更新范围为乡镇土地利用总体规划线（2006—2020年））。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993"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长龙街道办事处</w:t>
            </w:r>
          </w:p>
        </w:tc>
        <w:tc>
          <w:tcPr>
            <w:tcW w:w="82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龙峰北路—长永高速—绕城高速—长峰路—龙峰北路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Borders>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2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黄峰路—黄春路—长永高速—龙峰北路—长峰路—黄峰路</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t>表1-2-3长沙县二等建制镇级别描述</w:t>
      </w:r>
    </w:p>
    <w:tbl>
      <w:tblPr>
        <w:tblW w:w="88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873"/>
        <w:gridCol w:w="7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70" w:type="dxa"/>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乡镇</w:t>
            </w:r>
          </w:p>
          <w:p>
            <w:pPr>
              <w:widowControl/>
              <w:jc w:val="center"/>
              <w:rPr>
                <w:b/>
                <w:color w:val="000000"/>
                <w:kern w:val="0"/>
                <w:sz w:val="20"/>
              </w:rPr>
            </w:pPr>
            <w:r>
              <w:rPr>
                <w:b/>
                <w:color w:val="000000"/>
                <w:kern w:val="0"/>
                <w:sz w:val="20"/>
              </w:rPr>
              <w:t>名称</w:t>
            </w:r>
          </w:p>
        </w:tc>
        <w:tc>
          <w:tcPr>
            <w:tcW w:w="873" w:type="dxa"/>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级别</w:t>
            </w:r>
          </w:p>
        </w:tc>
        <w:tc>
          <w:tcPr>
            <w:tcW w:w="7052" w:type="dxa"/>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级别范围描述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Merge w:val="restart"/>
            <w:tcBorders>
              <w:top w:val="single" w:color="auto" w:sz="4" w:space="0"/>
              <w:left w:val="single" w:color="auto" w:sz="4" w:space="0"/>
              <w:right w:val="single" w:color="auto" w:sz="4" w:space="0"/>
            </w:tcBorders>
            <w:vAlign w:val="center"/>
          </w:tcPr>
          <w:p>
            <w:pPr>
              <w:widowControl/>
              <w:shd w:val="clear" w:color="auto" w:fill="FFFFFF"/>
              <w:jc w:val="center"/>
              <w:rPr>
                <w:bCs/>
                <w:kern w:val="0"/>
                <w:sz w:val="20"/>
              </w:rPr>
            </w:pPr>
            <w:r>
              <w:rPr>
                <w:bCs/>
                <w:kern w:val="0"/>
                <w:sz w:val="20"/>
              </w:rPr>
              <w:t>江背镇</w:t>
            </w:r>
          </w:p>
        </w:tc>
        <w:tc>
          <w:tcPr>
            <w:tcW w:w="87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一级</w:t>
            </w:r>
          </w:p>
        </w:tc>
        <w:tc>
          <w:tcPr>
            <w:tcW w:w="7052" w:type="dxa"/>
            <w:tcBorders>
              <w:top w:val="single" w:color="auto" w:sz="4" w:space="0"/>
              <w:left w:val="single" w:color="auto" w:sz="4" w:space="0"/>
              <w:bottom w:val="single" w:color="auto" w:sz="4" w:space="0"/>
              <w:right w:val="single" w:color="auto" w:sz="4" w:space="0"/>
            </w:tcBorders>
            <w:vAlign w:val="center"/>
          </w:tcPr>
          <w:p>
            <w:pPr>
              <w:pStyle w:val="29"/>
              <w:widowControl/>
              <w:shd w:val="clear" w:color="auto" w:fill="FFFFFF"/>
              <w:ind w:firstLine="0" w:firstLineChars="0"/>
              <w:jc w:val="center"/>
              <w:rPr>
                <w:bCs/>
                <w:kern w:val="0"/>
                <w:sz w:val="20"/>
                <w:szCs w:val="20"/>
              </w:rPr>
            </w:pPr>
            <w:r>
              <w:rPr>
                <w:bCs/>
                <w:kern w:val="0"/>
                <w:sz w:val="20"/>
                <w:szCs w:val="20"/>
              </w:rPr>
              <w:t>S103两侧，西侧100m，东侧至规划路段（南抵黄江公路，北至江背镇国土所）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Merge w:val="continue"/>
            <w:tcBorders>
              <w:left w:val="single" w:color="auto" w:sz="4" w:space="0"/>
              <w:right w:val="single" w:color="auto" w:sz="4" w:space="0"/>
            </w:tcBorders>
            <w:vAlign w:val="center"/>
          </w:tcPr>
          <w:p>
            <w:pPr>
              <w:widowControl/>
              <w:shd w:val="clear" w:color="auto" w:fill="FFFFFF"/>
              <w:jc w:val="center"/>
              <w:rPr>
                <w:bCs/>
                <w:kern w:val="0"/>
                <w:sz w:val="20"/>
              </w:rPr>
            </w:pPr>
          </w:p>
        </w:tc>
        <w:tc>
          <w:tcPr>
            <w:tcW w:w="87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二级</w:t>
            </w:r>
          </w:p>
        </w:tc>
        <w:tc>
          <w:tcPr>
            <w:tcW w:w="705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70" w:type="dxa"/>
            <w:vMerge w:val="restart"/>
            <w:tcBorders>
              <w:left w:val="single" w:color="auto" w:sz="4" w:space="0"/>
              <w:right w:val="single" w:color="auto" w:sz="4" w:space="0"/>
            </w:tcBorders>
            <w:vAlign w:val="center"/>
          </w:tcPr>
          <w:p>
            <w:pPr>
              <w:widowControl/>
              <w:shd w:val="clear" w:color="auto" w:fill="FFFFFF"/>
              <w:jc w:val="center"/>
              <w:rPr>
                <w:bCs/>
                <w:kern w:val="0"/>
                <w:sz w:val="20"/>
              </w:rPr>
            </w:pPr>
            <w:r>
              <w:rPr>
                <w:bCs/>
                <w:kern w:val="0"/>
                <w:sz w:val="20"/>
              </w:rPr>
              <w:t>安沙镇</w:t>
            </w:r>
          </w:p>
        </w:tc>
        <w:tc>
          <w:tcPr>
            <w:tcW w:w="87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一级</w:t>
            </w:r>
          </w:p>
        </w:tc>
        <w:tc>
          <w:tcPr>
            <w:tcW w:w="705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107国道东侧150m，西侧50m（南抵安沙镇政府，北至长沙湘绣厂以北规划路段）；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Merge w:val="continue"/>
            <w:tcBorders>
              <w:left w:val="single" w:color="auto" w:sz="4" w:space="0"/>
              <w:right w:val="single" w:color="auto" w:sz="4" w:space="0"/>
            </w:tcBorders>
            <w:vAlign w:val="center"/>
          </w:tcPr>
          <w:p>
            <w:pPr>
              <w:widowControl/>
              <w:shd w:val="clear" w:color="auto" w:fill="FFFFFF"/>
              <w:jc w:val="center"/>
              <w:rPr>
                <w:bCs/>
                <w:kern w:val="0"/>
                <w:sz w:val="20"/>
              </w:rPr>
            </w:pPr>
          </w:p>
        </w:tc>
        <w:tc>
          <w:tcPr>
            <w:tcW w:w="87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二级</w:t>
            </w:r>
          </w:p>
        </w:tc>
        <w:tc>
          <w:tcPr>
            <w:tcW w:w="705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Merge w:val="restart"/>
            <w:tcBorders>
              <w:left w:val="single" w:color="auto" w:sz="4" w:space="0"/>
              <w:right w:val="single" w:color="auto" w:sz="4" w:space="0"/>
            </w:tcBorders>
            <w:vAlign w:val="center"/>
          </w:tcPr>
          <w:p>
            <w:pPr>
              <w:widowControl/>
              <w:shd w:val="clear" w:color="auto" w:fill="FFFFFF"/>
              <w:jc w:val="center"/>
              <w:rPr>
                <w:bCs/>
                <w:kern w:val="0"/>
                <w:sz w:val="20"/>
              </w:rPr>
            </w:pPr>
            <w:r>
              <w:rPr>
                <w:bCs/>
                <w:kern w:val="0"/>
                <w:sz w:val="20"/>
              </w:rPr>
              <w:t>春华镇</w:t>
            </w:r>
          </w:p>
        </w:tc>
        <w:tc>
          <w:tcPr>
            <w:tcW w:w="87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一级</w:t>
            </w:r>
          </w:p>
        </w:tc>
        <w:tc>
          <w:tcPr>
            <w:tcW w:w="7052" w:type="dxa"/>
            <w:tcBorders>
              <w:top w:val="single" w:color="auto" w:sz="4" w:space="0"/>
              <w:left w:val="single" w:color="auto" w:sz="4" w:space="0"/>
              <w:bottom w:val="single" w:color="auto" w:sz="4" w:space="0"/>
              <w:right w:val="single" w:color="auto" w:sz="4" w:space="0"/>
            </w:tcBorders>
            <w:vAlign w:val="center"/>
          </w:tcPr>
          <w:p>
            <w:pPr>
              <w:pStyle w:val="29"/>
              <w:widowControl/>
              <w:shd w:val="clear" w:color="auto" w:fill="FFFFFF"/>
              <w:ind w:firstLine="0" w:firstLineChars="0"/>
              <w:jc w:val="center"/>
              <w:rPr>
                <w:bCs/>
                <w:kern w:val="0"/>
                <w:sz w:val="20"/>
                <w:szCs w:val="20"/>
              </w:rPr>
            </w:pPr>
            <w:r>
              <w:rPr>
                <w:bCs/>
                <w:kern w:val="0"/>
                <w:sz w:val="20"/>
                <w:szCs w:val="20"/>
              </w:rPr>
              <w:t>春华街东侧60m，西侧至镇区发展规划边界（包括长沙交通学院教学基地、万里木业有限公司）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Merge w:val="continue"/>
            <w:tcBorders>
              <w:left w:val="single" w:color="auto" w:sz="4" w:space="0"/>
              <w:right w:val="single" w:color="auto" w:sz="4" w:space="0"/>
            </w:tcBorders>
            <w:vAlign w:val="center"/>
          </w:tcPr>
          <w:p>
            <w:pPr>
              <w:widowControl/>
              <w:shd w:val="clear" w:color="auto" w:fill="FFFFFF"/>
              <w:jc w:val="center"/>
              <w:rPr>
                <w:bCs/>
                <w:kern w:val="0"/>
                <w:sz w:val="20"/>
              </w:rPr>
            </w:pPr>
          </w:p>
        </w:tc>
        <w:tc>
          <w:tcPr>
            <w:tcW w:w="873"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二级</w:t>
            </w:r>
          </w:p>
        </w:tc>
        <w:tc>
          <w:tcPr>
            <w:tcW w:w="705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基准地价更新范围内除一级外的其他区域（更新范围为乡镇土地利用总体规划线（2006—2020年））。</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表1-2-4 长沙县三等建制镇级别描述</w:t>
      </w:r>
    </w:p>
    <w:tbl>
      <w:tblPr>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874"/>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6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乡镇</w:t>
            </w:r>
          </w:p>
          <w:p>
            <w:pPr>
              <w:widowControl/>
              <w:spacing w:line="240" w:lineRule="exact"/>
              <w:jc w:val="center"/>
              <w:rPr>
                <w:b/>
                <w:color w:val="000000"/>
                <w:kern w:val="0"/>
                <w:sz w:val="20"/>
              </w:rPr>
            </w:pPr>
            <w:r>
              <w:rPr>
                <w:b/>
                <w:color w:val="000000"/>
                <w:kern w:val="0"/>
                <w:sz w:val="20"/>
              </w:rPr>
              <w:t>名称</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级别</w:t>
            </w:r>
          </w:p>
        </w:tc>
        <w:tc>
          <w:tcPr>
            <w:tcW w:w="708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级别范围描述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restart"/>
            <w:tcBorders>
              <w:top w:val="single" w:color="auto" w:sz="4" w:space="0"/>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北山镇</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金山大道—规划边界线—蒿塘西路以东规划路段，南至北山派出所以南规划路段；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jc w:val="lef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69" w:type="dxa"/>
            <w:vMerge w:val="restart"/>
            <w:tcBorders>
              <w:top w:val="single" w:color="auto" w:sz="4" w:space="0"/>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金井镇</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jc w:val="left"/>
              <w:rPr>
                <w:bCs/>
                <w:kern w:val="0"/>
                <w:sz w:val="20"/>
              </w:rPr>
            </w:pPr>
            <w:r>
              <w:rPr>
                <w:bCs/>
                <w:kern w:val="0"/>
                <w:sz w:val="20"/>
              </w:rPr>
              <w:t>金井大道—金林路—规划边界线—金凤福路—综合大市场以南50m—规划路段—金井大道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jc w:val="lef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开慧镇</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ind w:firstLine="400" w:firstLineChars="200"/>
              <w:jc w:val="left"/>
              <w:rPr>
                <w:bCs/>
                <w:kern w:val="0"/>
                <w:sz w:val="20"/>
              </w:rPr>
            </w:pPr>
            <w:r>
              <w:rPr>
                <w:bCs/>
                <w:kern w:val="0"/>
                <w:sz w:val="20"/>
              </w:rPr>
              <w:t>区块1（西）：骄阳西路两侧100m，东至开慧水库以西规划道路，南至规划边界线</w:t>
            </w:r>
          </w:p>
          <w:p>
            <w:pPr>
              <w:widowControl/>
              <w:shd w:val="clear" w:color="auto" w:fill="FFFFFF"/>
              <w:spacing w:line="240" w:lineRule="exact"/>
              <w:ind w:firstLine="400" w:firstLineChars="200"/>
              <w:jc w:val="left"/>
              <w:rPr>
                <w:bCs/>
                <w:kern w:val="0"/>
                <w:sz w:val="20"/>
              </w:rPr>
            </w:pPr>
            <w:r>
              <w:rPr>
                <w:bCs/>
                <w:kern w:val="0"/>
                <w:sz w:val="20"/>
              </w:rPr>
              <w:t>区块2（东）：北至葛家山小学以北规划路段，东至葛家山市场以东规划路段，南至骄阳西路以南规划路段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jc w:val="lef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69"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路口镇</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pStyle w:val="29"/>
              <w:widowControl/>
              <w:shd w:val="clear" w:color="auto" w:fill="FFFFFF"/>
              <w:spacing w:line="240" w:lineRule="exact"/>
              <w:ind w:firstLine="400"/>
              <w:jc w:val="left"/>
              <w:rPr>
                <w:bCs/>
                <w:kern w:val="0"/>
                <w:sz w:val="20"/>
                <w:szCs w:val="20"/>
              </w:rPr>
            </w:pPr>
            <w:r>
              <w:rPr>
                <w:bCs/>
                <w:kern w:val="0"/>
                <w:sz w:val="20"/>
                <w:szCs w:val="20"/>
              </w:rPr>
              <w:t>区块1：三惠路西段两侧100m（西至规划边界线，东至路口村村委会）</w:t>
            </w:r>
          </w:p>
          <w:p>
            <w:pPr>
              <w:pStyle w:val="29"/>
              <w:widowControl/>
              <w:shd w:val="clear" w:color="auto" w:fill="FFFFFF"/>
              <w:spacing w:line="240" w:lineRule="exact"/>
              <w:ind w:firstLine="400"/>
              <w:jc w:val="left"/>
              <w:rPr>
                <w:bCs/>
                <w:kern w:val="0"/>
                <w:sz w:val="20"/>
                <w:szCs w:val="20"/>
              </w:rPr>
            </w:pPr>
            <w:r>
              <w:rPr>
                <w:bCs/>
                <w:kern w:val="0"/>
                <w:sz w:val="20"/>
                <w:szCs w:val="20"/>
              </w:rPr>
              <w:t>区块2：西至振兴路以西规划路段，北至规划边界线，东至S207，南至税务局以北规划路段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jc w:val="lef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青山铺镇</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双衡公路两侧50m（起点为乡政府，终点为南到电信营业厅60m）。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lef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69"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果园镇</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ind w:firstLine="400" w:firstLineChars="200"/>
              <w:jc w:val="left"/>
              <w:rPr>
                <w:bCs/>
                <w:kern w:val="0"/>
                <w:sz w:val="20"/>
              </w:rPr>
            </w:pPr>
            <w:r>
              <w:rPr>
                <w:bCs/>
                <w:kern w:val="0"/>
                <w:sz w:val="20"/>
              </w:rPr>
              <w:t>区块1：黄兴大道两侧100m，西至规划边界线，南至宋水线B段，东至宋水线A段</w:t>
            </w:r>
          </w:p>
          <w:p>
            <w:pPr>
              <w:widowControl/>
              <w:shd w:val="clear" w:color="auto" w:fill="FFFFFF"/>
              <w:spacing w:line="240" w:lineRule="exact"/>
              <w:ind w:firstLine="400" w:firstLineChars="200"/>
              <w:jc w:val="left"/>
              <w:rPr>
                <w:bCs/>
                <w:kern w:val="0"/>
                <w:sz w:val="20"/>
              </w:rPr>
            </w:pPr>
            <w:r>
              <w:rPr>
                <w:bCs/>
                <w:kern w:val="0"/>
                <w:sz w:val="20"/>
              </w:rPr>
              <w:t>区块2：北至规划边界线，东至规划边界线，南至长沙众华机械科技公司以南规划道路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right w:val="single" w:color="auto" w:sz="4" w:space="0"/>
            </w:tcBorders>
            <w:vAlign w:val="top"/>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jc w:val="lef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双江片区</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罗代路两侧规划路段（西至国土所以西，北至双江河以南规划路段，东至万佳惠超市以西规划路段，南至王洪文大酒店以南规划路段）。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69"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白沙片区</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白沙路两侧100m（北至白沙派出所，南至白沙卫生院以北规划路段）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bottom w:val="single" w:color="auto" w:sz="4" w:space="0"/>
              <w:right w:val="single" w:color="auto" w:sz="4" w:space="0"/>
            </w:tcBorders>
            <w:vAlign w:val="top"/>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基准地价更新范围内除一级外的其他区域（更新范围为乡镇土地利用总体规划线（2006—2020年））。</w:t>
            </w:r>
          </w:p>
        </w:tc>
      </w:tr>
    </w:tbl>
    <w:p>
      <w:pPr>
        <w:pStyle w:val="131"/>
        <w:spacing w:beforeLines="50" w:afterLines="50"/>
        <w:ind w:firstLine="0" w:firstLineChars="0"/>
        <w:rPr>
          <w:rFonts w:ascii="Times New Roman" w:hAnsi="Times New Roman"/>
          <w:sz w:val="24"/>
          <w:szCs w:val="22"/>
        </w:rPr>
      </w:pPr>
      <w:r>
        <w:rPr>
          <w:rFonts w:ascii="Times New Roman" w:hAnsi="Times New Roman"/>
          <w:sz w:val="24"/>
          <w:szCs w:val="22"/>
        </w:rPr>
        <w:br w:type="page"/>
      </w:r>
    </w:p>
    <w:p>
      <w:pPr>
        <w:pStyle w:val="131"/>
        <w:spacing w:beforeLines="50" w:afterLines="50"/>
        <w:ind w:firstLine="0" w:firstLineChars="0"/>
        <w:rPr>
          <w:rFonts w:ascii="Times New Roman" w:hAnsi="Times New Roman"/>
          <w:sz w:val="24"/>
          <w:szCs w:val="22"/>
        </w:rPr>
      </w:pPr>
      <w:r>
        <w:rPr>
          <w:rFonts w:ascii="Times New Roman" w:hAnsi="Times New Roman"/>
          <w:sz w:val="24"/>
          <w:szCs w:val="22"/>
        </w:rPr>
        <w:t>表1-2-5长沙县四等建制镇级别描述</w:t>
      </w:r>
    </w:p>
    <w:tbl>
      <w:tblPr>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874"/>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6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乡镇</w:t>
            </w:r>
          </w:p>
          <w:p>
            <w:pPr>
              <w:widowControl/>
              <w:spacing w:line="240" w:lineRule="exact"/>
              <w:jc w:val="center"/>
              <w:rPr>
                <w:b/>
                <w:color w:val="000000"/>
                <w:kern w:val="0"/>
                <w:sz w:val="20"/>
              </w:rPr>
            </w:pPr>
            <w:r>
              <w:rPr>
                <w:b/>
                <w:color w:val="000000"/>
                <w:kern w:val="0"/>
                <w:sz w:val="20"/>
              </w:rPr>
              <w:t>名称</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级别</w:t>
            </w:r>
          </w:p>
        </w:tc>
        <w:tc>
          <w:tcPr>
            <w:tcW w:w="708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级别范围描述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restart"/>
            <w:tcBorders>
              <w:top w:val="single" w:color="auto" w:sz="4" w:space="0"/>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福临镇</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福山路—白马路—福金路—福金路—规划边界线—福临大道以北规划路段—福山路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基准地价更新范围内除一级外的其他区域（更新范围为乡镇土地利用总体规划线（2006—2020年））。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69" w:type="dxa"/>
            <w:vMerge w:val="restart"/>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高桥镇</w:t>
            </w: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一级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S207省道与茶香路南北两端交叉内部区域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9" w:type="dxa"/>
            <w:vMerge w:val="continue"/>
            <w:tcBorders>
              <w:left w:val="single" w:color="auto" w:sz="4" w:space="0"/>
              <w:right w:val="single" w:color="auto" w:sz="4" w:space="0"/>
            </w:tcBorders>
            <w:vAlign w:val="center"/>
          </w:tcPr>
          <w:p>
            <w:pPr>
              <w:widowControl/>
              <w:shd w:val="clear" w:color="auto" w:fill="FFFFFF"/>
              <w:spacing w:line="240" w:lineRule="exact"/>
              <w:jc w:val="center"/>
              <w:rPr>
                <w:bCs/>
                <w:kern w:val="0"/>
                <w:sz w:val="20"/>
              </w:rPr>
            </w:pPr>
          </w:p>
        </w:tc>
        <w:tc>
          <w:tcPr>
            <w:tcW w:w="87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二级</w:t>
            </w:r>
          </w:p>
        </w:tc>
        <w:tc>
          <w:tcPr>
            <w:tcW w:w="7088" w:type="dxa"/>
            <w:tcBorders>
              <w:top w:val="single" w:color="auto" w:sz="4" w:space="0"/>
              <w:left w:val="single" w:color="auto" w:sz="4" w:space="0"/>
              <w:bottom w:val="single" w:color="auto" w:sz="4" w:space="0"/>
              <w:right w:val="single" w:color="auto" w:sz="4" w:space="0"/>
            </w:tcBorders>
            <w:vAlign w:val="top"/>
          </w:tcPr>
          <w:p>
            <w:pPr>
              <w:widowControl/>
              <w:shd w:val="clear" w:color="auto" w:fill="FFFFFF"/>
              <w:spacing w:line="240" w:lineRule="exact"/>
              <w:rPr>
                <w:bCs/>
                <w:kern w:val="0"/>
                <w:sz w:val="20"/>
              </w:rPr>
            </w:pPr>
            <w:r>
              <w:rPr>
                <w:bCs/>
                <w:kern w:val="0"/>
                <w:sz w:val="20"/>
              </w:rPr>
              <w:t>基准地价更新范围内除一级外的其他区域（更新范围为乡镇土地利用总体规划线（2006—2020年））。</w:t>
            </w:r>
          </w:p>
        </w:tc>
      </w:tr>
    </w:tbl>
    <w:p>
      <w:pPr>
        <w:widowControl/>
        <w:ind w:firstLine="480" w:firstLineChars="200"/>
        <w:jc w:val="left"/>
        <w:rPr>
          <w:sz w:val="24"/>
        </w:rPr>
      </w:pPr>
    </w:p>
    <w:p>
      <w:pPr>
        <w:spacing w:line="360" w:lineRule="auto"/>
        <w:outlineLvl w:val="1"/>
        <w:rPr>
          <w:rFonts w:eastAsia="黑体"/>
          <w:sz w:val="28"/>
          <w:szCs w:val="28"/>
        </w:rPr>
      </w:pPr>
      <w:bookmarkStart w:id="1118" w:name="_Toc468355127"/>
      <w:bookmarkStart w:id="1119" w:name="_Toc466303327"/>
      <w:bookmarkStart w:id="1120" w:name="_Toc468969170"/>
      <w:bookmarkStart w:id="1121" w:name="_Toc470719211"/>
      <w:bookmarkStart w:id="1122" w:name="_Toc384"/>
      <w:bookmarkStart w:id="1123" w:name="_Toc7173"/>
      <w:r>
        <w:rPr>
          <w:rFonts w:eastAsia="黑体"/>
          <w:sz w:val="28"/>
          <w:szCs w:val="28"/>
        </w:rPr>
        <w:br w:type="page"/>
      </w:r>
      <w:bookmarkStart w:id="1124" w:name="_Toc4190"/>
      <w:bookmarkStart w:id="1125" w:name="_Toc9488"/>
      <w:r>
        <w:rPr>
          <w:rFonts w:eastAsia="黑体"/>
          <w:sz w:val="28"/>
          <w:szCs w:val="28"/>
        </w:rPr>
        <w:t>二、基准地价更新成果表格</w:t>
      </w:r>
      <w:bookmarkEnd w:id="1118"/>
      <w:bookmarkEnd w:id="1119"/>
      <w:bookmarkEnd w:id="1120"/>
      <w:bookmarkEnd w:id="1121"/>
      <w:bookmarkEnd w:id="1122"/>
      <w:bookmarkEnd w:id="1123"/>
      <w:bookmarkEnd w:id="1124"/>
      <w:bookmarkEnd w:id="1125"/>
    </w:p>
    <w:p>
      <w:pPr>
        <w:ind w:firstLine="482" w:firstLineChars="200"/>
        <w:outlineLvl w:val="2"/>
        <w:rPr>
          <w:b/>
          <w:sz w:val="24"/>
          <w:szCs w:val="24"/>
        </w:rPr>
      </w:pPr>
      <w:bookmarkStart w:id="1126" w:name="_Toc468355128"/>
      <w:bookmarkStart w:id="1127" w:name="_Toc470719212"/>
      <w:bookmarkStart w:id="1128" w:name="_Toc27770"/>
      <w:bookmarkStart w:id="1129" w:name="_Toc468969171"/>
      <w:bookmarkStart w:id="1130" w:name="_Toc2015"/>
      <w:bookmarkStart w:id="1131" w:name="_Toc466303328"/>
      <w:bookmarkStart w:id="1132" w:name="_Toc14162"/>
      <w:r>
        <w:rPr>
          <w:b/>
          <w:sz w:val="24"/>
          <w:szCs w:val="24"/>
        </w:rPr>
        <w:t>1、长沙县城区基准地价内涵表</w:t>
      </w:r>
      <w:bookmarkEnd w:id="1126"/>
      <w:bookmarkEnd w:id="1127"/>
      <w:bookmarkEnd w:id="1128"/>
      <w:bookmarkEnd w:id="1129"/>
      <w:bookmarkEnd w:id="1130"/>
      <w:bookmarkEnd w:id="1131"/>
      <w:bookmarkEnd w:id="1132"/>
    </w:p>
    <w:p>
      <w:pPr>
        <w:pStyle w:val="131"/>
        <w:spacing w:beforeLines="50" w:afterLines="50"/>
        <w:ind w:firstLine="0" w:firstLineChars="0"/>
        <w:rPr>
          <w:rFonts w:ascii="Times New Roman" w:hAnsi="Times New Roman"/>
          <w:sz w:val="24"/>
          <w:szCs w:val="22"/>
        </w:rPr>
      </w:pPr>
      <w:r>
        <w:rPr>
          <w:rFonts w:ascii="Times New Roman" w:hAnsi="Times New Roman"/>
          <w:sz w:val="24"/>
          <w:szCs w:val="22"/>
        </w:rPr>
        <w:t>表 2-1 　长沙县城区基准地价内涵表</w:t>
      </w:r>
    </w:p>
    <w:tbl>
      <w:tblPr>
        <w:tblW w:w="94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5"/>
        <w:gridCol w:w="1300"/>
        <w:gridCol w:w="1048"/>
        <w:gridCol w:w="941"/>
        <w:gridCol w:w="929"/>
        <w:gridCol w:w="909"/>
        <w:gridCol w:w="1040"/>
        <w:gridCol w:w="1226"/>
        <w:gridCol w:w="11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5" w:type="dxa"/>
            <w:vMerge w:val="restart"/>
            <w:tcBorders>
              <w:top w:val="single" w:color="auto" w:sz="4" w:space="0"/>
              <w:left w:val="single" w:color="auto" w:sz="4" w:space="0"/>
              <w:bottom w:val="single" w:color="000000" w:sz="4" w:space="0"/>
              <w:right w:val="single" w:color="auto" w:sz="4" w:space="0"/>
            </w:tcBorders>
            <w:vAlign w:val="center"/>
          </w:tcPr>
          <w:p>
            <w:pPr>
              <w:ind w:left="-105" w:leftChars="-50" w:right="-105" w:rightChars="-50"/>
              <w:jc w:val="center"/>
              <w:rPr>
                <w:b/>
                <w:bCs/>
                <w:kern w:val="0"/>
                <w:szCs w:val="21"/>
              </w:rPr>
            </w:pPr>
            <w:r>
              <w:rPr>
                <w:b/>
                <w:bCs/>
                <w:kern w:val="0"/>
                <w:szCs w:val="21"/>
              </w:rPr>
              <w:t>级 别</w:t>
            </w:r>
          </w:p>
        </w:tc>
        <w:tc>
          <w:tcPr>
            <w:tcW w:w="1300" w:type="dxa"/>
            <w:vMerge w:val="restart"/>
            <w:tcBorders>
              <w:top w:val="single" w:color="auto" w:sz="4" w:space="0"/>
              <w:left w:val="single" w:color="auto" w:sz="4" w:space="0"/>
              <w:bottom w:val="single" w:color="000000" w:sz="4" w:space="0"/>
              <w:right w:val="single" w:color="auto" w:sz="4" w:space="0"/>
            </w:tcBorders>
            <w:vAlign w:val="center"/>
          </w:tcPr>
          <w:p>
            <w:pPr>
              <w:ind w:left="-105" w:leftChars="-50" w:right="-105" w:rightChars="-50"/>
              <w:jc w:val="center"/>
              <w:rPr>
                <w:b/>
                <w:bCs/>
                <w:kern w:val="0"/>
                <w:szCs w:val="21"/>
              </w:rPr>
            </w:pPr>
            <w:r>
              <w:rPr>
                <w:b/>
                <w:bCs/>
                <w:kern w:val="0"/>
                <w:szCs w:val="21"/>
              </w:rPr>
              <w:t>土地权利</w:t>
            </w:r>
          </w:p>
        </w:tc>
        <w:tc>
          <w:tcPr>
            <w:tcW w:w="1989" w:type="dxa"/>
            <w:gridSpan w:val="2"/>
            <w:tcBorders>
              <w:top w:val="single" w:color="auto" w:sz="4" w:space="0"/>
              <w:left w:val="nil"/>
              <w:bottom w:val="single" w:color="auto" w:sz="4" w:space="0"/>
              <w:right w:val="single" w:color="000000" w:sz="4" w:space="0"/>
            </w:tcBorders>
            <w:vAlign w:val="center"/>
          </w:tcPr>
          <w:p>
            <w:pPr>
              <w:ind w:left="-105" w:leftChars="-50" w:right="-105" w:rightChars="-50"/>
              <w:jc w:val="center"/>
              <w:rPr>
                <w:b/>
                <w:bCs/>
                <w:kern w:val="0"/>
                <w:szCs w:val="21"/>
              </w:rPr>
            </w:pPr>
            <w:r>
              <w:rPr>
                <w:b/>
                <w:bCs/>
                <w:kern w:val="0"/>
                <w:szCs w:val="21"/>
              </w:rPr>
              <w:t>商服</w:t>
            </w:r>
          </w:p>
        </w:tc>
        <w:tc>
          <w:tcPr>
            <w:tcW w:w="1838" w:type="dxa"/>
            <w:gridSpan w:val="2"/>
            <w:tcBorders>
              <w:top w:val="single" w:color="auto" w:sz="4" w:space="0"/>
              <w:left w:val="nil"/>
              <w:bottom w:val="single" w:color="auto" w:sz="4" w:space="0"/>
              <w:right w:val="single" w:color="auto" w:sz="4" w:space="0"/>
            </w:tcBorders>
            <w:vAlign w:val="center"/>
          </w:tcPr>
          <w:p>
            <w:pPr>
              <w:ind w:left="-105" w:leftChars="-50" w:right="-105" w:rightChars="-50"/>
              <w:jc w:val="center"/>
              <w:rPr>
                <w:b/>
                <w:bCs/>
                <w:kern w:val="0"/>
                <w:szCs w:val="21"/>
              </w:rPr>
            </w:pPr>
            <w:r>
              <w:rPr>
                <w:b/>
                <w:bCs/>
                <w:kern w:val="0"/>
                <w:szCs w:val="21"/>
              </w:rPr>
              <w:t>住宅</w:t>
            </w:r>
          </w:p>
        </w:tc>
        <w:tc>
          <w:tcPr>
            <w:tcW w:w="1040" w:type="dxa"/>
            <w:tcBorders>
              <w:top w:val="single" w:color="auto" w:sz="4" w:space="0"/>
              <w:left w:val="nil"/>
              <w:bottom w:val="single" w:color="auto" w:sz="4" w:space="0"/>
              <w:right w:val="single" w:color="auto" w:sz="4" w:space="0"/>
            </w:tcBorders>
            <w:vAlign w:val="center"/>
          </w:tcPr>
          <w:p>
            <w:pPr>
              <w:ind w:left="-105" w:leftChars="-50" w:right="-105" w:rightChars="-50"/>
              <w:jc w:val="center"/>
              <w:rPr>
                <w:b/>
                <w:bCs/>
                <w:kern w:val="0"/>
                <w:szCs w:val="21"/>
              </w:rPr>
            </w:pPr>
            <w:r>
              <w:rPr>
                <w:b/>
                <w:bCs/>
                <w:kern w:val="0"/>
                <w:szCs w:val="21"/>
              </w:rPr>
              <w:t>工矿仓储</w:t>
            </w:r>
          </w:p>
        </w:tc>
        <w:tc>
          <w:tcPr>
            <w:tcW w:w="1226" w:type="dxa"/>
            <w:vMerge w:val="restart"/>
            <w:tcBorders>
              <w:top w:val="single" w:color="auto" w:sz="4" w:space="0"/>
              <w:left w:val="single" w:color="auto" w:sz="4" w:space="0"/>
              <w:bottom w:val="single" w:color="000000" w:sz="4" w:space="0"/>
              <w:right w:val="single" w:color="auto" w:sz="4" w:space="0"/>
            </w:tcBorders>
            <w:vAlign w:val="center"/>
          </w:tcPr>
          <w:p>
            <w:pPr>
              <w:ind w:left="-105" w:leftChars="-50" w:right="-105" w:rightChars="-50"/>
              <w:jc w:val="center"/>
              <w:rPr>
                <w:b/>
                <w:bCs/>
                <w:kern w:val="0"/>
                <w:szCs w:val="21"/>
              </w:rPr>
            </w:pPr>
            <w:r>
              <w:rPr>
                <w:b/>
                <w:bCs/>
                <w:kern w:val="0"/>
                <w:szCs w:val="21"/>
              </w:rPr>
              <w:t>开发程度</w:t>
            </w:r>
          </w:p>
        </w:tc>
        <w:tc>
          <w:tcPr>
            <w:tcW w:w="1162" w:type="dxa"/>
            <w:vMerge w:val="restart"/>
            <w:tcBorders>
              <w:top w:val="single" w:color="auto" w:sz="4" w:space="0"/>
              <w:left w:val="single" w:color="auto" w:sz="4" w:space="0"/>
              <w:bottom w:val="single" w:color="000000" w:sz="4" w:space="0"/>
              <w:right w:val="single" w:color="auto" w:sz="4" w:space="0"/>
            </w:tcBorders>
            <w:vAlign w:val="center"/>
          </w:tcPr>
          <w:p>
            <w:pPr>
              <w:ind w:left="-105" w:leftChars="-50" w:right="-105" w:rightChars="-50"/>
              <w:jc w:val="center"/>
              <w:rPr>
                <w:rFonts w:hint="eastAsia" w:eastAsia="宋体"/>
                <w:b/>
                <w:bCs/>
                <w:kern w:val="0"/>
                <w:szCs w:val="21"/>
                <w:lang w:val="en-US" w:eastAsia="zh-CN"/>
              </w:rPr>
            </w:pPr>
            <w:r>
              <w:rPr>
                <w:rFonts w:hint="eastAsia"/>
                <w:b/>
                <w:bCs/>
                <w:kern w:val="0"/>
                <w:szCs w:val="21"/>
                <w:lang w:val="en-US" w:eastAsia="zh-CN"/>
              </w:rPr>
              <w:t>基准日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5" w:type="dxa"/>
            <w:vMerge w:val="continue"/>
            <w:tcBorders>
              <w:top w:val="single" w:color="auto" w:sz="4" w:space="0"/>
              <w:left w:val="single" w:color="auto" w:sz="4" w:space="0"/>
              <w:bottom w:val="single" w:color="000000" w:sz="4" w:space="0"/>
              <w:right w:val="single" w:color="auto" w:sz="4" w:space="0"/>
            </w:tcBorders>
            <w:vAlign w:val="center"/>
          </w:tcPr>
          <w:p>
            <w:pPr>
              <w:ind w:left="-105" w:leftChars="-50" w:right="-105" w:rightChars="-50"/>
              <w:jc w:val="center"/>
              <w:rPr>
                <w:b/>
                <w:bCs/>
                <w:kern w:val="0"/>
                <w:szCs w:val="21"/>
              </w:rPr>
            </w:pPr>
          </w:p>
        </w:tc>
        <w:tc>
          <w:tcPr>
            <w:tcW w:w="1300" w:type="dxa"/>
            <w:vMerge w:val="continue"/>
            <w:tcBorders>
              <w:top w:val="single" w:color="auto" w:sz="4" w:space="0"/>
              <w:left w:val="single" w:color="auto" w:sz="4" w:space="0"/>
              <w:bottom w:val="single" w:color="000000" w:sz="4" w:space="0"/>
              <w:right w:val="single" w:color="auto" w:sz="4" w:space="0"/>
            </w:tcBorders>
            <w:vAlign w:val="center"/>
          </w:tcPr>
          <w:p>
            <w:pPr>
              <w:ind w:left="-105" w:leftChars="-50" w:right="-105" w:rightChars="-50"/>
              <w:jc w:val="center"/>
              <w:rPr>
                <w:b/>
                <w:bCs/>
                <w:kern w:val="0"/>
                <w:szCs w:val="21"/>
              </w:rPr>
            </w:pPr>
          </w:p>
        </w:tc>
        <w:tc>
          <w:tcPr>
            <w:tcW w:w="1048" w:type="dxa"/>
            <w:tcBorders>
              <w:top w:val="nil"/>
              <w:left w:val="nil"/>
              <w:bottom w:val="nil"/>
              <w:right w:val="single" w:color="auto" w:sz="4" w:space="0"/>
            </w:tcBorders>
            <w:vAlign w:val="center"/>
          </w:tcPr>
          <w:p>
            <w:pPr>
              <w:ind w:left="-105" w:leftChars="-50" w:right="-105" w:rightChars="-50"/>
              <w:jc w:val="center"/>
              <w:rPr>
                <w:b/>
                <w:bCs/>
                <w:kern w:val="0"/>
                <w:szCs w:val="21"/>
              </w:rPr>
            </w:pPr>
            <w:r>
              <w:rPr>
                <w:b/>
                <w:bCs/>
                <w:kern w:val="0"/>
                <w:szCs w:val="21"/>
              </w:rPr>
              <w:t>使用年期</w:t>
            </w:r>
          </w:p>
        </w:tc>
        <w:tc>
          <w:tcPr>
            <w:tcW w:w="941" w:type="dxa"/>
            <w:tcBorders>
              <w:top w:val="nil"/>
              <w:left w:val="nil"/>
              <w:bottom w:val="nil"/>
              <w:right w:val="single" w:color="auto" w:sz="4" w:space="0"/>
            </w:tcBorders>
            <w:vAlign w:val="center"/>
          </w:tcPr>
          <w:p>
            <w:pPr>
              <w:ind w:left="-105" w:leftChars="-50" w:right="-105" w:rightChars="-50"/>
              <w:jc w:val="center"/>
              <w:rPr>
                <w:b/>
                <w:bCs/>
                <w:kern w:val="0"/>
                <w:szCs w:val="21"/>
              </w:rPr>
            </w:pPr>
            <w:r>
              <w:rPr>
                <w:b/>
                <w:bCs/>
                <w:kern w:val="0"/>
                <w:szCs w:val="21"/>
              </w:rPr>
              <w:t>容积率</w:t>
            </w:r>
          </w:p>
        </w:tc>
        <w:tc>
          <w:tcPr>
            <w:tcW w:w="929" w:type="dxa"/>
            <w:tcBorders>
              <w:top w:val="nil"/>
              <w:left w:val="nil"/>
              <w:bottom w:val="single" w:color="auto" w:sz="4" w:space="0"/>
              <w:right w:val="single" w:color="auto" w:sz="4" w:space="0"/>
            </w:tcBorders>
            <w:vAlign w:val="center"/>
          </w:tcPr>
          <w:p>
            <w:pPr>
              <w:ind w:left="-105" w:leftChars="-50" w:right="-105" w:rightChars="-50"/>
              <w:jc w:val="center"/>
              <w:rPr>
                <w:b/>
                <w:bCs/>
                <w:kern w:val="0"/>
                <w:szCs w:val="21"/>
              </w:rPr>
            </w:pPr>
            <w:r>
              <w:rPr>
                <w:b/>
                <w:bCs/>
                <w:kern w:val="0"/>
                <w:szCs w:val="21"/>
              </w:rPr>
              <w:t>使用年期</w:t>
            </w:r>
          </w:p>
        </w:tc>
        <w:tc>
          <w:tcPr>
            <w:tcW w:w="909" w:type="dxa"/>
            <w:tcBorders>
              <w:top w:val="nil"/>
              <w:left w:val="nil"/>
              <w:bottom w:val="single" w:color="auto" w:sz="4" w:space="0"/>
              <w:right w:val="single" w:color="auto" w:sz="4" w:space="0"/>
            </w:tcBorders>
            <w:vAlign w:val="center"/>
          </w:tcPr>
          <w:p>
            <w:pPr>
              <w:ind w:left="-105" w:leftChars="-50" w:right="-105" w:rightChars="-50"/>
              <w:jc w:val="center"/>
              <w:rPr>
                <w:b/>
                <w:bCs/>
                <w:kern w:val="0"/>
                <w:szCs w:val="21"/>
              </w:rPr>
            </w:pPr>
            <w:r>
              <w:rPr>
                <w:b/>
                <w:bCs/>
                <w:kern w:val="0"/>
                <w:szCs w:val="21"/>
              </w:rPr>
              <w:t>容积率</w:t>
            </w:r>
          </w:p>
        </w:tc>
        <w:tc>
          <w:tcPr>
            <w:tcW w:w="1040" w:type="dxa"/>
            <w:tcBorders>
              <w:top w:val="nil"/>
              <w:left w:val="nil"/>
              <w:bottom w:val="single" w:color="auto" w:sz="4" w:space="0"/>
              <w:right w:val="single" w:color="auto" w:sz="4" w:space="0"/>
            </w:tcBorders>
            <w:vAlign w:val="center"/>
          </w:tcPr>
          <w:p>
            <w:pPr>
              <w:ind w:left="-105" w:leftChars="-50" w:right="-105" w:rightChars="-50"/>
              <w:jc w:val="center"/>
              <w:rPr>
                <w:b/>
                <w:bCs/>
                <w:kern w:val="0"/>
                <w:szCs w:val="21"/>
              </w:rPr>
            </w:pPr>
            <w:r>
              <w:rPr>
                <w:b/>
                <w:bCs/>
                <w:kern w:val="0"/>
                <w:szCs w:val="21"/>
              </w:rPr>
              <w:t>使用年期</w:t>
            </w:r>
          </w:p>
        </w:tc>
        <w:tc>
          <w:tcPr>
            <w:tcW w:w="1226" w:type="dxa"/>
            <w:vMerge w:val="continue"/>
            <w:tcBorders>
              <w:top w:val="single" w:color="auto" w:sz="4" w:space="0"/>
              <w:left w:val="single" w:color="auto" w:sz="4" w:space="0"/>
              <w:bottom w:val="single" w:color="000000" w:sz="4" w:space="0"/>
              <w:right w:val="single" w:color="auto" w:sz="4" w:space="0"/>
            </w:tcBorders>
            <w:vAlign w:val="center"/>
          </w:tcPr>
          <w:p>
            <w:pPr>
              <w:ind w:left="-105" w:leftChars="-50" w:right="-105" w:rightChars="-50"/>
              <w:jc w:val="center"/>
              <w:rPr>
                <w:kern w:val="0"/>
                <w:szCs w:val="21"/>
              </w:rPr>
            </w:pPr>
          </w:p>
        </w:tc>
        <w:tc>
          <w:tcPr>
            <w:tcW w:w="1162" w:type="dxa"/>
            <w:vMerge w:val="continue"/>
            <w:tcBorders>
              <w:top w:val="single" w:color="auto" w:sz="4" w:space="0"/>
              <w:left w:val="single" w:color="auto" w:sz="4" w:space="0"/>
              <w:bottom w:val="single" w:color="000000" w:sz="4" w:space="0"/>
              <w:right w:val="single" w:color="auto" w:sz="4" w:space="0"/>
            </w:tcBorders>
            <w:vAlign w:val="center"/>
          </w:tcPr>
          <w:p>
            <w:pPr>
              <w:ind w:left="-105" w:leftChars="-50" w:right="-105" w:rightChars="-50"/>
              <w:jc w:val="center"/>
              <w:rPr>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9" w:hRule="exact"/>
          <w:jc w:val="center"/>
        </w:trPr>
        <w:tc>
          <w:tcPr>
            <w:tcW w:w="875" w:type="dxa"/>
            <w:tcBorders>
              <w:top w:val="nil"/>
              <w:left w:val="single" w:color="auto" w:sz="4" w:space="0"/>
              <w:bottom w:val="single" w:color="auto" w:sz="4" w:space="0"/>
              <w:right w:val="single" w:color="auto" w:sz="4" w:space="0"/>
            </w:tcBorders>
            <w:vAlign w:val="center"/>
          </w:tcPr>
          <w:p>
            <w:pPr>
              <w:ind w:left="-105" w:leftChars="-50" w:right="-105" w:rightChars="-50"/>
              <w:jc w:val="center"/>
              <w:rPr>
                <w:kern w:val="0"/>
                <w:szCs w:val="21"/>
              </w:rPr>
            </w:pPr>
            <w:r>
              <w:rPr>
                <w:kern w:val="0"/>
                <w:szCs w:val="21"/>
              </w:rPr>
              <w:t>Ⅰ</w:t>
            </w:r>
          </w:p>
        </w:tc>
        <w:tc>
          <w:tcPr>
            <w:tcW w:w="1300" w:type="dxa"/>
            <w:tcBorders>
              <w:top w:val="nil"/>
              <w:left w:val="nil"/>
              <w:bottom w:val="single" w:color="auto" w:sz="4" w:space="0"/>
              <w:right w:val="nil"/>
            </w:tcBorders>
            <w:vAlign w:val="center"/>
          </w:tcPr>
          <w:p>
            <w:pPr>
              <w:ind w:left="-105" w:leftChars="-50" w:right="-105" w:rightChars="-50"/>
              <w:jc w:val="center"/>
              <w:rPr>
                <w:kern w:val="0"/>
                <w:szCs w:val="21"/>
              </w:rPr>
            </w:pPr>
            <w:r>
              <w:rPr>
                <w:kern w:val="0"/>
                <w:szCs w:val="21"/>
              </w:rPr>
              <w:t>出让土地使用权</w:t>
            </w:r>
          </w:p>
        </w:tc>
        <w:tc>
          <w:tcPr>
            <w:tcW w:w="1048" w:type="dxa"/>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color w:val="000000"/>
                <w:sz w:val="20"/>
              </w:rPr>
              <w:t>40</w:t>
            </w:r>
          </w:p>
        </w:tc>
        <w:tc>
          <w:tcPr>
            <w:tcW w:w="941" w:type="dxa"/>
            <w:tcBorders>
              <w:top w:val="single" w:color="auto" w:sz="4" w:space="0"/>
              <w:left w:val="nil"/>
              <w:bottom w:val="single" w:color="auto" w:sz="4" w:space="0"/>
              <w:right w:val="single" w:color="auto" w:sz="4" w:space="0"/>
            </w:tcBorders>
            <w:vAlign w:val="center"/>
          </w:tcPr>
          <w:p>
            <w:pPr>
              <w:jc w:val="center"/>
              <w:rPr>
                <w:kern w:val="0"/>
                <w:szCs w:val="21"/>
              </w:rPr>
            </w:pPr>
            <w:r>
              <w:rPr>
                <w:color w:val="000000"/>
                <w:sz w:val="20"/>
              </w:rPr>
              <w:t>2.8</w:t>
            </w:r>
          </w:p>
        </w:tc>
        <w:tc>
          <w:tcPr>
            <w:tcW w:w="929" w:type="dxa"/>
            <w:tcBorders>
              <w:top w:val="nil"/>
              <w:left w:val="nil"/>
              <w:bottom w:val="single" w:color="auto" w:sz="4" w:space="0"/>
              <w:right w:val="single" w:color="auto" w:sz="4" w:space="0"/>
            </w:tcBorders>
            <w:vAlign w:val="center"/>
          </w:tcPr>
          <w:p>
            <w:pPr>
              <w:jc w:val="center"/>
              <w:rPr>
                <w:kern w:val="0"/>
                <w:szCs w:val="21"/>
              </w:rPr>
            </w:pPr>
            <w:r>
              <w:rPr>
                <w:color w:val="000000"/>
                <w:sz w:val="20"/>
              </w:rPr>
              <w:t>70</w:t>
            </w:r>
          </w:p>
        </w:tc>
        <w:tc>
          <w:tcPr>
            <w:tcW w:w="909" w:type="dxa"/>
            <w:tcBorders>
              <w:top w:val="nil"/>
              <w:left w:val="nil"/>
              <w:bottom w:val="single" w:color="auto" w:sz="4" w:space="0"/>
              <w:right w:val="single" w:color="auto" w:sz="4" w:space="0"/>
            </w:tcBorders>
            <w:vAlign w:val="center"/>
          </w:tcPr>
          <w:p>
            <w:pPr>
              <w:jc w:val="center"/>
              <w:rPr>
                <w:kern w:val="0"/>
                <w:szCs w:val="21"/>
              </w:rPr>
            </w:pPr>
            <w:r>
              <w:rPr>
                <w:color w:val="000000"/>
                <w:sz w:val="20"/>
              </w:rPr>
              <w:t>2.4</w:t>
            </w:r>
          </w:p>
        </w:tc>
        <w:tc>
          <w:tcPr>
            <w:tcW w:w="1040" w:type="dxa"/>
            <w:tcBorders>
              <w:top w:val="nil"/>
              <w:left w:val="nil"/>
              <w:bottom w:val="single" w:color="auto" w:sz="4" w:space="0"/>
              <w:right w:val="single" w:color="auto" w:sz="4" w:space="0"/>
            </w:tcBorders>
            <w:vAlign w:val="center"/>
          </w:tcPr>
          <w:p>
            <w:pPr>
              <w:jc w:val="center"/>
              <w:rPr>
                <w:kern w:val="0"/>
                <w:szCs w:val="21"/>
              </w:rPr>
            </w:pPr>
            <w:r>
              <w:rPr>
                <w:color w:val="000000"/>
                <w:sz w:val="20"/>
              </w:rPr>
              <w:t>50</w:t>
            </w:r>
          </w:p>
        </w:tc>
        <w:tc>
          <w:tcPr>
            <w:tcW w:w="1226"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五通一平</w:t>
            </w:r>
          </w:p>
        </w:tc>
        <w:tc>
          <w:tcPr>
            <w:tcW w:w="1162" w:type="dxa"/>
            <w:tcBorders>
              <w:top w:val="nil"/>
              <w:left w:val="nil"/>
              <w:bottom w:val="single" w:color="auto" w:sz="4" w:space="0"/>
              <w:right w:val="single" w:color="auto" w:sz="4" w:space="0"/>
            </w:tcBorders>
            <w:vAlign w:val="center"/>
          </w:tcPr>
          <w:p>
            <w:pPr>
              <w:ind w:left="-105" w:leftChars="-50" w:right="-105" w:rightChars="-50"/>
              <w:jc w:val="center"/>
              <w:rPr>
                <w:rFonts w:hint="eastAsia" w:eastAsia="宋体"/>
                <w:kern w:val="0"/>
                <w:szCs w:val="21"/>
                <w:lang w:eastAsia="zh-CN"/>
              </w:rPr>
            </w:pPr>
            <w:r>
              <w:rPr>
                <w:rFonts w:hint="eastAsia"/>
                <w:kern w:val="0"/>
                <w:szCs w:val="21"/>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7" w:hRule="exact"/>
          <w:jc w:val="center"/>
        </w:trPr>
        <w:tc>
          <w:tcPr>
            <w:tcW w:w="875" w:type="dxa"/>
            <w:tcBorders>
              <w:top w:val="nil"/>
              <w:left w:val="single" w:color="auto" w:sz="4" w:space="0"/>
              <w:bottom w:val="single" w:color="auto" w:sz="4" w:space="0"/>
              <w:right w:val="single" w:color="auto" w:sz="4" w:space="0"/>
            </w:tcBorders>
            <w:vAlign w:val="center"/>
          </w:tcPr>
          <w:p>
            <w:pPr>
              <w:ind w:left="-105" w:leftChars="-50" w:right="-105" w:rightChars="-50"/>
              <w:jc w:val="center"/>
              <w:rPr>
                <w:kern w:val="0"/>
                <w:szCs w:val="21"/>
              </w:rPr>
            </w:pPr>
            <w:r>
              <w:rPr>
                <w:kern w:val="0"/>
                <w:szCs w:val="21"/>
              </w:rPr>
              <w:t>Ⅱ</w:t>
            </w:r>
          </w:p>
        </w:tc>
        <w:tc>
          <w:tcPr>
            <w:tcW w:w="1300" w:type="dxa"/>
            <w:tcBorders>
              <w:top w:val="nil"/>
              <w:left w:val="nil"/>
              <w:bottom w:val="single" w:color="auto" w:sz="4" w:space="0"/>
              <w:right w:val="nil"/>
            </w:tcBorders>
            <w:vAlign w:val="center"/>
          </w:tcPr>
          <w:p>
            <w:pPr>
              <w:ind w:left="-105" w:leftChars="-50" w:right="-105" w:rightChars="-50"/>
              <w:jc w:val="center"/>
              <w:rPr>
                <w:kern w:val="0"/>
                <w:szCs w:val="21"/>
              </w:rPr>
            </w:pPr>
            <w:r>
              <w:rPr>
                <w:kern w:val="0"/>
                <w:szCs w:val="21"/>
              </w:rPr>
              <w:t>出让土地使用权</w:t>
            </w:r>
          </w:p>
        </w:tc>
        <w:tc>
          <w:tcPr>
            <w:tcW w:w="1048" w:type="dxa"/>
            <w:tcBorders>
              <w:top w:val="nil"/>
              <w:left w:val="single" w:color="auto" w:sz="4" w:space="0"/>
              <w:bottom w:val="single" w:color="auto" w:sz="4" w:space="0"/>
              <w:right w:val="single" w:color="auto" w:sz="4" w:space="0"/>
            </w:tcBorders>
            <w:vAlign w:val="center"/>
          </w:tcPr>
          <w:p>
            <w:pPr>
              <w:jc w:val="center"/>
              <w:rPr>
                <w:kern w:val="0"/>
                <w:szCs w:val="21"/>
              </w:rPr>
            </w:pPr>
            <w:r>
              <w:rPr>
                <w:color w:val="000000"/>
                <w:sz w:val="20"/>
              </w:rPr>
              <w:t>40</w:t>
            </w:r>
          </w:p>
        </w:tc>
        <w:tc>
          <w:tcPr>
            <w:tcW w:w="941" w:type="dxa"/>
            <w:tcBorders>
              <w:top w:val="nil"/>
              <w:left w:val="nil"/>
              <w:bottom w:val="single" w:color="auto" w:sz="4" w:space="0"/>
              <w:right w:val="single" w:color="auto" w:sz="4" w:space="0"/>
            </w:tcBorders>
            <w:vAlign w:val="center"/>
          </w:tcPr>
          <w:p>
            <w:pPr>
              <w:jc w:val="center"/>
              <w:rPr>
                <w:kern w:val="0"/>
                <w:szCs w:val="21"/>
              </w:rPr>
            </w:pPr>
            <w:r>
              <w:rPr>
                <w:color w:val="000000"/>
                <w:sz w:val="20"/>
              </w:rPr>
              <w:t>2.5</w:t>
            </w:r>
          </w:p>
        </w:tc>
        <w:tc>
          <w:tcPr>
            <w:tcW w:w="929" w:type="dxa"/>
            <w:tcBorders>
              <w:top w:val="nil"/>
              <w:left w:val="nil"/>
              <w:bottom w:val="single" w:color="auto" w:sz="4" w:space="0"/>
              <w:right w:val="single" w:color="auto" w:sz="4" w:space="0"/>
            </w:tcBorders>
            <w:vAlign w:val="center"/>
          </w:tcPr>
          <w:p>
            <w:pPr>
              <w:jc w:val="center"/>
              <w:rPr>
                <w:kern w:val="0"/>
                <w:szCs w:val="21"/>
              </w:rPr>
            </w:pPr>
            <w:r>
              <w:rPr>
                <w:color w:val="000000"/>
                <w:sz w:val="20"/>
              </w:rPr>
              <w:t>70</w:t>
            </w:r>
          </w:p>
        </w:tc>
        <w:tc>
          <w:tcPr>
            <w:tcW w:w="909" w:type="dxa"/>
            <w:tcBorders>
              <w:top w:val="nil"/>
              <w:left w:val="nil"/>
              <w:bottom w:val="single" w:color="auto" w:sz="4" w:space="0"/>
              <w:right w:val="single" w:color="auto" w:sz="4" w:space="0"/>
            </w:tcBorders>
            <w:vAlign w:val="center"/>
          </w:tcPr>
          <w:p>
            <w:pPr>
              <w:jc w:val="center"/>
              <w:rPr>
                <w:kern w:val="0"/>
                <w:szCs w:val="21"/>
              </w:rPr>
            </w:pPr>
            <w:r>
              <w:rPr>
                <w:color w:val="000000"/>
                <w:sz w:val="20"/>
              </w:rPr>
              <w:t>2.2</w:t>
            </w:r>
          </w:p>
        </w:tc>
        <w:tc>
          <w:tcPr>
            <w:tcW w:w="1040" w:type="dxa"/>
            <w:tcBorders>
              <w:top w:val="nil"/>
              <w:left w:val="nil"/>
              <w:bottom w:val="single" w:color="auto" w:sz="4" w:space="0"/>
              <w:right w:val="single" w:color="auto" w:sz="4" w:space="0"/>
            </w:tcBorders>
            <w:vAlign w:val="center"/>
          </w:tcPr>
          <w:p>
            <w:pPr>
              <w:jc w:val="center"/>
              <w:rPr>
                <w:kern w:val="0"/>
                <w:szCs w:val="21"/>
              </w:rPr>
            </w:pPr>
            <w:r>
              <w:rPr>
                <w:color w:val="000000"/>
                <w:sz w:val="20"/>
              </w:rPr>
              <w:t>50</w:t>
            </w:r>
          </w:p>
        </w:tc>
        <w:tc>
          <w:tcPr>
            <w:tcW w:w="1226"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五通一平</w:t>
            </w:r>
          </w:p>
        </w:tc>
        <w:tc>
          <w:tcPr>
            <w:tcW w:w="1162" w:type="dxa"/>
            <w:tcBorders>
              <w:top w:val="nil"/>
              <w:left w:val="nil"/>
              <w:bottom w:val="single" w:color="auto" w:sz="4" w:space="0"/>
              <w:right w:val="single" w:color="auto" w:sz="4" w:space="0"/>
            </w:tcBorders>
            <w:vAlign w:val="center"/>
          </w:tcPr>
          <w:p>
            <w:pPr>
              <w:ind w:left="-105" w:leftChars="-50" w:right="-105" w:rightChars="-50"/>
              <w:jc w:val="center"/>
              <w:rPr>
                <w:rFonts w:hint="eastAsia" w:eastAsia="宋体"/>
                <w:kern w:val="0"/>
                <w:szCs w:val="21"/>
                <w:lang w:eastAsia="zh-CN"/>
              </w:rPr>
            </w:pPr>
            <w:r>
              <w:rPr>
                <w:rFonts w:hint="eastAsia"/>
                <w:kern w:val="0"/>
                <w:szCs w:val="21"/>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9" w:hRule="exact"/>
          <w:jc w:val="center"/>
        </w:trPr>
        <w:tc>
          <w:tcPr>
            <w:tcW w:w="875" w:type="dxa"/>
            <w:tcBorders>
              <w:top w:val="nil"/>
              <w:left w:val="single" w:color="auto" w:sz="4" w:space="0"/>
              <w:bottom w:val="single" w:color="auto" w:sz="4" w:space="0"/>
              <w:right w:val="single" w:color="auto" w:sz="4" w:space="0"/>
            </w:tcBorders>
            <w:vAlign w:val="center"/>
          </w:tcPr>
          <w:p>
            <w:pPr>
              <w:ind w:left="-105" w:leftChars="-50" w:right="-105" w:rightChars="-50"/>
              <w:jc w:val="center"/>
              <w:rPr>
                <w:kern w:val="0"/>
                <w:szCs w:val="21"/>
              </w:rPr>
            </w:pPr>
            <w:r>
              <w:rPr>
                <w:kern w:val="0"/>
                <w:szCs w:val="21"/>
              </w:rPr>
              <w:t>Ⅲ</w:t>
            </w:r>
          </w:p>
        </w:tc>
        <w:tc>
          <w:tcPr>
            <w:tcW w:w="1300" w:type="dxa"/>
            <w:tcBorders>
              <w:top w:val="nil"/>
              <w:left w:val="nil"/>
              <w:bottom w:val="single" w:color="auto" w:sz="4" w:space="0"/>
              <w:right w:val="nil"/>
            </w:tcBorders>
            <w:vAlign w:val="center"/>
          </w:tcPr>
          <w:p>
            <w:pPr>
              <w:ind w:left="-105" w:leftChars="-50" w:right="-105" w:rightChars="-50"/>
              <w:jc w:val="center"/>
              <w:rPr>
                <w:kern w:val="0"/>
                <w:szCs w:val="21"/>
              </w:rPr>
            </w:pPr>
            <w:r>
              <w:rPr>
                <w:kern w:val="0"/>
                <w:szCs w:val="21"/>
              </w:rPr>
              <w:t>出让土地使用权</w:t>
            </w:r>
          </w:p>
        </w:tc>
        <w:tc>
          <w:tcPr>
            <w:tcW w:w="1048" w:type="dxa"/>
            <w:tcBorders>
              <w:top w:val="nil"/>
              <w:left w:val="single" w:color="auto" w:sz="4" w:space="0"/>
              <w:bottom w:val="single" w:color="auto" w:sz="4" w:space="0"/>
              <w:right w:val="single" w:color="auto" w:sz="4" w:space="0"/>
            </w:tcBorders>
            <w:vAlign w:val="center"/>
          </w:tcPr>
          <w:p>
            <w:pPr>
              <w:jc w:val="center"/>
              <w:rPr>
                <w:kern w:val="0"/>
                <w:szCs w:val="21"/>
              </w:rPr>
            </w:pPr>
            <w:r>
              <w:rPr>
                <w:color w:val="000000"/>
                <w:sz w:val="20"/>
              </w:rPr>
              <w:t>40</w:t>
            </w:r>
          </w:p>
        </w:tc>
        <w:tc>
          <w:tcPr>
            <w:tcW w:w="941" w:type="dxa"/>
            <w:tcBorders>
              <w:top w:val="nil"/>
              <w:left w:val="nil"/>
              <w:bottom w:val="single" w:color="auto" w:sz="4" w:space="0"/>
              <w:right w:val="single" w:color="auto" w:sz="4" w:space="0"/>
            </w:tcBorders>
            <w:vAlign w:val="center"/>
          </w:tcPr>
          <w:p>
            <w:pPr>
              <w:jc w:val="center"/>
              <w:rPr>
                <w:kern w:val="0"/>
                <w:szCs w:val="21"/>
              </w:rPr>
            </w:pPr>
            <w:r>
              <w:rPr>
                <w:color w:val="000000"/>
                <w:sz w:val="20"/>
              </w:rPr>
              <w:t>2.3</w:t>
            </w:r>
          </w:p>
        </w:tc>
        <w:tc>
          <w:tcPr>
            <w:tcW w:w="929" w:type="dxa"/>
            <w:tcBorders>
              <w:top w:val="nil"/>
              <w:left w:val="nil"/>
              <w:bottom w:val="single" w:color="auto" w:sz="4" w:space="0"/>
              <w:right w:val="single" w:color="auto" w:sz="4" w:space="0"/>
            </w:tcBorders>
            <w:vAlign w:val="center"/>
          </w:tcPr>
          <w:p>
            <w:pPr>
              <w:jc w:val="center"/>
              <w:rPr>
                <w:kern w:val="0"/>
                <w:szCs w:val="21"/>
              </w:rPr>
            </w:pPr>
            <w:r>
              <w:rPr>
                <w:color w:val="000000"/>
                <w:sz w:val="20"/>
              </w:rPr>
              <w:t>70</w:t>
            </w:r>
          </w:p>
        </w:tc>
        <w:tc>
          <w:tcPr>
            <w:tcW w:w="909" w:type="dxa"/>
            <w:tcBorders>
              <w:top w:val="nil"/>
              <w:left w:val="nil"/>
              <w:bottom w:val="single" w:color="auto" w:sz="4" w:space="0"/>
              <w:right w:val="single" w:color="auto" w:sz="4" w:space="0"/>
            </w:tcBorders>
            <w:vAlign w:val="center"/>
          </w:tcPr>
          <w:p>
            <w:pPr>
              <w:jc w:val="center"/>
              <w:rPr>
                <w:kern w:val="0"/>
                <w:szCs w:val="21"/>
              </w:rPr>
            </w:pPr>
            <w:r>
              <w:rPr>
                <w:color w:val="000000"/>
                <w:sz w:val="20"/>
              </w:rPr>
              <w:t>1.9</w:t>
            </w:r>
          </w:p>
        </w:tc>
        <w:tc>
          <w:tcPr>
            <w:tcW w:w="1040" w:type="dxa"/>
            <w:tcBorders>
              <w:top w:val="nil"/>
              <w:left w:val="nil"/>
              <w:bottom w:val="single" w:color="auto" w:sz="4" w:space="0"/>
              <w:right w:val="single" w:color="auto" w:sz="4" w:space="0"/>
            </w:tcBorders>
            <w:vAlign w:val="center"/>
          </w:tcPr>
          <w:p>
            <w:pPr>
              <w:jc w:val="center"/>
              <w:rPr>
                <w:kern w:val="0"/>
                <w:szCs w:val="21"/>
              </w:rPr>
            </w:pPr>
            <w:r>
              <w:rPr>
                <w:color w:val="000000"/>
                <w:sz w:val="20"/>
              </w:rPr>
              <w:t>50</w:t>
            </w:r>
          </w:p>
        </w:tc>
        <w:tc>
          <w:tcPr>
            <w:tcW w:w="1226"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五通一平</w:t>
            </w:r>
          </w:p>
        </w:tc>
        <w:tc>
          <w:tcPr>
            <w:tcW w:w="1162" w:type="dxa"/>
            <w:tcBorders>
              <w:top w:val="nil"/>
              <w:left w:val="nil"/>
              <w:bottom w:val="single" w:color="auto" w:sz="4" w:space="0"/>
              <w:right w:val="single" w:color="auto" w:sz="4" w:space="0"/>
            </w:tcBorders>
            <w:vAlign w:val="center"/>
          </w:tcPr>
          <w:p>
            <w:pPr>
              <w:ind w:left="-105" w:leftChars="-50" w:right="-105" w:rightChars="-50"/>
              <w:jc w:val="center"/>
              <w:rPr>
                <w:rFonts w:hint="eastAsia" w:eastAsia="宋体"/>
                <w:kern w:val="0"/>
                <w:szCs w:val="21"/>
                <w:lang w:eastAsia="zh-CN"/>
              </w:rPr>
            </w:pPr>
            <w:r>
              <w:rPr>
                <w:rFonts w:hint="eastAsia"/>
                <w:kern w:val="0"/>
                <w:szCs w:val="21"/>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875" w:type="dxa"/>
            <w:tcBorders>
              <w:top w:val="nil"/>
              <w:left w:val="single" w:color="auto" w:sz="4" w:space="0"/>
              <w:bottom w:val="single" w:color="auto" w:sz="4" w:space="0"/>
              <w:right w:val="single" w:color="auto" w:sz="4" w:space="0"/>
            </w:tcBorders>
            <w:vAlign w:val="center"/>
          </w:tcPr>
          <w:p>
            <w:pPr>
              <w:ind w:left="-105" w:leftChars="-50" w:right="-105" w:rightChars="-50"/>
              <w:jc w:val="center"/>
              <w:rPr>
                <w:kern w:val="0"/>
                <w:szCs w:val="21"/>
              </w:rPr>
            </w:pPr>
            <w:r>
              <w:rPr>
                <w:kern w:val="0"/>
                <w:szCs w:val="21"/>
              </w:rPr>
              <w:t>Ⅳ</w:t>
            </w:r>
          </w:p>
        </w:tc>
        <w:tc>
          <w:tcPr>
            <w:tcW w:w="1300" w:type="dxa"/>
            <w:tcBorders>
              <w:top w:val="nil"/>
              <w:left w:val="nil"/>
              <w:bottom w:val="single" w:color="auto" w:sz="4" w:space="0"/>
              <w:right w:val="nil"/>
            </w:tcBorders>
            <w:vAlign w:val="center"/>
          </w:tcPr>
          <w:p>
            <w:pPr>
              <w:ind w:left="-105" w:leftChars="-50" w:right="-105" w:rightChars="-50"/>
              <w:jc w:val="center"/>
              <w:rPr>
                <w:kern w:val="0"/>
                <w:szCs w:val="21"/>
              </w:rPr>
            </w:pPr>
            <w:r>
              <w:rPr>
                <w:kern w:val="0"/>
                <w:szCs w:val="21"/>
              </w:rPr>
              <w:t>出让土地使用权</w:t>
            </w:r>
          </w:p>
        </w:tc>
        <w:tc>
          <w:tcPr>
            <w:tcW w:w="1048" w:type="dxa"/>
            <w:tcBorders>
              <w:top w:val="nil"/>
              <w:left w:val="single" w:color="auto" w:sz="4" w:space="0"/>
              <w:bottom w:val="single" w:color="auto" w:sz="4" w:space="0"/>
              <w:right w:val="single" w:color="auto" w:sz="4" w:space="0"/>
            </w:tcBorders>
            <w:vAlign w:val="center"/>
          </w:tcPr>
          <w:p>
            <w:pPr>
              <w:jc w:val="center"/>
              <w:rPr>
                <w:kern w:val="0"/>
                <w:szCs w:val="21"/>
              </w:rPr>
            </w:pPr>
            <w:r>
              <w:rPr>
                <w:color w:val="000000"/>
                <w:sz w:val="20"/>
              </w:rPr>
              <w:t>40</w:t>
            </w:r>
          </w:p>
        </w:tc>
        <w:tc>
          <w:tcPr>
            <w:tcW w:w="941" w:type="dxa"/>
            <w:tcBorders>
              <w:top w:val="nil"/>
              <w:left w:val="nil"/>
              <w:bottom w:val="single" w:color="auto" w:sz="4" w:space="0"/>
              <w:right w:val="single" w:color="auto" w:sz="4" w:space="0"/>
            </w:tcBorders>
            <w:vAlign w:val="center"/>
          </w:tcPr>
          <w:p>
            <w:pPr>
              <w:jc w:val="center"/>
              <w:rPr>
                <w:kern w:val="0"/>
                <w:szCs w:val="21"/>
              </w:rPr>
            </w:pPr>
            <w:r>
              <w:rPr>
                <w:color w:val="000000"/>
                <w:sz w:val="20"/>
              </w:rPr>
              <w:t>2</w:t>
            </w:r>
          </w:p>
        </w:tc>
        <w:tc>
          <w:tcPr>
            <w:tcW w:w="929" w:type="dxa"/>
            <w:tcBorders>
              <w:top w:val="nil"/>
              <w:left w:val="nil"/>
              <w:bottom w:val="single" w:color="auto" w:sz="4" w:space="0"/>
              <w:right w:val="single" w:color="auto" w:sz="4" w:space="0"/>
            </w:tcBorders>
            <w:vAlign w:val="center"/>
          </w:tcPr>
          <w:p>
            <w:pPr>
              <w:jc w:val="center"/>
              <w:rPr>
                <w:kern w:val="0"/>
                <w:szCs w:val="21"/>
              </w:rPr>
            </w:pPr>
            <w:r>
              <w:rPr>
                <w:color w:val="000000"/>
                <w:sz w:val="20"/>
              </w:rPr>
              <w:t>70</w:t>
            </w:r>
          </w:p>
        </w:tc>
        <w:tc>
          <w:tcPr>
            <w:tcW w:w="909" w:type="dxa"/>
            <w:tcBorders>
              <w:top w:val="nil"/>
              <w:left w:val="nil"/>
              <w:bottom w:val="single" w:color="auto" w:sz="4" w:space="0"/>
              <w:right w:val="single" w:color="auto" w:sz="4" w:space="0"/>
            </w:tcBorders>
            <w:vAlign w:val="center"/>
          </w:tcPr>
          <w:p>
            <w:pPr>
              <w:jc w:val="center"/>
              <w:rPr>
                <w:kern w:val="0"/>
                <w:szCs w:val="21"/>
              </w:rPr>
            </w:pPr>
            <w:r>
              <w:rPr>
                <w:color w:val="000000"/>
                <w:sz w:val="20"/>
              </w:rPr>
              <w:t>1.7</w:t>
            </w:r>
          </w:p>
        </w:tc>
        <w:tc>
          <w:tcPr>
            <w:tcW w:w="1040" w:type="dxa"/>
            <w:tcBorders>
              <w:top w:val="nil"/>
              <w:left w:val="nil"/>
              <w:bottom w:val="single" w:color="auto" w:sz="4" w:space="0"/>
              <w:right w:val="single" w:color="auto" w:sz="4" w:space="0"/>
            </w:tcBorders>
            <w:vAlign w:val="center"/>
          </w:tcPr>
          <w:p>
            <w:pPr>
              <w:jc w:val="center"/>
              <w:rPr>
                <w:kern w:val="0"/>
                <w:szCs w:val="21"/>
              </w:rPr>
            </w:pPr>
            <w:r>
              <w:rPr>
                <w:color w:val="000000"/>
                <w:sz w:val="20"/>
              </w:rPr>
              <w:t>50</w:t>
            </w:r>
          </w:p>
        </w:tc>
        <w:tc>
          <w:tcPr>
            <w:tcW w:w="1226"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五通一平</w:t>
            </w:r>
          </w:p>
        </w:tc>
        <w:tc>
          <w:tcPr>
            <w:tcW w:w="1162" w:type="dxa"/>
            <w:tcBorders>
              <w:top w:val="nil"/>
              <w:left w:val="nil"/>
              <w:bottom w:val="single" w:color="auto" w:sz="4" w:space="0"/>
              <w:right w:val="single" w:color="auto" w:sz="4" w:space="0"/>
            </w:tcBorders>
            <w:vAlign w:val="center"/>
          </w:tcPr>
          <w:p>
            <w:pPr>
              <w:ind w:left="-105" w:leftChars="-50" w:right="-105" w:rightChars="-50"/>
              <w:jc w:val="center"/>
              <w:rPr>
                <w:rFonts w:hint="eastAsia" w:eastAsia="宋体"/>
                <w:kern w:val="0"/>
                <w:szCs w:val="21"/>
                <w:lang w:eastAsia="zh-CN"/>
              </w:rPr>
            </w:pPr>
            <w:r>
              <w:rPr>
                <w:rFonts w:hint="eastAsia"/>
                <w:kern w:val="0"/>
                <w:szCs w:val="21"/>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875" w:type="dxa"/>
            <w:tcBorders>
              <w:top w:val="nil"/>
              <w:left w:val="single" w:color="auto" w:sz="4" w:space="0"/>
              <w:bottom w:val="single" w:color="auto" w:sz="4" w:space="0"/>
              <w:right w:val="single" w:color="auto" w:sz="4" w:space="0"/>
            </w:tcBorders>
            <w:vAlign w:val="center"/>
          </w:tcPr>
          <w:p>
            <w:pPr>
              <w:ind w:left="-105" w:leftChars="-50" w:right="-105" w:rightChars="-50"/>
              <w:jc w:val="center"/>
              <w:rPr>
                <w:kern w:val="0"/>
                <w:szCs w:val="21"/>
              </w:rPr>
            </w:pPr>
            <w:r>
              <w:rPr>
                <w:kern w:val="0"/>
                <w:szCs w:val="21"/>
              </w:rPr>
              <w:t>Ⅴ</w:t>
            </w:r>
          </w:p>
        </w:tc>
        <w:tc>
          <w:tcPr>
            <w:tcW w:w="1300" w:type="dxa"/>
            <w:tcBorders>
              <w:top w:val="nil"/>
              <w:left w:val="nil"/>
              <w:bottom w:val="single" w:color="auto" w:sz="4" w:space="0"/>
              <w:right w:val="nil"/>
            </w:tcBorders>
            <w:vAlign w:val="center"/>
          </w:tcPr>
          <w:p>
            <w:pPr>
              <w:ind w:left="-105" w:leftChars="-50" w:right="-105" w:rightChars="-50"/>
              <w:jc w:val="center"/>
              <w:rPr>
                <w:kern w:val="0"/>
                <w:szCs w:val="21"/>
              </w:rPr>
            </w:pPr>
            <w:r>
              <w:rPr>
                <w:kern w:val="0"/>
                <w:szCs w:val="21"/>
              </w:rPr>
              <w:t>出让土地使用权</w:t>
            </w:r>
          </w:p>
        </w:tc>
        <w:tc>
          <w:tcPr>
            <w:tcW w:w="1048" w:type="dxa"/>
            <w:tcBorders>
              <w:top w:val="nil"/>
              <w:left w:val="single" w:color="auto" w:sz="4" w:space="0"/>
              <w:bottom w:val="single" w:color="auto" w:sz="4" w:space="0"/>
              <w:right w:val="single" w:color="auto" w:sz="4" w:space="0"/>
            </w:tcBorders>
            <w:vAlign w:val="center"/>
          </w:tcPr>
          <w:p>
            <w:pPr>
              <w:jc w:val="center"/>
              <w:rPr>
                <w:kern w:val="0"/>
                <w:szCs w:val="21"/>
              </w:rPr>
            </w:pPr>
            <w:r>
              <w:rPr>
                <w:color w:val="000000"/>
                <w:sz w:val="20"/>
              </w:rPr>
              <w:t>40</w:t>
            </w:r>
          </w:p>
        </w:tc>
        <w:tc>
          <w:tcPr>
            <w:tcW w:w="941" w:type="dxa"/>
            <w:tcBorders>
              <w:top w:val="nil"/>
              <w:left w:val="nil"/>
              <w:bottom w:val="single" w:color="auto" w:sz="4" w:space="0"/>
              <w:right w:val="single" w:color="auto" w:sz="4" w:space="0"/>
            </w:tcBorders>
            <w:vAlign w:val="center"/>
          </w:tcPr>
          <w:p>
            <w:pPr>
              <w:jc w:val="center"/>
              <w:rPr>
                <w:kern w:val="0"/>
                <w:szCs w:val="21"/>
              </w:rPr>
            </w:pPr>
            <w:r>
              <w:rPr>
                <w:color w:val="000000"/>
                <w:sz w:val="20"/>
              </w:rPr>
              <w:t>1.8</w:t>
            </w:r>
          </w:p>
        </w:tc>
        <w:tc>
          <w:tcPr>
            <w:tcW w:w="929" w:type="dxa"/>
            <w:tcBorders>
              <w:top w:val="nil"/>
              <w:left w:val="nil"/>
              <w:bottom w:val="single" w:color="auto" w:sz="4" w:space="0"/>
              <w:right w:val="single" w:color="auto" w:sz="4" w:space="0"/>
            </w:tcBorders>
            <w:vAlign w:val="center"/>
          </w:tcPr>
          <w:p>
            <w:pPr>
              <w:jc w:val="center"/>
              <w:rPr>
                <w:kern w:val="0"/>
                <w:szCs w:val="21"/>
              </w:rPr>
            </w:pPr>
            <w:r>
              <w:rPr>
                <w:color w:val="000000"/>
                <w:sz w:val="20"/>
              </w:rPr>
              <w:t>70</w:t>
            </w:r>
          </w:p>
        </w:tc>
        <w:tc>
          <w:tcPr>
            <w:tcW w:w="909" w:type="dxa"/>
            <w:tcBorders>
              <w:top w:val="nil"/>
              <w:left w:val="nil"/>
              <w:bottom w:val="single" w:color="auto" w:sz="4" w:space="0"/>
              <w:right w:val="single" w:color="auto" w:sz="4" w:space="0"/>
            </w:tcBorders>
            <w:vAlign w:val="center"/>
          </w:tcPr>
          <w:p>
            <w:pPr>
              <w:jc w:val="center"/>
              <w:rPr>
                <w:kern w:val="0"/>
                <w:szCs w:val="21"/>
              </w:rPr>
            </w:pPr>
            <w:r>
              <w:rPr>
                <w:color w:val="000000"/>
                <w:sz w:val="20"/>
              </w:rPr>
              <w:t>1.5</w:t>
            </w:r>
          </w:p>
        </w:tc>
        <w:tc>
          <w:tcPr>
            <w:tcW w:w="1040" w:type="dxa"/>
            <w:tcBorders>
              <w:top w:val="nil"/>
              <w:left w:val="nil"/>
              <w:bottom w:val="single" w:color="auto" w:sz="4" w:space="0"/>
              <w:right w:val="single" w:color="auto" w:sz="4" w:space="0"/>
            </w:tcBorders>
            <w:vAlign w:val="center"/>
          </w:tcPr>
          <w:p>
            <w:pPr>
              <w:jc w:val="center"/>
              <w:rPr>
                <w:kern w:val="0"/>
                <w:szCs w:val="21"/>
              </w:rPr>
            </w:pPr>
            <w:r>
              <w:rPr>
                <w:color w:val="000000"/>
                <w:sz w:val="20"/>
              </w:rPr>
              <w:t>50</w:t>
            </w:r>
          </w:p>
        </w:tc>
        <w:tc>
          <w:tcPr>
            <w:tcW w:w="1226" w:type="dxa"/>
            <w:tcBorders>
              <w:top w:val="nil"/>
              <w:left w:val="nil"/>
              <w:bottom w:val="single" w:color="auto" w:sz="4" w:space="0"/>
              <w:right w:val="single" w:color="auto" w:sz="4" w:space="0"/>
            </w:tcBorders>
            <w:vAlign w:val="center"/>
          </w:tcPr>
          <w:p>
            <w:pPr>
              <w:ind w:left="-105" w:leftChars="-50" w:right="-105" w:rightChars="-50"/>
              <w:jc w:val="center"/>
              <w:rPr>
                <w:kern w:val="0"/>
                <w:szCs w:val="21"/>
              </w:rPr>
            </w:pPr>
            <w:r>
              <w:rPr>
                <w:kern w:val="0"/>
                <w:szCs w:val="21"/>
              </w:rPr>
              <w:t>五通一平</w:t>
            </w:r>
          </w:p>
        </w:tc>
        <w:tc>
          <w:tcPr>
            <w:tcW w:w="1162" w:type="dxa"/>
            <w:tcBorders>
              <w:top w:val="nil"/>
              <w:left w:val="nil"/>
              <w:bottom w:val="single" w:color="auto" w:sz="4" w:space="0"/>
              <w:right w:val="single" w:color="auto" w:sz="4" w:space="0"/>
            </w:tcBorders>
            <w:vAlign w:val="center"/>
          </w:tcPr>
          <w:p>
            <w:pPr>
              <w:ind w:left="-105" w:leftChars="-50" w:right="-105" w:rightChars="-50"/>
              <w:jc w:val="center"/>
              <w:rPr>
                <w:rFonts w:hint="eastAsia" w:eastAsia="宋体"/>
                <w:kern w:val="0"/>
                <w:szCs w:val="21"/>
                <w:lang w:eastAsia="zh-CN"/>
              </w:rPr>
            </w:pPr>
            <w:r>
              <w:rPr>
                <w:rFonts w:hint="eastAsia"/>
                <w:kern w:val="0"/>
                <w:szCs w:val="21"/>
                <w:lang w:eastAsia="zh-CN"/>
              </w:rPr>
              <w:t>2018.3.1</w:t>
            </w:r>
          </w:p>
        </w:tc>
      </w:tr>
    </w:tbl>
    <w:p>
      <w:pPr>
        <w:ind w:firstLine="482" w:firstLineChars="200"/>
        <w:outlineLvl w:val="2"/>
        <w:rPr>
          <w:b/>
          <w:sz w:val="24"/>
          <w:szCs w:val="24"/>
        </w:rPr>
      </w:pPr>
      <w:bookmarkStart w:id="1133" w:name="_Toc470719213"/>
      <w:bookmarkStart w:id="1134" w:name="_Toc468355129"/>
      <w:bookmarkStart w:id="1135" w:name="_Toc13230"/>
      <w:bookmarkStart w:id="1136" w:name="_Toc466303329"/>
      <w:bookmarkStart w:id="1137" w:name="_Toc1386"/>
      <w:bookmarkStart w:id="1138" w:name="_Toc27807"/>
      <w:bookmarkStart w:id="1139" w:name="_Toc468969172"/>
      <w:r>
        <w:rPr>
          <w:b/>
          <w:sz w:val="24"/>
          <w:szCs w:val="24"/>
        </w:rPr>
        <w:t>2、长沙县各级别地面基准地价表</w:t>
      </w:r>
      <w:bookmarkEnd w:id="1133"/>
      <w:bookmarkEnd w:id="1134"/>
      <w:bookmarkEnd w:id="1135"/>
      <w:bookmarkEnd w:id="1136"/>
      <w:bookmarkEnd w:id="1137"/>
      <w:bookmarkEnd w:id="1138"/>
      <w:bookmarkEnd w:id="1139"/>
    </w:p>
    <w:p>
      <w:pPr>
        <w:pStyle w:val="131"/>
        <w:spacing w:beforeLines="50" w:afterLines="50"/>
        <w:ind w:firstLine="0" w:firstLineChars="0"/>
        <w:rPr>
          <w:rFonts w:ascii="Times New Roman" w:hAnsi="Times New Roman"/>
          <w:sz w:val="24"/>
        </w:rPr>
      </w:pPr>
      <w:r>
        <w:rPr>
          <w:rFonts w:ascii="Times New Roman" w:hAnsi="Times New Roman"/>
          <w:sz w:val="24"/>
        </w:rPr>
        <w:t>表2-2  长沙县地面基准地价表</w:t>
      </w:r>
    </w:p>
    <w:p>
      <w:pPr>
        <w:ind w:right="315" w:firstLine="420" w:firstLineChars="200"/>
        <w:jc w:val="right"/>
      </w:pPr>
      <w:r>
        <w:t>单位：元/平方米</w:t>
      </w:r>
    </w:p>
    <w:tbl>
      <w:tblPr>
        <w:tblW w:w="90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99"/>
        <w:gridCol w:w="1047"/>
        <w:gridCol w:w="1441"/>
        <w:gridCol w:w="1047"/>
        <w:gridCol w:w="1441"/>
        <w:gridCol w:w="1047"/>
        <w:gridCol w:w="14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599"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土地级别</w:t>
            </w:r>
          </w:p>
        </w:tc>
        <w:tc>
          <w:tcPr>
            <w:tcW w:w="2488"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商服</w:t>
            </w:r>
          </w:p>
        </w:tc>
        <w:tc>
          <w:tcPr>
            <w:tcW w:w="2488"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住宅</w:t>
            </w:r>
          </w:p>
        </w:tc>
        <w:tc>
          <w:tcPr>
            <w:tcW w:w="2486"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工矿仓储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b/>
                <w:bCs/>
                <w:kern w:val="0"/>
                <w:szCs w:val="21"/>
              </w:rPr>
            </w:pPr>
          </w:p>
        </w:tc>
        <w:tc>
          <w:tcPr>
            <w:tcW w:w="1047" w:type="dxa"/>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元/m</w:t>
            </w:r>
            <w:r>
              <w:rPr>
                <w:rFonts w:hint="eastAsia" w:ascii="宋体" w:hAnsi="宋体" w:cs="宋体"/>
                <w:b/>
                <w:bCs/>
                <w:kern w:val="0"/>
                <w:szCs w:val="21"/>
                <w:vertAlign w:val="superscript"/>
              </w:rPr>
              <w:t>2</w:t>
            </w:r>
          </w:p>
        </w:tc>
        <w:tc>
          <w:tcPr>
            <w:tcW w:w="1441" w:type="dxa"/>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万元/亩</w:t>
            </w:r>
          </w:p>
        </w:tc>
        <w:tc>
          <w:tcPr>
            <w:tcW w:w="1047" w:type="dxa"/>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元/m</w:t>
            </w:r>
            <w:r>
              <w:rPr>
                <w:rFonts w:hint="eastAsia" w:ascii="宋体" w:hAnsi="宋体" w:cs="宋体"/>
                <w:b/>
                <w:bCs/>
                <w:kern w:val="0"/>
                <w:szCs w:val="21"/>
                <w:vertAlign w:val="superscript"/>
              </w:rPr>
              <w:t>2</w:t>
            </w:r>
          </w:p>
        </w:tc>
        <w:tc>
          <w:tcPr>
            <w:tcW w:w="1441" w:type="dxa"/>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万元/亩</w:t>
            </w:r>
          </w:p>
        </w:tc>
        <w:tc>
          <w:tcPr>
            <w:tcW w:w="1047" w:type="dxa"/>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元/m</w:t>
            </w:r>
            <w:r>
              <w:rPr>
                <w:rFonts w:hint="eastAsia" w:ascii="宋体" w:hAnsi="宋体" w:cs="宋体"/>
                <w:b/>
                <w:bCs/>
                <w:kern w:val="0"/>
                <w:szCs w:val="21"/>
                <w:vertAlign w:val="superscript"/>
              </w:rPr>
              <w:t>2</w:t>
            </w:r>
          </w:p>
        </w:tc>
        <w:tc>
          <w:tcPr>
            <w:tcW w:w="1439" w:type="dxa"/>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万元/亩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Ⅰ</w:t>
            </w:r>
          </w:p>
        </w:tc>
        <w:tc>
          <w:tcPr>
            <w:tcW w:w="1047" w:type="dxa"/>
            <w:tcBorders>
              <w:top w:val="nil"/>
              <w:left w:val="nil"/>
              <w:bottom w:val="single" w:color="auto" w:sz="4" w:space="0"/>
              <w:right w:val="single" w:color="auto" w:sz="4" w:space="0"/>
            </w:tcBorders>
            <w:vAlign w:val="center"/>
          </w:tcPr>
          <w:p>
            <w:pPr>
              <w:jc w:val="center"/>
              <w:rPr>
                <w:szCs w:val="21"/>
              </w:rPr>
            </w:pPr>
            <w:r>
              <w:rPr>
                <w:color w:val="000000"/>
                <w:sz w:val="20"/>
              </w:rPr>
              <w:t>4590</w:t>
            </w:r>
          </w:p>
        </w:tc>
        <w:tc>
          <w:tcPr>
            <w:tcW w:w="1441" w:type="dxa"/>
            <w:tcBorders>
              <w:top w:val="nil"/>
              <w:left w:val="nil"/>
              <w:bottom w:val="single" w:color="auto" w:sz="4" w:space="0"/>
              <w:right w:val="single" w:color="auto" w:sz="4" w:space="0"/>
            </w:tcBorders>
            <w:vAlign w:val="center"/>
          </w:tcPr>
          <w:p>
            <w:pPr>
              <w:jc w:val="center"/>
              <w:rPr>
                <w:szCs w:val="21"/>
              </w:rPr>
            </w:pPr>
            <w:r>
              <w:rPr>
                <w:color w:val="000000"/>
                <w:sz w:val="20"/>
              </w:rPr>
              <w:t>306</w:t>
            </w:r>
          </w:p>
        </w:tc>
        <w:tc>
          <w:tcPr>
            <w:tcW w:w="1047" w:type="dxa"/>
            <w:tcBorders>
              <w:top w:val="nil"/>
              <w:left w:val="nil"/>
              <w:bottom w:val="single" w:color="auto" w:sz="4" w:space="0"/>
              <w:right w:val="single" w:color="auto" w:sz="4" w:space="0"/>
            </w:tcBorders>
            <w:vAlign w:val="center"/>
          </w:tcPr>
          <w:p>
            <w:pPr>
              <w:widowControl/>
              <w:jc w:val="center"/>
              <w:textAlignment w:val="top"/>
              <w:rPr>
                <w:kern w:val="0"/>
                <w:szCs w:val="21"/>
              </w:rPr>
            </w:pPr>
            <w:r>
              <w:rPr>
                <w:rFonts w:eastAsia="Tahoma"/>
                <w:color w:val="000000"/>
                <w:kern w:val="0"/>
                <w:sz w:val="22"/>
                <w:szCs w:val="22"/>
                <w:lang/>
              </w:rPr>
              <w:t>3480</w:t>
            </w:r>
          </w:p>
        </w:tc>
        <w:tc>
          <w:tcPr>
            <w:tcW w:w="1441" w:type="dxa"/>
            <w:tcBorders>
              <w:top w:val="nil"/>
              <w:left w:val="nil"/>
              <w:bottom w:val="single" w:color="auto" w:sz="4" w:space="0"/>
              <w:right w:val="single" w:color="auto" w:sz="4" w:space="0"/>
            </w:tcBorders>
            <w:vAlign w:val="center"/>
          </w:tcPr>
          <w:p>
            <w:pPr>
              <w:widowControl/>
              <w:jc w:val="center"/>
              <w:textAlignment w:val="top"/>
              <w:rPr>
                <w:kern w:val="0"/>
                <w:szCs w:val="21"/>
              </w:rPr>
            </w:pPr>
            <w:r>
              <w:rPr>
                <w:rFonts w:eastAsia="Tahoma"/>
                <w:color w:val="000000"/>
                <w:kern w:val="0"/>
                <w:sz w:val="22"/>
                <w:szCs w:val="22"/>
                <w:lang/>
              </w:rPr>
              <w:t>232</w:t>
            </w:r>
          </w:p>
        </w:tc>
        <w:tc>
          <w:tcPr>
            <w:tcW w:w="1047" w:type="dxa"/>
            <w:tcBorders>
              <w:top w:val="nil"/>
              <w:left w:val="nil"/>
              <w:bottom w:val="single" w:color="auto" w:sz="4" w:space="0"/>
              <w:right w:val="single" w:color="auto" w:sz="4" w:space="0"/>
            </w:tcBorders>
            <w:vAlign w:val="center"/>
          </w:tcPr>
          <w:p>
            <w:pPr>
              <w:widowControl/>
              <w:jc w:val="center"/>
              <w:textAlignment w:val="top"/>
              <w:rPr>
                <w:kern w:val="0"/>
                <w:sz w:val="22"/>
                <w:szCs w:val="22"/>
              </w:rPr>
            </w:pPr>
            <w:r>
              <w:rPr>
                <w:rFonts w:eastAsia="Tahoma"/>
                <w:color w:val="000000"/>
                <w:kern w:val="0"/>
                <w:sz w:val="22"/>
                <w:szCs w:val="22"/>
                <w:lang/>
              </w:rPr>
              <w:t>1280</w:t>
            </w:r>
          </w:p>
        </w:tc>
        <w:tc>
          <w:tcPr>
            <w:tcW w:w="1439" w:type="dxa"/>
            <w:tcBorders>
              <w:top w:val="nil"/>
              <w:left w:val="nil"/>
              <w:bottom w:val="single" w:color="auto" w:sz="4" w:space="0"/>
              <w:right w:val="single" w:color="auto" w:sz="4" w:space="0"/>
            </w:tcBorders>
            <w:vAlign w:val="center"/>
          </w:tcPr>
          <w:p>
            <w:pPr>
              <w:widowControl/>
              <w:jc w:val="center"/>
              <w:textAlignment w:val="top"/>
              <w:rPr>
                <w:kern w:val="0"/>
                <w:szCs w:val="21"/>
              </w:rPr>
            </w:pPr>
            <w:r>
              <w:rPr>
                <w:rFonts w:eastAsia="Tahoma"/>
                <w:color w:val="000000"/>
                <w:kern w:val="0"/>
                <w:sz w:val="22"/>
                <w:szCs w:val="22"/>
                <w:lang/>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Ⅱ</w:t>
            </w:r>
          </w:p>
        </w:tc>
        <w:tc>
          <w:tcPr>
            <w:tcW w:w="1047" w:type="dxa"/>
            <w:tcBorders>
              <w:top w:val="nil"/>
              <w:left w:val="nil"/>
              <w:bottom w:val="single" w:color="auto" w:sz="4" w:space="0"/>
              <w:right w:val="single" w:color="auto" w:sz="4" w:space="0"/>
            </w:tcBorders>
            <w:vAlign w:val="center"/>
          </w:tcPr>
          <w:p>
            <w:pPr>
              <w:jc w:val="center"/>
              <w:rPr>
                <w:szCs w:val="21"/>
              </w:rPr>
            </w:pPr>
            <w:r>
              <w:rPr>
                <w:color w:val="000000"/>
                <w:sz w:val="20"/>
              </w:rPr>
              <w:t>3360</w:t>
            </w:r>
          </w:p>
        </w:tc>
        <w:tc>
          <w:tcPr>
            <w:tcW w:w="1441" w:type="dxa"/>
            <w:tcBorders>
              <w:top w:val="nil"/>
              <w:left w:val="nil"/>
              <w:bottom w:val="single" w:color="auto" w:sz="4" w:space="0"/>
              <w:right w:val="single" w:color="auto" w:sz="4" w:space="0"/>
            </w:tcBorders>
            <w:vAlign w:val="center"/>
          </w:tcPr>
          <w:p>
            <w:pPr>
              <w:jc w:val="center"/>
              <w:rPr>
                <w:szCs w:val="21"/>
              </w:rPr>
            </w:pPr>
            <w:r>
              <w:rPr>
                <w:color w:val="000000"/>
                <w:sz w:val="20"/>
              </w:rPr>
              <w:t>224</w:t>
            </w:r>
          </w:p>
        </w:tc>
        <w:tc>
          <w:tcPr>
            <w:tcW w:w="1047" w:type="dxa"/>
            <w:tcBorders>
              <w:top w:val="nil"/>
              <w:left w:val="nil"/>
              <w:bottom w:val="single" w:color="auto" w:sz="4" w:space="0"/>
              <w:right w:val="single" w:color="auto" w:sz="4" w:space="0"/>
            </w:tcBorders>
            <w:vAlign w:val="center"/>
          </w:tcPr>
          <w:p>
            <w:pPr>
              <w:widowControl/>
              <w:jc w:val="center"/>
              <w:textAlignment w:val="top"/>
              <w:rPr>
                <w:kern w:val="0"/>
                <w:szCs w:val="21"/>
              </w:rPr>
            </w:pPr>
            <w:r>
              <w:rPr>
                <w:rFonts w:eastAsia="Tahoma"/>
                <w:color w:val="000000"/>
                <w:kern w:val="0"/>
                <w:sz w:val="22"/>
                <w:szCs w:val="22"/>
                <w:lang/>
              </w:rPr>
              <w:t>2540</w:t>
            </w:r>
          </w:p>
        </w:tc>
        <w:tc>
          <w:tcPr>
            <w:tcW w:w="1441" w:type="dxa"/>
            <w:tcBorders>
              <w:top w:val="nil"/>
              <w:left w:val="nil"/>
              <w:bottom w:val="single" w:color="auto" w:sz="4" w:space="0"/>
              <w:right w:val="single" w:color="auto" w:sz="4" w:space="0"/>
            </w:tcBorders>
            <w:vAlign w:val="center"/>
          </w:tcPr>
          <w:p>
            <w:pPr>
              <w:widowControl/>
              <w:jc w:val="center"/>
              <w:textAlignment w:val="top"/>
              <w:rPr>
                <w:kern w:val="0"/>
                <w:szCs w:val="21"/>
              </w:rPr>
            </w:pPr>
            <w:r>
              <w:rPr>
                <w:rFonts w:eastAsia="Tahoma"/>
                <w:color w:val="000000"/>
                <w:kern w:val="0"/>
                <w:sz w:val="22"/>
                <w:szCs w:val="22"/>
                <w:lang/>
              </w:rPr>
              <w:t>169</w:t>
            </w:r>
          </w:p>
        </w:tc>
        <w:tc>
          <w:tcPr>
            <w:tcW w:w="1047" w:type="dxa"/>
            <w:tcBorders>
              <w:top w:val="nil"/>
              <w:left w:val="nil"/>
              <w:bottom w:val="single" w:color="auto" w:sz="4" w:space="0"/>
              <w:right w:val="single" w:color="auto" w:sz="4" w:space="0"/>
            </w:tcBorders>
            <w:vAlign w:val="center"/>
          </w:tcPr>
          <w:p>
            <w:pPr>
              <w:widowControl/>
              <w:jc w:val="center"/>
              <w:textAlignment w:val="top"/>
              <w:rPr>
                <w:kern w:val="0"/>
                <w:sz w:val="22"/>
                <w:szCs w:val="22"/>
              </w:rPr>
            </w:pPr>
            <w:r>
              <w:rPr>
                <w:rFonts w:eastAsia="Tahoma"/>
                <w:color w:val="000000"/>
                <w:kern w:val="0"/>
                <w:sz w:val="22"/>
                <w:szCs w:val="22"/>
                <w:lang/>
              </w:rPr>
              <w:t>100</w:t>
            </w:r>
            <w:r>
              <w:rPr>
                <w:rFonts w:hint="eastAsia" w:eastAsia="Tahoma"/>
                <w:color w:val="000000"/>
                <w:kern w:val="0"/>
                <w:sz w:val="22"/>
                <w:szCs w:val="22"/>
                <w:lang/>
              </w:rPr>
              <w:t>0</w:t>
            </w:r>
          </w:p>
        </w:tc>
        <w:tc>
          <w:tcPr>
            <w:tcW w:w="1439" w:type="dxa"/>
            <w:tcBorders>
              <w:top w:val="nil"/>
              <w:left w:val="nil"/>
              <w:bottom w:val="single" w:color="auto" w:sz="4" w:space="0"/>
              <w:right w:val="single" w:color="auto" w:sz="4" w:space="0"/>
            </w:tcBorders>
            <w:vAlign w:val="center"/>
          </w:tcPr>
          <w:p>
            <w:pPr>
              <w:widowControl/>
              <w:jc w:val="center"/>
              <w:textAlignment w:val="top"/>
              <w:rPr>
                <w:kern w:val="0"/>
                <w:szCs w:val="21"/>
              </w:rPr>
            </w:pPr>
            <w:r>
              <w:rPr>
                <w:rFonts w:eastAsia="Tahoma"/>
                <w:color w:val="000000"/>
                <w:kern w:val="0"/>
                <w:sz w:val="22"/>
                <w:szCs w:val="22"/>
                <w:lang/>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Ⅲ</w:t>
            </w:r>
          </w:p>
        </w:tc>
        <w:tc>
          <w:tcPr>
            <w:tcW w:w="1047" w:type="dxa"/>
            <w:tcBorders>
              <w:top w:val="nil"/>
              <w:left w:val="nil"/>
              <w:bottom w:val="single" w:color="auto" w:sz="4" w:space="0"/>
              <w:right w:val="single" w:color="auto" w:sz="4" w:space="0"/>
            </w:tcBorders>
            <w:vAlign w:val="center"/>
          </w:tcPr>
          <w:p>
            <w:pPr>
              <w:jc w:val="center"/>
              <w:rPr>
                <w:szCs w:val="21"/>
              </w:rPr>
            </w:pPr>
            <w:r>
              <w:rPr>
                <w:color w:val="000000"/>
                <w:sz w:val="20"/>
              </w:rPr>
              <w:t>2550</w:t>
            </w:r>
          </w:p>
        </w:tc>
        <w:tc>
          <w:tcPr>
            <w:tcW w:w="1441" w:type="dxa"/>
            <w:tcBorders>
              <w:top w:val="nil"/>
              <w:left w:val="nil"/>
              <w:bottom w:val="single" w:color="auto" w:sz="4" w:space="0"/>
              <w:right w:val="single" w:color="auto" w:sz="4" w:space="0"/>
            </w:tcBorders>
            <w:vAlign w:val="center"/>
          </w:tcPr>
          <w:p>
            <w:pPr>
              <w:jc w:val="center"/>
              <w:rPr>
                <w:szCs w:val="21"/>
              </w:rPr>
            </w:pPr>
            <w:r>
              <w:rPr>
                <w:color w:val="000000"/>
                <w:sz w:val="20"/>
              </w:rPr>
              <w:t>170</w:t>
            </w:r>
          </w:p>
        </w:tc>
        <w:tc>
          <w:tcPr>
            <w:tcW w:w="1047" w:type="dxa"/>
            <w:tcBorders>
              <w:top w:val="nil"/>
              <w:left w:val="nil"/>
              <w:bottom w:val="single" w:color="auto" w:sz="4" w:space="0"/>
              <w:right w:val="single" w:color="auto" w:sz="4" w:space="0"/>
            </w:tcBorders>
            <w:vAlign w:val="center"/>
          </w:tcPr>
          <w:p>
            <w:pPr>
              <w:widowControl/>
              <w:jc w:val="center"/>
              <w:textAlignment w:val="top"/>
              <w:rPr>
                <w:kern w:val="0"/>
                <w:szCs w:val="21"/>
              </w:rPr>
            </w:pPr>
            <w:r>
              <w:rPr>
                <w:rFonts w:eastAsia="Tahoma"/>
                <w:color w:val="000000"/>
                <w:kern w:val="0"/>
                <w:sz w:val="22"/>
                <w:szCs w:val="22"/>
                <w:lang/>
              </w:rPr>
              <w:t>1920</w:t>
            </w:r>
          </w:p>
        </w:tc>
        <w:tc>
          <w:tcPr>
            <w:tcW w:w="1441" w:type="dxa"/>
            <w:tcBorders>
              <w:top w:val="nil"/>
              <w:left w:val="nil"/>
              <w:bottom w:val="single" w:color="auto" w:sz="4" w:space="0"/>
              <w:right w:val="single" w:color="auto" w:sz="4" w:space="0"/>
            </w:tcBorders>
            <w:vAlign w:val="center"/>
          </w:tcPr>
          <w:p>
            <w:pPr>
              <w:widowControl/>
              <w:jc w:val="center"/>
              <w:textAlignment w:val="top"/>
              <w:rPr>
                <w:kern w:val="0"/>
                <w:szCs w:val="21"/>
              </w:rPr>
            </w:pPr>
            <w:r>
              <w:rPr>
                <w:rFonts w:eastAsia="Tahoma"/>
                <w:color w:val="000000"/>
                <w:kern w:val="0"/>
                <w:sz w:val="22"/>
                <w:szCs w:val="22"/>
                <w:lang/>
              </w:rPr>
              <w:t>128</w:t>
            </w:r>
          </w:p>
        </w:tc>
        <w:tc>
          <w:tcPr>
            <w:tcW w:w="1047" w:type="dxa"/>
            <w:tcBorders>
              <w:top w:val="nil"/>
              <w:left w:val="nil"/>
              <w:bottom w:val="single" w:color="auto" w:sz="4" w:space="0"/>
              <w:right w:val="single" w:color="auto" w:sz="4" w:space="0"/>
            </w:tcBorders>
            <w:vAlign w:val="center"/>
          </w:tcPr>
          <w:p>
            <w:pPr>
              <w:widowControl/>
              <w:jc w:val="center"/>
              <w:textAlignment w:val="top"/>
              <w:rPr>
                <w:kern w:val="0"/>
                <w:sz w:val="22"/>
                <w:szCs w:val="22"/>
              </w:rPr>
            </w:pPr>
            <w:r>
              <w:rPr>
                <w:rFonts w:eastAsia="Tahoma"/>
                <w:color w:val="000000"/>
                <w:kern w:val="0"/>
                <w:sz w:val="22"/>
                <w:szCs w:val="22"/>
                <w:lang/>
              </w:rPr>
              <w:t>78</w:t>
            </w:r>
            <w:r>
              <w:rPr>
                <w:rFonts w:hint="eastAsia" w:eastAsia="Tahoma"/>
                <w:color w:val="000000"/>
                <w:kern w:val="0"/>
                <w:sz w:val="22"/>
                <w:szCs w:val="22"/>
                <w:lang/>
              </w:rPr>
              <w:t>0</w:t>
            </w:r>
          </w:p>
        </w:tc>
        <w:tc>
          <w:tcPr>
            <w:tcW w:w="1439" w:type="dxa"/>
            <w:tcBorders>
              <w:top w:val="nil"/>
              <w:left w:val="nil"/>
              <w:bottom w:val="single" w:color="auto" w:sz="4" w:space="0"/>
              <w:right w:val="single" w:color="auto" w:sz="4" w:space="0"/>
            </w:tcBorders>
            <w:vAlign w:val="center"/>
          </w:tcPr>
          <w:p>
            <w:pPr>
              <w:widowControl/>
              <w:jc w:val="center"/>
              <w:textAlignment w:val="top"/>
              <w:rPr>
                <w:kern w:val="0"/>
                <w:szCs w:val="21"/>
              </w:rPr>
            </w:pPr>
            <w:r>
              <w:rPr>
                <w:rFonts w:eastAsia="Tahoma"/>
                <w:color w:val="000000"/>
                <w:kern w:val="0"/>
                <w:sz w:val="22"/>
                <w:szCs w:val="22"/>
                <w:lang/>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Ⅳ</w:t>
            </w:r>
          </w:p>
        </w:tc>
        <w:tc>
          <w:tcPr>
            <w:tcW w:w="1047" w:type="dxa"/>
            <w:tcBorders>
              <w:top w:val="nil"/>
              <w:left w:val="nil"/>
              <w:bottom w:val="single" w:color="auto" w:sz="4" w:space="0"/>
              <w:right w:val="single" w:color="auto" w:sz="4" w:space="0"/>
            </w:tcBorders>
            <w:vAlign w:val="center"/>
          </w:tcPr>
          <w:p>
            <w:pPr>
              <w:jc w:val="center"/>
              <w:rPr>
                <w:szCs w:val="21"/>
              </w:rPr>
            </w:pPr>
            <w:r>
              <w:rPr>
                <w:color w:val="000000"/>
                <w:sz w:val="20"/>
              </w:rPr>
              <w:t>1780</w:t>
            </w:r>
          </w:p>
        </w:tc>
        <w:tc>
          <w:tcPr>
            <w:tcW w:w="1441" w:type="dxa"/>
            <w:tcBorders>
              <w:top w:val="nil"/>
              <w:left w:val="nil"/>
              <w:bottom w:val="single" w:color="auto" w:sz="4" w:space="0"/>
              <w:right w:val="single" w:color="auto" w:sz="4" w:space="0"/>
            </w:tcBorders>
            <w:vAlign w:val="center"/>
          </w:tcPr>
          <w:p>
            <w:pPr>
              <w:jc w:val="center"/>
              <w:rPr>
                <w:szCs w:val="21"/>
              </w:rPr>
            </w:pPr>
            <w:r>
              <w:rPr>
                <w:color w:val="000000"/>
                <w:sz w:val="20"/>
              </w:rPr>
              <w:t>119</w:t>
            </w:r>
          </w:p>
        </w:tc>
        <w:tc>
          <w:tcPr>
            <w:tcW w:w="1047" w:type="dxa"/>
            <w:tcBorders>
              <w:top w:val="nil"/>
              <w:left w:val="nil"/>
              <w:bottom w:val="single" w:color="auto" w:sz="4" w:space="0"/>
              <w:right w:val="single" w:color="auto" w:sz="4" w:space="0"/>
            </w:tcBorders>
            <w:vAlign w:val="center"/>
          </w:tcPr>
          <w:p>
            <w:pPr>
              <w:widowControl/>
              <w:jc w:val="center"/>
              <w:textAlignment w:val="top"/>
              <w:rPr>
                <w:kern w:val="0"/>
                <w:szCs w:val="21"/>
              </w:rPr>
            </w:pPr>
            <w:r>
              <w:rPr>
                <w:rFonts w:eastAsia="Tahoma"/>
                <w:color w:val="000000"/>
                <w:kern w:val="0"/>
                <w:sz w:val="22"/>
                <w:szCs w:val="22"/>
                <w:lang/>
              </w:rPr>
              <w:t>1480</w:t>
            </w:r>
          </w:p>
        </w:tc>
        <w:tc>
          <w:tcPr>
            <w:tcW w:w="1441" w:type="dxa"/>
            <w:tcBorders>
              <w:top w:val="nil"/>
              <w:left w:val="nil"/>
              <w:bottom w:val="single" w:color="auto" w:sz="4" w:space="0"/>
              <w:right w:val="single" w:color="auto" w:sz="4" w:space="0"/>
            </w:tcBorders>
            <w:vAlign w:val="center"/>
          </w:tcPr>
          <w:p>
            <w:pPr>
              <w:widowControl/>
              <w:jc w:val="center"/>
              <w:textAlignment w:val="top"/>
              <w:rPr>
                <w:kern w:val="0"/>
                <w:szCs w:val="21"/>
              </w:rPr>
            </w:pPr>
            <w:r>
              <w:rPr>
                <w:rFonts w:eastAsia="Tahoma"/>
                <w:color w:val="000000"/>
                <w:kern w:val="0"/>
                <w:sz w:val="22"/>
                <w:szCs w:val="22"/>
                <w:lang/>
              </w:rPr>
              <w:t>99</w:t>
            </w:r>
          </w:p>
        </w:tc>
        <w:tc>
          <w:tcPr>
            <w:tcW w:w="1047" w:type="dxa"/>
            <w:tcBorders>
              <w:top w:val="nil"/>
              <w:left w:val="nil"/>
              <w:bottom w:val="single" w:color="auto" w:sz="4" w:space="0"/>
              <w:right w:val="single" w:color="auto" w:sz="4" w:space="0"/>
            </w:tcBorders>
            <w:vAlign w:val="center"/>
          </w:tcPr>
          <w:p>
            <w:pPr>
              <w:widowControl/>
              <w:jc w:val="center"/>
              <w:textAlignment w:val="top"/>
              <w:rPr>
                <w:kern w:val="0"/>
                <w:sz w:val="22"/>
                <w:szCs w:val="22"/>
              </w:rPr>
            </w:pPr>
            <w:r>
              <w:rPr>
                <w:rFonts w:eastAsia="Tahoma"/>
                <w:color w:val="000000"/>
                <w:kern w:val="0"/>
                <w:sz w:val="22"/>
                <w:szCs w:val="22"/>
                <w:lang/>
              </w:rPr>
              <w:t>61</w:t>
            </w:r>
            <w:r>
              <w:rPr>
                <w:rFonts w:hint="eastAsia" w:eastAsia="Tahoma"/>
                <w:color w:val="000000"/>
                <w:kern w:val="0"/>
                <w:sz w:val="22"/>
                <w:szCs w:val="22"/>
                <w:lang/>
              </w:rPr>
              <w:t>0</w:t>
            </w:r>
          </w:p>
        </w:tc>
        <w:tc>
          <w:tcPr>
            <w:tcW w:w="1439" w:type="dxa"/>
            <w:tcBorders>
              <w:top w:val="nil"/>
              <w:left w:val="nil"/>
              <w:bottom w:val="single" w:color="auto" w:sz="4" w:space="0"/>
              <w:right w:val="single" w:color="auto" w:sz="4" w:space="0"/>
            </w:tcBorders>
            <w:vAlign w:val="center"/>
          </w:tcPr>
          <w:p>
            <w:pPr>
              <w:widowControl/>
              <w:jc w:val="center"/>
              <w:textAlignment w:val="top"/>
              <w:rPr>
                <w:kern w:val="0"/>
                <w:szCs w:val="21"/>
              </w:rPr>
            </w:pPr>
            <w:r>
              <w:rPr>
                <w:rFonts w:eastAsia="Tahoma"/>
                <w:color w:val="000000"/>
                <w:kern w:val="0"/>
                <w:sz w:val="22"/>
                <w:szCs w:val="22"/>
                <w:lang/>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599" w:type="dxa"/>
            <w:tcBorders>
              <w:top w:val="nil"/>
              <w:left w:val="single" w:color="auto" w:sz="4" w:space="0"/>
              <w:bottom w:val="single" w:color="auto" w:sz="4" w:space="0"/>
              <w:right w:val="single" w:color="auto" w:sz="4" w:space="0"/>
            </w:tcBorders>
            <w:vAlign w:val="center"/>
          </w:tcPr>
          <w:p>
            <w:pPr>
              <w:widowControl/>
              <w:jc w:val="center"/>
              <w:rPr>
                <w:kern w:val="0"/>
                <w:szCs w:val="21"/>
              </w:rPr>
            </w:pPr>
            <w:r>
              <w:rPr>
                <w:kern w:val="0"/>
                <w:szCs w:val="21"/>
              </w:rPr>
              <w:t>Ⅴ</w:t>
            </w:r>
          </w:p>
        </w:tc>
        <w:tc>
          <w:tcPr>
            <w:tcW w:w="1047" w:type="dxa"/>
            <w:tcBorders>
              <w:top w:val="nil"/>
              <w:left w:val="nil"/>
              <w:bottom w:val="single" w:color="auto" w:sz="4" w:space="0"/>
              <w:right w:val="single" w:color="auto" w:sz="4" w:space="0"/>
            </w:tcBorders>
            <w:vAlign w:val="center"/>
          </w:tcPr>
          <w:p>
            <w:pPr>
              <w:jc w:val="center"/>
              <w:rPr>
                <w:szCs w:val="21"/>
              </w:rPr>
            </w:pPr>
            <w:r>
              <w:rPr>
                <w:color w:val="000000"/>
                <w:sz w:val="20"/>
              </w:rPr>
              <w:t>1280</w:t>
            </w:r>
          </w:p>
        </w:tc>
        <w:tc>
          <w:tcPr>
            <w:tcW w:w="1441" w:type="dxa"/>
            <w:tcBorders>
              <w:top w:val="nil"/>
              <w:left w:val="nil"/>
              <w:bottom w:val="single" w:color="auto" w:sz="4" w:space="0"/>
              <w:right w:val="single" w:color="auto" w:sz="4" w:space="0"/>
            </w:tcBorders>
            <w:vAlign w:val="center"/>
          </w:tcPr>
          <w:p>
            <w:pPr>
              <w:jc w:val="center"/>
              <w:rPr>
                <w:szCs w:val="21"/>
              </w:rPr>
            </w:pPr>
            <w:r>
              <w:rPr>
                <w:color w:val="000000"/>
                <w:sz w:val="20"/>
              </w:rPr>
              <w:t>85</w:t>
            </w:r>
          </w:p>
        </w:tc>
        <w:tc>
          <w:tcPr>
            <w:tcW w:w="1047" w:type="dxa"/>
            <w:tcBorders>
              <w:top w:val="nil"/>
              <w:left w:val="nil"/>
              <w:bottom w:val="single" w:color="auto" w:sz="4" w:space="0"/>
              <w:right w:val="single" w:color="auto" w:sz="4" w:space="0"/>
            </w:tcBorders>
            <w:vAlign w:val="center"/>
          </w:tcPr>
          <w:p>
            <w:pPr>
              <w:widowControl/>
              <w:jc w:val="center"/>
              <w:textAlignment w:val="top"/>
              <w:rPr>
                <w:kern w:val="0"/>
                <w:szCs w:val="21"/>
              </w:rPr>
            </w:pPr>
            <w:r>
              <w:rPr>
                <w:rFonts w:eastAsia="Tahoma"/>
                <w:color w:val="000000"/>
                <w:kern w:val="0"/>
                <w:sz w:val="22"/>
                <w:szCs w:val="22"/>
                <w:lang/>
              </w:rPr>
              <w:t>1060</w:t>
            </w:r>
          </w:p>
        </w:tc>
        <w:tc>
          <w:tcPr>
            <w:tcW w:w="1441" w:type="dxa"/>
            <w:tcBorders>
              <w:top w:val="nil"/>
              <w:left w:val="nil"/>
              <w:bottom w:val="single" w:color="auto" w:sz="4" w:space="0"/>
              <w:right w:val="single" w:color="auto" w:sz="4" w:space="0"/>
            </w:tcBorders>
            <w:vAlign w:val="center"/>
          </w:tcPr>
          <w:p>
            <w:pPr>
              <w:widowControl/>
              <w:jc w:val="center"/>
              <w:textAlignment w:val="top"/>
              <w:rPr>
                <w:kern w:val="0"/>
                <w:szCs w:val="21"/>
              </w:rPr>
            </w:pPr>
            <w:r>
              <w:rPr>
                <w:rFonts w:eastAsia="Tahoma"/>
                <w:color w:val="000000"/>
                <w:kern w:val="0"/>
                <w:sz w:val="22"/>
                <w:szCs w:val="22"/>
                <w:lang/>
              </w:rPr>
              <w:t>71</w:t>
            </w:r>
          </w:p>
        </w:tc>
        <w:tc>
          <w:tcPr>
            <w:tcW w:w="1047" w:type="dxa"/>
            <w:tcBorders>
              <w:top w:val="nil"/>
              <w:left w:val="nil"/>
              <w:bottom w:val="single" w:color="auto" w:sz="4" w:space="0"/>
              <w:right w:val="single" w:color="auto" w:sz="4" w:space="0"/>
            </w:tcBorders>
            <w:vAlign w:val="center"/>
          </w:tcPr>
          <w:p>
            <w:pPr>
              <w:widowControl/>
              <w:jc w:val="center"/>
              <w:textAlignment w:val="top"/>
              <w:rPr>
                <w:kern w:val="0"/>
                <w:sz w:val="22"/>
                <w:szCs w:val="22"/>
              </w:rPr>
            </w:pPr>
            <w:r>
              <w:rPr>
                <w:rFonts w:eastAsia="Tahoma"/>
                <w:color w:val="000000"/>
                <w:kern w:val="0"/>
                <w:sz w:val="22"/>
                <w:szCs w:val="22"/>
                <w:lang/>
              </w:rPr>
              <w:t>480</w:t>
            </w:r>
          </w:p>
        </w:tc>
        <w:tc>
          <w:tcPr>
            <w:tcW w:w="1439" w:type="dxa"/>
            <w:tcBorders>
              <w:top w:val="nil"/>
              <w:left w:val="nil"/>
              <w:bottom w:val="single" w:color="auto" w:sz="4" w:space="0"/>
              <w:right w:val="single" w:color="auto" w:sz="4" w:space="0"/>
            </w:tcBorders>
            <w:vAlign w:val="center"/>
          </w:tcPr>
          <w:p>
            <w:pPr>
              <w:widowControl/>
              <w:jc w:val="center"/>
              <w:textAlignment w:val="top"/>
              <w:rPr>
                <w:kern w:val="0"/>
                <w:szCs w:val="21"/>
              </w:rPr>
            </w:pPr>
            <w:r>
              <w:rPr>
                <w:rFonts w:eastAsia="Tahoma"/>
                <w:color w:val="000000"/>
                <w:kern w:val="0"/>
                <w:sz w:val="22"/>
                <w:szCs w:val="22"/>
                <w:lang/>
              </w:rPr>
              <w:t>32</w:t>
            </w:r>
          </w:p>
        </w:tc>
      </w:tr>
    </w:tbl>
    <w:p>
      <w:pPr>
        <w:ind w:firstLine="482" w:firstLineChars="200"/>
        <w:outlineLvl w:val="2"/>
        <w:rPr>
          <w:b/>
          <w:sz w:val="24"/>
          <w:szCs w:val="24"/>
        </w:rPr>
      </w:pPr>
      <w:bookmarkStart w:id="1140" w:name="_Toc1332"/>
      <w:bookmarkStart w:id="1141" w:name="_Toc30570"/>
      <w:bookmarkStart w:id="1142" w:name="_Toc468355130"/>
      <w:bookmarkStart w:id="1143" w:name="_Toc466303330"/>
      <w:bookmarkStart w:id="1144" w:name="_Toc468969173"/>
      <w:bookmarkStart w:id="1145" w:name="_Toc470719214"/>
      <w:bookmarkStart w:id="1146" w:name="_Toc19371"/>
      <w:r>
        <w:rPr>
          <w:b/>
          <w:sz w:val="24"/>
          <w:szCs w:val="24"/>
        </w:rPr>
        <w:t>3、长沙县城区商服用地和住宅用地均质区域地面基准地价表</w:t>
      </w:r>
      <w:bookmarkEnd w:id="1140"/>
      <w:bookmarkEnd w:id="1141"/>
      <w:bookmarkEnd w:id="1142"/>
      <w:bookmarkEnd w:id="1143"/>
      <w:bookmarkEnd w:id="1144"/>
      <w:bookmarkEnd w:id="1145"/>
      <w:bookmarkEnd w:id="1146"/>
    </w:p>
    <w:p>
      <w:pPr>
        <w:pStyle w:val="131"/>
        <w:spacing w:beforeLines="50" w:afterLines="50"/>
        <w:ind w:firstLine="0" w:firstLineChars="0"/>
        <w:rPr>
          <w:rFonts w:ascii="Times New Roman" w:hAnsi="Times New Roman"/>
          <w:sz w:val="24"/>
        </w:rPr>
      </w:pPr>
      <w:r>
        <w:rPr>
          <w:rFonts w:ascii="Times New Roman" w:hAnsi="Times New Roman"/>
          <w:sz w:val="24"/>
        </w:rPr>
        <w:t>表2-3 长沙县城区商服用地、住宅用地均质区域基准地价表</w:t>
      </w:r>
    </w:p>
    <w:p>
      <w:pPr>
        <w:ind w:firstLine="480" w:firstLineChars="200"/>
        <w:jc w:val="right"/>
        <w:rPr>
          <w:rFonts w:eastAsia="黑体"/>
          <w:bCs/>
          <w:sz w:val="24"/>
          <w:szCs w:val="24"/>
        </w:rPr>
      </w:pPr>
      <w:r>
        <w:rPr>
          <w:rFonts w:eastAsia="黑体"/>
          <w:bCs/>
          <w:sz w:val="24"/>
          <w:szCs w:val="24"/>
        </w:rPr>
        <w:t>单位：元/平方米</w:t>
      </w:r>
    </w:p>
    <w:tbl>
      <w:tblPr>
        <w:tblW w:w="9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1"/>
        <w:gridCol w:w="2261"/>
        <w:gridCol w:w="2259"/>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blHeader/>
          <w:jc w:val="center"/>
        </w:trPr>
        <w:tc>
          <w:tcPr>
            <w:tcW w:w="2261" w:type="dxa"/>
            <w:vAlign w:val="center"/>
          </w:tcPr>
          <w:p>
            <w:pPr>
              <w:widowControl/>
              <w:spacing w:line="400" w:lineRule="exact"/>
              <w:jc w:val="center"/>
              <w:rPr>
                <w:b/>
                <w:bCs/>
                <w:color w:val="000000"/>
                <w:kern w:val="0"/>
                <w:sz w:val="20"/>
              </w:rPr>
            </w:pPr>
            <w:r>
              <w:rPr>
                <w:b/>
                <w:bCs/>
                <w:color w:val="000000"/>
                <w:kern w:val="0"/>
                <w:sz w:val="20"/>
              </w:rPr>
              <w:t>均质区域</w:t>
            </w:r>
          </w:p>
        </w:tc>
        <w:tc>
          <w:tcPr>
            <w:tcW w:w="2261" w:type="dxa"/>
            <w:vAlign w:val="center"/>
          </w:tcPr>
          <w:p>
            <w:pPr>
              <w:widowControl/>
              <w:spacing w:line="400" w:lineRule="exact"/>
              <w:jc w:val="center"/>
              <w:rPr>
                <w:b/>
                <w:bCs/>
                <w:color w:val="000000"/>
                <w:kern w:val="0"/>
                <w:sz w:val="20"/>
              </w:rPr>
            </w:pPr>
            <w:r>
              <w:rPr>
                <w:b/>
                <w:bCs/>
                <w:color w:val="000000"/>
                <w:kern w:val="0"/>
                <w:sz w:val="20"/>
              </w:rPr>
              <w:t>所属级别</w:t>
            </w:r>
          </w:p>
        </w:tc>
        <w:tc>
          <w:tcPr>
            <w:tcW w:w="2259" w:type="dxa"/>
            <w:vAlign w:val="center"/>
          </w:tcPr>
          <w:p>
            <w:pPr>
              <w:widowControl/>
              <w:spacing w:line="400" w:lineRule="exact"/>
              <w:jc w:val="center"/>
              <w:rPr>
                <w:b/>
                <w:bCs/>
                <w:color w:val="000000"/>
                <w:kern w:val="0"/>
                <w:sz w:val="20"/>
              </w:rPr>
            </w:pPr>
            <w:r>
              <w:rPr>
                <w:b/>
                <w:color w:val="000000"/>
                <w:kern w:val="0"/>
                <w:szCs w:val="21"/>
              </w:rPr>
              <w:t>商服均质区价</w:t>
            </w:r>
          </w:p>
        </w:tc>
        <w:tc>
          <w:tcPr>
            <w:tcW w:w="2260" w:type="dxa"/>
            <w:vAlign w:val="center"/>
          </w:tcPr>
          <w:p>
            <w:pPr>
              <w:widowControl/>
              <w:spacing w:line="400" w:lineRule="exact"/>
              <w:jc w:val="center"/>
              <w:rPr>
                <w:b/>
                <w:bCs/>
                <w:color w:val="000000"/>
                <w:kern w:val="0"/>
                <w:sz w:val="20"/>
              </w:rPr>
            </w:pPr>
            <w:r>
              <w:rPr>
                <w:b/>
                <w:color w:val="000000"/>
                <w:kern w:val="0"/>
                <w:szCs w:val="21"/>
              </w:rPr>
              <w:t>住宅均质区价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J018</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一级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5130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4180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J012</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一级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4910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3920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J013</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一级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4770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3630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J014</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一级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4520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3460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J019</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一级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4410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3240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J011</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4330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J020</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4210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J015</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4050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J023</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3750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lang/>
              </w:rPr>
            </w:pPr>
            <w:r>
              <w:rPr>
                <w:color w:val="000000"/>
                <w:kern w:val="0"/>
                <w:sz w:val="22"/>
                <w:szCs w:val="22"/>
                <w:lang/>
              </w:rPr>
              <w:t>J024</w:t>
            </w:r>
          </w:p>
        </w:tc>
        <w:tc>
          <w:tcPr>
            <w:tcW w:w="2261" w:type="dxa"/>
            <w:vAlign w:val="center"/>
          </w:tcPr>
          <w:p>
            <w:pPr>
              <w:widowControl/>
              <w:spacing w:line="400" w:lineRule="exact"/>
              <w:jc w:val="center"/>
              <w:rPr>
                <w:rFonts w:eastAsia="Tahoma"/>
                <w:color w:val="000000"/>
                <w:kern w:val="0"/>
                <w:sz w:val="20"/>
                <w:lang/>
              </w:rPr>
            </w:pPr>
            <w:r>
              <w:rPr>
                <w:color w:val="000000"/>
                <w:kern w:val="0"/>
                <w:sz w:val="22"/>
                <w:szCs w:val="22"/>
              </w:rPr>
              <w:t>二级</w:t>
            </w:r>
          </w:p>
        </w:tc>
        <w:tc>
          <w:tcPr>
            <w:tcW w:w="2259" w:type="dxa"/>
            <w:vAlign w:val="center"/>
          </w:tcPr>
          <w:p>
            <w:pPr>
              <w:widowControl/>
              <w:spacing w:line="400" w:lineRule="exact"/>
              <w:jc w:val="center"/>
              <w:rPr>
                <w:color w:val="000000"/>
                <w:kern w:val="0"/>
                <w:sz w:val="22"/>
                <w:szCs w:val="22"/>
                <w:lang/>
              </w:rPr>
            </w:pPr>
            <w:r>
              <w:rPr>
                <w:color w:val="000000"/>
                <w:kern w:val="0"/>
                <w:sz w:val="22"/>
                <w:szCs w:val="22"/>
              </w:rPr>
              <w:t>3710</w:t>
            </w:r>
          </w:p>
        </w:tc>
        <w:tc>
          <w:tcPr>
            <w:tcW w:w="2260" w:type="dxa"/>
            <w:vAlign w:val="center"/>
          </w:tcPr>
          <w:p>
            <w:pPr>
              <w:widowControl/>
              <w:spacing w:line="400" w:lineRule="exact"/>
              <w:jc w:val="center"/>
              <w:rPr>
                <w:rFonts w:eastAsia="Tahoma"/>
                <w:color w:val="000000"/>
                <w:kern w:val="0"/>
                <w:sz w:val="22"/>
                <w:szCs w:val="22"/>
                <w:lang/>
              </w:rPr>
            </w:pPr>
            <w:r>
              <w:rPr>
                <w:color w:val="000000"/>
                <w:kern w:val="0"/>
                <w:sz w:val="22"/>
                <w:szCs w:val="22"/>
              </w:rPr>
              <w:t>2590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J021</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3680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J022</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3430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J025</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3340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J026</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3220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J010</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3150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J017</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3100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J009</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3040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J004</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2980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J005</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2910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lang/>
              </w:rPr>
            </w:pPr>
            <w:r>
              <w:rPr>
                <w:color w:val="000000"/>
                <w:kern w:val="0"/>
                <w:sz w:val="22"/>
                <w:szCs w:val="22"/>
                <w:lang/>
              </w:rPr>
              <w:t>J006</w:t>
            </w:r>
          </w:p>
        </w:tc>
        <w:tc>
          <w:tcPr>
            <w:tcW w:w="2261" w:type="dxa"/>
            <w:vAlign w:val="center"/>
          </w:tcPr>
          <w:p>
            <w:pPr>
              <w:widowControl/>
              <w:spacing w:line="400" w:lineRule="exact"/>
              <w:jc w:val="center"/>
              <w:rPr>
                <w:rFonts w:eastAsia="Tahoma"/>
                <w:color w:val="000000"/>
                <w:kern w:val="0"/>
                <w:sz w:val="20"/>
                <w:lang/>
              </w:rPr>
            </w:pPr>
            <w:r>
              <w:rPr>
                <w:color w:val="000000"/>
                <w:kern w:val="0"/>
                <w:sz w:val="22"/>
                <w:szCs w:val="22"/>
              </w:rPr>
              <w:t>二级</w:t>
            </w:r>
          </w:p>
        </w:tc>
        <w:tc>
          <w:tcPr>
            <w:tcW w:w="2259" w:type="dxa"/>
            <w:vAlign w:val="center"/>
          </w:tcPr>
          <w:p>
            <w:pPr>
              <w:widowControl/>
              <w:spacing w:line="400" w:lineRule="exact"/>
              <w:jc w:val="center"/>
              <w:rPr>
                <w:color w:val="000000"/>
                <w:kern w:val="0"/>
                <w:sz w:val="22"/>
                <w:szCs w:val="22"/>
                <w:lang/>
              </w:rPr>
            </w:pPr>
            <w:r>
              <w:rPr>
                <w:color w:val="000000"/>
                <w:kern w:val="0"/>
                <w:sz w:val="22"/>
                <w:szCs w:val="22"/>
              </w:rPr>
              <w:t>2820</w:t>
            </w:r>
          </w:p>
        </w:tc>
        <w:tc>
          <w:tcPr>
            <w:tcW w:w="2260" w:type="dxa"/>
            <w:vAlign w:val="center"/>
          </w:tcPr>
          <w:p>
            <w:pPr>
              <w:widowControl/>
              <w:spacing w:line="400" w:lineRule="exact"/>
              <w:jc w:val="center"/>
              <w:rPr>
                <w:rFonts w:eastAsia="Tahoma"/>
                <w:color w:val="000000"/>
                <w:kern w:val="0"/>
                <w:sz w:val="22"/>
                <w:szCs w:val="22"/>
                <w:lang/>
              </w:rPr>
            </w:pPr>
            <w:r>
              <w:rPr>
                <w:color w:val="000000"/>
                <w:kern w:val="0"/>
                <w:sz w:val="22"/>
                <w:szCs w:val="22"/>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lang/>
              </w:rPr>
            </w:pPr>
            <w:r>
              <w:rPr>
                <w:color w:val="000000"/>
                <w:kern w:val="0"/>
                <w:sz w:val="22"/>
                <w:szCs w:val="22"/>
                <w:lang/>
              </w:rPr>
              <w:t>J016</w:t>
            </w:r>
          </w:p>
        </w:tc>
        <w:tc>
          <w:tcPr>
            <w:tcW w:w="2261" w:type="dxa"/>
            <w:vAlign w:val="center"/>
          </w:tcPr>
          <w:p>
            <w:pPr>
              <w:widowControl/>
              <w:spacing w:line="400" w:lineRule="exact"/>
              <w:jc w:val="center"/>
              <w:rPr>
                <w:rFonts w:eastAsia="Tahoma"/>
                <w:color w:val="000000"/>
                <w:kern w:val="0"/>
                <w:sz w:val="20"/>
                <w:lang/>
              </w:rPr>
            </w:pPr>
            <w:r>
              <w:rPr>
                <w:color w:val="000000"/>
                <w:kern w:val="0"/>
                <w:sz w:val="22"/>
                <w:szCs w:val="22"/>
              </w:rPr>
              <w:t>二级</w:t>
            </w:r>
          </w:p>
        </w:tc>
        <w:tc>
          <w:tcPr>
            <w:tcW w:w="2259" w:type="dxa"/>
            <w:vAlign w:val="center"/>
          </w:tcPr>
          <w:p>
            <w:pPr>
              <w:widowControl/>
              <w:spacing w:line="400" w:lineRule="exact"/>
              <w:jc w:val="center"/>
              <w:rPr>
                <w:color w:val="000000"/>
                <w:kern w:val="0"/>
                <w:sz w:val="22"/>
                <w:szCs w:val="22"/>
                <w:lang/>
              </w:rPr>
            </w:pPr>
            <w:r>
              <w:rPr>
                <w:color w:val="000000"/>
                <w:kern w:val="0"/>
                <w:sz w:val="22"/>
                <w:szCs w:val="22"/>
              </w:rPr>
              <w:t>2770</w:t>
            </w:r>
          </w:p>
        </w:tc>
        <w:tc>
          <w:tcPr>
            <w:tcW w:w="2260" w:type="dxa"/>
            <w:vAlign w:val="center"/>
          </w:tcPr>
          <w:p>
            <w:pPr>
              <w:widowControl/>
              <w:spacing w:line="400" w:lineRule="exact"/>
              <w:jc w:val="center"/>
              <w:rPr>
                <w:rFonts w:eastAsia="Tahoma"/>
                <w:color w:val="000000"/>
                <w:kern w:val="0"/>
                <w:sz w:val="22"/>
                <w:szCs w:val="22"/>
                <w:lang/>
              </w:rPr>
            </w:pPr>
            <w:r>
              <w:rPr>
                <w:color w:val="000000"/>
                <w:kern w:val="0"/>
                <w:sz w:val="22"/>
                <w:szCs w:val="22"/>
              </w:rPr>
              <w:t>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J003</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二级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2780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J027</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三级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2730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1980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J028</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三级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2610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1930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J029</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三级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2590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1890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J032</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三级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2520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1840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J033</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三级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2440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J030</w:t>
            </w:r>
          </w:p>
        </w:tc>
        <w:tc>
          <w:tcPr>
            <w:tcW w:w="2261" w:type="dxa"/>
            <w:vAlign w:val="center"/>
          </w:tcPr>
          <w:p>
            <w:pPr>
              <w:widowControl/>
              <w:spacing w:line="400" w:lineRule="exact"/>
              <w:jc w:val="center"/>
              <w:textAlignment w:val="bottom"/>
              <w:rPr>
                <w:color w:val="000000"/>
                <w:kern w:val="0"/>
                <w:sz w:val="22"/>
                <w:szCs w:val="22"/>
              </w:rPr>
            </w:pPr>
            <w:r>
              <w:rPr>
                <w:rFonts w:eastAsia="Tahoma"/>
                <w:color w:val="000000"/>
                <w:kern w:val="0"/>
                <w:sz w:val="20"/>
                <w:lang/>
              </w:rPr>
              <w:t>三级</w:t>
            </w:r>
          </w:p>
        </w:tc>
        <w:tc>
          <w:tcPr>
            <w:tcW w:w="2259" w:type="dxa"/>
            <w:vAlign w:val="center"/>
          </w:tcPr>
          <w:p>
            <w:pPr>
              <w:widowControl/>
              <w:spacing w:line="400" w:lineRule="exact"/>
              <w:jc w:val="center"/>
              <w:textAlignment w:val="center"/>
              <w:rPr>
                <w:color w:val="000000"/>
                <w:kern w:val="0"/>
                <w:sz w:val="22"/>
                <w:szCs w:val="22"/>
              </w:rPr>
            </w:pPr>
            <w:r>
              <w:rPr>
                <w:color w:val="000000"/>
                <w:kern w:val="0"/>
                <w:sz w:val="22"/>
                <w:szCs w:val="22"/>
                <w:lang/>
              </w:rPr>
              <w:t>2360</w:t>
            </w:r>
          </w:p>
        </w:tc>
        <w:tc>
          <w:tcPr>
            <w:tcW w:w="2260" w:type="dxa"/>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1740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61" w:type="dxa"/>
            <w:vAlign w:val="center"/>
          </w:tcPr>
          <w:p>
            <w:pPr>
              <w:widowControl/>
              <w:spacing w:line="400" w:lineRule="exact"/>
              <w:jc w:val="center"/>
              <w:textAlignment w:val="center"/>
              <w:rPr>
                <w:color w:val="000000"/>
                <w:kern w:val="0"/>
                <w:sz w:val="22"/>
                <w:szCs w:val="22"/>
              </w:rPr>
            </w:pPr>
            <w:r>
              <w:rPr>
                <w:color w:val="000000"/>
                <w:kern w:val="0"/>
                <w:sz w:val="22"/>
                <w:szCs w:val="22"/>
                <w:lang/>
              </w:rPr>
              <w:t>J008</w:t>
            </w:r>
          </w:p>
        </w:tc>
        <w:tc>
          <w:tcPr>
            <w:tcW w:w="2261" w:type="dxa"/>
            <w:vAlign w:val="center"/>
          </w:tcPr>
          <w:p>
            <w:pPr>
              <w:widowControl/>
              <w:spacing w:line="400" w:lineRule="exact"/>
              <w:jc w:val="center"/>
              <w:rPr>
                <w:color w:val="000000"/>
                <w:kern w:val="0"/>
                <w:sz w:val="22"/>
                <w:szCs w:val="22"/>
              </w:rPr>
            </w:pPr>
            <w:r>
              <w:rPr>
                <w:color w:val="000000"/>
                <w:kern w:val="0"/>
                <w:sz w:val="22"/>
                <w:szCs w:val="22"/>
              </w:rPr>
              <w:t>三级</w:t>
            </w:r>
          </w:p>
        </w:tc>
        <w:tc>
          <w:tcPr>
            <w:tcW w:w="2259" w:type="dxa"/>
            <w:vAlign w:val="center"/>
          </w:tcPr>
          <w:p>
            <w:pPr>
              <w:widowControl/>
              <w:spacing w:line="400" w:lineRule="exact"/>
              <w:jc w:val="center"/>
              <w:rPr>
                <w:color w:val="000000"/>
                <w:kern w:val="0"/>
                <w:sz w:val="22"/>
                <w:szCs w:val="22"/>
              </w:rPr>
            </w:pPr>
            <w:r>
              <w:rPr>
                <w:color w:val="000000"/>
                <w:kern w:val="0"/>
                <w:sz w:val="22"/>
                <w:szCs w:val="22"/>
              </w:rPr>
              <w:t>2210</w:t>
            </w:r>
          </w:p>
        </w:tc>
        <w:tc>
          <w:tcPr>
            <w:tcW w:w="2260" w:type="dxa"/>
            <w:vAlign w:val="center"/>
          </w:tcPr>
          <w:p>
            <w:pPr>
              <w:widowControl/>
              <w:spacing w:line="400" w:lineRule="exact"/>
              <w:jc w:val="center"/>
              <w:rPr>
                <w:color w:val="000000"/>
                <w:kern w:val="0"/>
                <w:sz w:val="22"/>
                <w:szCs w:val="22"/>
              </w:rPr>
            </w:pPr>
            <w:r>
              <w:rPr>
                <w:color w:val="000000"/>
                <w:kern w:val="0"/>
                <w:sz w:val="22"/>
                <w:szCs w:val="22"/>
              </w:rPr>
              <w:t>1680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330" w:hRule="atLeast"/>
          <w:jc w:val="center"/>
        </w:trPr>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kern w:val="0"/>
                <w:sz w:val="20"/>
              </w:rPr>
            </w:pPr>
            <w:r>
              <w:rPr>
                <w:color w:val="000000"/>
                <w:kern w:val="0"/>
                <w:sz w:val="22"/>
                <w:szCs w:val="22"/>
                <w:lang/>
              </w:rPr>
              <w:t>J002</w:t>
            </w:r>
          </w:p>
        </w:tc>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三级</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2180</w:t>
            </w:r>
          </w:p>
        </w:tc>
        <w:tc>
          <w:tcPr>
            <w:tcW w:w="226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1630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330" w:hRule="atLeast"/>
          <w:jc w:val="center"/>
        </w:trPr>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kern w:val="0"/>
                <w:sz w:val="20"/>
              </w:rPr>
            </w:pPr>
            <w:r>
              <w:rPr>
                <w:color w:val="000000"/>
                <w:kern w:val="0"/>
                <w:sz w:val="22"/>
                <w:szCs w:val="22"/>
                <w:lang/>
              </w:rPr>
              <w:t>J035</w:t>
            </w:r>
          </w:p>
        </w:tc>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三级</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2020</w:t>
            </w:r>
          </w:p>
        </w:tc>
        <w:tc>
          <w:tcPr>
            <w:tcW w:w="226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1570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330" w:hRule="atLeast"/>
          <w:jc w:val="center"/>
        </w:trPr>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kern w:val="0"/>
                <w:sz w:val="20"/>
              </w:rPr>
            </w:pPr>
            <w:r>
              <w:rPr>
                <w:color w:val="000000"/>
                <w:kern w:val="0"/>
                <w:sz w:val="22"/>
                <w:szCs w:val="22"/>
                <w:lang/>
              </w:rPr>
              <w:t>J036</w:t>
            </w:r>
          </w:p>
        </w:tc>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四级</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1950</w:t>
            </w:r>
          </w:p>
        </w:tc>
        <w:tc>
          <w:tcPr>
            <w:tcW w:w="226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1530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330" w:hRule="atLeast"/>
          <w:jc w:val="center"/>
        </w:trPr>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kern w:val="0"/>
                <w:sz w:val="20"/>
              </w:rPr>
            </w:pPr>
            <w:r>
              <w:rPr>
                <w:color w:val="000000"/>
                <w:kern w:val="0"/>
                <w:sz w:val="22"/>
                <w:szCs w:val="22"/>
                <w:lang/>
              </w:rPr>
              <w:t>J034</w:t>
            </w:r>
          </w:p>
        </w:tc>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color w:val="000000"/>
                <w:kern w:val="0"/>
                <w:sz w:val="20"/>
                <w:lang/>
              </w:rPr>
              <w:t>四级</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rPr>
            </w:pPr>
            <w:r>
              <w:rPr>
                <w:color w:val="000000"/>
                <w:kern w:val="0"/>
                <w:sz w:val="22"/>
                <w:szCs w:val="22"/>
                <w:lang/>
              </w:rPr>
              <w:t>1870</w:t>
            </w:r>
          </w:p>
        </w:tc>
        <w:tc>
          <w:tcPr>
            <w:tcW w:w="226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bottom"/>
              <w:rPr>
                <w:color w:val="000000"/>
                <w:kern w:val="0"/>
                <w:sz w:val="22"/>
                <w:szCs w:val="22"/>
              </w:rPr>
            </w:pPr>
            <w:r>
              <w:rPr>
                <w:rFonts w:eastAsia="Tahoma"/>
                <w:color w:val="000000"/>
                <w:kern w:val="0"/>
                <w:sz w:val="22"/>
                <w:szCs w:val="22"/>
                <w:lang/>
              </w:rPr>
              <w:t>1510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330" w:hRule="atLeast"/>
          <w:jc w:val="center"/>
        </w:trPr>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kern w:val="0"/>
                <w:sz w:val="20"/>
              </w:rPr>
            </w:pPr>
            <w:r>
              <w:rPr>
                <w:color w:val="000000"/>
                <w:kern w:val="0"/>
                <w:sz w:val="22"/>
                <w:szCs w:val="22"/>
                <w:lang/>
              </w:rPr>
              <w:t>J037</w:t>
            </w:r>
          </w:p>
        </w:tc>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四级</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1820</w:t>
            </w:r>
          </w:p>
        </w:tc>
        <w:tc>
          <w:tcPr>
            <w:tcW w:w="226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1480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330" w:hRule="atLeast"/>
          <w:jc w:val="center"/>
        </w:trPr>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kern w:val="0"/>
                <w:sz w:val="20"/>
              </w:rPr>
            </w:pPr>
            <w:r>
              <w:rPr>
                <w:color w:val="000000"/>
                <w:kern w:val="0"/>
                <w:sz w:val="22"/>
                <w:szCs w:val="22"/>
                <w:lang/>
              </w:rPr>
              <w:t>J031</w:t>
            </w:r>
          </w:p>
        </w:tc>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四级</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1740</w:t>
            </w:r>
          </w:p>
        </w:tc>
        <w:tc>
          <w:tcPr>
            <w:tcW w:w="226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1440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330" w:hRule="atLeast"/>
          <w:jc w:val="center"/>
        </w:trPr>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kern w:val="0"/>
                <w:sz w:val="20"/>
              </w:rPr>
            </w:pPr>
            <w:r>
              <w:rPr>
                <w:color w:val="000000"/>
                <w:kern w:val="0"/>
                <w:sz w:val="22"/>
                <w:szCs w:val="22"/>
                <w:lang/>
              </w:rPr>
              <w:t>J001</w:t>
            </w:r>
          </w:p>
        </w:tc>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四级</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1530</w:t>
            </w:r>
          </w:p>
        </w:tc>
        <w:tc>
          <w:tcPr>
            <w:tcW w:w="226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1400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330" w:hRule="atLeast"/>
          <w:jc w:val="center"/>
        </w:trPr>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kern w:val="0"/>
                <w:sz w:val="20"/>
              </w:rPr>
            </w:pPr>
            <w:r>
              <w:rPr>
                <w:color w:val="000000"/>
                <w:kern w:val="0"/>
                <w:sz w:val="22"/>
                <w:szCs w:val="22"/>
                <w:lang/>
              </w:rPr>
              <w:t>J007</w:t>
            </w:r>
          </w:p>
        </w:tc>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四级</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1510</w:t>
            </w:r>
          </w:p>
        </w:tc>
        <w:tc>
          <w:tcPr>
            <w:tcW w:w="226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1340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330" w:hRule="atLeast"/>
          <w:jc w:val="center"/>
        </w:trPr>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lang/>
              </w:rPr>
            </w:pPr>
            <w:r>
              <w:rPr>
                <w:color w:val="000000"/>
                <w:kern w:val="0"/>
                <w:sz w:val="22"/>
                <w:szCs w:val="22"/>
                <w:lang/>
              </w:rPr>
              <w:t>J039</w:t>
            </w:r>
          </w:p>
        </w:tc>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五级</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1300</w:t>
            </w:r>
          </w:p>
        </w:tc>
        <w:tc>
          <w:tcPr>
            <w:tcW w:w="226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1210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330" w:hRule="atLeast"/>
          <w:jc w:val="center"/>
        </w:trPr>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lang/>
              </w:rPr>
            </w:pPr>
            <w:r>
              <w:rPr>
                <w:color w:val="000000"/>
                <w:kern w:val="0"/>
                <w:sz w:val="22"/>
                <w:szCs w:val="22"/>
                <w:lang/>
              </w:rPr>
              <w:t>J040</w:t>
            </w:r>
          </w:p>
        </w:tc>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五级</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1290</w:t>
            </w:r>
          </w:p>
        </w:tc>
        <w:tc>
          <w:tcPr>
            <w:tcW w:w="226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rFonts w:hint="eastAsia"/>
                <w:color w:val="000000"/>
                <w:kern w:val="0"/>
                <w:sz w:val="22"/>
                <w:szCs w:val="22"/>
              </w:rPr>
              <w:t>1120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330" w:hRule="atLeast"/>
          <w:jc w:val="center"/>
        </w:trPr>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textAlignment w:val="center"/>
              <w:rPr>
                <w:color w:val="000000"/>
                <w:kern w:val="0"/>
                <w:sz w:val="22"/>
                <w:szCs w:val="22"/>
                <w:lang/>
              </w:rPr>
            </w:pPr>
            <w:r>
              <w:rPr>
                <w:color w:val="000000"/>
                <w:kern w:val="0"/>
                <w:sz w:val="22"/>
                <w:szCs w:val="22"/>
                <w:lang/>
              </w:rPr>
              <w:t>J038</w:t>
            </w:r>
          </w:p>
        </w:tc>
        <w:tc>
          <w:tcPr>
            <w:tcW w:w="226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五级</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color w:val="000000"/>
                <w:kern w:val="0"/>
                <w:sz w:val="22"/>
                <w:szCs w:val="22"/>
              </w:rPr>
              <w:t>1260</w:t>
            </w:r>
          </w:p>
        </w:tc>
        <w:tc>
          <w:tcPr>
            <w:tcW w:w="226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color w:val="000000"/>
                <w:kern w:val="0"/>
                <w:sz w:val="22"/>
                <w:szCs w:val="22"/>
              </w:rPr>
            </w:pPr>
            <w:r>
              <w:rPr>
                <w:rFonts w:hint="eastAsia"/>
                <w:color w:val="000000"/>
                <w:kern w:val="0"/>
                <w:sz w:val="22"/>
                <w:szCs w:val="22"/>
              </w:rPr>
              <w:t>9</w:t>
            </w:r>
            <w:r>
              <w:rPr>
                <w:color w:val="000000"/>
                <w:kern w:val="0"/>
                <w:sz w:val="22"/>
                <w:szCs w:val="22"/>
              </w:rPr>
              <w:t>80</w:t>
            </w:r>
          </w:p>
        </w:tc>
      </w:tr>
    </w:tbl>
    <w:p>
      <w:pPr>
        <w:ind w:firstLine="480" w:firstLineChars="200"/>
        <w:jc w:val="right"/>
        <w:rPr>
          <w:rFonts w:eastAsia="黑体"/>
          <w:bCs/>
          <w:sz w:val="24"/>
          <w:szCs w:val="24"/>
        </w:rPr>
      </w:pPr>
    </w:p>
    <w:p>
      <w:pPr>
        <w:ind w:firstLine="480" w:firstLineChars="200"/>
        <w:jc w:val="right"/>
        <w:rPr>
          <w:rFonts w:eastAsia="黑体"/>
          <w:bCs/>
          <w:sz w:val="24"/>
          <w:szCs w:val="24"/>
        </w:rPr>
      </w:pPr>
    </w:p>
    <w:p>
      <w:pPr>
        <w:ind w:firstLine="480" w:firstLineChars="200"/>
        <w:jc w:val="right"/>
        <w:rPr>
          <w:rFonts w:eastAsia="黑体"/>
          <w:bCs/>
          <w:sz w:val="24"/>
          <w:szCs w:val="24"/>
        </w:rPr>
      </w:pPr>
    </w:p>
    <w:p>
      <w:pPr>
        <w:widowControl/>
        <w:ind w:firstLine="482" w:firstLineChars="200"/>
        <w:jc w:val="left"/>
        <w:rPr>
          <w:b/>
          <w:sz w:val="24"/>
          <w:szCs w:val="24"/>
        </w:rPr>
      </w:pPr>
      <w:bookmarkStart w:id="1147" w:name="_Toc468355131"/>
      <w:bookmarkStart w:id="1148" w:name="_Toc468969174"/>
      <w:bookmarkStart w:id="1149" w:name="_Toc466303331"/>
      <w:r>
        <w:rPr>
          <w:b/>
          <w:sz w:val="24"/>
          <w:szCs w:val="24"/>
        </w:rPr>
        <w:br w:type="page"/>
      </w:r>
    </w:p>
    <w:p>
      <w:pPr>
        <w:ind w:firstLine="482" w:firstLineChars="200"/>
        <w:outlineLvl w:val="2"/>
        <w:rPr>
          <w:b/>
          <w:sz w:val="24"/>
          <w:szCs w:val="24"/>
        </w:rPr>
      </w:pPr>
      <w:bookmarkStart w:id="1150" w:name="_Toc25857"/>
      <w:bookmarkStart w:id="1151" w:name="_Toc470719215"/>
      <w:bookmarkStart w:id="1152" w:name="_Toc19400"/>
      <w:bookmarkStart w:id="1153" w:name="_Toc13330"/>
      <w:r>
        <w:rPr>
          <w:b/>
          <w:sz w:val="24"/>
          <w:szCs w:val="24"/>
        </w:rPr>
        <w:t>4、长沙县城区商服用地路线价表</w:t>
      </w:r>
      <w:bookmarkEnd w:id="1147"/>
      <w:bookmarkEnd w:id="1148"/>
      <w:bookmarkEnd w:id="1149"/>
      <w:bookmarkEnd w:id="1150"/>
      <w:bookmarkEnd w:id="1151"/>
      <w:bookmarkEnd w:id="1152"/>
      <w:bookmarkEnd w:id="1153"/>
    </w:p>
    <w:p>
      <w:pPr>
        <w:pStyle w:val="131"/>
        <w:spacing w:beforeLines="50" w:afterLines="50"/>
        <w:ind w:firstLine="0" w:firstLineChars="0"/>
        <w:rPr>
          <w:rFonts w:ascii="Times New Roman" w:hAnsi="Times New Roman"/>
          <w:sz w:val="24"/>
        </w:rPr>
      </w:pPr>
      <w:r>
        <w:rPr>
          <w:rFonts w:ascii="Times New Roman" w:hAnsi="Times New Roman"/>
          <w:sz w:val="24"/>
        </w:rPr>
        <w:t>表2-4  长沙县城区商服用地路线价表</w:t>
      </w:r>
    </w:p>
    <w:p>
      <w:pPr>
        <w:ind w:right="315" w:firstLine="420" w:firstLineChars="200"/>
        <w:jc w:val="right"/>
      </w:pPr>
      <w:r>
        <w:t>单位：元/平方米</w:t>
      </w:r>
    </w:p>
    <w:tbl>
      <w:tblPr>
        <w:tblW w:w="83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95"/>
        <w:gridCol w:w="1877"/>
        <w:gridCol w:w="1192"/>
        <w:gridCol w:w="1491"/>
        <w:gridCol w:w="1071"/>
        <w:gridCol w:w="1017"/>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cantSplit/>
          <w:tblHeader/>
          <w:jc w:val="center"/>
        </w:trPr>
        <w:tc>
          <w:tcPr>
            <w:tcW w:w="795" w:type="dxa"/>
            <w:vAlign w:val="center"/>
          </w:tcPr>
          <w:p>
            <w:pPr>
              <w:widowControl/>
              <w:jc w:val="center"/>
              <w:textAlignment w:val="center"/>
              <w:rPr>
                <w:b/>
                <w:color w:val="000000"/>
                <w:szCs w:val="21"/>
              </w:rPr>
            </w:pPr>
            <w:r>
              <w:rPr>
                <w:b/>
                <w:color w:val="000000"/>
                <w:kern w:val="0"/>
                <w:szCs w:val="21"/>
                <w:lang/>
              </w:rPr>
              <w:t>编号</w:t>
            </w:r>
          </w:p>
        </w:tc>
        <w:tc>
          <w:tcPr>
            <w:tcW w:w="1877" w:type="dxa"/>
            <w:vAlign w:val="center"/>
          </w:tcPr>
          <w:p>
            <w:pPr>
              <w:widowControl/>
              <w:jc w:val="center"/>
              <w:textAlignment w:val="center"/>
              <w:rPr>
                <w:b/>
                <w:color w:val="000000"/>
                <w:szCs w:val="21"/>
              </w:rPr>
            </w:pPr>
            <w:r>
              <w:rPr>
                <w:b/>
                <w:color w:val="000000"/>
                <w:kern w:val="0"/>
                <w:szCs w:val="21"/>
                <w:lang/>
              </w:rPr>
              <w:t>路段名</w:t>
            </w:r>
          </w:p>
        </w:tc>
        <w:tc>
          <w:tcPr>
            <w:tcW w:w="1192" w:type="dxa"/>
            <w:vAlign w:val="center"/>
          </w:tcPr>
          <w:p>
            <w:pPr>
              <w:widowControl/>
              <w:jc w:val="center"/>
              <w:textAlignment w:val="center"/>
              <w:rPr>
                <w:b/>
                <w:color w:val="000000"/>
                <w:szCs w:val="21"/>
              </w:rPr>
            </w:pPr>
            <w:r>
              <w:rPr>
                <w:b/>
                <w:color w:val="000000"/>
                <w:kern w:val="0"/>
                <w:szCs w:val="21"/>
                <w:lang/>
              </w:rPr>
              <w:t>起点</w:t>
            </w:r>
          </w:p>
        </w:tc>
        <w:tc>
          <w:tcPr>
            <w:tcW w:w="1491" w:type="dxa"/>
            <w:vAlign w:val="center"/>
          </w:tcPr>
          <w:p>
            <w:pPr>
              <w:widowControl/>
              <w:jc w:val="center"/>
              <w:textAlignment w:val="center"/>
              <w:rPr>
                <w:b/>
                <w:color w:val="000000"/>
                <w:szCs w:val="21"/>
              </w:rPr>
            </w:pPr>
            <w:r>
              <w:rPr>
                <w:b/>
                <w:color w:val="000000"/>
                <w:kern w:val="0"/>
                <w:szCs w:val="21"/>
                <w:lang/>
              </w:rPr>
              <w:t>终点</w:t>
            </w:r>
          </w:p>
        </w:tc>
        <w:tc>
          <w:tcPr>
            <w:tcW w:w="1071" w:type="dxa"/>
            <w:vAlign w:val="center"/>
          </w:tcPr>
          <w:p>
            <w:pPr>
              <w:widowControl/>
              <w:jc w:val="center"/>
              <w:textAlignment w:val="center"/>
              <w:rPr>
                <w:b/>
                <w:color w:val="000000"/>
                <w:szCs w:val="21"/>
              </w:rPr>
            </w:pPr>
            <w:r>
              <w:rPr>
                <w:b/>
                <w:color w:val="000000"/>
                <w:kern w:val="0"/>
                <w:szCs w:val="21"/>
                <w:lang/>
              </w:rPr>
              <w:t>所在级别</w:t>
            </w:r>
          </w:p>
        </w:tc>
        <w:tc>
          <w:tcPr>
            <w:tcW w:w="1017" w:type="dxa"/>
            <w:vAlign w:val="center"/>
          </w:tcPr>
          <w:p>
            <w:pPr>
              <w:widowControl/>
              <w:jc w:val="center"/>
              <w:textAlignment w:val="center"/>
              <w:rPr>
                <w:b/>
                <w:color w:val="000000"/>
                <w:szCs w:val="21"/>
              </w:rPr>
            </w:pPr>
            <w:r>
              <w:rPr>
                <w:b/>
                <w:color w:val="000000"/>
                <w:kern w:val="0"/>
                <w:szCs w:val="21"/>
                <w:lang/>
              </w:rPr>
              <w:t>基准地价</w:t>
            </w:r>
          </w:p>
        </w:tc>
        <w:tc>
          <w:tcPr>
            <w:tcW w:w="893" w:type="dxa"/>
            <w:vAlign w:val="center"/>
          </w:tcPr>
          <w:p>
            <w:pPr>
              <w:widowControl/>
              <w:jc w:val="center"/>
              <w:textAlignment w:val="center"/>
              <w:rPr>
                <w:b/>
                <w:color w:val="000000"/>
                <w:szCs w:val="21"/>
              </w:rPr>
            </w:pPr>
            <w:r>
              <w:rPr>
                <w:b/>
                <w:color w:val="000000"/>
                <w:kern w:val="0"/>
                <w:szCs w:val="21"/>
                <w:lang/>
              </w:rPr>
              <w:t>路线价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1</w:t>
            </w:r>
          </w:p>
        </w:tc>
        <w:tc>
          <w:tcPr>
            <w:tcW w:w="1877" w:type="dxa"/>
            <w:vAlign w:val="center"/>
          </w:tcPr>
          <w:p>
            <w:pPr>
              <w:widowControl/>
              <w:jc w:val="center"/>
              <w:textAlignment w:val="center"/>
              <w:rPr>
                <w:color w:val="000000"/>
                <w:szCs w:val="21"/>
              </w:rPr>
            </w:pPr>
            <w:r>
              <w:rPr>
                <w:color w:val="000000"/>
                <w:kern w:val="0"/>
                <w:szCs w:val="21"/>
                <w:lang/>
              </w:rPr>
              <w:t>星沙大道-</w:t>
            </w:r>
            <w:r>
              <w:rPr>
                <w:rStyle w:val="163"/>
                <w:lang/>
              </w:rPr>
              <w:t>Ⅰ-1</w:t>
            </w:r>
          </w:p>
        </w:tc>
        <w:tc>
          <w:tcPr>
            <w:tcW w:w="1192" w:type="dxa"/>
            <w:vAlign w:val="center"/>
          </w:tcPr>
          <w:p>
            <w:pPr>
              <w:widowControl/>
              <w:jc w:val="center"/>
              <w:textAlignment w:val="center"/>
              <w:rPr>
                <w:color w:val="000000"/>
                <w:szCs w:val="21"/>
              </w:rPr>
            </w:pPr>
            <w:r>
              <w:rPr>
                <w:color w:val="000000"/>
                <w:kern w:val="0"/>
                <w:szCs w:val="21"/>
                <w:lang/>
              </w:rPr>
              <w:t>望仙路</w:t>
            </w:r>
          </w:p>
        </w:tc>
        <w:tc>
          <w:tcPr>
            <w:tcW w:w="1491" w:type="dxa"/>
            <w:vAlign w:val="center"/>
          </w:tcPr>
          <w:p>
            <w:pPr>
              <w:widowControl/>
              <w:jc w:val="center"/>
              <w:textAlignment w:val="center"/>
              <w:rPr>
                <w:color w:val="000000"/>
                <w:szCs w:val="21"/>
              </w:rPr>
            </w:pPr>
            <w:r>
              <w:rPr>
                <w:color w:val="000000"/>
                <w:kern w:val="0"/>
                <w:szCs w:val="21"/>
                <w:lang/>
              </w:rPr>
              <w:t>开元东路</w:t>
            </w:r>
          </w:p>
        </w:tc>
        <w:tc>
          <w:tcPr>
            <w:tcW w:w="1071" w:type="dxa"/>
            <w:vMerge w:val="restart"/>
            <w:vAlign w:val="center"/>
          </w:tcPr>
          <w:p>
            <w:pPr>
              <w:widowControl/>
              <w:jc w:val="center"/>
              <w:textAlignment w:val="center"/>
              <w:rPr>
                <w:color w:val="000000"/>
                <w:szCs w:val="21"/>
              </w:rPr>
            </w:pPr>
            <w:r>
              <w:rPr>
                <w:color w:val="000000"/>
                <w:kern w:val="0"/>
                <w:szCs w:val="21"/>
                <w:lang/>
              </w:rPr>
              <w:t>Ⅰ级</w:t>
            </w: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7830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2</w:t>
            </w:r>
          </w:p>
        </w:tc>
        <w:tc>
          <w:tcPr>
            <w:tcW w:w="1877" w:type="dxa"/>
            <w:vAlign w:val="center"/>
          </w:tcPr>
          <w:p>
            <w:pPr>
              <w:widowControl/>
              <w:jc w:val="center"/>
              <w:textAlignment w:val="center"/>
              <w:rPr>
                <w:color w:val="000000"/>
                <w:szCs w:val="21"/>
              </w:rPr>
            </w:pPr>
            <w:r>
              <w:rPr>
                <w:color w:val="000000"/>
                <w:kern w:val="0"/>
                <w:szCs w:val="21"/>
                <w:lang/>
              </w:rPr>
              <w:t>星沙大道-</w:t>
            </w:r>
            <w:r>
              <w:rPr>
                <w:rStyle w:val="163"/>
                <w:lang/>
              </w:rPr>
              <w:t>Ⅰ-2</w:t>
            </w:r>
          </w:p>
        </w:tc>
        <w:tc>
          <w:tcPr>
            <w:tcW w:w="1192" w:type="dxa"/>
            <w:vAlign w:val="center"/>
          </w:tcPr>
          <w:p>
            <w:pPr>
              <w:widowControl/>
              <w:jc w:val="center"/>
              <w:textAlignment w:val="center"/>
              <w:rPr>
                <w:color w:val="000000"/>
                <w:szCs w:val="21"/>
              </w:rPr>
            </w:pPr>
            <w:r>
              <w:rPr>
                <w:color w:val="000000"/>
                <w:kern w:val="0"/>
                <w:szCs w:val="21"/>
                <w:lang/>
              </w:rPr>
              <w:t>开元东路</w:t>
            </w:r>
          </w:p>
        </w:tc>
        <w:tc>
          <w:tcPr>
            <w:tcW w:w="1491" w:type="dxa"/>
            <w:vAlign w:val="center"/>
          </w:tcPr>
          <w:p>
            <w:pPr>
              <w:widowControl/>
              <w:jc w:val="center"/>
              <w:textAlignment w:val="center"/>
              <w:rPr>
                <w:color w:val="000000"/>
                <w:szCs w:val="21"/>
              </w:rPr>
            </w:pPr>
            <w:r>
              <w:rPr>
                <w:color w:val="000000"/>
                <w:kern w:val="0"/>
                <w:szCs w:val="21"/>
                <w:lang/>
              </w:rPr>
              <w:t>三一路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7540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3</w:t>
            </w:r>
          </w:p>
        </w:tc>
        <w:tc>
          <w:tcPr>
            <w:tcW w:w="1877" w:type="dxa"/>
            <w:vAlign w:val="center"/>
          </w:tcPr>
          <w:p>
            <w:pPr>
              <w:widowControl/>
              <w:jc w:val="center"/>
              <w:textAlignment w:val="center"/>
              <w:rPr>
                <w:color w:val="000000"/>
                <w:szCs w:val="21"/>
              </w:rPr>
            </w:pPr>
            <w:r>
              <w:rPr>
                <w:color w:val="000000"/>
                <w:kern w:val="0"/>
                <w:szCs w:val="21"/>
                <w:lang/>
              </w:rPr>
              <w:t>星沙大道-</w:t>
            </w:r>
            <w:r>
              <w:rPr>
                <w:rStyle w:val="163"/>
                <w:lang/>
              </w:rPr>
              <w:t>Ⅰ-3</w:t>
            </w:r>
          </w:p>
        </w:tc>
        <w:tc>
          <w:tcPr>
            <w:tcW w:w="1192" w:type="dxa"/>
            <w:vAlign w:val="center"/>
          </w:tcPr>
          <w:p>
            <w:pPr>
              <w:widowControl/>
              <w:jc w:val="center"/>
              <w:textAlignment w:val="center"/>
              <w:rPr>
                <w:color w:val="000000"/>
                <w:szCs w:val="21"/>
              </w:rPr>
            </w:pPr>
            <w:r>
              <w:rPr>
                <w:color w:val="000000"/>
                <w:kern w:val="0"/>
                <w:szCs w:val="21"/>
                <w:lang/>
              </w:rPr>
              <w:t>三一路</w:t>
            </w:r>
          </w:p>
        </w:tc>
        <w:tc>
          <w:tcPr>
            <w:tcW w:w="1491" w:type="dxa"/>
            <w:vAlign w:val="center"/>
          </w:tcPr>
          <w:p>
            <w:pPr>
              <w:widowControl/>
              <w:jc w:val="center"/>
              <w:textAlignment w:val="center"/>
              <w:rPr>
                <w:color w:val="000000"/>
                <w:szCs w:val="21"/>
              </w:rPr>
            </w:pPr>
            <w:r>
              <w:rPr>
                <w:color w:val="000000"/>
                <w:kern w:val="0"/>
                <w:szCs w:val="21"/>
                <w:lang/>
              </w:rPr>
              <w:t>长浏高速</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7480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4</w:t>
            </w:r>
          </w:p>
        </w:tc>
        <w:tc>
          <w:tcPr>
            <w:tcW w:w="1877" w:type="dxa"/>
            <w:vAlign w:val="center"/>
          </w:tcPr>
          <w:p>
            <w:pPr>
              <w:widowControl/>
              <w:jc w:val="center"/>
              <w:textAlignment w:val="center"/>
              <w:rPr>
                <w:color w:val="000000"/>
                <w:szCs w:val="21"/>
              </w:rPr>
            </w:pPr>
            <w:r>
              <w:rPr>
                <w:color w:val="000000"/>
                <w:kern w:val="0"/>
                <w:szCs w:val="21"/>
                <w:lang/>
              </w:rPr>
              <w:t>板仓中路-</w:t>
            </w:r>
            <w:r>
              <w:rPr>
                <w:rStyle w:val="163"/>
                <w:lang/>
              </w:rPr>
              <w:t>Ⅰ-1</w:t>
            </w:r>
          </w:p>
        </w:tc>
        <w:tc>
          <w:tcPr>
            <w:tcW w:w="1192" w:type="dxa"/>
            <w:vAlign w:val="center"/>
          </w:tcPr>
          <w:p>
            <w:pPr>
              <w:widowControl/>
              <w:jc w:val="center"/>
              <w:textAlignment w:val="center"/>
              <w:rPr>
                <w:color w:val="000000"/>
                <w:szCs w:val="21"/>
              </w:rPr>
            </w:pPr>
            <w:r>
              <w:rPr>
                <w:color w:val="000000"/>
                <w:kern w:val="0"/>
                <w:szCs w:val="21"/>
                <w:lang/>
              </w:rPr>
              <w:t>望仙路</w:t>
            </w:r>
          </w:p>
        </w:tc>
        <w:tc>
          <w:tcPr>
            <w:tcW w:w="1491" w:type="dxa"/>
            <w:vAlign w:val="center"/>
          </w:tcPr>
          <w:p>
            <w:pPr>
              <w:widowControl/>
              <w:jc w:val="center"/>
              <w:textAlignment w:val="center"/>
              <w:rPr>
                <w:color w:val="000000"/>
                <w:szCs w:val="21"/>
              </w:rPr>
            </w:pPr>
            <w:r>
              <w:rPr>
                <w:color w:val="000000"/>
                <w:kern w:val="0"/>
                <w:szCs w:val="21"/>
                <w:lang/>
              </w:rPr>
              <w:t>三一路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7440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5</w:t>
            </w:r>
          </w:p>
        </w:tc>
        <w:tc>
          <w:tcPr>
            <w:tcW w:w="1877" w:type="dxa"/>
            <w:vAlign w:val="center"/>
          </w:tcPr>
          <w:p>
            <w:pPr>
              <w:widowControl/>
              <w:jc w:val="center"/>
              <w:textAlignment w:val="center"/>
              <w:rPr>
                <w:color w:val="000000"/>
                <w:szCs w:val="21"/>
              </w:rPr>
            </w:pPr>
            <w:r>
              <w:rPr>
                <w:color w:val="000000"/>
                <w:kern w:val="0"/>
                <w:szCs w:val="21"/>
                <w:lang/>
              </w:rPr>
              <w:t>板仓中路-</w:t>
            </w:r>
            <w:r>
              <w:rPr>
                <w:rStyle w:val="163"/>
                <w:lang/>
              </w:rPr>
              <w:t>Ⅰ-2</w:t>
            </w:r>
          </w:p>
        </w:tc>
        <w:tc>
          <w:tcPr>
            <w:tcW w:w="1192" w:type="dxa"/>
            <w:vAlign w:val="center"/>
          </w:tcPr>
          <w:p>
            <w:pPr>
              <w:widowControl/>
              <w:jc w:val="center"/>
              <w:textAlignment w:val="center"/>
              <w:rPr>
                <w:color w:val="000000"/>
                <w:szCs w:val="21"/>
              </w:rPr>
            </w:pPr>
            <w:r>
              <w:rPr>
                <w:color w:val="000000"/>
                <w:kern w:val="0"/>
                <w:szCs w:val="21"/>
                <w:lang/>
              </w:rPr>
              <w:t>三一路</w:t>
            </w:r>
          </w:p>
        </w:tc>
        <w:tc>
          <w:tcPr>
            <w:tcW w:w="1491" w:type="dxa"/>
            <w:vAlign w:val="center"/>
          </w:tcPr>
          <w:p>
            <w:pPr>
              <w:widowControl/>
              <w:jc w:val="center"/>
              <w:textAlignment w:val="center"/>
              <w:rPr>
                <w:color w:val="000000"/>
                <w:szCs w:val="21"/>
              </w:rPr>
            </w:pPr>
            <w:r>
              <w:rPr>
                <w:color w:val="000000"/>
                <w:kern w:val="0"/>
                <w:szCs w:val="21"/>
                <w:lang/>
              </w:rPr>
              <w:t>长浏高速</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7350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6</w:t>
            </w:r>
          </w:p>
        </w:tc>
        <w:tc>
          <w:tcPr>
            <w:tcW w:w="1877" w:type="dxa"/>
            <w:vAlign w:val="center"/>
          </w:tcPr>
          <w:p>
            <w:pPr>
              <w:widowControl/>
              <w:jc w:val="center"/>
              <w:textAlignment w:val="center"/>
              <w:rPr>
                <w:color w:val="000000"/>
                <w:szCs w:val="21"/>
              </w:rPr>
            </w:pPr>
            <w:r>
              <w:rPr>
                <w:color w:val="000000"/>
                <w:kern w:val="0"/>
                <w:szCs w:val="21"/>
                <w:lang/>
              </w:rPr>
              <w:t>天华路-</w:t>
            </w:r>
            <w:r>
              <w:rPr>
                <w:rStyle w:val="163"/>
                <w:lang/>
              </w:rPr>
              <w:t>Ⅰ-1</w:t>
            </w:r>
          </w:p>
        </w:tc>
        <w:tc>
          <w:tcPr>
            <w:tcW w:w="1192" w:type="dxa"/>
            <w:vAlign w:val="center"/>
          </w:tcPr>
          <w:p>
            <w:pPr>
              <w:widowControl/>
              <w:jc w:val="center"/>
              <w:textAlignment w:val="center"/>
              <w:rPr>
                <w:color w:val="000000"/>
                <w:szCs w:val="21"/>
              </w:rPr>
            </w:pPr>
            <w:r>
              <w:rPr>
                <w:color w:val="000000"/>
                <w:kern w:val="0"/>
                <w:szCs w:val="21"/>
                <w:lang/>
              </w:rPr>
              <w:t>望仙路</w:t>
            </w:r>
          </w:p>
        </w:tc>
        <w:tc>
          <w:tcPr>
            <w:tcW w:w="1491" w:type="dxa"/>
            <w:vAlign w:val="center"/>
          </w:tcPr>
          <w:p>
            <w:pPr>
              <w:widowControl/>
              <w:jc w:val="center"/>
              <w:textAlignment w:val="center"/>
              <w:rPr>
                <w:color w:val="000000"/>
                <w:szCs w:val="21"/>
              </w:rPr>
            </w:pPr>
            <w:r>
              <w:rPr>
                <w:color w:val="000000"/>
                <w:kern w:val="0"/>
                <w:szCs w:val="21"/>
                <w:lang/>
              </w:rPr>
              <w:t>三一路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7710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7</w:t>
            </w:r>
          </w:p>
        </w:tc>
        <w:tc>
          <w:tcPr>
            <w:tcW w:w="1877" w:type="dxa"/>
            <w:vAlign w:val="center"/>
          </w:tcPr>
          <w:p>
            <w:pPr>
              <w:widowControl/>
              <w:jc w:val="center"/>
              <w:textAlignment w:val="center"/>
              <w:rPr>
                <w:color w:val="000000"/>
                <w:szCs w:val="21"/>
              </w:rPr>
            </w:pPr>
            <w:r>
              <w:rPr>
                <w:color w:val="000000"/>
                <w:kern w:val="0"/>
                <w:szCs w:val="21"/>
                <w:lang/>
              </w:rPr>
              <w:t>天华路-</w:t>
            </w:r>
            <w:r>
              <w:rPr>
                <w:rStyle w:val="163"/>
                <w:lang/>
              </w:rPr>
              <w:t>Ⅰ-2</w:t>
            </w:r>
          </w:p>
        </w:tc>
        <w:tc>
          <w:tcPr>
            <w:tcW w:w="1192" w:type="dxa"/>
            <w:vAlign w:val="center"/>
          </w:tcPr>
          <w:p>
            <w:pPr>
              <w:widowControl/>
              <w:jc w:val="center"/>
              <w:textAlignment w:val="center"/>
              <w:rPr>
                <w:color w:val="000000"/>
                <w:szCs w:val="21"/>
              </w:rPr>
            </w:pPr>
            <w:r>
              <w:rPr>
                <w:color w:val="000000"/>
                <w:kern w:val="0"/>
                <w:szCs w:val="21"/>
                <w:lang/>
              </w:rPr>
              <w:t>三一路</w:t>
            </w:r>
          </w:p>
        </w:tc>
        <w:tc>
          <w:tcPr>
            <w:tcW w:w="1491" w:type="dxa"/>
            <w:vAlign w:val="center"/>
          </w:tcPr>
          <w:p>
            <w:pPr>
              <w:widowControl/>
              <w:jc w:val="center"/>
              <w:textAlignment w:val="center"/>
              <w:rPr>
                <w:color w:val="000000"/>
                <w:szCs w:val="21"/>
              </w:rPr>
            </w:pPr>
            <w:r>
              <w:rPr>
                <w:color w:val="000000"/>
                <w:kern w:val="0"/>
                <w:szCs w:val="21"/>
                <w:lang/>
              </w:rPr>
              <w:t>长浏高速</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7220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8</w:t>
            </w:r>
          </w:p>
        </w:tc>
        <w:tc>
          <w:tcPr>
            <w:tcW w:w="1877" w:type="dxa"/>
            <w:vAlign w:val="center"/>
          </w:tcPr>
          <w:p>
            <w:pPr>
              <w:widowControl/>
              <w:jc w:val="center"/>
              <w:textAlignment w:val="center"/>
              <w:rPr>
                <w:color w:val="000000"/>
                <w:szCs w:val="21"/>
              </w:rPr>
            </w:pPr>
            <w:r>
              <w:rPr>
                <w:color w:val="000000"/>
                <w:kern w:val="0"/>
                <w:szCs w:val="21"/>
                <w:lang/>
              </w:rPr>
              <w:t>东一线-</w:t>
            </w:r>
            <w:r>
              <w:rPr>
                <w:rStyle w:val="163"/>
                <w:lang/>
              </w:rPr>
              <w:t>Ⅰ-1</w:t>
            </w:r>
          </w:p>
        </w:tc>
        <w:tc>
          <w:tcPr>
            <w:tcW w:w="1192" w:type="dxa"/>
            <w:vAlign w:val="center"/>
          </w:tcPr>
          <w:p>
            <w:pPr>
              <w:widowControl/>
              <w:jc w:val="center"/>
              <w:textAlignment w:val="center"/>
              <w:rPr>
                <w:color w:val="000000"/>
                <w:szCs w:val="21"/>
              </w:rPr>
            </w:pPr>
            <w:r>
              <w:rPr>
                <w:color w:val="000000"/>
                <w:kern w:val="0"/>
                <w:szCs w:val="21"/>
                <w:lang/>
              </w:rPr>
              <w:t>望仙路</w:t>
            </w:r>
          </w:p>
        </w:tc>
        <w:tc>
          <w:tcPr>
            <w:tcW w:w="1491" w:type="dxa"/>
            <w:vAlign w:val="center"/>
          </w:tcPr>
          <w:p>
            <w:pPr>
              <w:widowControl/>
              <w:jc w:val="center"/>
              <w:textAlignment w:val="center"/>
              <w:rPr>
                <w:color w:val="000000"/>
                <w:szCs w:val="21"/>
              </w:rPr>
            </w:pPr>
            <w:r>
              <w:rPr>
                <w:color w:val="000000"/>
                <w:kern w:val="0"/>
                <w:szCs w:val="21"/>
                <w:lang/>
              </w:rPr>
              <w:t>开元东路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6850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9</w:t>
            </w:r>
          </w:p>
        </w:tc>
        <w:tc>
          <w:tcPr>
            <w:tcW w:w="1877" w:type="dxa"/>
            <w:vAlign w:val="center"/>
          </w:tcPr>
          <w:p>
            <w:pPr>
              <w:widowControl/>
              <w:jc w:val="center"/>
              <w:textAlignment w:val="center"/>
              <w:rPr>
                <w:color w:val="000000"/>
                <w:szCs w:val="21"/>
              </w:rPr>
            </w:pPr>
            <w:r>
              <w:rPr>
                <w:color w:val="000000"/>
                <w:kern w:val="0"/>
                <w:szCs w:val="21"/>
                <w:lang/>
              </w:rPr>
              <w:t>东一线-</w:t>
            </w:r>
            <w:r>
              <w:rPr>
                <w:rStyle w:val="163"/>
                <w:lang/>
              </w:rPr>
              <w:t>Ⅰ-2</w:t>
            </w:r>
          </w:p>
        </w:tc>
        <w:tc>
          <w:tcPr>
            <w:tcW w:w="1192" w:type="dxa"/>
            <w:vAlign w:val="center"/>
          </w:tcPr>
          <w:p>
            <w:pPr>
              <w:widowControl/>
              <w:jc w:val="center"/>
              <w:textAlignment w:val="center"/>
              <w:rPr>
                <w:color w:val="000000"/>
                <w:szCs w:val="21"/>
              </w:rPr>
            </w:pPr>
            <w:r>
              <w:rPr>
                <w:color w:val="000000"/>
                <w:kern w:val="0"/>
                <w:szCs w:val="21"/>
                <w:lang/>
              </w:rPr>
              <w:t>开元东路</w:t>
            </w:r>
          </w:p>
        </w:tc>
        <w:tc>
          <w:tcPr>
            <w:tcW w:w="1491" w:type="dxa"/>
            <w:vAlign w:val="center"/>
          </w:tcPr>
          <w:p>
            <w:pPr>
              <w:widowControl/>
              <w:jc w:val="center"/>
              <w:textAlignment w:val="center"/>
              <w:rPr>
                <w:color w:val="000000"/>
                <w:szCs w:val="21"/>
              </w:rPr>
            </w:pPr>
            <w:r>
              <w:rPr>
                <w:color w:val="000000"/>
                <w:kern w:val="0"/>
                <w:szCs w:val="21"/>
                <w:lang/>
              </w:rPr>
              <w:t>长浏高速</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6630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10</w:t>
            </w:r>
          </w:p>
        </w:tc>
        <w:tc>
          <w:tcPr>
            <w:tcW w:w="1877" w:type="dxa"/>
            <w:vAlign w:val="center"/>
          </w:tcPr>
          <w:p>
            <w:pPr>
              <w:widowControl/>
              <w:jc w:val="center"/>
              <w:textAlignment w:val="center"/>
              <w:rPr>
                <w:color w:val="000000"/>
                <w:szCs w:val="21"/>
              </w:rPr>
            </w:pPr>
            <w:r>
              <w:rPr>
                <w:rStyle w:val="163"/>
                <w:lang/>
              </w:rPr>
              <w:t>东二线</w:t>
            </w:r>
            <w:r>
              <w:rPr>
                <w:color w:val="000000"/>
                <w:kern w:val="0"/>
                <w:szCs w:val="21"/>
                <w:lang/>
              </w:rPr>
              <w:t>-</w:t>
            </w:r>
            <w:r>
              <w:rPr>
                <w:rStyle w:val="163"/>
                <w:lang/>
              </w:rPr>
              <w:t>Ⅰ</w:t>
            </w:r>
          </w:p>
        </w:tc>
        <w:tc>
          <w:tcPr>
            <w:tcW w:w="1192" w:type="dxa"/>
            <w:vAlign w:val="center"/>
          </w:tcPr>
          <w:p>
            <w:pPr>
              <w:widowControl/>
              <w:jc w:val="center"/>
              <w:textAlignment w:val="center"/>
              <w:rPr>
                <w:color w:val="000000"/>
                <w:szCs w:val="21"/>
              </w:rPr>
            </w:pPr>
            <w:r>
              <w:rPr>
                <w:color w:val="000000"/>
                <w:kern w:val="0"/>
                <w:szCs w:val="21"/>
                <w:lang/>
              </w:rPr>
              <w:t>望仙路</w:t>
            </w:r>
          </w:p>
        </w:tc>
        <w:tc>
          <w:tcPr>
            <w:tcW w:w="1491" w:type="dxa"/>
            <w:vAlign w:val="center"/>
          </w:tcPr>
          <w:p>
            <w:pPr>
              <w:widowControl/>
              <w:jc w:val="center"/>
              <w:textAlignment w:val="center"/>
              <w:rPr>
                <w:color w:val="000000"/>
                <w:szCs w:val="21"/>
              </w:rPr>
            </w:pPr>
            <w:r>
              <w:rPr>
                <w:color w:val="000000"/>
                <w:kern w:val="0"/>
                <w:szCs w:val="21"/>
                <w:lang/>
              </w:rPr>
              <w:t>开元东路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6775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11</w:t>
            </w:r>
          </w:p>
        </w:tc>
        <w:tc>
          <w:tcPr>
            <w:tcW w:w="1877" w:type="dxa"/>
            <w:vAlign w:val="center"/>
          </w:tcPr>
          <w:p>
            <w:pPr>
              <w:widowControl/>
              <w:jc w:val="center"/>
              <w:textAlignment w:val="center"/>
              <w:rPr>
                <w:color w:val="000000"/>
                <w:szCs w:val="21"/>
              </w:rPr>
            </w:pPr>
            <w:r>
              <w:rPr>
                <w:rStyle w:val="163"/>
                <w:lang/>
              </w:rPr>
              <w:t>东三线</w:t>
            </w:r>
            <w:r>
              <w:rPr>
                <w:color w:val="000000"/>
                <w:kern w:val="0"/>
                <w:szCs w:val="21"/>
                <w:lang/>
              </w:rPr>
              <w:t>-</w:t>
            </w:r>
            <w:r>
              <w:rPr>
                <w:rStyle w:val="163"/>
                <w:lang/>
              </w:rPr>
              <w:t>Ⅰ</w:t>
            </w:r>
          </w:p>
        </w:tc>
        <w:tc>
          <w:tcPr>
            <w:tcW w:w="1192" w:type="dxa"/>
            <w:vAlign w:val="center"/>
          </w:tcPr>
          <w:p>
            <w:pPr>
              <w:widowControl/>
              <w:jc w:val="center"/>
              <w:textAlignment w:val="center"/>
              <w:rPr>
                <w:color w:val="000000"/>
                <w:szCs w:val="21"/>
              </w:rPr>
            </w:pPr>
            <w:r>
              <w:rPr>
                <w:color w:val="000000"/>
                <w:kern w:val="0"/>
                <w:szCs w:val="21"/>
                <w:lang/>
              </w:rPr>
              <w:t>望仙路</w:t>
            </w:r>
          </w:p>
        </w:tc>
        <w:tc>
          <w:tcPr>
            <w:tcW w:w="1491" w:type="dxa"/>
            <w:vAlign w:val="center"/>
          </w:tcPr>
          <w:p>
            <w:pPr>
              <w:widowControl/>
              <w:jc w:val="center"/>
              <w:textAlignment w:val="center"/>
              <w:rPr>
                <w:color w:val="000000"/>
                <w:szCs w:val="21"/>
              </w:rPr>
            </w:pPr>
            <w:r>
              <w:rPr>
                <w:color w:val="000000"/>
                <w:kern w:val="0"/>
                <w:szCs w:val="21"/>
                <w:lang/>
              </w:rPr>
              <w:t>开元东路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6660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12</w:t>
            </w:r>
          </w:p>
        </w:tc>
        <w:tc>
          <w:tcPr>
            <w:tcW w:w="1877" w:type="dxa"/>
            <w:vAlign w:val="center"/>
          </w:tcPr>
          <w:p>
            <w:pPr>
              <w:widowControl/>
              <w:jc w:val="center"/>
              <w:textAlignment w:val="center"/>
              <w:rPr>
                <w:color w:val="000000"/>
                <w:szCs w:val="21"/>
              </w:rPr>
            </w:pPr>
            <w:r>
              <w:rPr>
                <w:rStyle w:val="163"/>
                <w:lang/>
              </w:rPr>
              <w:t>开元路中</w:t>
            </w:r>
            <w:r>
              <w:rPr>
                <w:color w:val="000000"/>
                <w:kern w:val="0"/>
                <w:szCs w:val="21"/>
                <w:lang/>
              </w:rPr>
              <w:t>-</w:t>
            </w:r>
            <w:r>
              <w:rPr>
                <w:rStyle w:val="163"/>
                <w:lang/>
              </w:rPr>
              <w:t>Ⅰ</w:t>
            </w:r>
          </w:p>
        </w:tc>
        <w:tc>
          <w:tcPr>
            <w:tcW w:w="1192" w:type="dxa"/>
            <w:vAlign w:val="center"/>
          </w:tcPr>
          <w:p>
            <w:pPr>
              <w:widowControl/>
              <w:jc w:val="center"/>
              <w:textAlignment w:val="center"/>
              <w:rPr>
                <w:color w:val="000000"/>
                <w:szCs w:val="21"/>
              </w:rPr>
            </w:pPr>
            <w:r>
              <w:rPr>
                <w:color w:val="000000"/>
                <w:kern w:val="0"/>
                <w:szCs w:val="21"/>
                <w:lang/>
              </w:rPr>
              <w:t>京珠高速</w:t>
            </w:r>
          </w:p>
        </w:tc>
        <w:tc>
          <w:tcPr>
            <w:tcW w:w="1491" w:type="dxa"/>
            <w:vAlign w:val="center"/>
          </w:tcPr>
          <w:p>
            <w:pPr>
              <w:widowControl/>
              <w:jc w:val="center"/>
              <w:textAlignment w:val="center"/>
              <w:rPr>
                <w:color w:val="000000"/>
                <w:szCs w:val="21"/>
              </w:rPr>
            </w:pPr>
            <w:r>
              <w:rPr>
                <w:color w:val="000000"/>
                <w:kern w:val="0"/>
                <w:szCs w:val="21"/>
                <w:lang/>
              </w:rPr>
              <w:t>东三线</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6900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13</w:t>
            </w:r>
          </w:p>
        </w:tc>
        <w:tc>
          <w:tcPr>
            <w:tcW w:w="1877" w:type="dxa"/>
            <w:vAlign w:val="center"/>
          </w:tcPr>
          <w:p>
            <w:pPr>
              <w:widowControl/>
              <w:jc w:val="center"/>
              <w:textAlignment w:val="center"/>
              <w:rPr>
                <w:color w:val="000000"/>
                <w:szCs w:val="21"/>
              </w:rPr>
            </w:pPr>
            <w:r>
              <w:rPr>
                <w:rStyle w:val="163"/>
                <w:lang/>
              </w:rPr>
              <w:t>棠坡路</w:t>
            </w:r>
            <w:r>
              <w:rPr>
                <w:color w:val="000000"/>
                <w:kern w:val="0"/>
                <w:szCs w:val="21"/>
                <w:lang/>
              </w:rPr>
              <w:t>-</w:t>
            </w:r>
            <w:r>
              <w:rPr>
                <w:rStyle w:val="163"/>
                <w:lang/>
              </w:rPr>
              <w:t>Ⅰ</w:t>
            </w:r>
          </w:p>
        </w:tc>
        <w:tc>
          <w:tcPr>
            <w:tcW w:w="1192" w:type="dxa"/>
            <w:vAlign w:val="center"/>
          </w:tcPr>
          <w:p>
            <w:pPr>
              <w:widowControl/>
              <w:jc w:val="center"/>
              <w:textAlignment w:val="center"/>
              <w:rPr>
                <w:color w:val="000000"/>
                <w:szCs w:val="21"/>
              </w:rPr>
            </w:pPr>
            <w:r>
              <w:rPr>
                <w:color w:val="000000"/>
                <w:kern w:val="0"/>
                <w:szCs w:val="21"/>
                <w:lang/>
              </w:rPr>
              <w:t>望仙路</w:t>
            </w:r>
          </w:p>
        </w:tc>
        <w:tc>
          <w:tcPr>
            <w:tcW w:w="1491" w:type="dxa"/>
            <w:vAlign w:val="center"/>
          </w:tcPr>
          <w:p>
            <w:pPr>
              <w:widowControl/>
              <w:jc w:val="center"/>
              <w:textAlignment w:val="center"/>
              <w:rPr>
                <w:color w:val="000000"/>
                <w:szCs w:val="21"/>
              </w:rPr>
            </w:pPr>
            <w:r>
              <w:rPr>
                <w:color w:val="000000"/>
                <w:kern w:val="0"/>
                <w:szCs w:val="21"/>
                <w:lang/>
              </w:rPr>
              <w:t>东三线</w:t>
            </w:r>
          </w:p>
        </w:tc>
        <w:tc>
          <w:tcPr>
            <w:tcW w:w="1071" w:type="dxa"/>
            <w:vMerge w:val="continue"/>
            <w:vAlign w:val="center"/>
          </w:tcPr>
          <w:p>
            <w:pPr>
              <w:widowControl/>
              <w:jc w:val="center"/>
              <w:textAlignment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6680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14</w:t>
            </w:r>
          </w:p>
        </w:tc>
        <w:tc>
          <w:tcPr>
            <w:tcW w:w="1877" w:type="dxa"/>
            <w:vAlign w:val="center"/>
          </w:tcPr>
          <w:p>
            <w:pPr>
              <w:widowControl/>
              <w:jc w:val="center"/>
              <w:textAlignment w:val="center"/>
              <w:rPr>
                <w:color w:val="000000"/>
                <w:szCs w:val="21"/>
              </w:rPr>
            </w:pPr>
            <w:r>
              <w:rPr>
                <w:color w:val="000000"/>
                <w:kern w:val="0"/>
                <w:szCs w:val="21"/>
                <w:lang/>
              </w:rPr>
              <w:t>望仙路-</w:t>
            </w:r>
            <w:r>
              <w:rPr>
                <w:rStyle w:val="163"/>
                <w:lang/>
              </w:rPr>
              <w:t>Ⅰ-1</w:t>
            </w:r>
          </w:p>
        </w:tc>
        <w:tc>
          <w:tcPr>
            <w:tcW w:w="1192" w:type="dxa"/>
            <w:vAlign w:val="center"/>
          </w:tcPr>
          <w:p>
            <w:pPr>
              <w:widowControl/>
              <w:jc w:val="center"/>
              <w:textAlignment w:val="center"/>
              <w:rPr>
                <w:color w:val="000000"/>
                <w:szCs w:val="21"/>
              </w:rPr>
            </w:pPr>
            <w:r>
              <w:rPr>
                <w:color w:val="000000"/>
                <w:kern w:val="0"/>
                <w:szCs w:val="21"/>
                <w:lang/>
              </w:rPr>
              <w:t>京珠高速</w:t>
            </w:r>
          </w:p>
        </w:tc>
        <w:tc>
          <w:tcPr>
            <w:tcW w:w="1491" w:type="dxa"/>
            <w:vAlign w:val="center"/>
          </w:tcPr>
          <w:p>
            <w:pPr>
              <w:widowControl/>
              <w:jc w:val="center"/>
              <w:textAlignment w:val="center"/>
              <w:rPr>
                <w:color w:val="000000"/>
                <w:szCs w:val="21"/>
              </w:rPr>
            </w:pPr>
            <w:r>
              <w:rPr>
                <w:color w:val="000000"/>
                <w:kern w:val="0"/>
                <w:szCs w:val="21"/>
                <w:lang/>
              </w:rPr>
              <w:t>龙喜路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6680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15</w:t>
            </w:r>
          </w:p>
        </w:tc>
        <w:tc>
          <w:tcPr>
            <w:tcW w:w="1877" w:type="dxa"/>
            <w:vAlign w:val="center"/>
          </w:tcPr>
          <w:p>
            <w:pPr>
              <w:widowControl/>
              <w:jc w:val="center"/>
              <w:textAlignment w:val="center"/>
              <w:rPr>
                <w:color w:val="000000"/>
                <w:szCs w:val="21"/>
              </w:rPr>
            </w:pPr>
            <w:r>
              <w:rPr>
                <w:color w:val="000000"/>
                <w:kern w:val="0"/>
                <w:szCs w:val="21"/>
                <w:lang/>
              </w:rPr>
              <w:t>望仙路-</w:t>
            </w:r>
            <w:r>
              <w:rPr>
                <w:rStyle w:val="163"/>
                <w:lang/>
              </w:rPr>
              <w:t>Ⅰ-2</w:t>
            </w:r>
          </w:p>
        </w:tc>
        <w:tc>
          <w:tcPr>
            <w:tcW w:w="1192" w:type="dxa"/>
            <w:vAlign w:val="center"/>
          </w:tcPr>
          <w:p>
            <w:pPr>
              <w:widowControl/>
              <w:jc w:val="center"/>
              <w:textAlignment w:val="center"/>
              <w:rPr>
                <w:color w:val="000000"/>
                <w:szCs w:val="21"/>
              </w:rPr>
            </w:pPr>
            <w:r>
              <w:rPr>
                <w:color w:val="000000"/>
                <w:kern w:val="0"/>
                <w:szCs w:val="21"/>
                <w:lang/>
              </w:rPr>
              <w:t>龙喜路</w:t>
            </w:r>
          </w:p>
        </w:tc>
        <w:tc>
          <w:tcPr>
            <w:tcW w:w="1491" w:type="dxa"/>
            <w:vAlign w:val="center"/>
          </w:tcPr>
          <w:p>
            <w:pPr>
              <w:widowControl/>
              <w:jc w:val="center"/>
              <w:textAlignment w:val="center"/>
              <w:rPr>
                <w:color w:val="000000"/>
                <w:szCs w:val="21"/>
              </w:rPr>
            </w:pPr>
            <w:r>
              <w:rPr>
                <w:color w:val="000000"/>
                <w:kern w:val="0"/>
                <w:szCs w:val="21"/>
                <w:lang/>
              </w:rPr>
              <w:t>东三线</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6610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16</w:t>
            </w:r>
          </w:p>
        </w:tc>
        <w:tc>
          <w:tcPr>
            <w:tcW w:w="1877" w:type="dxa"/>
            <w:vAlign w:val="center"/>
          </w:tcPr>
          <w:p>
            <w:pPr>
              <w:widowControl/>
              <w:jc w:val="center"/>
              <w:textAlignment w:val="center"/>
              <w:rPr>
                <w:color w:val="000000"/>
                <w:szCs w:val="21"/>
              </w:rPr>
            </w:pPr>
            <w:r>
              <w:rPr>
                <w:color w:val="000000"/>
                <w:kern w:val="0"/>
                <w:szCs w:val="21"/>
                <w:lang/>
              </w:rPr>
              <w:t>凉塘路-Ⅰ</w:t>
            </w:r>
          </w:p>
        </w:tc>
        <w:tc>
          <w:tcPr>
            <w:tcW w:w="1192" w:type="dxa"/>
            <w:vAlign w:val="center"/>
          </w:tcPr>
          <w:p>
            <w:pPr>
              <w:widowControl/>
              <w:jc w:val="center"/>
              <w:textAlignment w:val="center"/>
              <w:rPr>
                <w:color w:val="000000"/>
                <w:szCs w:val="21"/>
              </w:rPr>
            </w:pPr>
            <w:r>
              <w:rPr>
                <w:color w:val="000000"/>
                <w:kern w:val="0"/>
                <w:szCs w:val="21"/>
                <w:lang/>
              </w:rPr>
              <w:t>京珠高速</w:t>
            </w:r>
          </w:p>
        </w:tc>
        <w:tc>
          <w:tcPr>
            <w:tcW w:w="1491" w:type="dxa"/>
            <w:vAlign w:val="center"/>
          </w:tcPr>
          <w:p>
            <w:pPr>
              <w:widowControl/>
              <w:jc w:val="center"/>
              <w:textAlignment w:val="center"/>
              <w:rPr>
                <w:color w:val="000000"/>
                <w:szCs w:val="21"/>
              </w:rPr>
            </w:pPr>
            <w:r>
              <w:rPr>
                <w:color w:val="000000"/>
                <w:kern w:val="0"/>
                <w:szCs w:val="21"/>
                <w:lang/>
              </w:rPr>
              <w:t>东一线</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6780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17</w:t>
            </w:r>
          </w:p>
        </w:tc>
        <w:tc>
          <w:tcPr>
            <w:tcW w:w="1877" w:type="dxa"/>
            <w:vAlign w:val="center"/>
          </w:tcPr>
          <w:p>
            <w:pPr>
              <w:widowControl/>
              <w:jc w:val="center"/>
              <w:textAlignment w:val="center"/>
              <w:rPr>
                <w:color w:val="000000"/>
                <w:szCs w:val="21"/>
              </w:rPr>
            </w:pPr>
            <w:r>
              <w:rPr>
                <w:color w:val="000000"/>
                <w:kern w:val="0"/>
                <w:szCs w:val="21"/>
                <w:lang/>
              </w:rPr>
              <w:t>三一路-Ⅰ</w:t>
            </w:r>
          </w:p>
        </w:tc>
        <w:tc>
          <w:tcPr>
            <w:tcW w:w="1192" w:type="dxa"/>
            <w:vAlign w:val="center"/>
          </w:tcPr>
          <w:p>
            <w:pPr>
              <w:widowControl/>
              <w:jc w:val="center"/>
              <w:textAlignment w:val="center"/>
              <w:rPr>
                <w:color w:val="000000"/>
                <w:szCs w:val="21"/>
              </w:rPr>
            </w:pPr>
            <w:r>
              <w:rPr>
                <w:color w:val="000000"/>
                <w:kern w:val="0"/>
                <w:szCs w:val="21"/>
                <w:lang/>
              </w:rPr>
              <w:t>京珠高速</w:t>
            </w:r>
          </w:p>
        </w:tc>
        <w:tc>
          <w:tcPr>
            <w:tcW w:w="1491" w:type="dxa"/>
            <w:vAlign w:val="center"/>
          </w:tcPr>
          <w:p>
            <w:pPr>
              <w:widowControl/>
              <w:jc w:val="center"/>
              <w:textAlignment w:val="center"/>
              <w:rPr>
                <w:color w:val="000000"/>
                <w:szCs w:val="21"/>
              </w:rPr>
            </w:pPr>
            <w:r>
              <w:rPr>
                <w:color w:val="000000"/>
                <w:kern w:val="0"/>
                <w:szCs w:val="21"/>
                <w:lang/>
              </w:rPr>
              <w:t>东一线</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6610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18</w:t>
            </w:r>
          </w:p>
        </w:tc>
        <w:tc>
          <w:tcPr>
            <w:tcW w:w="1877" w:type="dxa"/>
            <w:vAlign w:val="center"/>
          </w:tcPr>
          <w:p>
            <w:pPr>
              <w:widowControl/>
              <w:jc w:val="center"/>
              <w:textAlignment w:val="center"/>
              <w:rPr>
                <w:color w:val="000000"/>
                <w:szCs w:val="21"/>
              </w:rPr>
            </w:pPr>
            <w:r>
              <w:rPr>
                <w:color w:val="000000"/>
                <w:kern w:val="0"/>
                <w:szCs w:val="21"/>
                <w:lang/>
              </w:rPr>
              <w:t>金茂路</w:t>
            </w:r>
          </w:p>
        </w:tc>
        <w:tc>
          <w:tcPr>
            <w:tcW w:w="1192" w:type="dxa"/>
            <w:vAlign w:val="center"/>
          </w:tcPr>
          <w:p>
            <w:pPr>
              <w:widowControl/>
              <w:jc w:val="center"/>
              <w:textAlignment w:val="center"/>
              <w:rPr>
                <w:color w:val="000000"/>
                <w:szCs w:val="21"/>
              </w:rPr>
            </w:pPr>
            <w:r>
              <w:rPr>
                <w:color w:val="000000"/>
                <w:kern w:val="0"/>
                <w:szCs w:val="21"/>
                <w:lang/>
              </w:rPr>
              <w:t>京珠高速</w:t>
            </w:r>
          </w:p>
        </w:tc>
        <w:tc>
          <w:tcPr>
            <w:tcW w:w="1491" w:type="dxa"/>
            <w:vAlign w:val="center"/>
          </w:tcPr>
          <w:p>
            <w:pPr>
              <w:widowControl/>
              <w:jc w:val="center"/>
              <w:textAlignment w:val="center"/>
              <w:rPr>
                <w:color w:val="000000"/>
                <w:szCs w:val="21"/>
              </w:rPr>
            </w:pPr>
            <w:r>
              <w:rPr>
                <w:color w:val="000000"/>
                <w:kern w:val="0"/>
                <w:szCs w:val="21"/>
                <w:lang/>
              </w:rPr>
              <w:t>东一线</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4590</w:t>
            </w:r>
          </w:p>
        </w:tc>
        <w:tc>
          <w:tcPr>
            <w:tcW w:w="893" w:type="dxa"/>
            <w:vAlign w:val="center"/>
          </w:tcPr>
          <w:p>
            <w:pPr>
              <w:widowControl/>
              <w:jc w:val="center"/>
              <w:textAlignment w:val="center"/>
              <w:rPr>
                <w:color w:val="000000"/>
                <w:szCs w:val="21"/>
              </w:rPr>
            </w:pPr>
            <w:r>
              <w:rPr>
                <w:color w:val="000000"/>
                <w:kern w:val="0"/>
                <w:szCs w:val="21"/>
                <w:lang/>
              </w:rPr>
              <w:t xml:space="preserve">7110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19</w:t>
            </w:r>
          </w:p>
        </w:tc>
        <w:tc>
          <w:tcPr>
            <w:tcW w:w="1877" w:type="dxa"/>
            <w:vAlign w:val="center"/>
          </w:tcPr>
          <w:p>
            <w:pPr>
              <w:widowControl/>
              <w:jc w:val="center"/>
              <w:textAlignment w:val="center"/>
              <w:rPr>
                <w:color w:val="000000"/>
                <w:szCs w:val="21"/>
              </w:rPr>
            </w:pPr>
            <w:r>
              <w:rPr>
                <w:color w:val="000000"/>
                <w:kern w:val="0"/>
                <w:szCs w:val="21"/>
                <w:lang/>
              </w:rPr>
              <w:t>星沙大道-Ⅱ-1</w:t>
            </w:r>
          </w:p>
        </w:tc>
        <w:tc>
          <w:tcPr>
            <w:tcW w:w="1192" w:type="dxa"/>
            <w:vAlign w:val="center"/>
          </w:tcPr>
          <w:p>
            <w:pPr>
              <w:widowControl/>
              <w:jc w:val="center"/>
              <w:textAlignment w:val="center"/>
              <w:rPr>
                <w:color w:val="000000"/>
                <w:szCs w:val="21"/>
              </w:rPr>
            </w:pPr>
            <w:r>
              <w:rPr>
                <w:color w:val="000000"/>
                <w:kern w:val="0"/>
                <w:szCs w:val="21"/>
                <w:lang/>
              </w:rPr>
              <w:t>滨湖中路</w:t>
            </w:r>
          </w:p>
        </w:tc>
        <w:tc>
          <w:tcPr>
            <w:tcW w:w="1491" w:type="dxa"/>
            <w:vAlign w:val="center"/>
          </w:tcPr>
          <w:p>
            <w:pPr>
              <w:widowControl/>
              <w:jc w:val="center"/>
              <w:textAlignment w:val="center"/>
              <w:rPr>
                <w:color w:val="000000"/>
                <w:szCs w:val="21"/>
              </w:rPr>
            </w:pPr>
            <w:r>
              <w:rPr>
                <w:color w:val="000000"/>
                <w:kern w:val="0"/>
                <w:szCs w:val="21"/>
                <w:lang/>
              </w:rPr>
              <w:t>望仙路</w:t>
            </w:r>
          </w:p>
        </w:tc>
        <w:tc>
          <w:tcPr>
            <w:tcW w:w="1071" w:type="dxa"/>
            <w:vMerge w:val="restart"/>
            <w:vAlign w:val="center"/>
          </w:tcPr>
          <w:p>
            <w:pPr>
              <w:jc w:val="center"/>
              <w:rPr>
                <w:color w:val="000000"/>
                <w:szCs w:val="21"/>
              </w:rPr>
            </w:pPr>
            <w:r>
              <w:rPr>
                <w:color w:val="000000"/>
                <w:kern w:val="0"/>
                <w:szCs w:val="21"/>
                <w:lang/>
              </w:rPr>
              <w:t>Ⅱ级</w:t>
            </w: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20</w:t>
            </w:r>
          </w:p>
        </w:tc>
        <w:tc>
          <w:tcPr>
            <w:tcW w:w="1877" w:type="dxa"/>
            <w:vAlign w:val="center"/>
          </w:tcPr>
          <w:p>
            <w:pPr>
              <w:widowControl/>
              <w:jc w:val="center"/>
              <w:textAlignment w:val="center"/>
              <w:rPr>
                <w:color w:val="000000"/>
                <w:szCs w:val="21"/>
              </w:rPr>
            </w:pPr>
            <w:r>
              <w:rPr>
                <w:color w:val="000000"/>
                <w:kern w:val="0"/>
                <w:szCs w:val="21"/>
                <w:lang/>
              </w:rPr>
              <w:t>星沙大道-Ⅱ-2</w:t>
            </w:r>
          </w:p>
        </w:tc>
        <w:tc>
          <w:tcPr>
            <w:tcW w:w="1192" w:type="dxa"/>
            <w:vAlign w:val="center"/>
          </w:tcPr>
          <w:p>
            <w:pPr>
              <w:widowControl/>
              <w:jc w:val="center"/>
              <w:textAlignment w:val="center"/>
              <w:rPr>
                <w:color w:val="000000"/>
                <w:szCs w:val="21"/>
              </w:rPr>
            </w:pPr>
            <w:r>
              <w:rPr>
                <w:color w:val="000000"/>
                <w:kern w:val="0"/>
                <w:szCs w:val="21"/>
                <w:lang/>
              </w:rPr>
              <w:t>长浏高速</w:t>
            </w:r>
          </w:p>
        </w:tc>
        <w:tc>
          <w:tcPr>
            <w:tcW w:w="1491" w:type="dxa"/>
            <w:vAlign w:val="center"/>
          </w:tcPr>
          <w:p>
            <w:pPr>
              <w:widowControl/>
              <w:jc w:val="center"/>
              <w:textAlignment w:val="center"/>
              <w:rPr>
                <w:color w:val="000000"/>
                <w:szCs w:val="21"/>
              </w:rPr>
            </w:pPr>
            <w:r>
              <w:rPr>
                <w:color w:val="000000"/>
                <w:kern w:val="0"/>
                <w:szCs w:val="21"/>
                <w:lang/>
              </w:rPr>
              <w:t>漓湘路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4810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21</w:t>
            </w:r>
          </w:p>
        </w:tc>
        <w:tc>
          <w:tcPr>
            <w:tcW w:w="1877" w:type="dxa"/>
            <w:vAlign w:val="center"/>
          </w:tcPr>
          <w:p>
            <w:pPr>
              <w:widowControl/>
              <w:jc w:val="center"/>
              <w:textAlignment w:val="center"/>
              <w:rPr>
                <w:color w:val="000000"/>
                <w:szCs w:val="21"/>
              </w:rPr>
            </w:pPr>
            <w:r>
              <w:rPr>
                <w:color w:val="000000"/>
                <w:kern w:val="0"/>
                <w:szCs w:val="21"/>
                <w:lang/>
              </w:rPr>
              <w:t>星沙大道-Ⅱ-3</w:t>
            </w:r>
          </w:p>
        </w:tc>
        <w:tc>
          <w:tcPr>
            <w:tcW w:w="1192" w:type="dxa"/>
            <w:vAlign w:val="center"/>
          </w:tcPr>
          <w:p>
            <w:pPr>
              <w:widowControl/>
              <w:jc w:val="center"/>
              <w:textAlignment w:val="center"/>
              <w:rPr>
                <w:color w:val="000000"/>
                <w:szCs w:val="21"/>
              </w:rPr>
            </w:pPr>
            <w:r>
              <w:rPr>
                <w:color w:val="000000"/>
                <w:kern w:val="0"/>
                <w:szCs w:val="21"/>
                <w:lang/>
              </w:rPr>
              <w:t>漓湘路</w:t>
            </w:r>
          </w:p>
        </w:tc>
        <w:tc>
          <w:tcPr>
            <w:tcW w:w="1491" w:type="dxa"/>
            <w:vAlign w:val="center"/>
          </w:tcPr>
          <w:p>
            <w:pPr>
              <w:widowControl/>
              <w:jc w:val="center"/>
              <w:textAlignment w:val="center"/>
              <w:rPr>
                <w:color w:val="000000"/>
                <w:szCs w:val="21"/>
              </w:rPr>
            </w:pPr>
            <w:r>
              <w:rPr>
                <w:color w:val="000000"/>
                <w:kern w:val="0"/>
                <w:szCs w:val="21"/>
                <w:lang/>
              </w:rPr>
              <w:t>新安路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4740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22</w:t>
            </w:r>
          </w:p>
        </w:tc>
        <w:tc>
          <w:tcPr>
            <w:tcW w:w="1877" w:type="dxa"/>
            <w:vAlign w:val="center"/>
          </w:tcPr>
          <w:p>
            <w:pPr>
              <w:widowControl/>
              <w:jc w:val="center"/>
              <w:textAlignment w:val="center"/>
              <w:rPr>
                <w:color w:val="000000"/>
                <w:szCs w:val="21"/>
              </w:rPr>
            </w:pPr>
            <w:r>
              <w:rPr>
                <w:color w:val="000000"/>
                <w:kern w:val="0"/>
                <w:szCs w:val="21"/>
                <w:lang/>
              </w:rPr>
              <w:t>天华路-Ⅱ-1</w:t>
            </w:r>
          </w:p>
        </w:tc>
        <w:tc>
          <w:tcPr>
            <w:tcW w:w="1192" w:type="dxa"/>
            <w:vAlign w:val="center"/>
          </w:tcPr>
          <w:p>
            <w:pPr>
              <w:widowControl/>
              <w:jc w:val="center"/>
              <w:textAlignment w:val="center"/>
              <w:rPr>
                <w:color w:val="000000"/>
                <w:szCs w:val="21"/>
              </w:rPr>
            </w:pPr>
            <w:r>
              <w:rPr>
                <w:color w:val="000000"/>
                <w:kern w:val="0"/>
                <w:szCs w:val="21"/>
                <w:lang/>
              </w:rPr>
              <w:t>明月路</w:t>
            </w:r>
          </w:p>
        </w:tc>
        <w:tc>
          <w:tcPr>
            <w:tcW w:w="1491" w:type="dxa"/>
            <w:vAlign w:val="center"/>
          </w:tcPr>
          <w:p>
            <w:pPr>
              <w:widowControl/>
              <w:jc w:val="center"/>
              <w:textAlignment w:val="center"/>
              <w:rPr>
                <w:color w:val="000000"/>
                <w:szCs w:val="21"/>
              </w:rPr>
            </w:pPr>
            <w:r>
              <w:rPr>
                <w:color w:val="000000"/>
                <w:kern w:val="0"/>
                <w:szCs w:val="21"/>
                <w:lang/>
              </w:rPr>
              <w:t>望仙路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4850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23</w:t>
            </w:r>
          </w:p>
        </w:tc>
        <w:tc>
          <w:tcPr>
            <w:tcW w:w="1877" w:type="dxa"/>
            <w:vAlign w:val="center"/>
          </w:tcPr>
          <w:p>
            <w:pPr>
              <w:widowControl/>
              <w:jc w:val="center"/>
              <w:textAlignment w:val="center"/>
              <w:rPr>
                <w:color w:val="000000"/>
                <w:szCs w:val="21"/>
              </w:rPr>
            </w:pPr>
            <w:r>
              <w:rPr>
                <w:color w:val="000000"/>
                <w:kern w:val="0"/>
                <w:szCs w:val="21"/>
                <w:lang/>
              </w:rPr>
              <w:t>天华路-Ⅱ-2</w:t>
            </w:r>
          </w:p>
        </w:tc>
        <w:tc>
          <w:tcPr>
            <w:tcW w:w="1192" w:type="dxa"/>
            <w:vAlign w:val="center"/>
          </w:tcPr>
          <w:p>
            <w:pPr>
              <w:widowControl/>
              <w:jc w:val="center"/>
              <w:textAlignment w:val="center"/>
              <w:rPr>
                <w:color w:val="000000"/>
                <w:szCs w:val="21"/>
              </w:rPr>
            </w:pPr>
            <w:r>
              <w:rPr>
                <w:color w:val="000000"/>
                <w:kern w:val="0"/>
                <w:szCs w:val="21"/>
                <w:lang/>
              </w:rPr>
              <w:t>长浏高速</w:t>
            </w:r>
          </w:p>
        </w:tc>
        <w:tc>
          <w:tcPr>
            <w:tcW w:w="1491" w:type="dxa"/>
            <w:vAlign w:val="center"/>
          </w:tcPr>
          <w:p>
            <w:pPr>
              <w:widowControl/>
              <w:jc w:val="center"/>
              <w:textAlignment w:val="center"/>
              <w:rPr>
                <w:color w:val="000000"/>
                <w:szCs w:val="21"/>
              </w:rPr>
            </w:pPr>
            <w:r>
              <w:rPr>
                <w:color w:val="000000"/>
                <w:kern w:val="0"/>
                <w:szCs w:val="21"/>
                <w:lang/>
              </w:rPr>
              <w:t>新安路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4740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24</w:t>
            </w:r>
          </w:p>
        </w:tc>
        <w:tc>
          <w:tcPr>
            <w:tcW w:w="1877" w:type="dxa"/>
            <w:vAlign w:val="center"/>
          </w:tcPr>
          <w:p>
            <w:pPr>
              <w:widowControl/>
              <w:jc w:val="center"/>
              <w:textAlignment w:val="center"/>
              <w:rPr>
                <w:color w:val="000000"/>
                <w:szCs w:val="21"/>
              </w:rPr>
            </w:pPr>
            <w:r>
              <w:rPr>
                <w:color w:val="000000"/>
                <w:kern w:val="0"/>
                <w:szCs w:val="21"/>
                <w:lang/>
              </w:rPr>
              <w:t>板仓北路</w:t>
            </w:r>
          </w:p>
        </w:tc>
        <w:tc>
          <w:tcPr>
            <w:tcW w:w="1192" w:type="dxa"/>
            <w:vAlign w:val="center"/>
          </w:tcPr>
          <w:p>
            <w:pPr>
              <w:widowControl/>
              <w:jc w:val="center"/>
              <w:textAlignment w:val="center"/>
              <w:rPr>
                <w:color w:val="000000"/>
                <w:szCs w:val="21"/>
              </w:rPr>
            </w:pPr>
            <w:r>
              <w:rPr>
                <w:color w:val="000000"/>
                <w:kern w:val="0"/>
                <w:szCs w:val="21"/>
                <w:lang/>
              </w:rPr>
              <w:t>明月路</w:t>
            </w:r>
          </w:p>
        </w:tc>
        <w:tc>
          <w:tcPr>
            <w:tcW w:w="1491" w:type="dxa"/>
            <w:vAlign w:val="center"/>
          </w:tcPr>
          <w:p>
            <w:pPr>
              <w:widowControl/>
              <w:jc w:val="center"/>
              <w:textAlignment w:val="center"/>
              <w:rPr>
                <w:color w:val="000000"/>
                <w:szCs w:val="21"/>
              </w:rPr>
            </w:pPr>
            <w:r>
              <w:rPr>
                <w:color w:val="000000"/>
                <w:kern w:val="0"/>
                <w:szCs w:val="21"/>
                <w:lang/>
              </w:rPr>
              <w:t>望仙路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4770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25</w:t>
            </w:r>
          </w:p>
        </w:tc>
        <w:tc>
          <w:tcPr>
            <w:tcW w:w="1877" w:type="dxa"/>
            <w:vAlign w:val="center"/>
          </w:tcPr>
          <w:p>
            <w:pPr>
              <w:widowControl/>
              <w:jc w:val="center"/>
              <w:textAlignment w:val="center"/>
              <w:rPr>
                <w:color w:val="000000"/>
                <w:szCs w:val="21"/>
              </w:rPr>
            </w:pPr>
            <w:r>
              <w:rPr>
                <w:color w:val="000000"/>
                <w:kern w:val="0"/>
                <w:szCs w:val="21"/>
                <w:lang/>
              </w:rPr>
              <w:t>板仓南路-1</w:t>
            </w:r>
          </w:p>
        </w:tc>
        <w:tc>
          <w:tcPr>
            <w:tcW w:w="1192" w:type="dxa"/>
            <w:vAlign w:val="center"/>
          </w:tcPr>
          <w:p>
            <w:pPr>
              <w:widowControl/>
              <w:jc w:val="center"/>
              <w:textAlignment w:val="center"/>
              <w:rPr>
                <w:color w:val="000000"/>
                <w:szCs w:val="21"/>
              </w:rPr>
            </w:pPr>
            <w:r>
              <w:rPr>
                <w:color w:val="000000"/>
                <w:kern w:val="0"/>
                <w:szCs w:val="21"/>
                <w:lang/>
              </w:rPr>
              <w:t>长浏高速</w:t>
            </w:r>
          </w:p>
        </w:tc>
        <w:tc>
          <w:tcPr>
            <w:tcW w:w="1491" w:type="dxa"/>
            <w:vAlign w:val="center"/>
          </w:tcPr>
          <w:p>
            <w:pPr>
              <w:widowControl/>
              <w:jc w:val="center"/>
              <w:textAlignment w:val="center"/>
              <w:rPr>
                <w:color w:val="000000"/>
                <w:szCs w:val="21"/>
              </w:rPr>
            </w:pPr>
            <w:r>
              <w:rPr>
                <w:color w:val="000000"/>
                <w:kern w:val="0"/>
                <w:szCs w:val="21"/>
                <w:lang/>
              </w:rPr>
              <w:t>漓湘路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4710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26</w:t>
            </w:r>
          </w:p>
        </w:tc>
        <w:tc>
          <w:tcPr>
            <w:tcW w:w="1877" w:type="dxa"/>
            <w:vAlign w:val="center"/>
          </w:tcPr>
          <w:p>
            <w:pPr>
              <w:widowControl/>
              <w:jc w:val="center"/>
              <w:textAlignment w:val="center"/>
              <w:rPr>
                <w:color w:val="000000"/>
                <w:szCs w:val="21"/>
              </w:rPr>
            </w:pPr>
            <w:r>
              <w:rPr>
                <w:color w:val="000000"/>
                <w:kern w:val="0"/>
                <w:szCs w:val="21"/>
                <w:lang/>
              </w:rPr>
              <w:t>板仓南路-2</w:t>
            </w:r>
          </w:p>
        </w:tc>
        <w:tc>
          <w:tcPr>
            <w:tcW w:w="1192" w:type="dxa"/>
            <w:vAlign w:val="center"/>
          </w:tcPr>
          <w:p>
            <w:pPr>
              <w:widowControl/>
              <w:jc w:val="center"/>
              <w:textAlignment w:val="center"/>
              <w:rPr>
                <w:color w:val="000000"/>
                <w:szCs w:val="21"/>
              </w:rPr>
            </w:pPr>
            <w:r>
              <w:rPr>
                <w:color w:val="000000"/>
                <w:kern w:val="0"/>
                <w:szCs w:val="21"/>
                <w:lang/>
              </w:rPr>
              <w:t>漓湘路</w:t>
            </w:r>
          </w:p>
        </w:tc>
        <w:tc>
          <w:tcPr>
            <w:tcW w:w="1491" w:type="dxa"/>
            <w:vAlign w:val="center"/>
          </w:tcPr>
          <w:p>
            <w:pPr>
              <w:widowControl/>
              <w:jc w:val="center"/>
              <w:textAlignment w:val="center"/>
              <w:rPr>
                <w:color w:val="000000"/>
                <w:szCs w:val="21"/>
              </w:rPr>
            </w:pPr>
            <w:r>
              <w:rPr>
                <w:color w:val="000000"/>
                <w:kern w:val="0"/>
                <w:szCs w:val="21"/>
                <w:lang/>
              </w:rPr>
              <w:t>新安路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4620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27</w:t>
            </w:r>
          </w:p>
        </w:tc>
        <w:tc>
          <w:tcPr>
            <w:tcW w:w="1877" w:type="dxa"/>
            <w:vAlign w:val="center"/>
          </w:tcPr>
          <w:p>
            <w:pPr>
              <w:widowControl/>
              <w:jc w:val="center"/>
              <w:textAlignment w:val="center"/>
              <w:rPr>
                <w:color w:val="000000"/>
                <w:szCs w:val="21"/>
              </w:rPr>
            </w:pPr>
            <w:r>
              <w:rPr>
                <w:color w:val="000000"/>
                <w:kern w:val="0"/>
                <w:szCs w:val="21"/>
                <w:lang/>
              </w:rPr>
              <w:t>东一线-Ⅱ</w:t>
            </w:r>
          </w:p>
        </w:tc>
        <w:tc>
          <w:tcPr>
            <w:tcW w:w="1192" w:type="dxa"/>
            <w:vAlign w:val="center"/>
          </w:tcPr>
          <w:p>
            <w:pPr>
              <w:widowControl/>
              <w:jc w:val="center"/>
              <w:textAlignment w:val="center"/>
              <w:rPr>
                <w:color w:val="000000"/>
                <w:szCs w:val="21"/>
              </w:rPr>
            </w:pPr>
            <w:r>
              <w:rPr>
                <w:color w:val="000000"/>
                <w:kern w:val="0"/>
                <w:szCs w:val="21"/>
                <w:lang/>
              </w:rPr>
              <w:t>滨湖中路</w:t>
            </w:r>
          </w:p>
        </w:tc>
        <w:tc>
          <w:tcPr>
            <w:tcW w:w="1491" w:type="dxa"/>
            <w:vAlign w:val="center"/>
          </w:tcPr>
          <w:p>
            <w:pPr>
              <w:widowControl/>
              <w:jc w:val="center"/>
              <w:textAlignment w:val="center"/>
              <w:rPr>
                <w:color w:val="000000"/>
                <w:szCs w:val="21"/>
              </w:rPr>
            </w:pPr>
            <w:r>
              <w:rPr>
                <w:color w:val="000000"/>
                <w:kern w:val="0"/>
                <w:szCs w:val="21"/>
                <w:lang/>
              </w:rPr>
              <w:t>望仙路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28</w:t>
            </w:r>
          </w:p>
        </w:tc>
        <w:tc>
          <w:tcPr>
            <w:tcW w:w="1877" w:type="dxa"/>
            <w:vAlign w:val="center"/>
          </w:tcPr>
          <w:p>
            <w:pPr>
              <w:widowControl/>
              <w:jc w:val="center"/>
              <w:textAlignment w:val="center"/>
              <w:rPr>
                <w:color w:val="000000"/>
                <w:szCs w:val="21"/>
              </w:rPr>
            </w:pPr>
            <w:r>
              <w:rPr>
                <w:color w:val="000000"/>
                <w:kern w:val="0"/>
                <w:szCs w:val="21"/>
                <w:lang/>
              </w:rPr>
              <w:t>东二线-Ⅱ-1</w:t>
            </w:r>
          </w:p>
        </w:tc>
        <w:tc>
          <w:tcPr>
            <w:tcW w:w="1192" w:type="dxa"/>
            <w:vAlign w:val="center"/>
          </w:tcPr>
          <w:p>
            <w:pPr>
              <w:widowControl/>
              <w:jc w:val="center"/>
              <w:textAlignment w:val="center"/>
              <w:rPr>
                <w:color w:val="000000"/>
                <w:szCs w:val="21"/>
              </w:rPr>
            </w:pPr>
            <w:r>
              <w:rPr>
                <w:color w:val="000000"/>
                <w:kern w:val="0"/>
                <w:szCs w:val="21"/>
                <w:lang/>
              </w:rPr>
              <w:t>滨湖中路</w:t>
            </w:r>
          </w:p>
        </w:tc>
        <w:tc>
          <w:tcPr>
            <w:tcW w:w="1491" w:type="dxa"/>
            <w:vAlign w:val="center"/>
          </w:tcPr>
          <w:p>
            <w:pPr>
              <w:widowControl/>
              <w:jc w:val="center"/>
              <w:textAlignment w:val="center"/>
              <w:rPr>
                <w:color w:val="000000"/>
                <w:szCs w:val="21"/>
              </w:rPr>
            </w:pPr>
            <w:r>
              <w:rPr>
                <w:color w:val="000000"/>
                <w:kern w:val="0"/>
                <w:szCs w:val="21"/>
                <w:lang/>
              </w:rPr>
              <w:t>望仙路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4520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29</w:t>
            </w:r>
          </w:p>
        </w:tc>
        <w:tc>
          <w:tcPr>
            <w:tcW w:w="1877" w:type="dxa"/>
            <w:vAlign w:val="center"/>
          </w:tcPr>
          <w:p>
            <w:pPr>
              <w:widowControl/>
              <w:jc w:val="center"/>
              <w:textAlignment w:val="center"/>
              <w:rPr>
                <w:color w:val="000000"/>
                <w:szCs w:val="21"/>
              </w:rPr>
            </w:pPr>
            <w:r>
              <w:rPr>
                <w:color w:val="000000"/>
                <w:kern w:val="0"/>
                <w:szCs w:val="21"/>
                <w:lang/>
              </w:rPr>
              <w:t>东二线-Ⅱ-2</w:t>
            </w:r>
          </w:p>
        </w:tc>
        <w:tc>
          <w:tcPr>
            <w:tcW w:w="1192" w:type="dxa"/>
            <w:vAlign w:val="center"/>
          </w:tcPr>
          <w:p>
            <w:pPr>
              <w:widowControl/>
              <w:jc w:val="center"/>
              <w:textAlignment w:val="center"/>
              <w:rPr>
                <w:color w:val="000000"/>
                <w:szCs w:val="21"/>
              </w:rPr>
            </w:pPr>
            <w:r>
              <w:rPr>
                <w:color w:val="000000"/>
                <w:kern w:val="0"/>
                <w:szCs w:val="21"/>
                <w:lang/>
              </w:rPr>
              <w:t>开元东路</w:t>
            </w:r>
          </w:p>
        </w:tc>
        <w:tc>
          <w:tcPr>
            <w:tcW w:w="1491" w:type="dxa"/>
            <w:vAlign w:val="center"/>
          </w:tcPr>
          <w:p>
            <w:pPr>
              <w:widowControl/>
              <w:jc w:val="center"/>
              <w:textAlignment w:val="center"/>
              <w:rPr>
                <w:color w:val="000000"/>
                <w:szCs w:val="21"/>
              </w:rPr>
            </w:pPr>
            <w:r>
              <w:rPr>
                <w:color w:val="000000"/>
                <w:kern w:val="0"/>
                <w:szCs w:val="21"/>
                <w:lang/>
              </w:rPr>
              <w:t>三一路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4575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blHeader/>
          <w:jc w:val="center"/>
        </w:trPr>
        <w:tc>
          <w:tcPr>
            <w:tcW w:w="795" w:type="dxa"/>
            <w:vAlign w:val="center"/>
          </w:tcPr>
          <w:p>
            <w:pPr>
              <w:widowControl/>
              <w:jc w:val="center"/>
              <w:textAlignment w:val="center"/>
              <w:rPr>
                <w:color w:val="000000"/>
                <w:szCs w:val="21"/>
              </w:rPr>
            </w:pPr>
            <w:r>
              <w:rPr>
                <w:color w:val="000000"/>
                <w:kern w:val="0"/>
                <w:szCs w:val="21"/>
                <w:lang/>
              </w:rPr>
              <w:t>30</w:t>
            </w:r>
          </w:p>
        </w:tc>
        <w:tc>
          <w:tcPr>
            <w:tcW w:w="1877" w:type="dxa"/>
            <w:vAlign w:val="center"/>
          </w:tcPr>
          <w:p>
            <w:pPr>
              <w:widowControl/>
              <w:jc w:val="center"/>
              <w:textAlignment w:val="center"/>
              <w:rPr>
                <w:color w:val="000000"/>
                <w:szCs w:val="21"/>
              </w:rPr>
            </w:pPr>
            <w:r>
              <w:rPr>
                <w:color w:val="000000"/>
                <w:kern w:val="0"/>
                <w:szCs w:val="21"/>
                <w:lang/>
              </w:rPr>
              <w:t>东二线-Ⅱ-3</w:t>
            </w:r>
          </w:p>
        </w:tc>
        <w:tc>
          <w:tcPr>
            <w:tcW w:w="1192" w:type="dxa"/>
            <w:vAlign w:val="center"/>
          </w:tcPr>
          <w:p>
            <w:pPr>
              <w:widowControl/>
              <w:jc w:val="center"/>
              <w:textAlignment w:val="center"/>
              <w:rPr>
                <w:color w:val="000000"/>
                <w:szCs w:val="21"/>
              </w:rPr>
            </w:pPr>
            <w:r>
              <w:rPr>
                <w:color w:val="000000"/>
                <w:kern w:val="0"/>
                <w:szCs w:val="21"/>
                <w:lang/>
              </w:rPr>
              <w:t>三一路</w:t>
            </w:r>
          </w:p>
        </w:tc>
        <w:tc>
          <w:tcPr>
            <w:tcW w:w="1491" w:type="dxa"/>
            <w:vAlign w:val="center"/>
          </w:tcPr>
          <w:p>
            <w:pPr>
              <w:widowControl/>
              <w:jc w:val="center"/>
              <w:textAlignment w:val="center"/>
              <w:rPr>
                <w:color w:val="000000"/>
                <w:szCs w:val="21"/>
              </w:rPr>
            </w:pPr>
            <w:r>
              <w:rPr>
                <w:color w:val="000000"/>
                <w:kern w:val="0"/>
                <w:szCs w:val="21"/>
                <w:lang/>
              </w:rPr>
              <w:t>长浏高速</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4490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31</w:t>
            </w:r>
          </w:p>
        </w:tc>
        <w:tc>
          <w:tcPr>
            <w:tcW w:w="1877" w:type="dxa"/>
            <w:vAlign w:val="center"/>
          </w:tcPr>
          <w:p>
            <w:pPr>
              <w:widowControl/>
              <w:jc w:val="center"/>
              <w:textAlignment w:val="center"/>
              <w:rPr>
                <w:color w:val="000000"/>
                <w:szCs w:val="21"/>
              </w:rPr>
            </w:pPr>
            <w:r>
              <w:rPr>
                <w:color w:val="000000"/>
                <w:kern w:val="0"/>
                <w:szCs w:val="21"/>
                <w:lang/>
              </w:rPr>
              <w:t>东三线-Ⅱ-1</w:t>
            </w:r>
          </w:p>
        </w:tc>
        <w:tc>
          <w:tcPr>
            <w:tcW w:w="1192" w:type="dxa"/>
            <w:vAlign w:val="center"/>
          </w:tcPr>
          <w:p>
            <w:pPr>
              <w:widowControl/>
              <w:jc w:val="center"/>
              <w:textAlignment w:val="center"/>
              <w:rPr>
                <w:color w:val="000000"/>
                <w:szCs w:val="21"/>
              </w:rPr>
            </w:pPr>
            <w:r>
              <w:rPr>
                <w:color w:val="000000"/>
                <w:kern w:val="0"/>
                <w:szCs w:val="21"/>
                <w:lang/>
              </w:rPr>
              <w:t>滨湖中路</w:t>
            </w:r>
          </w:p>
        </w:tc>
        <w:tc>
          <w:tcPr>
            <w:tcW w:w="1491" w:type="dxa"/>
            <w:vAlign w:val="center"/>
          </w:tcPr>
          <w:p>
            <w:pPr>
              <w:widowControl/>
              <w:jc w:val="center"/>
              <w:textAlignment w:val="center"/>
              <w:rPr>
                <w:color w:val="000000"/>
                <w:szCs w:val="21"/>
              </w:rPr>
            </w:pPr>
            <w:r>
              <w:rPr>
                <w:color w:val="000000"/>
                <w:kern w:val="0"/>
                <w:szCs w:val="21"/>
                <w:lang/>
              </w:rPr>
              <w:t>望仙路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4435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32</w:t>
            </w:r>
          </w:p>
        </w:tc>
        <w:tc>
          <w:tcPr>
            <w:tcW w:w="1877" w:type="dxa"/>
            <w:vAlign w:val="center"/>
          </w:tcPr>
          <w:p>
            <w:pPr>
              <w:widowControl/>
              <w:jc w:val="center"/>
              <w:textAlignment w:val="center"/>
              <w:rPr>
                <w:color w:val="000000"/>
                <w:szCs w:val="21"/>
              </w:rPr>
            </w:pPr>
            <w:r>
              <w:rPr>
                <w:color w:val="000000"/>
                <w:kern w:val="0"/>
                <w:szCs w:val="21"/>
                <w:lang/>
              </w:rPr>
              <w:t>东三线-Ⅱ-2</w:t>
            </w:r>
          </w:p>
        </w:tc>
        <w:tc>
          <w:tcPr>
            <w:tcW w:w="1192" w:type="dxa"/>
            <w:vAlign w:val="center"/>
          </w:tcPr>
          <w:p>
            <w:pPr>
              <w:widowControl/>
              <w:jc w:val="center"/>
              <w:textAlignment w:val="center"/>
              <w:rPr>
                <w:color w:val="000000"/>
                <w:szCs w:val="21"/>
              </w:rPr>
            </w:pPr>
            <w:r>
              <w:rPr>
                <w:color w:val="000000"/>
                <w:kern w:val="0"/>
                <w:szCs w:val="21"/>
                <w:lang/>
              </w:rPr>
              <w:t>开元东路</w:t>
            </w:r>
          </w:p>
        </w:tc>
        <w:tc>
          <w:tcPr>
            <w:tcW w:w="1491" w:type="dxa"/>
            <w:vAlign w:val="center"/>
          </w:tcPr>
          <w:p>
            <w:pPr>
              <w:widowControl/>
              <w:jc w:val="center"/>
              <w:textAlignment w:val="center"/>
              <w:rPr>
                <w:color w:val="000000"/>
                <w:szCs w:val="21"/>
              </w:rPr>
            </w:pPr>
            <w:r>
              <w:rPr>
                <w:color w:val="000000"/>
                <w:kern w:val="0"/>
                <w:szCs w:val="21"/>
                <w:lang/>
              </w:rPr>
              <w:t>凉塘路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4645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33</w:t>
            </w:r>
          </w:p>
        </w:tc>
        <w:tc>
          <w:tcPr>
            <w:tcW w:w="1877" w:type="dxa"/>
            <w:vAlign w:val="center"/>
          </w:tcPr>
          <w:p>
            <w:pPr>
              <w:widowControl/>
              <w:jc w:val="center"/>
              <w:textAlignment w:val="center"/>
              <w:rPr>
                <w:color w:val="000000"/>
                <w:szCs w:val="21"/>
              </w:rPr>
            </w:pPr>
            <w:r>
              <w:rPr>
                <w:color w:val="000000"/>
                <w:kern w:val="0"/>
                <w:szCs w:val="21"/>
                <w:lang/>
              </w:rPr>
              <w:t>东四线-Ⅱ-1</w:t>
            </w:r>
          </w:p>
        </w:tc>
        <w:tc>
          <w:tcPr>
            <w:tcW w:w="1192" w:type="dxa"/>
            <w:vAlign w:val="center"/>
          </w:tcPr>
          <w:p>
            <w:pPr>
              <w:widowControl/>
              <w:jc w:val="center"/>
              <w:textAlignment w:val="center"/>
              <w:rPr>
                <w:color w:val="000000"/>
                <w:szCs w:val="21"/>
              </w:rPr>
            </w:pPr>
            <w:r>
              <w:rPr>
                <w:color w:val="000000"/>
                <w:kern w:val="0"/>
                <w:szCs w:val="21"/>
                <w:lang/>
              </w:rPr>
              <w:t>滨湖中路</w:t>
            </w:r>
          </w:p>
        </w:tc>
        <w:tc>
          <w:tcPr>
            <w:tcW w:w="1491" w:type="dxa"/>
            <w:vAlign w:val="center"/>
          </w:tcPr>
          <w:p>
            <w:pPr>
              <w:widowControl/>
              <w:jc w:val="center"/>
              <w:textAlignment w:val="center"/>
              <w:rPr>
                <w:color w:val="000000"/>
                <w:szCs w:val="21"/>
              </w:rPr>
            </w:pPr>
            <w:r>
              <w:rPr>
                <w:color w:val="000000"/>
                <w:kern w:val="0"/>
                <w:szCs w:val="21"/>
                <w:lang/>
              </w:rPr>
              <w:t>凉塘路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4530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34</w:t>
            </w:r>
          </w:p>
        </w:tc>
        <w:tc>
          <w:tcPr>
            <w:tcW w:w="1877" w:type="dxa"/>
            <w:vAlign w:val="center"/>
          </w:tcPr>
          <w:p>
            <w:pPr>
              <w:widowControl/>
              <w:jc w:val="center"/>
              <w:textAlignment w:val="center"/>
              <w:rPr>
                <w:color w:val="000000"/>
                <w:szCs w:val="21"/>
              </w:rPr>
            </w:pPr>
            <w:r>
              <w:rPr>
                <w:color w:val="000000"/>
                <w:kern w:val="0"/>
                <w:szCs w:val="21"/>
                <w:lang/>
              </w:rPr>
              <w:t>东四线-Ⅱ-2</w:t>
            </w:r>
          </w:p>
        </w:tc>
        <w:tc>
          <w:tcPr>
            <w:tcW w:w="1192" w:type="dxa"/>
            <w:vAlign w:val="center"/>
          </w:tcPr>
          <w:p>
            <w:pPr>
              <w:widowControl/>
              <w:jc w:val="center"/>
              <w:textAlignment w:val="center"/>
              <w:rPr>
                <w:color w:val="000000"/>
                <w:szCs w:val="21"/>
              </w:rPr>
            </w:pPr>
            <w:r>
              <w:rPr>
                <w:color w:val="000000"/>
                <w:kern w:val="0"/>
                <w:szCs w:val="21"/>
                <w:lang/>
              </w:rPr>
              <w:t>凉塘路</w:t>
            </w:r>
          </w:p>
        </w:tc>
        <w:tc>
          <w:tcPr>
            <w:tcW w:w="1491" w:type="dxa"/>
            <w:vAlign w:val="center"/>
          </w:tcPr>
          <w:p>
            <w:pPr>
              <w:widowControl/>
              <w:jc w:val="center"/>
              <w:textAlignment w:val="center"/>
              <w:rPr>
                <w:color w:val="000000"/>
                <w:szCs w:val="21"/>
              </w:rPr>
            </w:pPr>
            <w:r>
              <w:rPr>
                <w:color w:val="000000"/>
                <w:kern w:val="0"/>
                <w:szCs w:val="21"/>
                <w:lang/>
              </w:rPr>
              <w:t>长浏高速</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35</w:t>
            </w:r>
          </w:p>
        </w:tc>
        <w:tc>
          <w:tcPr>
            <w:tcW w:w="1877" w:type="dxa"/>
            <w:vAlign w:val="center"/>
          </w:tcPr>
          <w:p>
            <w:pPr>
              <w:widowControl/>
              <w:jc w:val="center"/>
              <w:textAlignment w:val="center"/>
              <w:rPr>
                <w:color w:val="000000"/>
                <w:szCs w:val="21"/>
              </w:rPr>
            </w:pPr>
            <w:r>
              <w:rPr>
                <w:color w:val="000000"/>
                <w:kern w:val="0"/>
                <w:szCs w:val="21"/>
                <w:lang/>
              </w:rPr>
              <w:t>东四线-Ⅱ-3</w:t>
            </w:r>
          </w:p>
        </w:tc>
        <w:tc>
          <w:tcPr>
            <w:tcW w:w="1192" w:type="dxa"/>
            <w:vAlign w:val="center"/>
          </w:tcPr>
          <w:p>
            <w:pPr>
              <w:widowControl/>
              <w:jc w:val="center"/>
              <w:textAlignment w:val="center"/>
              <w:rPr>
                <w:color w:val="000000"/>
                <w:szCs w:val="21"/>
              </w:rPr>
            </w:pPr>
            <w:r>
              <w:rPr>
                <w:color w:val="000000"/>
                <w:kern w:val="0"/>
                <w:szCs w:val="21"/>
                <w:lang/>
              </w:rPr>
              <w:t>长浏高速</w:t>
            </w:r>
          </w:p>
        </w:tc>
        <w:tc>
          <w:tcPr>
            <w:tcW w:w="1491" w:type="dxa"/>
            <w:vAlign w:val="center"/>
          </w:tcPr>
          <w:p>
            <w:pPr>
              <w:widowControl/>
              <w:jc w:val="center"/>
              <w:textAlignment w:val="center"/>
              <w:rPr>
                <w:color w:val="000000"/>
                <w:szCs w:val="21"/>
              </w:rPr>
            </w:pPr>
            <w:r>
              <w:rPr>
                <w:color w:val="000000"/>
                <w:kern w:val="0"/>
                <w:szCs w:val="21"/>
                <w:lang/>
              </w:rPr>
              <w:t>远大路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4570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36</w:t>
            </w:r>
          </w:p>
        </w:tc>
        <w:tc>
          <w:tcPr>
            <w:tcW w:w="1877" w:type="dxa"/>
            <w:vAlign w:val="center"/>
          </w:tcPr>
          <w:p>
            <w:pPr>
              <w:widowControl/>
              <w:jc w:val="center"/>
              <w:textAlignment w:val="center"/>
              <w:rPr>
                <w:color w:val="000000"/>
                <w:szCs w:val="21"/>
              </w:rPr>
            </w:pPr>
            <w:r>
              <w:rPr>
                <w:color w:val="000000"/>
                <w:kern w:val="0"/>
                <w:szCs w:val="21"/>
                <w:lang/>
              </w:rPr>
              <w:t>东五线-Ⅱ-1</w:t>
            </w:r>
          </w:p>
        </w:tc>
        <w:tc>
          <w:tcPr>
            <w:tcW w:w="1192" w:type="dxa"/>
            <w:vAlign w:val="center"/>
          </w:tcPr>
          <w:p>
            <w:pPr>
              <w:widowControl/>
              <w:jc w:val="center"/>
              <w:textAlignment w:val="center"/>
              <w:rPr>
                <w:color w:val="000000"/>
                <w:szCs w:val="21"/>
              </w:rPr>
            </w:pPr>
            <w:r>
              <w:rPr>
                <w:color w:val="000000"/>
                <w:kern w:val="0"/>
                <w:szCs w:val="21"/>
                <w:lang/>
              </w:rPr>
              <w:t>滨湖中路</w:t>
            </w:r>
          </w:p>
        </w:tc>
        <w:tc>
          <w:tcPr>
            <w:tcW w:w="1491" w:type="dxa"/>
            <w:vAlign w:val="center"/>
          </w:tcPr>
          <w:p>
            <w:pPr>
              <w:widowControl/>
              <w:jc w:val="center"/>
              <w:textAlignment w:val="center"/>
              <w:rPr>
                <w:color w:val="000000"/>
                <w:szCs w:val="21"/>
              </w:rPr>
            </w:pPr>
            <w:r>
              <w:rPr>
                <w:color w:val="000000"/>
                <w:kern w:val="0"/>
                <w:szCs w:val="21"/>
                <w:lang/>
              </w:rPr>
              <w:t>望仙路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4370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37</w:t>
            </w:r>
          </w:p>
        </w:tc>
        <w:tc>
          <w:tcPr>
            <w:tcW w:w="1877" w:type="dxa"/>
            <w:vAlign w:val="center"/>
          </w:tcPr>
          <w:p>
            <w:pPr>
              <w:widowControl/>
              <w:jc w:val="center"/>
              <w:textAlignment w:val="center"/>
              <w:rPr>
                <w:color w:val="000000"/>
                <w:szCs w:val="21"/>
              </w:rPr>
            </w:pPr>
            <w:r>
              <w:rPr>
                <w:color w:val="000000"/>
                <w:kern w:val="0"/>
                <w:szCs w:val="21"/>
                <w:lang/>
              </w:rPr>
              <w:t>东五线-Ⅱ-2</w:t>
            </w:r>
          </w:p>
        </w:tc>
        <w:tc>
          <w:tcPr>
            <w:tcW w:w="1192" w:type="dxa"/>
            <w:vAlign w:val="center"/>
          </w:tcPr>
          <w:p>
            <w:pPr>
              <w:widowControl/>
              <w:jc w:val="center"/>
              <w:textAlignment w:val="center"/>
              <w:rPr>
                <w:color w:val="000000"/>
                <w:szCs w:val="21"/>
              </w:rPr>
            </w:pPr>
            <w:r>
              <w:rPr>
                <w:color w:val="000000"/>
                <w:kern w:val="0"/>
                <w:szCs w:val="21"/>
                <w:lang/>
              </w:rPr>
              <w:t>望仙路</w:t>
            </w:r>
          </w:p>
        </w:tc>
        <w:tc>
          <w:tcPr>
            <w:tcW w:w="1491" w:type="dxa"/>
            <w:vAlign w:val="center"/>
          </w:tcPr>
          <w:p>
            <w:pPr>
              <w:widowControl/>
              <w:jc w:val="center"/>
              <w:textAlignment w:val="center"/>
              <w:rPr>
                <w:color w:val="000000"/>
                <w:szCs w:val="21"/>
              </w:rPr>
            </w:pPr>
            <w:r>
              <w:rPr>
                <w:color w:val="000000"/>
                <w:kern w:val="0"/>
                <w:szCs w:val="21"/>
                <w:lang/>
              </w:rPr>
              <w:t>长浏高速</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38</w:t>
            </w:r>
          </w:p>
        </w:tc>
        <w:tc>
          <w:tcPr>
            <w:tcW w:w="1877" w:type="dxa"/>
            <w:vAlign w:val="center"/>
          </w:tcPr>
          <w:p>
            <w:pPr>
              <w:widowControl/>
              <w:jc w:val="center"/>
              <w:textAlignment w:val="center"/>
              <w:rPr>
                <w:color w:val="000000"/>
                <w:szCs w:val="21"/>
              </w:rPr>
            </w:pPr>
            <w:r>
              <w:rPr>
                <w:color w:val="000000"/>
                <w:kern w:val="0"/>
                <w:szCs w:val="21"/>
                <w:lang/>
              </w:rPr>
              <w:t>东六线-Ⅱ-1</w:t>
            </w:r>
          </w:p>
        </w:tc>
        <w:tc>
          <w:tcPr>
            <w:tcW w:w="1192" w:type="dxa"/>
            <w:vAlign w:val="center"/>
          </w:tcPr>
          <w:p>
            <w:pPr>
              <w:widowControl/>
              <w:jc w:val="center"/>
              <w:textAlignment w:val="center"/>
              <w:rPr>
                <w:color w:val="000000"/>
                <w:szCs w:val="21"/>
              </w:rPr>
            </w:pPr>
            <w:r>
              <w:rPr>
                <w:color w:val="000000"/>
                <w:kern w:val="0"/>
                <w:szCs w:val="21"/>
                <w:lang/>
              </w:rPr>
              <w:t>滨湖中路</w:t>
            </w:r>
          </w:p>
        </w:tc>
        <w:tc>
          <w:tcPr>
            <w:tcW w:w="1491" w:type="dxa"/>
            <w:vAlign w:val="center"/>
          </w:tcPr>
          <w:p>
            <w:pPr>
              <w:widowControl/>
              <w:jc w:val="center"/>
              <w:textAlignment w:val="center"/>
              <w:rPr>
                <w:color w:val="000000"/>
                <w:szCs w:val="21"/>
              </w:rPr>
            </w:pPr>
            <w:r>
              <w:rPr>
                <w:color w:val="000000"/>
                <w:kern w:val="0"/>
                <w:szCs w:val="21"/>
                <w:lang/>
              </w:rPr>
              <w:t>开元东路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4380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39</w:t>
            </w:r>
          </w:p>
        </w:tc>
        <w:tc>
          <w:tcPr>
            <w:tcW w:w="1877" w:type="dxa"/>
            <w:vAlign w:val="center"/>
          </w:tcPr>
          <w:p>
            <w:pPr>
              <w:widowControl/>
              <w:jc w:val="center"/>
              <w:textAlignment w:val="center"/>
              <w:rPr>
                <w:color w:val="000000"/>
                <w:szCs w:val="21"/>
              </w:rPr>
            </w:pPr>
            <w:r>
              <w:rPr>
                <w:color w:val="000000"/>
                <w:kern w:val="0"/>
                <w:szCs w:val="21"/>
                <w:lang/>
              </w:rPr>
              <w:t>东六线-Ⅱ-2</w:t>
            </w:r>
          </w:p>
        </w:tc>
        <w:tc>
          <w:tcPr>
            <w:tcW w:w="1192" w:type="dxa"/>
            <w:vAlign w:val="center"/>
          </w:tcPr>
          <w:p>
            <w:pPr>
              <w:widowControl/>
              <w:jc w:val="center"/>
              <w:textAlignment w:val="center"/>
              <w:rPr>
                <w:color w:val="000000"/>
                <w:szCs w:val="21"/>
              </w:rPr>
            </w:pPr>
            <w:r>
              <w:rPr>
                <w:color w:val="000000"/>
                <w:kern w:val="0"/>
                <w:szCs w:val="21"/>
                <w:lang/>
              </w:rPr>
              <w:t>开元东路</w:t>
            </w:r>
          </w:p>
        </w:tc>
        <w:tc>
          <w:tcPr>
            <w:tcW w:w="1491" w:type="dxa"/>
            <w:vAlign w:val="center"/>
          </w:tcPr>
          <w:p>
            <w:pPr>
              <w:widowControl/>
              <w:jc w:val="center"/>
              <w:textAlignment w:val="center"/>
              <w:rPr>
                <w:color w:val="000000"/>
                <w:szCs w:val="21"/>
              </w:rPr>
            </w:pPr>
            <w:r>
              <w:rPr>
                <w:color w:val="000000"/>
                <w:kern w:val="0"/>
                <w:szCs w:val="21"/>
                <w:lang/>
              </w:rPr>
              <w:t>长浏高速</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40</w:t>
            </w:r>
          </w:p>
        </w:tc>
        <w:tc>
          <w:tcPr>
            <w:tcW w:w="1877" w:type="dxa"/>
            <w:vAlign w:val="center"/>
          </w:tcPr>
          <w:p>
            <w:pPr>
              <w:widowControl/>
              <w:jc w:val="center"/>
              <w:textAlignment w:val="center"/>
              <w:rPr>
                <w:color w:val="000000"/>
                <w:szCs w:val="21"/>
              </w:rPr>
            </w:pPr>
            <w:r>
              <w:rPr>
                <w:color w:val="000000"/>
                <w:kern w:val="0"/>
                <w:szCs w:val="21"/>
                <w:lang/>
              </w:rPr>
              <w:t>东六线-Ⅱ-3</w:t>
            </w:r>
          </w:p>
        </w:tc>
        <w:tc>
          <w:tcPr>
            <w:tcW w:w="1192" w:type="dxa"/>
            <w:vAlign w:val="center"/>
          </w:tcPr>
          <w:p>
            <w:pPr>
              <w:widowControl/>
              <w:jc w:val="center"/>
              <w:textAlignment w:val="center"/>
              <w:rPr>
                <w:color w:val="000000"/>
                <w:szCs w:val="21"/>
              </w:rPr>
            </w:pPr>
            <w:r>
              <w:rPr>
                <w:color w:val="000000"/>
                <w:kern w:val="0"/>
                <w:szCs w:val="21"/>
                <w:lang/>
              </w:rPr>
              <w:t>长浏高速</w:t>
            </w:r>
          </w:p>
        </w:tc>
        <w:tc>
          <w:tcPr>
            <w:tcW w:w="1491" w:type="dxa"/>
            <w:vAlign w:val="center"/>
          </w:tcPr>
          <w:p>
            <w:pPr>
              <w:widowControl/>
              <w:jc w:val="center"/>
              <w:textAlignment w:val="center"/>
              <w:rPr>
                <w:color w:val="000000"/>
                <w:szCs w:val="21"/>
              </w:rPr>
            </w:pPr>
            <w:r>
              <w:rPr>
                <w:color w:val="000000"/>
                <w:kern w:val="0"/>
                <w:szCs w:val="21"/>
                <w:lang/>
              </w:rPr>
              <w:t>远大路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41</w:t>
            </w:r>
          </w:p>
        </w:tc>
        <w:tc>
          <w:tcPr>
            <w:tcW w:w="1877" w:type="dxa"/>
            <w:vAlign w:val="center"/>
          </w:tcPr>
          <w:p>
            <w:pPr>
              <w:widowControl/>
              <w:jc w:val="center"/>
              <w:textAlignment w:val="center"/>
              <w:rPr>
                <w:color w:val="000000"/>
                <w:szCs w:val="21"/>
              </w:rPr>
            </w:pPr>
            <w:r>
              <w:rPr>
                <w:color w:val="000000"/>
                <w:kern w:val="0"/>
                <w:szCs w:val="21"/>
                <w:lang/>
              </w:rPr>
              <w:t>东七线-Ⅱ-1</w:t>
            </w:r>
          </w:p>
        </w:tc>
        <w:tc>
          <w:tcPr>
            <w:tcW w:w="1192" w:type="dxa"/>
            <w:vAlign w:val="center"/>
          </w:tcPr>
          <w:p>
            <w:pPr>
              <w:widowControl/>
              <w:jc w:val="center"/>
              <w:textAlignment w:val="center"/>
              <w:rPr>
                <w:color w:val="000000"/>
                <w:szCs w:val="21"/>
              </w:rPr>
            </w:pPr>
            <w:r>
              <w:rPr>
                <w:color w:val="000000"/>
                <w:kern w:val="0"/>
                <w:szCs w:val="21"/>
                <w:lang/>
              </w:rPr>
              <w:t>滨湖中路</w:t>
            </w:r>
          </w:p>
        </w:tc>
        <w:tc>
          <w:tcPr>
            <w:tcW w:w="1491" w:type="dxa"/>
            <w:vAlign w:val="center"/>
          </w:tcPr>
          <w:p>
            <w:pPr>
              <w:widowControl/>
              <w:jc w:val="center"/>
              <w:textAlignment w:val="center"/>
              <w:rPr>
                <w:color w:val="000000"/>
                <w:szCs w:val="21"/>
              </w:rPr>
            </w:pPr>
            <w:r>
              <w:rPr>
                <w:color w:val="000000"/>
                <w:kern w:val="0"/>
                <w:szCs w:val="21"/>
                <w:lang/>
              </w:rPr>
              <w:t>开元东路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4430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42</w:t>
            </w:r>
          </w:p>
        </w:tc>
        <w:tc>
          <w:tcPr>
            <w:tcW w:w="1877" w:type="dxa"/>
            <w:vAlign w:val="center"/>
          </w:tcPr>
          <w:p>
            <w:pPr>
              <w:widowControl/>
              <w:jc w:val="center"/>
              <w:textAlignment w:val="center"/>
              <w:rPr>
                <w:color w:val="000000"/>
                <w:szCs w:val="21"/>
              </w:rPr>
            </w:pPr>
            <w:r>
              <w:rPr>
                <w:color w:val="000000"/>
                <w:kern w:val="0"/>
                <w:szCs w:val="21"/>
                <w:lang/>
              </w:rPr>
              <w:t>东七线-Ⅱ-2</w:t>
            </w:r>
          </w:p>
        </w:tc>
        <w:tc>
          <w:tcPr>
            <w:tcW w:w="1192" w:type="dxa"/>
            <w:vAlign w:val="center"/>
          </w:tcPr>
          <w:p>
            <w:pPr>
              <w:widowControl/>
              <w:jc w:val="center"/>
              <w:textAlignment w:val="center"/>
              <w:rPr>
                <w:color w:val="000000"/>
                <w:szCs w:val="21"/>
              </w:rPr>
            </w:pPr>
            <w:r>
              <w:rPr>
                <w:color w:val="000000"/>
                <w:kern w:val="0"/>
                <w:szCs w:val="21"/>
                <w:lang/>
              </w:rPr>
              <w:t>开元东路</w:t>
            </w:r>
          </w:p>
        </w:tc>
        <w:tc>
          <w:tcPr>
            <w:tcW w:w="1491" w:type="dxa"/>
            <w:vAlign w:val="center"/>
          </w:tcPr>
          <w:p>
            <w:pPr>
              <w:widowControl/>
              <w:jc w:val="center"/>
              <w:textAlignment w:val="center"/>
              <w:rPr>
                <w:color w:val="000000"/>
                <w:szCs w:val="21"/>
              </w:rPr>
            </w:pPr>
            <w:r>
              <w:rPr>
                <w:color w:val="000000"/>
                <w:kern w:val="0"/>
                <w:szCs w:val="21"/>
                <w:lang/>
              </w:rPr>
              <w:t>长浏高速</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43</w:t>
            </w:r>
          </w:p>
        </w:tc>
        <w:tc>
          <w:tcPr>
            <w:tcW w:w="1877" w:type="dxa"/>
            <w:vAlign w:val="center"/>
          </w:tcPr>
          <w:p>
            <w:pPr>
              <w:widowControl/>
              <w:jc w:val="center"/>
              <w:textAlignment w:val="center"/>
              <w:rPr>
                <w:color w:val="000000"/>
                <w:szCs w:val="21"/>
              </w:rPr>
            </w:pPr>
            <w:r>
              <w:rPr>
                <w:color w:val="000000"/>
                <w:kern w:val="0"/>
                <w:szCs w:val="21"/>
                <w:lang/>
              </w:rPr>
              <w:t>东七线-Ⅱ-3</w:t>
            </w:r>
          </w:p>
        </w:tc>
        <w:tc>
          <w:tcPr>
            <w:tcW w:w="1192" w:type="dxa"/>
            <w:vAlign w:val="center"/>
          </w:tcPr>
          <w:p>
            <w:pPr>
              <w:widowControl/>
              <w:jc w:val="center"/>
              <w:textAlignment w:val="center"/>
              <w:rPr>
                <w:color w:val="000000"/>
                <w:szCs w:val="21"/>
              </w:rPr>
            </w:pPr>
            <w:r>
              <w:rPr>
                <w:color w:val="000000"/>
                <w:kern w:val="0"/>
                <w:szCs w:val="21"/>
                <w:lang/>
              </w:rPr>
              <w:t>长浏高速</w:t>
            </w:r>
          </w:p>
        </w:tc>
        <w:tc>
          <w:tcPr>
            <w:tcW w:w="1491" w:type="dxa"/>
            <w:vAlign w:val="center"/>
          </w:tcPr>
          <w:p>
            <w:pPr>
              <w:widowControl/>
              <w:jc w:val="center"/>
              <w:textAlignment w:val="center"/>
              <w:rPr>
                <w:color w:val="000000"/>
                <w:szCs w:val="21"/>
              </w:rPr>
            </w:pPr>
            <w:r>
              <w:rPr>
                <w:color w:val="000000"/>
                <w:kern w:val="0"/>
                <w:szCs w:val="21"/>
                <w:lang/>
              </w:rPr>
              <w:t>漓湘路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44</w:t>
            </w:r>
          </w:p>
        </w:tc>
        <w:tc>
          <w:tcPr>
            <w:tcW w:w="1877" w:type="dxa"/>
            <w:vAlign w:val="center"/>
          </w:tcPr>
          <w:p>
            <w:pPr>
              <w:widowControl/>
              <w:jc w:val="center"/>
              <w:textAlignment w:val="center"/>
              <w:rPr>
                <w:color w:val="000000"/>
                <w:szCs w:val="21"/>
              </w:rPr>
            </w:pPr>
            <w:r>
              <w:rPr>
                <w:color w:val="000000"/>
                <w:kern w:val="0"/>
                <w:szCs w:val="21"/>
                <w:lang/>
              </w:rPr>
              <w:t>西霞路-Ⅱ-1</w:t>
            </w:r>
          </w:p>
        </w:tc>
        <w:tc>
          <w:tcPr>
            <w:tcW w:w="1192" w:type="dxa"/>
            <w:vAlign w:val="center"/>
          </w:tcPr>
          <w:p>
            <w:pPr>
              <w:widowControl/>
              <w:jc w:val="center"/>
              <w:textAlignment w:val="center"/>
              <w:rPr>
                <w:color w:val="000000"/>
                <w:szCs w:val="21"/>
              </w:rPr>
            </w:pPr>
            <w:r>
              <w:rPr>
                <w:color w:val="000000"/>
                <w:kern w:val="0"/>
                <w:szCs w:val="21"/>
                <w:lang/>
              </w:rPr>
              <w:t>捞刀河路</w:t>
            </w:r>
          </w:p>
        </w:tc>
        <w:tc>
          <w:tcPr>
            <w:tcW w:w="1491" w:type="dxa"/>
            <w:vAlign w:val="center"/>
          </w:tcPr>
          <w:p>
            <w:pPr>
              <w:widowControl/>
              <w:jc w:val="center"/>
              <w:textAlignment w:val="center"/>
              <w:rPr>
                <w:color w:val="000000"/>
                <w:szCs w:val="21"/>
              </w:rPr>
            </w:pPr>
            <w:r>
              <w:rPr>
                <w:color w:val="000000"/>
                <w:kern w:val="0"/>
                <w:szCs w:val="21"/>
                <w:lang/>
              </w:rPr>
              <w:t>特立路</w:t>
            </w:r>
          </w:p>
        </w:tc>
        <w:tc>
          <w:tcPr>
            <w:tcW w:w="1071" w:type="dxa"/>
            <w:vMerge w:val="continue"/>
            <w:vAlign w:val="center"/>
          </w:tcPr>
          <w:p>
            <w:pPr>
              <w:widowControl/>
              <w:jc w:val="center"/>
              <w:textAlignment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4295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45</w:t>
            </w:r>
          </w:p>
        </w:tc>
        <w:tc>
          <w:tcPr>
            <w:tcW w:w="1877" w:type="dxa"/>
            <w:vAlign w:val="center"/>
          </w:tcPr>
          <w:p>
            <w:pPr>
              <w:widowControl/>
              <w:jc w:val="center"/>
              <w:textAlignment w:val="center"/>
              <w:rPr>
                <w:color w:val="000000"/>
                <w:szCs w:val="21"/>
              </w:rPr>
            </w:pPr>
            <w:r>
              <w:rPr>
                <w:color w:val="000000"/>
                <w:kern w:val="0"/>
                <w:szCs w:val="21"/>
                <w:lang/>
              </w:rPr>
              <w:t>西霞路-Ⅱ-2</w:t>
            </w:r>
          </w:p>
        </w:tc>
        <w:tc>
          <w:tcPr>
            <w:tcW w:w="1192" w:type="dxa"/>
            <w:vAlign w:val="center"/>
          </w:tcPr>
          <w:p>
            <w:pPr>
              <w:widowControl/>
              <w:jc w:val="center"/>
              <w:textAlignment w:val="center"/>
              <w:rPr>
                <w:color w:val="000000"/>
                <w:szCs w:val="21"/>
              </w:rPr>
            </w:pPr>
            <w:r>
              <w:rPr>
                <w:color w:val="000000"/>
                <w:kern w:val="0"/>
                <w:szCs w:val="21"/>
                <w:lang/>
              </w:rPr>
              <w:t>特立路</w:t>
            </w:r>
          </w:p>
        </w:tc>
        <w:tc>
          <w:tcPr>
            <w:tcW w:w="1491" w:type="dxa"/>
            <w:vAlign w:val="center"/>
          </w:tcPr>
          <w:p>
            <w:pPr>
              <w:widowControl/>
              <w:jc w:val="center"/>
              <w:textAlignment w:val="center"/>
              <w:rPr>
                <w:color w:val="000000"/>
                <w:szCs w:val="21"/>
              </w:rPr>
            </w:pPr>
            <w:r>
              <w:rPr>
                <w:color w:val="000000"/>
                <w:kern w:val="0"/>
                <w:szCs w:val="21"/>
                <w:lang/>
              </w:rPr>
              <w:t>开元路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4410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46</w:t>
            </w:r>
          </w:p>
        </w:tc>
        <w:tc>
          <w:tcPr>
            <w:tcW w:w="1877" w:type="dxa"/>
            <w:vAlign w:val="center"/>
          </w:tcPr>
          <w:p>
            <w:pPr>
              <w:widowControl/>
              <w:jc w:val="center"/>
              <w:textAlignment w:val="center"/>
              <w:rPr>
                <w:color w:val="000000"/>
                <w:szCs w:val="21"/>
              </w:rPr>
            </w:pPr>
            <w:r>
              <w:rPr>
                <w:color w:val="000000"/>
                <w:kern w:val="0"/>
                <w:szCs w:val="21"/>
                <w:lang/>
              </w:rPr>
              <w:t>滨湖路-Ⅱ-1</w:t>
            </w:r>
          </w:p>
        </w:tc>
        <w:tc>
          <w:tcPr>
            <w:tcW w:w="1192" w:type="dxa"/>
            <w:vAlign w:val="center"/>
          </w:tcPr>
          <w:p>
            <w:pPr>
              <w:widowControl/>
              <w:jc w:val="center"/>
              <w:textAlignment w:val="center"/>
              <w:rPr>
                <w:color w:val="000000"/>
                <w:szCs w:val="21"/>
              </w:rPr>
            </w:pPr>
            <w:r>
              <w:rPr>
                <w:color w:val="000000"/>
                <w:kern w:val="0"/>
                <w:szCs w:val="21"/>
                <w:lang/>
              </w:rPr>
              <w:t>东升路</w:t>
            </w:r>
          </w:p>
        </w:tc>
        <w:tc>
          <w:tcPr>
            <w:tcW w:w="1491" w:type="dxa"/>
            <w:vAlign w:val="center"/>
          </w:tcPr>
          <w:p>
            <w:pPr>
              <w:widowControl/>
              <w:jc w:val="center"/>
              <w:textAlignment w:val="center"/>
              <w:rPr>
                <w:color w:val="000000"/>
                <w:szCs w:val="21"/>
              </w:rPr>
            </w:pPr>
            <w:r>
              <w:rPr>
                <w:color w:val="000000"/>
                <w:kern w:val="0"/>
                <w:szCs w:val="21"/>
                <w:lang/>
              </w:rPr>
              <w:t>星沙大道</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4380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47</w:t>
            </w:r>
          </w:p>
        </w:tc>
        <w:tc>
          <w:tcPr>
            <w:tcW w:w="1877" w:type="dxa"/>
            <w:vAlign w:val="center"/>
          </w:tcPr>
          <w:p>
            <w:pPr>
              <w:widowControl/>
              <w:jc w:val="center"/>
              <w:textAlignment w:val="center"/>
              <w:rPr>
                <w:color w:val="000000"/>
                <w:szCs w:val="21"/>
              </w:rPr>
            </w:pPr>
            <w:r>
              <w:rPr>
                <w:color w:val="000000"/>
                <w:kern w:val="0"/>
                <w:szCs w:val="21"/>
                <w:lang/>
              </w:rPr>
              <w:t>滨湖路-Ⅱ-2</w:t>
            </w:r>
          </w:p>
        </w:tc>
        <w:tc>
          <w:tcPr>
            <w:tcW w:w="1192" w:type="dxa"/>
            <w:vAlign w:val="center"/>
          </w:tcPr>
          <w:p>
            <w:pPr>
              <w:widowControl/>
              <w:jc w:val="center"/>
              <w:textAlignment w:val="center"/>
              <w:rPr>
                <w:color w:val="000000"/>
                <w:szCs w:val="21"/>
              </w:rPr>
            </w:pPr>
            <w:r>
              <w:rPr>
                <w:color w:val="000000"/>
                <w:kern w:val="0"/>
                <w:szCs w:val="21"/>
                <w:lang/>
              </w:rPr>
              <w:t>星沙大道</w:t>
            </w:r>
          </w:p>
        </w:tc>
        <w:tc>
          <w:tcPr>
            <w:tcW w:w="1491" w:type="dxa"/>
            <w:vAlign w:val="center"/>
          </w:tcPr>
          <w:p>
            <w:pPr>
              <w:widowControl/>
              <w:jc w:val="center"/>
              <w:textAlignment w:val="center"/>
              <w:rPr>
                <w:color w:val="000000"/>
                <w:szCs w:val="21"/>
              </w:rPr>
            </w:pPr>
            <w:r>
              <w:rPr>
                <w:color w:val="000000"/>
                <w:kern w:val="0"/>
                <w:szCs w:val="21"/>
                <w:lang/>
              </w:rPr>
              <w:t>东三线</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48</w:t>
            </w:r>
          </w:p>
        </w:tc>
        <w:tc>
          <w:tcPr>
            <w:tcW w:w="1877" w:type="dxa"/>
            <w:vAlign w:val="center"/>
          </w:tcPr>
          <w:p>
            <w:pPr>
              <w:widowControl/>
              <w:jc w:val="center"/>
              <w:textAlignment w:val="center"/>
              <w:rPr>
                <w:color w:val="000000"/>
                <w:szCs w:val="21"/>
              </w:rPr>
            </w:pPr>
            <w:r>
              <w:rPr>
                <w:color w:val="000000"/>
                <w:kern w:val="0"/>
                <w:szCs w:val="21"/>
                <w:lang/>
              </w:rPr>
              <w:t>滨湖路-Ⅱ-3</w:t>
            </w:r>
          </w:p>
        </w:tc>
        <w:tc>
          <w:tcPr>
            <w:tcW w:w="1192" w:type="dxa"/>
            <w:vAlign w:val="center"/>
          </w:tcPr>
          <w:p>
            <w:pPr>
              <w:widowControl/>
              <w:jc w:val="center"/>
              <w:textAlignment w:val="center"/>
              <w:rPr>
                <w:color w:val="000000"/>
                <w:szCs w:val="21"/>
              </w:rPr>
            </w:pPr>
            <w:r>
              <w:rPr>
                <w:color w:val="000000"/>
                <w:kern w:val="0"/>
                <w:szCs w:val="21"/>
                <w:lang/>
              </w:rPr>
              <w:t>东三线</w:t>
            </w:r>
          </w:p>
        </w:tc>
        <w:tc>
          <w:tcPr>
            <w:tcW w:w="1491" w:type="dxa"/>
            <w:vAlign w:val="center"/>
          </w:tcPr>
          <w:p>
            <w:pPr>
              <w:widowControl/>
              <w:jc w:val="center"/>
              <w:textAlignment w:val="center"/>
              <w:rPr>
                <w:color w:val="000000"/>
                <w:szCs w:val="21"/>
              </w:rPr>
            </w:pPr>
            <w:r>
              <w:rPr>
                <w:color w:val="000000"/>
                <w:kern w:val="0"/>
                <w:szCs w:val="21"/>
                <w:lang/>
              </w:rPr>
              <w:t>东七线</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4520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49</w:t>
            </w:r>
          </w:p>
        </w:tc>
        <w:tc>
          <w:tcPr>
            <w:tcW w:w="1877" w:type="dxa"/>
            <w:vAlign w:val="center"/>
          </w:tcPr>
          <w:p>
            <w:pPr>
              <w:widowControl/>
              <w:jc w:val="center"/>
              <w:textAlignment w:val="center"/>
              <w:rPr>
                <w:color w:val="000000"/>
                <w:szCs w:val="21"/>
              </w:rPr>
            </w:pPr>
            <w:r>
              <w:rPr>
                <w:color w:val="000000"/>
                <w:kern w:val="0"/>
                <w:szCs w:val="21"/>
                <w:lang/>
              </w:rPr>
              <w:t>漓湘西路</w:t>
            </w:r>
          </w:p>
        </w:tc>
        <w:tc>
          <w:tcPr>
            <w:tcW w:w="1192" w:type="dxa"/>
            <w:vAlign w:val="center"/>
          </w:tcPr>
          <w:p>
            <w:pPr>
              <w:widowControl/>
              <w:jc w:val="center"/>
              <w:textAlignment w:val="center"/>
              <w:rPr>
                <w:color w:val="000000"/>
                <w:szCs w:val="21"/>
              </w:rPr>
            </w:pPr>
            <w:r>
              <w:rPr>
                <w:color w:val="000000"/>
                <w:kern w:val="0"/>
                <w:szCs w:val="21"/>
                <w:lang/>
              </w:rPr>
              <w:t>万家丽路</w:t>
            </w:r>
          </w:p>
        </w:tc>
        <w:tc>
          <w:tcPr>
            <w:tcW w:w="1491" w:type="dxa"/>
            <w:vAlign w:val="center"/>
          </w:tcPr>
          <w:p>
            <w:pPr>
              <w:widowControl/>
              <w:jc w:val="center"/>
              <w:textAlignment w:val="center"/>
              <w:rPr>
                <w:color w:val="000000"/>
                <w:szCs w:val="21"/>
              </w:rPr>
            </w:pPr>
            <w:r>
              <w:rPr>
                <w:color w:val="000000"/>
                <w:kern w:val="0"/>
                <w:szCs w:val="21"/>
                <w:lang/>
              </w:rPr>
              <w:t>京珠高速</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szCs w:val="21"/>
              </w:rPr>
            </w:pPr>
            <w:r>
              <w:rPr>
                <w:color w:val="000000"/>
                <w:kern w:val="0"/>
                <w:szCs w:val="21"/>
                <w:lang/>
              </w:rPr>
              <w:t>50</w:t>
            </w:r>
          </w:p>
        </w:tc>
        <w:tc>
          <w:tcPr>
            <w:tcW w:w="1877" w:type="dxa"/>
            <w:vAlign w:val="center"/>
          </w:tcPr>
          <w:p>
            <w:pPr>
              <w:widowControl/>
              <w:jc w:val="center"/>
              <w:textAlignment w:val="center"/>
              <w:rPr>
                <w:color w:val="000000"/>
                <w:szCs w:val="21"/>
              </w:rPr>
            </w:pPr>
            <w:r>
              <w:rPr>
                <w:color w:val="000000"/>
                <w:kern w:val="0"/>
                <w:szCs w:val="21"/>
                <w:lang/>
              </w:rPr>
              <w:t>湘龙路</w:t>
            </w:r>
          </w:p>
        </w:tc>
        <w:tc>
          <w:tcPr>
            <w:tcW w:w="1192" w:type="dxa"/>
            <w:vAlign w:val="center"/>
          </w:tcPr>
          <w:p>
            <w:pPr>
              <w:widowControl/>
              <w:jc w:val="center"/>
              <w:textAlignment w:val="center"/>
              <w:rPr>
                <w:color w:val="000000"/>
                <w:szCs w:val="21"/>
              </w:rPr>
            </w:pPr>
            <w:r>
              <w:rPr>
                <w:color w:val="000000"/>
                <w:kern w:val="0"/>
                <w:szCs w:val="21"/>
                <w:lang/>
              </w:rPr>
              <w:t>万家丽路</w:t>
            </w:r>
          </w:p>
        </w:tc>
        <w:tc>
          <w:tcPr>
            <w:tcW w:w="1491" w:type="dxa"/>
            <w:vAlign w:val="center"/>
          </w:tcPr>
          <w:p>
            <w:pPr>
              <w:widowControl/>
              <w:jc w:val="center"/>
              <w:textAlignment w:val="center"/>
              <w:rPr>
                <w:color w:val="000000"/>
                <w:szCs w:val="21"/>
              </w:rPr>
            </w:pPr>
            <w:r>
              <w:rPr>
                <w:color w:val="000000"/>
                <w:kern w:val="0"/>
                <w:szCs w:val="21"/>
                <w:lang/>
              </w:rPr>
              <w:t>西霞路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szCs w:val="21"/>
              </w:rPr>
            </w:pPr>
            <w:r>
              <w:rPr>
                <w:color w:val="000000"/>
                <w:kern w:val="0"/>
                <w:szCs w:val="21"/>
                <w:lang/>
              </w:rPr>
              <w:t>3360</w:t>
            </w:r>
          </w:p>
        </w:tc>
        <w:tc>
          <w:tcPr>
            <w:tcW w:w="893" w:type="dxa"/>
            <w:vAlign w:val="center"/>
          </w:tcPr>
          <w:p>
            <w:pPr>
              <w:widowControl/>
              <w:jc w:val="center"/>
              <w:textAlignment w:val="center"/>
              <w:rPr>
                <w:color w:val="000000"/>
                <w:szCs w:val="21"/>
              </w:rPr>
            </w:pPr>
            <w:r>
              <w:rPr>
                <w:color w:val="000000"/>
                <w:kern w:val="0"/>
                <w:szCs w:val="21"/>
                <w:lang/>
              </w:rPr>
              <w:t xml:space="preserve">4420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51</w:t>
            </w:r>
          </w:p>
        </w:tc>
        <w:tc>
          <w:tcPr>
            <w:tcW w:w="1877" w:type="dxa"/>
            <w:vAlign w:val="center"/>
          </w:tcPr>
          <w:p>
            <w:pPr>
              <w:widowControl/>
              <w:jc w:val="center"/>
              <w:textAlignment w:val="center"/>
              <w:rPr>
                <w:color w:val="000000"/>
                <w:kern w:val="0"/>
                <w:szCs w:val="21"/>
                <w:lang/>
              </w:rPr>
            </w:pPr>
            <w:r>
              <w:rPr>
                <w:color w:val="000000"/>
                <w:kern w:val="0"/>
                <w:szCs w:val="21"/>
                <w:lang/>
              </w:rPr>
              <w:t>特立路-Ⅱ-1</w:t>
            </w:r>
          </w:p>
        </w:tc>
        <w:tc>
          <w:tcPr>
            <w:tcW w:w="1192" w:type="dxa"/>
            <w:vAlign w:val="center"/>
          </w:tcPr>
          <w:p>
            <w:pPr>
              <w:widowControl/>
              <w:jc w:val="center"/>
              <w:textAlignment w:val="center"/>
              <w:rPr>
                <w:color w:val="000000"/>
                <w:kern w:val="0"/>
                <w:szCs w:val="21"/>
                <w:lang/>
              </w:rPr>
            </w:pPr>
            <w:r>
              <w:rPr>
                <w:color w:val="000000"/>
                <w:kern w:val="0"/>
                <w:szCs w:val="21"/>
                <w:lang/>
              </w:rPr>
              <w:t>漓湘西路</w:t>
            </w:r>
          </w:p>
        </w:tc>
        <w:tc>
          <w:tcPr>
            <w:tcW w:w="1491" w:type="dxa"/>
            <w:vAlign w:val="center"/>
          </w:tcPr>
          <w:p>
            <w:pPr>
              <w:widowControl/>
              <w:jc w:val="center"/>
              <w:textAlignment w:val="center"/>
              <w:rPr>
                <w:color w:val="000000"/>
                <w:kern w:val="0"/>
                <w:szCs w:val="21"/>
                <w:lang/>
              </w:rPr>
            </w:pPr>
            <w:r>
              <w:rPr>
                <w:color w:val="000000"/>
                <w:kern w:val="0"/>
                <w:szCs w:val="21"/>
                <w:lang/>
              </w:rPr>
              <w:t>东升路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3360</w:t>
            </w:r>
          </w:p>
        </w:tc>
        <w:tc>
          <w:tcPr>
            <w:tcW w:w="893" w:type="dxa"/>
            <w:vAlign w:val="center"/>
          </w:tcPr>
          <w:p>
            <w:pPr>
              <w:widowControl/>
              <w:jc w:val="center"/>
              <w:textAlignment w:val="center"/>
              <w:rPr>
                <w:color w:val="000000"/>
                <w:kern w:val="0"/>
                <w:szCs w:val="21"/>
                <w:lang/>
              </w:rPr>
            </w:pPr>
            <w:r>
              <w:rPr>
                <w:color w:val="000000"/>
                <w:kern w:val="0"/>
                <w:szCs w:val="21"/>
                <w:lang/>
              </w:rPr>
              <w:t xml:space="preserve">4760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52</w:t>
            </w:r>
          </w:p>
        </w:tc>
        <w:tc>
          <w:tcPr>
            <w:tcW w:w="1877" w:type="dxa"/>
            <w:vAlign w:val="center"/>
          </w:tcPr>
          <w:p>
            <w:pPr>
              <w:widowControl/>
              <w:jc w:val="center"/>
              <w:textAlignment w:val="center"/>
              <w:rPr>
                <w:color w:val="000000"/>
                <w:kern w:val="0"/>
                <w:szCs w:val="21"/>
                <w:lang/>
              </w:rPr>
            </w:pPr>
            <w:r>
              <w:rPr>
                <w:color w:val="000000"/>
                <w:kern w:val="0"/>
                <w:szCs w:val="21"/>
                <w:lang/>
              </w:rPr>
              <w:t>特立路-Ⅱ-2</w:t>
            </w:r>
          </w:p>
        </w:tc>
        <w:tc>
          <w:tcPr>
            <w:tcW w:w="1192" w:type="dxa"/>
            <w:vAlign w:val="center"/>
          </w:tcPr>
          <w:p>
            <w:pPr>
              <w:widowControl/>
              <w:jc w:val="center"/>
              <w:textAlignment w:val="center"/>
              <w:rPr>
                <w:color w:val="000000"/>
                <w:kern w:val="0"/>
                <w:szCs w:val="21"/>
                <w:lang/>
              </w:rPr>
            </w:pPr>
            <w:r>
              <w:rPr>
                <w:color w:val="000000"/>
                <w:kern w:val="0"/>
                <w:szCs w:val="21"/>
                <w:lang/>
              </w:rPr>
              <w:t>东升路</w:t>
            </w:r>
          </w:p>
        </w:tc>
        <w:tc>
          <w:tcPr>
            <w:tcW w:w="1491" w:type="dxa"/>
            <w:vAlign w:val="center"/>
          </w:tcPr>
          <w:p>
            <w:pPr>
              <w:widowControl/>
              <w:jc w:val="center"/>
              <w:textAlignment w:val="center"/>
              <w:rPr>
                <w:color w:val="000000"/>
                <w:kern w:val="0"/>
                <w:szCs w:val="21"/>
                <w:lang/>
              </w:rPr>
            </w:pPr>
            <w:r>
              <w:rPr>
                <w:color w:val="000000"/>
                <w:kern w:val="0"/>
                <w:szCs w:val="21"/>
                <w:lang/>
              </w:rPr>
              <w:t>星沙大道</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3360</w:t>
            </w:r>
          </w:p>
        </w:tc>
        <w:tc>
          <w:tcPr>
            <w:tcW w:w="893" w:type="dxa"/>
            <w:vAlign w:val="center"/>
          </w:tcPr>
          <w:p>
            <w:pPr>
              <w:widowControl/>
              <w:jc w:val="center"/>
              <w:textAlignment w:val="center"/>
              <w:rPr>
                <w:color w:val="000000"/>
                <w:kern w:val="0"/>
                <w:szCs w:val="21"/>
                <w:lang/>
              </w:rPr>
            </w:pPr>
            <w:r>
              <w:rPr>
                <w:color w:val="000000"/>
                <w:kern w:val="0"/>
                <w:szCs w:val="21"/>
                <w:lang/>
              </w:rPr>
              <w:t xml:space="preserve">5120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53</w:t>
            </w:r>
          </w:p>
        </w:tc>
        <w:tc>
          <w:tcPr>
            <w:tcW w:w="1877" w:type="dxa"/>
            <w:vAlign w:val="center"/>
          </w:tcPr>
          <w:p>
            <w:pPr>
              <w:widowControl/>
              <w:jc w:val="center"/>
              <w:textAlignment w:val="center"/>
              <w:rPr>
                <w:color w:val="000000"/>
                <w:kern w:val="0"/>
                <w:szCs w:val="21"/>
                <w:lang/>
              </w:rPr>
            </w:pPr>
            <w:r>
              <w:rPr>
                <w:color w:val="000000"/>
                <w:kern w:val="0"/>
                <w:szCs w:val="21"/>
                <w:lang/>
              </w:rPr>
              <w:t>特立路-Ⅱ-3</w:t>
            </w:r>
          </w:p>
        </w:tc>
        <w:tc>
          <w:tcPr>
            <w:tcW w:w="1192" w:type="dxa"/>
            <w:vAlign w:val="center"/>
          </w:tcPr>
          <w:p>
            <w:pPr>
              <w:widowControl/>
              <w:jc w:val="center"/>
              <w:textAlignment w:val="center"/>
              <w:rPr>
                <w:color w:val="000000"/>
                <w:kern w:val="0"/>
                <w:szCs w:val="21"/>
                <w:lang/>
              </w:rPr>
            </w:pPr>
            <w:r>
              <w:rPr>
                <w:color w:val="000000"/>
                <w:kern w:val="0"/>
                <w:szCs w:val="21"/>
                <w:lang/>
              </w:rPr>
              <w:t>星沙大道</w:t>
            </w:r>
          </w:p>
        </w:tc>
        <w:tc>
          <w:tcPr>
            <w:tcW w:w="1491" w:type="dxa"/>
            <w:vAlign w:val="center"/>
          </w:tcPr>
          <w:p>
            <w:pPr>
              <w:widowControl/>
              <w:jc w:val="center"/>
              <w:textAlignment w:val="center"/>
              <w:rPr>
                <w:color w:val="000000"/>
                <w:kern w:val="0"/>
                <w:szCs w:val="21"/>
                <w:lang/>
              </w:rPr>
            </w:pPr>
            <w:r>
              <w:rPr>
                <w:color w:val="000000"/>
                <w:kern w:val="0"/>
                <w:szCs w:val="21"/>
                <w:lang/>
              </w:rPr>
              <w:t>东三线</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3360</w:t>
            </w:r>
          </w:p>
        </w:tc>
        <w:tc>
          <w:tcPr>
            <w:tcW w:w="893" w:type="dxa"/>
            <w:vAlign w:val="center"/>
          </w:tcPr>
          <w:p>
            <w:pPr>
              <w:widowControl/>
              <w:jc w:val="center"/>
              <w:textAlignment w:val="center"/>
              <w:rPr>
                <w:color w:val="000000"/>
                <w:kern w:val="0"/>
                <w:szCs w:val="21"/>
                <w:lang/>
              </w:rPr>
            </w:pPr>
            <w:r>
              <w:rPr>
                <w:color w:val="000000"/>
                <w:kern w:val="0"/>
                <w:szCs w:val="21"/>
                <w:lang/>
              </w:rPr>
              <w:t xml:space="preserve">5200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54</w:t>
            </w:r>
          </w:p>
        </w:tc>
        <w:tc>
          <w:tcPr>
            <w:tcW w:w="1877" w:type="dxa"/>
            <w:vAlign w:val="center"/>
          </w:tcPr>
          <w:p>
            <w:pPr>
              <w:widowControl/>
              <w:jc w:val="center"/>
              <w:textAlignment w:val="center"/>
              <w:rPr>
                <w:color w:val="000000"/>
                <w:kern w:val="0"/>
                <w:szCs w:val="21"/>
                <w:lang/>
              </w:rPr>
            </w:pPr>
            <w:r>
              <w:rPr>
                <w:color w:val="000000"/>
                <w:kern w:val="0"/>
                <w:szCs w:val="21"/>
                <w:lang/>
              </w:rPr>
              <w:t>特立路-Ⅱ-4</w:t>
            </w:r>
          </w:p>
        </w:tc>
        <w:tc>
          <w:tcPr>
            <w:tcW w:w="1192" w:type="dxa"/>
            <w:vAlign w:val="center"/>
          </w:tcPr>
          <w:p>
            <w:pPr>
              <w:widowControl/>
              <w:jc w:val="center"/>
              <w:textAlignment w:val="center"/>
              <w:rPr>
                <w:color w:val="000000"/>
                <w:kern w:val="0"/>
                <w:szCs w:val="21"/>
                <w:lang/>
              </w:rPr>
            </w:pPr>
            <w:r>
              <w:rPr>
                <w:color w:val="000000"/>
                <w:kern w:val="0"/>
                <w:szCs w:val="21"/>
                <w:lang/>
              </w:rPr>
              <w:t>东三线</w:t>
            </w:r>
          </w:p>
        </w:tc>
        <w:tc>
          <w:tcPr>
            <w:tcW w:w="1491" w:type="dxa"/>
            <w:vAlign w:val="center"/>
          </w:tcPr>
          <w:p>
            <w:pPr>
              <w:widowControl/>
              <w:jc w:val="center"/>
              <w:textAlignment w:val="center"/>
              <w:rPr>
                <w:color w:val="000000"/>
                <w:kern w:val="0"/>
                <w:szCs w:val="21"/>
                <w:lang/>
              </w:rPr>
            </w:pPr>
            <w:r>
              <w:rPr>
                <w:color w:val="000000"/>
                <w:kern w:val="0"/>
                <w:szCs w:val="21"/>
                <w:lang/>
              </w:rPr>
              <w:t>东七线</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3360</w:t>
            </w:r>
          </w:p>
        </w:tc>
        <w:tc>
          <w:tcPr>
            <w:tcW w:w="893" w:type="dxa"/>
            <w:vAlign w:val="center"/>
          </w:tcPr>
          <w:p>
            <w:pPr>
              <w:widowControl/>
              <w:jc w:val="center"/>
              <w:textAlignment w:val="center"/>
              <w:rPr>
                <w:color w:val="000000"/>
                <w:kern w:val="0"/>
                <w:szCs w:val="21"/>
                <w:lang/>
              </w:rPr>
            </w:pPr>
            <w:r>
              <w:rPr>
                <w:color w:val="000000"/>
                <w:kern w:val="0"/>
                <w:szCs w:val="21"/>
                <w:lang/>
              </w:rPr>
              <w:t xml:space="preserve">4970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55</w:t>
            </w:r>
          </w:p>
        </w:tc>
        <w:tc>
          <w:tcPr>
            <w:tcW w:w="1877" w:type="dxa"/>
            <w:vAlign w:val="center"/>
          </w:tcPr>
          <w:p>
            <w:pPr>
              <w:widowControl/>
              <w:jc w:val="center"/>
              <w:textAlignment w:val="center"/>
              <w:rPr>
                <w:color w:val="000000"/>
                <w:kern w:val="0"/>
                <w:szCs w:val="21"/>
                <w:lang/>
              </w:rPr>
            </w:pPr>
            <w:r>
              <w:rPr>
                <w:color w:val="000000"/>
                <w:kern w:val="0"/>
                <w:szCs w:val="21"/>
                <w:lang/>
              </w:rPr>
              <w:t>开元路中-Ⅱ-1</w:t>
            </w:r>
          </w:p>
        </w:tc>
        <w:tc>
          <w:tcPr>
            <w:tcW w:w="1192" w:type="dxa"/>
            <w:vAlign w:val="center"/>
          </w:tcPr>
          <w:p>
            <w:pPr>
              <w:widowControl/>
              <w:jc w:val="center"/>
              <w:textAlignment w:val="center"/>
              <w:rPr>
                <w:color w:val="000000"/>
                <w:kern w:val="0"/>
                <w:szCs w:val="21"/>
                <w:lang/>
              </w:rPr>
            </w:pPr>
            <w:r>
              <w:rPr>
                <w:color w:val="000000"/>
                <w:kern w:val="0"/>
                <w:szCs w:val="21"/>
                <w:lang/>
              </w:rPr>
              <w:t>漓湘西路</w:t>
            </w:r>
          </w:p>
        </w:tc>
        <w:tc>
          <w:tcPr>
            <w:tcW w:w="1491" w:type="dxa"/>
            <w:vAlign w:val="center"/>
          </w:tcPr>
          <w:p>
            <w:pPr>
              <w:widowControl/>
              <w:jc w:val="center"/>
              <w:textAlignment w:val="center"/>
              <w:rPr>
                <w:color w:val="000000"/>
                <w:kern w:val="0"/>
                <w:szCs w:val="21"/>
                <w:lang/>
              </w:rPr>
            </w:pPr>
            <w:r>
              <w:rPr>
                <w:color w:val="000000"/>
                <w:kern w:val="0"/>
                <w:szCs w:val="21"/>
                <w:lang/>
              </w:rPr>
              <w:t>京珠高速</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3360</w:t>
            </w:r>
          </w:p>
        </w:tc>
        <w:tc>
          <w:tcPr>
            <w:tcW w:w="893" w:type="dxa"/>
            <w:vAlign w:val="center"/>
          </w:tcPr>
          <w:p>
            <w:pPr>
              <w:widowControl/>
              <w:jc w:val="center"/>
              <w:textAlignment w:val="center"/>
              <w:rPr>
                <w:color w:val="000000"/>
                <w:kern w:val="0"/>
                <w:szCs w:val="21"/>
                <w:lang/>
              </w:rPr>
            </w:pPr>
            <w:r>
              <w:rPr>
                <w:color w:val="000000"/>
                <w:kern w:val="0"/>
                <w:szCs w:val="21"/>
                <w:lang/>
              </w:rPr>
              <w:t xml:space="preserve">4640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56</w:t>
            </w:r>
          </w:p>
        </w:tc>
        <w:tc>
          <w:tcPr>
            <w:tcW w:w="1877" w:type="dxa"/>
            <w:vAlign w:val="center"/>
          </w:tcPr>
          <w:p>
            <w:pPr>
              <w:widowControl/>
              <w:jc w:val="center"/>
              <w:textAlignment w:val="center"/>
              <w:rPr>
                <w:color w:val="000000"/>
                <w:kern w:val="0"/>
                <w:szCs w:val="21"/>
                <w:lang/>
              </w:rPr>
            </w:pPr>
            <w:r>
              <w:rPr>
                <w:color w:val="000000"/>
                <w:kern w:val="0"/>
                <w:szCs w:val="21"/>
                <w:lang/>
              </w:rPr>
              <w:t>开元路中-Ⅱ-2</w:t>
            </w:r>
          </w:p>
        </w:tc>
        <w:tc>
          <w:tcPr>
            <w:tcW w:w="1192" w:type="dxa"/>
            <w:vAlign w:val="center"/>
          </w:tcPr>
          <w:p>
            <w:pPr>
              <w:widowControl/>
              <w:jc w:val="center"/>
              <w:textAlignment w:val="center"/>
              <w:rPr>
                <w:color w:val="000000"/>
                <w:kern w:val="0"/>
                <w:szCs w:val="21"/>
                <w:lang/>
              </w:rPr>
            </w:pPr>
            <w:r>
              <w:rPr>
                <w:color w:val="000000"/>
                <w:kern w:val="0"/>
                <w:szCs w:val="21"/>
                <w:lang/>
              </w:rPr>
              <w:t>东三线</w:t>
            </w:r>
          </w:p>
        </w:tc>
        <w:tc>
          <w:tcPr>
            <w:tcW w:w="1491" w:type="dxa"/>
            <w:vAlign w:val="center"/>
          </w:tcPr>
          <w:p>
            <w:pPr>
              <w:widowControl/>
              <w:jc w:val="center"/>
              <w:textAlignment w:val="center"/>
              <w:rPr>
                <w:color w:val="000000"/>
                <w:kern w:val="0"/>
                <w:szCs w:val="21"/>
                <w:lang/>
              </w:rPr>
            </w:pPr>
            <w:r>
              <w:rPr>
                <w:color w:val="000000"/>
                <w:kern w:val="0"/>
                <w:szCs w:val="21"/>
                <w:lang/>
              </w:rPr>
              <w:t>东七线</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3360</w:t>
            </w:r>
          </w:p>
        </w:tc>
        <w:tc>
          <w:tcPr>
            <w:tcW w:w="893" w:type="dxa"/>
            <w:vAlign w:val="center"/>
          </w:tcPr>
          <w:p>
            <w:pPr>
              <w:widowControl/>
              <w:jc w:val="center"/>
              <w:textAlignment w:val="center"/>
              <w:rPr>
                <w:color w:val="000000"/>
                <w:kern w:val="0"/>
                <w:szCs w:val="21"/>
                <w:lang/>
              </w:rPr>
            </w:pPr>
            <w:r>
              <w:rPr>
                <w:color w:val="000000"/>
                <w:kern w:val="0"/>
                <w:szCs w:val="21"/>
                <w:lang/>
              </w:rPr>
              <w:t xml:space="preserve">4700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57</w:t>
            </w:r>
          </w:p>
        </w:tc>
        <w:tc>
          <w:tcPr>
            <w:tcW w:w="1877" w:type="dxa"/>
            <w:vAlign w:val="center"/>
          </w:tcPr>
          <w:p>
            <w:pPr>
              <w:widowControl/>
              <w:jc w:val="center"/>
              <w:textAlignment w:val="center"/>
              <w:rPr>
                <w:color w:val="000000"/>
                <w:kern w:val="0"/>
                <w:szCs w:val="21"/>
                <w:lang/>
              </w:rPr>
            </w:pPr>
            <w:r>
              <w:rPr>
                <w:color w:val="000000"/>
                <w:kern w:val="0"/>
                <w:szCs w:val="21"/>
                <w:lang/>
              </w:rPr>
              <w:t>望仙路-Ⅱ</w:t>
            </w:r>
          </w:p>
        </w:tc>
        <w:tc>
          <w:tcPr>
            <w:tcW w:w="1192" w:type="dxa"/>
            <w:vAlign w:val="center"/>
          </w:tcPr>
          <w:p>
            <w:pPr>
              <w:widowControl/>
              <w:jc w:val="center"/>
              <w:textAlignment w:val="center"/>
              <w:rPr>
                <w:color w:val="000000"/>
                <w:kern w:val="0"/>
                <w:szCs w:val="21"/>
                <w:lang/>
              </w:rPr>
            </w:pPr>
            <w:r>
              <w:rPr>
                <w:color w:val="000000"/>
                <w:kern w:val="0"/>
                <w:szCs w:val="21"/>
                <w:lang/>
              </w:rPr>
              <w:t>东三线</w:t>
            </w:r>
          </w:p>
        </w:tc>
        <w:tc>
          <w:tcPr>
            <w:tcW w:w="1491" w:type="dxa"/>
            <w:vAlign w:val="center"/>
          </w:tcPr>
          <w:p>
            <w:pPr>
              <w:widowControl/>
              <w:jc w:val="center"/>
              <w:textAlignment w:val="center"/>
              <w:rPr>
                <w:color w:val="000000"/>
                <w:kern w:val="0"/>
                <w:szCs w:val="21"/>
                <w:lang/>
              </w:rPr>
            </w:pPr>
            <w:r>
              <w:rPr>
                <w:color w:val="000000"/>
                <w:kern w:val="0"/>
                <w:szCs w:val="21"/>
                <w:lang/>
              </w:rPr>
              <w:t>东七线</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3360</w:t>
            </w:r>
          </w:p>
        </w:tc>
        <w:tc>
          <w:tcPr>
            <w:tcW w:w="893" w:type="dxa"/>
            <w:vAlign w:val="center"/>
          </w:tcPr>
          <w:p>
            <w:pPr>
              <w:widowControl/>
              <w:jc w:val="center"/>
              <w:textAlignment w:val="center"/>
              <w:rPr>
                <w:color w:val="000000"/>
                <w:kern w:val="0"/>
                <w:szCs w:val="21"/>
                <w:lang/>
              </w:rPr>
            </w:pPr>
            <w:r>
              <w:rPr>
                <w:color w:val="000000"/>
                <w:kern w:val="0"/>
                <w:szCs w:val="21"/>
                <w:lang/>
              </w:rPr>
              <w:t xml:space="preserve">4530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58</w:t>
            </w:r>
          </w:p>
        </w:tc>
        <w:tc>
          <w:tcPr>
            <w:tcW w:w="1877" w:type="dxa"/>
            <w:vAlign w:val="center"/>
          </w:tcPr>
          <w:p>
            <w:pPr>
              <w:widowControl/>
              <w:jc w:val="center"/>
              <w:textAlignment w:val="center"/>
              <w:rPr>
                <w:color w:val="000000"/>
                <w:kern w:val="0"/>
                <w:szCs w:val="21"/>
                <w:lang/>
              </w:rPr>
            </w:pPr>
            <w:r>
              <w:rPr>
                <w:color w:val="000000"/>
                <w:kern w:val="0"/>
                <w:szCs w:val="21"/>
                <w:lang/>
              </w:rPr>
              <w:t>棠坡路-Ⅱ</w:t>
            </w:r>
          </w:p>
        </w:tc>
        <w:tc>
          <w:tcPr>
            <w:tcW w:w="1192" w:type="dxa"/>
            <w:vAlign w:val="center"/>
          </w:tcPr>
          <w:p>
            <w:pPr>
              <w:widowControl/>
              <w:jc w:val="center"/>
              <w:textAlignment w:val="center"/>
              <w:rPr>
                <w:color w:val="000000"/>
                <w:kern w:val="0"/>
                <w:szCs w:val="21"/>
                <w:lang/>
              </w:rPr>
            </w:pPr>
            <w:r>
              <w:rPr>
                <w:color w:val="000000"/>
                <w:kern w:val="0"/>
                <w:szCs w:val="21"/>
                <w:lang/>
              </w:rPr>
              <w:t>东三线</w:t>
            </w:r>
          </w:p>
        </w:tc>
        <w:tc>
          <w:tcPr>
            <w:tcW w:w="1491" w:type="dxa"/>
            <w:vAlign w:val="center"/>
          </w:tcPr>
          <w:p>
            <w:pPr>
              <w:widowControl/>
              <w:jc w:val="center"/>
              <w:textAlignment w:val="center"/>
              <w:rPr>
                <w:color w:val="000000"/>
                <w:kern w:val="0"/>
                <w:szCs w:val="21"/>
                <w:lang/>
              </w:rPr>
            </w:pPr>
            <w:r>
              <w:rPr>
                <w:color w:val="000000"/>
                <w:kern w:val="0"/>
                <w:szCs w:val="21"/>
                <w:lang/>
              </w:rPr>
              <w:t>东七线</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3360</w:t>
            </w:r>
          </w:p>
        </w:tc>
        <w:tc>
          <w:tcPr>
            <w:tcW w:w="893" w:type="dxa"/>
            <w:vAlign w:val="center"/>
          </w:tcPr>
          <w:p>
            <w:pPr>
              <w:widowControl/>
              <w:jc w:val="center"/>
              <w:textAlignment w:val="center"/>
              <w:rPr>
                <w:color w:val="000000"/>
                <w:kern w:val="0"/>
                <w:szCs w:val="21"/>
                <w:lang/>
              </w:rPr>
            </w:pPr>
            <w:r>
              <w:rPr>
                <w:color w:val="000000"/>
                <w:kern w:val="0"/>
                <w:szCs w:val="21"/>
                <w:lang/>
              </w:rPr>
              <w:t xml:space="preserve">4635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59</w:t>
            </w:r>
          </w:p>
        </w:tc>
        <w:tc>
          <w:tcPr>
            <w:tcW w:w="1877" w:type="dxa"/>
            <w:vAlign w:val="center"/>
          </w:tcPr>
          <w:p>
            <w:pPr>
              <w:widowControl/>
              <w:jc w:val="center"/>
              <w:textAlignment w:val="center"/>
              <w:rPr>
                <w:color w:val="000000"/>
                <w:kern w:val="0"/>
                <w:szCs w:val="21"/>
                <w:lang/>
              </w:rPr>
            </w:pPr>
            <w:r>
              <w:rPr>
                <w:color w:val="000000"/>
                <w:kern w:val="0"/>
                <w:szCs w:val="21"/>
                <w:lang/>
              </w:rPr>
              <w:t>凉塘路-Ⅱ</w:t>
            </w:r>
          </w:p>
        </w:tc>
        <w:tc>
          <w:tcPr>
            <w:tcW w:w="1192" w:type="dxa"/>
            <w:vAlign w:val="center"/>
          </w:tcPr>
          <w:p>
            <w:pPr>
              <w:widowControl/>
              <w:jc w:val="center"/>
              <w:textAlignment w:val="center"/>
              <w:rPr>
                <w:color w:val="000000"/>
                <w:kern w:val="0"/>
                <w:szCs w:val="21"/>
                <w:lang/>
              </w:rPr>
            </w:pPr>
            <w:r>
              <w:rPr>
                <w:color w:val="000000"/>
                <w:kern w:val="0"/>
                <w:szCs w:val="21"/>
                <w:lang/>
              </w:rPr>
              <w:t>东一线</w:t>
            </w:r>
          </w:p>
        </w:tc>
        <w:tc>
          <w:tcPr>
            <w:tcW w:w="1491" w:type="dxa"/>
            <w:vAlign w:val="center"/>
          </w:tcPr>
          <w:p>
            <w:pPr>
              <w:widowControl/>
              <w:jc w:val="center"/>
              <w:textAlignment w:val="center"/>
              <w:rPr>
                <w:color w:val="000000"/>
                <w:kern w:val="0"/>
                <w:szCs w:val="21"/>
                <w:lang/>
              </w:rPr>
            </w:pPr>
            <w:r>
              <w:rPr>
                <w:color w:val="000000"/>
                <w:kern w:val="0"/>
                <w:szCs w:val="21"/>
                <w:lang/>
              </w:rPr>
              <w:t>东七线</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3360</w:t>
            </w:r>
          </w:p>
        </w:tc>
        <w:tc>
          <w:tcPr>
            <w:tcW w:w="893" w:type="dxa"/>
            <w:vAlign w:val="center"/>
          </w:tcPr>
          <w:p>
            <w:pPr>
              <w:widowControl/>
              <w:jc w:val="center"/>
              <w:textAlignment w:val="center"/>
              <w:rPr>
                <w:color w:val="000000"/>
                <w:kern w:val="0"/>
                <w:szCs w:val="21"/>
                <w:lang/>
              </w:rPr>
            </w:pPr>
            <w:r>
              <w:rPr>
                <w:color w:val="000000"/>
                <w:kern w:val="0"/>
                <w:szCs w:val="21"/>
                <w:lang/>
              </w:rPr>
              <w:t xml:space="preserve">4600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60</w:t>
            </w:r>
          </w:p>
        </w:tc>
        <w:tc>
          <w:tcPr>
            <w:tcW w:w="1877" w:type="dxa"/>
            <w:vAlign w:val="center"/>
          </w:tcPr>
          <w:p>
            <w:pPr>
              <w:widowControl/>
              <w:jc w:val="center"/>
              <w:textAlignment w:val="center"/>
              <w:rPr>
                <w:color w:val="000000"/>
                <w:kern w:val="0"/>
                <w:szCs w:val="21"/>
                <w:lang/>
              </w:rPr>
            </w:pPr>
            <w:r>
              <w:rPr>
                <w:color w:val="000000"/>
                <w:kern w:val="0"/>
                <w:szCs w:val="21"/>
                <w:lang/>
              </w:rPr>
              <w:t>漓湘路-Ⅱ-1</w:t>
            </w:r>
          </w:p>
        </w:tc>
        <w:tc>
          <w:tcPr>
            <w:tcW w:w="1192" w:type="dxa"/>
            <w:vAlign w:val="center"/>
          </w:tcPr>
          <w:p>
            <w:pPr>
              <w:widowControl/>
              <w:jc w:val="center"/>
              <w:textAlignment w:val="center"/>
              <w:rPr>
                <w:color w:val="000000"/>
                <w:kern w:val="0"/>
                <w:szCs w:val="21"/>
                <w:lang/>
              </w:rPr>
            </w:pPr>
            <w:r>
              <w:rPr>
                <w:color w:val="000000"/>
                <w:kern w:val="0"/>
                <w:szCs w:val="21"/>
                <w:lang/>
              </w:rPr>
              <w:t>京珠高速</w:t>
            </w:r>
          </w:p>
        </w:tc>
        <w:tc>
          <w:tcPr>
            <w:tcW w:w="1491" w:type="dxa"/>
            <w:vAlign w:val="center"/>
          </w:tcPr>
          <w:p>
            <w:pPr>
              <w:widowControl/>
              <w:jc w:val="center"/>
              <w:textAlignment w:val="center"/>
              <w:rPr>
                <w:color w:val="000000"/>
                <w:kern w:val="0"/>
                <w:szCs w:val="21"/>
                <w:lang/>
              </w:rPr>
            </w:pPr>
            <w:r>
              <w:rPr>
                <w:color w:val="000000"/>
                <w:kern w:val="0"/>
                <w:szCs w:val="21"/>
                <w:lang/>
              </w:rPr>
              <w:t>东一线</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3360</w:t>
            </w:r>
          </w:p>
        </w:tc>
        <w:tc>
          <w:tcPr>
            <w:tcW w:w="893" w:type="dxa"/>
            <w:vAlign w:val="center"/>
          </w:tcPr>
          <w:p>
            <w:pPr>
              <w:widowControl/>
              <w:jc w:val="center"/>
              <w:textAlignment w:val="center"/>
              <w:rPr>
                <w:color w:val="000000"/>
                <w:kern w:val="0"/>
                <w:szCs w:val="21"/>
                <w:lang/>
              </w:rPr>
            </w:pPr>
            <w:r>
              <w:rPr>
                <w:color w:val="000000"/>
                <w:kern w:val="0"/>
                <w:szCs w:val="21"/>
                <w:lang/>
              </w:rPr>
              <w:t xml:space="preserve">4500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61</w:t>
            </w:r>
          </w:p>
        </w:tc>
        <w:tc>
          <w:tcPr>
            <w:tcW w:w="1877" w:type="dxa"/>
            <w:vAlign w:val="center"/>
          </w:tcPr>
          <w:p>
            <w:pPr>
              <w:widowControl/>
              <w:jc w:val="center"/>
              <w:textAlignment w:val="center"/>
              <w:rPr>
                <w:color w:val="000000"/>
                <w:kern w:val="0"/>
                <w:szCs w:val="21"/>
                <w:lang/>
              </w:rPr>
            </w:pPr>
            <w:r>
              <w:rPr>
                <w:color w:val="000000"/>
                <w:kern w:val="0"/>
                <w:szCs w:val="21"/>
                <w:lang/>
              </w:rPr>
              <w:t>漓湘路-Ⅱ-2</w:t>
            </w:r>
          </w:p>
        </w:tc>
        <w:tc>
          <w:tcPr>
            <w:tcW w:w="1192" w:type="dxa"/>
            <w:vAlign w:val="center"/>
          </w:tcPr>
          <w:p>
            <w:pPr>
              <w:widowControl/>
              <w:jc w:val="center"/>
              <w:textAlignment w:val="center"/>
              <w:rPr>
                <w:color w:val="000000"/>
                <w:kern w:val="0"/>
                <w:szCs w:val="21"/>
                <w:lang/>
              </w:rPr>
            </w:pPr>
            <w:r>
              <w:rPr>
                <w:color w:val="000000"/>
                <w:kern w:val="0"/>
                <w:szCs w:val="21"/>
                <w:lang/>
              </w:rPr>
              <w:t>东一线</w:t>
            </w:r>
          </w:p>
        </w:tc>
        <w:tc>
          <w:tcPr>
            <w:tcW w:w="1491" w:type="dxa"/>
            <w:vAlign w:val="center"/>
          </w:tcPr>
          <w:p>
            <w:pPr>
              <w:widowControl/>
              <w:jc w:val="center"/>
              <w:textAlignment w:val="center"/>
              <w:rPr>
                <w:color w:val="000000"/>
                <w:kern w:val="0"/>
                <w:szCs w:val="21"/>
                <w:lang/>
              </w:rPr>
            </w:pPr>
            <w:r>
              <w:rPr>
                <w:color w:val="000000"/>
                <w:kern w:val="0"/>
                <w:szCs w:val="21"/>
                <w:lang/>
              </w:rPr>
              <w:t>东四线</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3360</w:t>
            </w:r>
          </w:p>
        </w:tc>
        <w:tc>
          <w:tcPr>
            <w:tcW w:w="893" w:type="dxa"/>
            <w:vAlign w:val="center"/>
          </w:tcPr>
          <w:p>
            <w:pPr>
              <w:widowControl/>
              <w:jc w:val="center"/>
              <w:textAlignment w:val="center"/>
              <w:rPr>
                <w:color w:val="000000"/>
                <w:kern w:val="0"/>
                <w:szCs w:val="21"/>
                <w:lang/>
              </w:rPr>
            </w:pPr>
            <w:r>
              <w:rPr>
                <w:color w:val="000000"/>
                <w:kern w:val="0"/>
                <w:szCs w:val="21"/>
                <w:lang/>
              </w:rPr>
              <w:t xml:space="preserve">5150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blHeader/>
          <w:jc w:val="center"/>
        </w:trPr>
        <w:tc>
          <w:tcPr>
            <w:tcW w:w="795" w:type="dxa"/>
            <w:vAlign w:val="center"/>
          </w:tcPr>
          <w:p>
            <w:pPr>
              <w:widowControl/>
              <w:jc w:val="center"/>
              <w:textAlignment w:val="center"/>
              <w:rPr>
                <w:color w:val="000000"/>
                <w:kern w:val="0"/>
                <w:szCs w:val="21"/>
                <w:lang/>
              </w:rPr>
            </w:pPr>
            <w:r>
              <w:rPr>
                <w:color w:val="000000"/>
                <w:kern w:val="0"/>
                <w:szCs w:val="21"/>
                <w:lang/>
              </w:rPr>
              <w:t>62</w:t>
            </w:r>
          </w:p>
        </w:tc>
        <w:tc>
          <w:tcPr>
            <w:tcW w:w="1877" w:type="dxa"/>
            <w:vAlign w:val="center"/>
          </w:tcPr>
          <w:p>
            <w:pPr>
              <w:widowControl/>
              <w:jc w:val="center"/>
              <w:textAlignment w:val="center"/>
              <w:rPr>
                <w:color w:val="000000"/>
                <w:kern w:val="0"/>
                <w:szCs w:val="21"/>
                <w:lang/>
              </w:rPr>
            </w:pPr>
            <w:r>
              <w:rPr>
                <w:color w:val="000000"/>
                <w:kern w:val="0"/>
                <w:szCs w:val="21"/>
                <w:lang/>
              </w:rPr>
              <w:t>漓湘路-Ⅱ-3</w:t>
            </w:r>
          </w:p>
        </w:tc>
        <w:tc>
          <w:tcPr>
            <w:tcW w:w="1192" w:type="dxa"/>
            <w:vAlign w:val="center"/>
          </w:tcPr>
          <w:p>
            <w:pPr>
              <w:widowControl/>
              <w:jc w:val="center"/>
              <w:textAlignment w:val="center"/>
              <w:rPr>
                <w:color w:val="000000"/>
                <w:kern w:val="0"/>
                <w:szCs w:val="21"/>
                <w:lang/>
              </w:rPr>
            </w:pPr>
            <w:r>
              <w:rPr>
                <w:color w:val="000000"/>
                <w:kern w:val="0"/>
                <w:szCs w:val="21"/>
                <w:lang/>
              </w:rPr>
              <w:t>东四线</w:t>
            </w:r>
          </w:p>
        </w:tc>
        <w:tc>
          <w:tcPr>
            <w:tcW w:w="1491" w:type="dxa"/>
            <w:vAlign w:val="center"/>
          </w:tcPr>
          <w:p>
            <w:pPr>
              <w:widowControl/>
              <w:jc w:val="center"/>
              <w:textAlignment w:val="center"/>
              <w:rPr>
                <w:color w:val="000000"/>
                <w:kern w:val="0"/>
                <w:szCs w:val="21"/>
                <w:lang/>
              </w:rPr>
            </w:pPr>
            <w:r>
              <w:rPr>
                <w:color w:val="000000"/>
                <w:kern w:val="0"/>
                <w:szCs w:val="21"/>
                <w:lang/>
              </w:rPr>
              <w:t>东七线</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3360</w:t>
            </w:r>
          </w:p>
        </w:tc>
        <w:tc>
          <w:tcPr>
            <w:tcW w:w="893" w:type="dxa"/>
            <w:vAlign w:val="center"/>
          </w:tcPr>
          <w:p>
            <w:pPr>
              <w:widowControl/>
              <w:jc w:val="center"/>
              <w:textAlignment w:val="center"/>
              <w:rPr>
                <w:color w:val="000000"/>
                <w:kern w:val="0"/>
                <w:szCs w:val="21"/>
                <w:lang/>
              </w:rPr>
            </w:pPr>
            <w:r>
              <w:rPr>
                <w:color w:val="000000"/>
                <w:kern w:val="0"/>
                <w:szCs w:val="21"/>
                <w:lang/>
              </w:rPr>
              <w:t xml:space="preserve">4860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63</w:t>
            </w:r>
          </w:p>
        </w:tc>
        <w:tc>
          <w:tcPr>
            <w:tcW w:w="1877" w:type="dxa"/>
            <w:vAlign w:val="center"/>
          </w:tcPr>
          <w:p>
            <w:pPr>
              <w:widowControl/>
              <w:jc w:val="center"/>
              <w:textAlignment w:val="center"/>
              <w:rPr>
                <w:color w:val="000000"/>
                <w:kern w:val="0"/>
                <w:szCs w:val="21"/>
                <w:lang/>
              </w:rPr>
            </w:pPr>
            <w:r>
              <w:rPr>
                <w:color w:val="000000"/>
                <w:kern w:val="0"/>
                <w:szCs w:val="21"/>
                <w:lang/>
              </w:rPr>
              <w:t>万家丽路-Ⅱ-1</w:t>
            </w:r>
          </w:p>
        </w:tc>
        <w:tc>
          <w:tcPr>
            <w:tcW w:w="1192" w:type="dxa"/>
            <w:vAlign w:val="center"/>
          </w:tcPr>
          <w:p>
            <w:pPr>
              <w:widowControl/>
              <w:jc w:val="center"/>
              <w:textAlignment w:val="center"/>
              <w:rPr>
                <w:color w:val="000000"/>
                <w:kern w:val="0"/>
                <w:szCs w:val="21"/>
                <w:lang/>
              </w:rPr>
            </w:pPr>
            <w:r>
              <w:rPr>
                <w:color w:val="000000"/>
                <w:kern w:val="0"/>
                <w:szCs w:val="21"/>
                <w:lang/>
              </w:rPr>
              <w:t>捞刀河路</w:t>
            </w:r>
          </w:p>
        </w:tc>
        <w:tc>
          <w:tcPr>
            <w:tcW w:w="1491" w:type="dxa"/>
            <w:vAlign w:val="center"/>
          </w:tcPr>
          <w:p>
            <w:pPr>
              <w:widowControl/>
              <w:jc w:val="center"/>
              <w:textAlignment w:val="center"/>
              <w:rPr>
                <w:color w:val="000000"/>
                <w:kern w:val="0"/>
                <w:szCs w:val="21"/>
                <w:lang/>
              </w:rPr>
            </w:pPr>
            <w:r>
              <w:rPr>
                <w:color w:val="000000"/>
                <w:kern w:val="0"/>
                <w:szCs w:val="21"/>
                <w:lang/>
              </w:rPr>
              <w:t>滨湖西路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3360</w:t>
            </w:r>
          </w:p>
        </w:tc>
        <w:tc>
          <w:tcPr>
            <w:tcW w:w="893" w:type="dxa"/>
            <w:vAlign w:val="center"/>
          </w:tcPr>
          <w:p>
            <w:pPr>
              <w:widowControl/>
              <w:jc w:val="center"/>
              <w:textAlignment w:val="center"/>
              <w:rPr>
                <w:color w:val="000000"/>
                <w:kern w:val="0"/>
                <w:szCs w:val="21"/>
                <w:lang/>
              </w:rPr>
            </w:pPr>
            <w:r>
              <w:rPr>
                <w:color w:val="000000"/>
                <w:kern w:val="0"/>
                <w:szCs w:val="21"/>
                <w:lang/>
              </w:rPr>
              <w:t xml:space="preserve">4355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64</w:t>
            </w:r>
          </w:p>
        </w:tc>
        <w:tc>
          <w:tcPr>
            <w:tcW w:w="1877" w:type="dxa"/>
            <w:vAlign w:val="center"/>
          </w:tcPr>
          <w:p>
            <w:pPr>
              <w:widowControl/>
              <w:jc w:val="center"/>
              <w:textAlignment w:val="center"/>
              <w:rPr>
                <w:color w:val="000000"/>
                <w:kern w:val="0"/>
                <w:szCs w:val="21"/>
                <w:lang/>
              </w:rPr>
            </w:pPr>
            <w:r>
              <w:rPr>
                <w:color w:val="000000"/>
                <w:kern w:val="0"/>
                <w:szCs w:val="21"/>
                <w:lang/>
              </w:rPr>
              <w:t>万家丽路-Ⅱ-2</w:t>
            </w:r>
          </w:p>
        </w:tc>
        <w:tc>
          <w:tcPr>
            <w:tcW w:w="1192" w:type="dxa"/>
            <w:vAlign w:val="center"/>
          </w:tcPr>
          <w:p>
            <w:pPr>
              <w:widowControl/>
              <w:jc w:val="center"/>
              <w:textAlignment w:val="center"/>
              <w:rPr>
                <w:color w:val="000000"/>
                <w:kern w:val="0"/>
                <w:szCs w:val="21"/>
                <w:lang/>
              </w:rPr>
            </w:pPr>
            <w:r>
              <w:rPr>
                <w:color w:val="000000"/>
                <w:kern w:val="0"/>
                <w:szCs w:val="21"/>
                <w:lang/>
              </w:rPr>
              <w:t>滨湖西路</w:t>
            </w:r>
          </w:p>
        </w:tc>
        <w:tc>
          <w:tcPr>
            <w:tcW w:w="1491" w:type="dxa"/>
            <w:vAlign w:val="center"/>
          </w:tcPr>
          <w:p>
            <w:pPr>
              <w:widowControl/>
              <w:jc w:val="center"/>
              <w:textAlignment w:val="center"/>
              <w:rPr>
                <w:color w:val="000000"/>
                <w:kern w:val="0"/>
                <w:szCs w:val="21"/>
                <w:lang/>
              </w:rPr>
            </w:pPr>
            <w:r>
              <w:rPr>
                <w:color w:val="000000"/>
                <w:kern w:val="0"/>
                <w:szCs w:val="21"/>
                <w:lang/>
              </w:rPr>
              <w:t>特立西路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3360</w:t>
            </w:r>
          </w:p>
        </w:tc>
        <w:tc>
          <w:tcPr>
            <w:tcW w:w="893" w:type="dxa"/>
            <w:vAlign w:val="center"/>
          </w:tcPr>
          <w:p>
            <w:pPr>
              <w:widowControl/>
              <w:jc w:val="center"/>
              <w:textAlignment w:val="center"/>
              <w:rPr>
                <w:color w:val="000000"/>
                <w:kern w:val="0"/>
                <w:szCs w:val="21"/>
                <w:lang/>
              </w:rPr>
            </w:pPr>
            <w:r>
              <w:rPr>
                <w:color w:val="000000"/>
                <w:kern w:val="0"/>
                <w:szCs w:val="21"/>
                <w:lang/>
              </w:rPr>
              <w:t xml:space="preserve">4560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65</w:t>
            </w:r>
          </w:p>
        </w:tc>
        <w:tc>
          <w:tcPr>
            <w:tcW w:w="1877" w:type="dxa"/>
            <w:vAlign w:val="center"/>
          </w:tcPr>
          <w:p>
            <w:pPr>
              <w:widowControl/>
              <w:jc w:val="center"/>
              <w:textAlignment w:val="center"/>
              <w:rPr>
                <w:color w:val="000000"/>
                <w:kern w:val="0"/>
                <w:szCs w:val="21"/>
                <w:lang/>
              </w:rPr>
            </w:pPr>
            <w:r>
              <w:rPr>
                <w:color w:val="000000"/>
                <w:kern w:val="0"/>
                <w:szCs w:val="21"/>
                <w:lang/>
              </w:rPr>
              <w:t>黄兴大道-Ⅲ-1</w:t>
            </w:r>
          </w:p>
        </w:tc>
        <w:tc>
          <w:tcPr>
            <w:tcW w:w="1192" w:type="dxa"/>
            <w:vAlign w:val="center"/>
          </w:tcPr>
          <w:p>
            <w:pPr>
              <w:widowControl/>
              <w:jc w:val="center"/>
              <w:textAlignment w:val="center"/>
              <w:rPr>
                <w:color w:val="000000"/>
                <w:kern w:val="0"/>
                <w:szCs w:val="21"/>
                <w:lang/>
              </w:rPr>
            </w:pPr>
            <w:r>
              <w:rPr>
                <w:color w:val="000000"/>
                <w:kern w:val="0"/>
                <w:szCs w:val="21"/>
                <w:lang/>
              </w:rPr>
              <w:t>滨湖中路</w:t>
            </w:r>
          </w:p>
        </w:tc>
        <w:tc>
          <w:tcPr>
            <w:tcW w:w="1491" w:type="dxa"/>
            <w:vAlign w:val="center"/>
          </w:tcPr>
          <w:p>
            <w:pPr>
              <w:widowControl/>
              <w:jc w:val="center"/>
              <w:textAlignment w:val="center"/>
              <w:rPr>
                <w:color w:val="000000"/>
                <w:kern w:val="0"/>
                <w:szCs w:val="21"/>
                <w:lang/>
              </w:rPr>
            </w:pPr>
            <w:r>
              <w:rPr>
                <w:color w:val="000000"/>
                <w:kern w:val="0"/>
                <w:szCs w:val="21"/>
                <w:lang/>
              </w:rPr>
              <w:t>长浏高速</w:t>
            </w:r>
          </w:p>
        </w:tc>
        <w:tc>
          <w:tcPr>
            <w:tcW w:w="1071" w:type="dxa"/>
            <w:vMerge w:val="restart"/>
            <w:vAlign w:val="center"/>
          </w:tcPr>
          <w:p>
            <w:pPr>
              <w:jc w:val="center"/>
              <w:rPr>
                <w:color w:val="000000"/>
                <w:szCs w:val="21"/>
              </w:rPr>
            </w:pPr>
            <w:r>
              <w:rPr>
                <w:color w:val="000000"/>
                <w:kern w:val="0"/>
                <w:szCs w:val="21"/>
                <w:lang/>
              </w:rPr>
              <w:t>Ⅲ级</w:t>
            </w:r>
          </w:p>
        </w:tc>
        <w:tc>
          <w:tcPr>
            <w:tcW w:w="1017" w:type="dxa"/>
            <w:vAlign w:val="center"/>
          </w:tcPr>
          <w:p>
            <w:pPr>
              <w:widowControl/>
              <w:jc w:val="center"/>
              <w:textAlignment w:val="center"/>
              <w:rPr>
                <w:color w:val="000000"/>
                <w:kern w:val="0"/>
                <w:szCs w:val="21"/>
                <w:lang/>
              </w:rPr>
            </w:pPr>
            <w:r>
              <w:rPr>
                <w:color w:val="000000"/>
                <w:kern w:val="0"/>
                <w:szCs w:val="21"/>
                <w:lang/>
              </w:rPr>
              <w:t>2550</w:t>
            </w:r>
          </w:p>
        </w:tc>
        <w:tc>
          <w:tcPr>
            <w:tcW w:w="893" w:type="dxa"/>
            <w:vAlign w:val="center"/>
          </w:tcPr>
          <w:p>
            <w:pPr>
              <w:widowControl/>
              <w:jc w:val="center"/>
              <w:textAlignment w:val="center"/>
              <w:rPr>
                <w:color w:val="000000"/>
                <w:kern w:val="0"/>
                <w:szCs w:val="21"/>
                <w:lang/>
              </w:rPr>
            </w:pPr>
            <w:r>
              <w:rPr>
                <w:color w:val="000000"/>
                <w:kern w:val="0"/>
                <w:szCs w:val="21"/>
                <w:lang/>
              </w:rPr>
              <w:t xml:space="preserve">3420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66</w:t>
            </w:r>
          </w:p>
        </w:tc>
        <w:tc>
          <w:tcPr>
            <w:tcW w:w="1877" w:type="dxa"/>
            <w:vAlign w:val="center"/>
          </w:tcPr>
          <w:p>
            <w:pPr>
              <w:widowControl/>
              <w:jc w:val="center"/>
              <w:textAlignment w:val="center"/>
              <w:rPr>
                <w:color w:val="000000"/>
                <w:kern w:val="0"/>
                <w:szCs w:val="21"/>
                <w:lang/>
              </w:rPr>
            </w:pPr>
            <w:r>
              <w:rPr>
                <w:color w:val="000000"/>
                <w:kern w:val="0"/>
                <w:szCs w:val="21"/>
                <w:lang/>
              </w:rPr>
              <w:t>黄兴大道-Ⅲ-2</w:t>
            </w:r>
          </w:p>
        </w:tc>
        <w:tc>
          <w:tcPr>
            <w:tcW w:w="1192" w:type="dxa"/>
            <w:vAlign w:val="center"/>
          </w:tcPr>
          <w:p>
            <w:pPr>
              <w:widowControl/>
              <w:jc w:val="center"/>
              <w:textAlignment w:val="center"/>
              <w:rPr>
                <w:color w:val="000000"/>
                <w:kern w:val="0"/>
                <w:szCs w:val="21"/>
                <w:lang/>
              </w:rPr>
            </w:pPr>
            <w:r>
              <w:rPr>
                <w:color w:val="000000"/>
                <w:kern w:val="0"/>
                <w:szCs w:val="21"/>
                <w:lang/>
              </w:rPr>
              <w:t>长浏高速</w:t>
            </w:r>
          </w:p>
        </w:tc>
        <w:tc>
          <w:tcPr>
            <w:tcW w:w="1491" w:type="dxa"/>
            <w:vAlign w:val="center"/>
          </w:tcPr>
          <w:p>
            <w:pPr>
              <w:widowControl/>
              <w:jc w:val="center"/>
              <w:textAlignment w:val="center"/>
              <w:rPr>
                <w:color w:val="000000"/>
                <w:kern w:val="0"/>
                <w:szCs w:val="21"/>
                <w:lang/>
              </w:rPr>
            </w:pPr>
            <w:r>
              <w:rPr>
                <w:color w:val="000000"/>
                <w:kern w:val="0"/>
                <w:szCs w:val="21"/>
                <w:lang/>
              </w:rPr>
              <w:t>远大二路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2550</w:t>
            </w:r>
          </w:p>
        </w:tc>
        <w:tc>
          <w:tcPr>
            <w:tcW w:w="893" w:type="dxa"/>
            <w:vAlign w:val="center"/>
          </w:tcPr>
          <w:p>
            <w:pPr>
              <w:widowControl/>
              <w:jc w:val="center"/>
              <w:textAlignment w:val="center"/>
              <w:rPr>
                <w:color w:val="000000"/>
                <w:kern w:val="0"/>
                <w:szCs w:val="21"/>
                <w:lang/>
              </w:rPr>
            </w:pPr>
            <w:r>
              <w:rPr>
                <w:color w:val="000000"/>
                <w:kern w:val="0"/>
                <w:szCs w:val="21"/>
                <w:lang/>
              </w:rPr>
              <w:t xml:space="preserve">3460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67</w:t>
            </w:r>
          </w:p>
        </w:tc>
        <w:tc>
          <w:tcPr>
            <w:tcW w:w="1877" w:type="dxa"/>
            <w:vAlign w:val="center"/>
          </w:tcPr>
          <w:p>
            <w:pPr>
              <w:widowControl/>
              <w:jc w:val="center"/>
              <w:textAlignment w:val="center"/>
              <w:rPr>
                <w:color w:val="000000"/>
                <w:kern w:val="0"/>
                <w:szCs w:val="21"/>
                <w:lang/>
              </w:rPr>
            </w:pPr>
            <w:r>
              <w:rPr>
                <w:color w:val="000000"/>
                <w:kern w:val="0"/>
                <w:szCs w:val="21"/>
                <w:lang/>
              </w:rPr>
              <w:t>黄兴大道-Ⅲ-3</w:t>
            </w:r>
          </w:p>
        </w:tc>
        <w:tc>
          <w:tcPr>
            <w:tcW w:w="1192" w:type="dxa"/>
            <w:vAlign w:val="center"/>
          </w:tcPr>
          <w:p>
            <w:pPr>
              <w:widowControl/>
              <w:jc w:val="center"/>
              <w:textAlignment w:val="center"/>
              <w:rPr>
                <w:color w:val="000000"/>
                <w:kern w:val="0"/>
                <w:szCs w:val="21"/>
                <w:lang/>
              </w:rPr>
            </w:pPr>
            <w:r>
              <w:rPr>
                <w:color w:val="000000"/>
                <w:kern w:val="0"/>
                <w:szCs w:val="21"/>
                <w:lang/>
              </w:rPr>
              <w:t>远大二路</w:t>
            </w:r>
          </w:p>
        </w:tc>
        <w:tc>
          <w:tcPr>
            <w:tcW w:w="1491" w:type="dxa"/>
            <w:vAlign w:val="center"/>
          </w:tcPr>
          <w:p>
            <w:pPr>
              <w:widowControl/>
              <w:jc w:val="center"/>
              <w:textAlignment w:val="center"/>
              <w:rPr>
                <w:color w:val="000000"/>
                <w:kern w:val="0"/>
                <w:szCs w:val="21"/>
                <w:lang/>
              </w:rPr>
            </w:pPr>
            <w:r>
              <w:rPr>
                <w:color w:val="000000"/>
                <w:kern w:val="0"/>
                <w:szCs w:val="21"/>
                <w:lang/>
              </w:rPr>
              <w:t>大元路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2550</w:t>
            </w:r>
          </w:p>
        </w:tc>
        <w:tc>
          <w:tcPr>
            <w:tcW w:w="893" w:type="dxa"/>
            <w:vAlign w:val="center"/>
          </w:tcPr>
          <w:p>
            <w:pPr>
              <w:widowControl/>
              <w:jc w:val="center"/>
              <w:textAlignment w:val="center"/>
              <w:rPr>
                <w:color w:val="000000"/>
                <w:kern w:val="0"/>
                <w:szCs w:val="21"/>
                <w:lang/>
              </w:rPr>
            </w:pPr>
            <w:r>
              <w:rPr>
                <w:color w:val="000000"/>
                <w:kern w:val="0"/>
                <w:szCs w:val="21"/>
                <w:lang/>
              </w:rPr>
              <w:t xml:space="preserve">3560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68</w:t>
            </w:r>
          </w:p>
        </w:tc>
        <w:tc>
          <w:tcPr>
            <w:tcW w:w="1877" w:type="dxa"/>
            <w:vAlign w:val="center"/>
          </w:tcPr>
          <w:p>
            <w:pPr>
              <w:widowControl/>
              <w:jc w:val="center"/>
              <w:textAlignment w:val="center"/>
              <w:rPr>
                <w:color w:val="000000"/>
                <w:kern w:val="0"/>
                <w:szCs w:val="21"/>
                <w:lang/>
              </w:rPr>
            </w:pPr>
            <w:r>
              <w:rPr>
                <w:color w:val="000000"/>
                <w:kern w:val="0"/>
                <w:szCs w:val="21"/>
                <w:lang/>
              </w:rPr>
              <w:t>黄兴大道-Ⅲ-4</w:t>
            </w:r>
          </w:p>
        </w:tc>
        <w:tc>
          <w:tcPr>
            <w:tcW w:w="1192" w:type="dxa"/>
            <w:vAlign w:val="center"/>
          </w:tcPr>
          <w:p>
            <w:pPr>
              <w:widowControl/>
              <w:jc w:val="center"/>
              <w:textAlignment w:val="center"/>
              <w:rPr>
                <w:color w:val="000000"/>
                <w:kern w:val="0"/>
                <w:szCs w:val="21"/>
                <w:lang/>
              </w:rPr>
            </w:pPr>
            <w:r>
              <w:rPr>
                <w:color w:val="000000"/>
                <w:kern w:val="0"/>
                <w:szCs w:val="21"/>
                <w:lang/>
              </w:rPr>
              <w:t>远大二路</w:t>
            </w:r>
          </w:p>
        </w:tc>
        <w:tc>
          <w:tcPr>
            <w:tcW w:w="1491" w:type="dxa"/>
            <w:vAlign w:val="center"/>
          </w:tcPr>
          <w:p>
            <w:pPr>
              <w:widowControl/>
              <w:jc w:val="center"/>
              <w:textAlignment w:val="center"/>
              <w:rPr>
                <w:color w:val="000000"/>
                <w:kern w:val="0"/>
                <w:szCs w:val="21"/>
                <w:lang/>
              </w:rPr>
            </w:pPr>
            <w:r>
              <w:rPr>
                <w:color w:val="000000"/>
                <w:kern w:val="0"/>
                <w:szCs w:val="21"/>
                <w:lang/>
              </w:rPr>
              <w:t>大元路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2550</w:t>
            </w:r>
          </w:p>
        </w:tc>
        <w:tc>
          <w:tcPr>
            <w:tcW w:w="893" w:type="dxa"/>
            <w:vAlign w:val="center"/>
          </w:tcPr>
          <w:p>
            <w:pPr>
              <w:widowControl/>
              <w:jc w:val="center"/>
              <w:textAlignment w:val="center"/>
              <w:rPr>
                <w:color w:val="000000"/>
                <w:kern w:val="0"/>
                <w:szCs w:val="21"/>
                <w:lang/>
              </w:rPr>
            </w:pPr>
            <w:r>
              <w:rPr>
                <w:color w:val="000000"/>
                <w:kern w:val="0"/>
                <w:szCs w:val="21"/>
                <w:lang/>
              </w:rPr>
              <w:t xml:space="preserve">3380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68</w:t>
            </w:r>
          </w:p>
        </w:tc>
        <w:tc>
          <w:tcPr>
            <w:tcW w:w="1877" w:type="dxa"/>
            <w:vAlign w:val="center"/>
          </w:tcPr>
          <w:p>
            <w:pPr>
              <w:widowControl/>
              <w:jc w:val="center"/>
              <w:textAlignment w:val="center"/>
              <w:rPr>
                <w:color w:val="000000"/>
                <w:kern w:val="0"/>
                <w:szCs w:val="21"/>
                <w:lang/>
              </w:rPr>
            </w:pPr>
            <w:r>
              <w:rPr>
                <w:color w:val="000000"/>
                <w:kern w:val="0"/>
                <w:szCs w:val="21"/>
                <w:lang/>
              </w:rPr>
              <w:t>东七线-Ⅲ</w:t>
            </w:r>
          </w:p>
        </w:tc>
        <w:tc>
          <w:tcPr>
            <w:tcW w:w="1192" w:type="dxa"/>
            <w:vAlign w:val="center"/>
          </w:tcPr>
          <w:p>
            <w:pPr>
              <w:widowControl/>
              <w:jc w:val="center"/>
              <w:textAlignment w:val="center"/>
              <w:rPr>
                <w:color w:val="000000"/>
                <w:kern w:val="0"/>
                <w:szCs w:val="21"/>
                <w:lang/>
              </w:rPr>
            </w:pPr>
            <w:r>
              <w:rPr>
                <w:color w:val="000000"/>
                <w:kern w:val="0"/>
                <w:szCs w:val="21"/>
                <w:lang/>
              </w:rPr>
              <w:t>高阳路</w:t>
            </w:r>
          </w:p>
        </w:tc>
        <w:tc>
          <w:tcPr>
            <w:tcW w:w="1491" w:type="dxa"/>
            <w:vAlign w:val="center"/>
          </w:tcPr>
          <w:p>
            <w:pPr>
              <w:widowControl/>
              <w:jc w:val="center"/>
              <w:textAlignment w:val="center"/>
              <w:rPr>
                <w:color w:val="000000"/>
                <w:kern w:val="0"/>
                <w:szCs w:val="21"/>
                <w:lang/>
              </w:rPr>
            </w:pPr>
            <w:r>
              <w:rPr>
                <w:color w:val="000000"/>
                <w:kern w:val="0"/>
                <w:szCs w:val="21"/>
                <w:lang/>
              </w:rPr>
              <w:t>远大二路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2550</w:t>
            </w:r>
          </w:p>
        </w:tc>
        <w:tc>
          <w:tcPr>
            <w:tcW w:w="893" w:type="dxa"/>
            <w:vAlign w:val="center"/>
          </w:tcPr>
          <w:p>
            <w:pPr>
              <w:widowControl/>
              <w:jc w:val="center"/>
              <w:textAlignment w:val="center"/>
              <w:rPr>
                <w:color w:val="000000"/>
                <w:kern w:val="0"/>
                <w:szCs w:val="21"/>
                <w:lang/>
              </w:rPr>
            </w:pPr>
            <w:r>
              <w:rPr>
                <w:color w:val="000000"/>
                <w:kern w:val="0"/>
                <w:szCs w:val="21"/>
                <w:lang/>
              </w:rPr>
              <w:t xml:space="preserve">3410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69</w:t>
            </w:r>
          </w:p>
        </w:tc>
        <w:tc>
          <w:tcPr>
            <w:tcW w:w="1877" w:type="dxa"/>
            <w:vAlign w:val="center"/>
          </w:tcPr>
          <w:p>
            <w:pPr>
              <w:widowControl/>
              <w:jc w:val="center"/>
              <w:textAlignment w:val="center"/>
              <w:rPr>
                <w:color w:val="000000"/>
                <w:kern w:val="0"/>
                <w:szCs w:val="21"/>
                <w:lang/>
              </w:rPr>
            </w:pPr>
            <w:r>
              <w:rPr>
                <w:color w:val="000000"/>
                <w:kern w:val="0"/>
                <w:szCs w:val="21"/>
                <w:lang/>
              </w:rPr>
              <w:t>开元路中-Ⅲ</w:t>
            </w:r>
          </w:p>
        </w:tc>
        <w:tc>
          <w:tcPr>
            <w:tcW w:w="1192" w:type="dxa"/>
            <w:vAlign w:val="center"/>
          </w:tcPr>
          <w:p>
            <w:pPr>
              <w:widowControl/>
              <w:jc w:val="center"/>
              <w:textAlignment w:val="center"/>
              <w:rPr>
                <w:color w:val="000000"/>
                <w:kern w:val="0"/>
                <w:szCs w:val="21"/>
                <w:lang/>
              </w:rPr>
            </w:pPr>
            <w:r>
              <w:rPr>
                <w:color w:val="000000"/>
                <w:kern w:val="0"/>
                <w:szCs w:val="21"/>
                <w:lang/>
              </w:rPr>
              <w:t>东七线</w:t>
            </w:r>
          </w:p>
        </w:tc>
        <w:tc>
          <w:tcPr>
            <w:tcW w:w="1491" w:type="dxa"/>
            <w:vAlign w:val="center"/>
          </w:tcPr>
          <w:p>
            <w:pPr>
              <w:widowControl/>
              <w:jc w:val="center"/>
              <w:textAlignment w:val="center"/>
              <w:rPr>
                <w:color w:val="000000"/>
                <w:kern w:val="0"/>
                <w:szCs w:val="21"/>
                <w:lang/>
              </w:rPr>
            </w:pPr>
            <w:r>
              <w:rPr>
                <w:color w:val="000000"/>
                <w:kern w:val="0"/>
                <w:szCs w:val="21"/>
                <w:lang/>
              </w:rPr>
              <w:t>龙塘路</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2550</w:t>
            </w:r>
          </w:p>
        </w:tc>
        <w:tc>
          <w:tcPr>
            <w:tcW w:w="893" w:type="dxa"/>
            <w:vAlign w:val="center"/>
          </w:tcPr>
          <w:p>
            <w:pPr>
              <w:widowControl/>
              <w:jc w:val="center"/>
              <w:textAlignment w:val="center"/>
              <w:rPr>
                <w:color w:val="000000"/>
                <w:kern w:val="0"/>
                <w:szCs w:val="21"/>
                <w:lang/>
              </w:rPr>
            </w:pPr>
            <w:r>
              <w:rPr>
                <w:color w:val="000000"/>
                <w:kern w:val="0"/>
                <w:szCs w:val="21"/>
                <w:lang/>
              </w:rPr>
              <w:t xml:space="preserve">3390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70</w:t>
            </w:r>
          </w:p>
        </w:tc>
        <w:tc>
          <w:tcPr>
            <w:tcW w:w="1877" w:type="dxa"/>
            <w:vAlign w:val="center"/>
          </w:tcPr>
          <w:p>
            <w:pPr>
              <w:widowControl/>
              <w:jc w:val="center"/>
              <w:textAlignment w:val="center"/>
              <w:rPr>
                <w:color w:val="000000"/>
                <w:kern w:val="0"/>
                <w:szCs w:val="21"/>
                <w:lang/>
              </w:rPr>
            </w:pPr>
            <w:r>
              <w:rPr>
                <w:color w:val="000000"/>
                <w:kern w:val="0"/>
                <w:szCs w:val="21"/>
                <w:lang/>
              </w:rPr>
              <w:t>高阳路</w:t>
            </w:r>
          </w:p>
        </w:tc>
        <w:tc>
          <w:tcPr>
            <w:tcW w:w="1192" w:type="dxa"/>
            <w:vAlign w:val="center"/>
          </w:tcPr>
          <w:p>
            <w:pPr>
              <w:widowControl/>
              <w:jc w:val="center"/>
              <w:textAlignment w:val="center"/>
              <w:rPr>
                <w:color w:val="000000"/>
                <w:kern w:val="0"/>
                <w:szCs w:val="21"/>
                <w:lang/>
              </w:rPr>
            </w:pPr>
            <w:r>
              <w:rPr>
                <w:color w:val="000000"/>
                <w:kern w:val="0"/>
                <w:szCs w:val="21"/>
                <w:lang/>
              </w:rPr>
              <w:t>小塘路</w:t>
            </w:r>
          </w:p>
        </w:tc>
        <w:tc>
          <w:tcPr>
            <w:tcW w:w="1491" w:type="dxa"/>
            <w:vAlign w:val="center"/>
          </w:tcPr>
          <w:p>
            <w:pPr>
              <w:widowControl/>
              <w:jc w:val="center"/>
              <w:textAlignment w:val="center"/>
              <w:rPr>
                <w:color w:val="000000"/>
                <w:kern w:val="0"/>
                <w:szCs w:val="21"/>
                <w:lang/>
              </w:rPr>
            </w:pPr>
            <w:r>
              <w:rPr>
                <w:color w:val="000000"/>
                <w:kern w:val="0"/>
                <w:szCs w:val="21"/>
                <w:lang/>
              </w:rPr>
              <w:t>黄兴大道</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2550</w:t>
            </w:r>
          </w:p>
        </w:tc>
        <w:tc>
          <w:tcPr>
            <w:tcW w:w="893" w:type="dxa"/>
            <w:vAlign w:val="center"/>
          </w:tcPr>
          <w:p>
            <w:pPr>
              <w:widowControl/>
              <w:jc w:val="center"/>
              <w:textAlignment w:val="center"/>
              <w:rPr>
                <w:color w:val="000000"/>
                <w:kern w:val="0"/>
                <w:szCs w:val="21"/>
                <w:lang/>
              </w:rPr>
            </w:pPr>
            <w:r>
              <w:rPr>
                <w:color w:val="000000"/>
                <w:kern w:val="0"/>
                <w:szCs w:val="21"/>
                <w:lang/>
              </w:rPr>
              <w:t xml:space="preserve">3380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jc w:val="center"/>
        </w:trPr>
        <w:tc>
          <w:tcPr>
            <w:tcW w:w="795" w:type="dxa"/>
            <w:vAlign w:val="center"/>
          </w:tcPr>
          <w:p>
            <w:pPr>
              <w:widowControl/>
              <w:jc w:val="center"/>
              <w:textAlignment w:val="center"/>
              <w:rPr>
                <w:color w:val="000000"/>
                <w:kern w:val="0"/>
                <w:szCs w:val="21"/>
                <w:lang/>
              </w:rPr>
            </w:pPr>
            <w:r>
              <w:rPr>
                <w:color w:val="000000"/>
                <w:kern w:val="0"/>
                <w:szCs w:val="21"/>
                <w:lang/>
              </w:rPr>
              <w:t>71</w:t>
            </w:r>
          </w:p>
        </w:tc>
        <w:tc>
          <w:tcPr>
            <w:tcW w:w="1877" w:type="dxa"/>
            <w:vAlign w:val="center"/>
          </w:tcPr>
          <w:p>
            <w:pPr>
              <w:widowControl/>
              <w:jc w:val="center"/>
              <w:textAlignment w:val="center"/>
              <w:rPr>
                <w:color w:val="000000"/>
                <w:kern w:val="0"/>
                <w:szCs w:val="21"/>
                <w:lang/>
              </w:rPr>
            </w:pPr>
            <w:r>
              <w:rPr>
                <w:color w:val="000000"/>
                <w:kern w:val="0"/>
                <w:szCs w:val="21"/>
                <w:lang/>
              </w:rPr>
              <w:t>远大二路</w:t>
            </w:r>
          </w:p>
        </w:tc>
        <w:tc>
          <w:tcPr>
            <w:tcW w:w="1192" w:type="dxa"/>
            <w:vAlign w:val="center"/>
          </w:tcPr>
          <w:p>
            <w:pPr>
              <w:widowControl/>
              <w:jc w:val="center"/>
              <w:textAlignment w:val="center"/>
              <w:rPr>
                <w:color w:val="000000"/>
                <w:kern w:val="0"/>
                <w:szCs w:val="21"/>
                <w:lang/>
              </w:rPr>
            </w:pPr>
            <w:r>
              <w:rPr>
                <w:color w:val="000000"/>
                <w:kern w:val="0"/>
                <w:szCs w:val="21"/>
                <w:lang/>
              </w:rPr>
              <w:t>新建路</w:t>
            </w:r>
          </w:p>
        </w:tc>
        <w:tc>
          <w:tcPr>
            <w:tcW w:w="1491" w:type="dxa"/>
            <w:vAlign w:val="center"/>
          </w:tcPr>
          <w:p>
            <w:pPr>
              <w:widowControl/>
              <w:jc w:val="center"/>
              <w:textAlignment w:val="center"/>
              <w:rPr>
                <w:color w:val="000000"/>
                <w:kern w:val="0"/>
                <w:szCs w:val="21"/>
                <w:lang/>
              </w:rPr>
            </w:pPr>
            <w:r>
              <w:rPr>
                <w:color w:val="000000"/>
                <w:kern w:val="0"/>
                <w:szCs w:val="21"/>
                <w:lang/>
              </w:rPr>
              <w:t>黄兴大道</w:t>
            </w:r>
          </w:p>
        </w:tc>
        <w:tc>
          <w:tcPr>
            <w:tcW w:w="1071" w:type="dxa"/>
            <w:vMerge w:val="continue"/>
            <w:vAlign w:val="center"/>
          </w:tcPr>
          <w:p>
            <w:pPr>
              <w:jc w:val="center"/>
              <w:rPr>
                <w:color w:val="000000"/>
                <w:szCs w:val="21"/>
              </w:rPr>
            </w:pPr>
          </w:p>
        </w:tc>
        <w:tc>
          <w:tcPr>
            <w:tcW w:w="1017" w:type="dxa"/>
            <w:vAlign w:val="center"/>
          </w:tcPr>
          <w:p>
            <w:pPr>
              <w:widowControl/>
              <w:jc w:val="center"/>
              <w:textAlignment w:val="center"/>
              <w:rPr>
                <w:color w:val="000000"/>
                <w:kern w:val="0"/>
                <w:szCs w:val="21"/>
                <w:lang/>
              </w:rPr>
            </w:pPr>
            <w:r>
              <w:rPr>
                <w:color w:val="000000"/>
                <w:kern w:val="0"/>
                <w:szCs w:val="21"/>
                <w:lang/>
              </w:rPr>
              <w:t>2550</w:t>
            </w:r>
          </w:p>
        </w:tc>
        <w:tc>
          <w:tcPr>
            <w:tcW w:w="893" w:type="dxa"/>
            <w:vAlign w:val="center"/>
          </w:tcPr>
          <w:p>
            <w:pPr>
              <w:widowControl/>
              <w:jc w:val="center"/>
              <w:textAlignment w:val="center"/>
              <w:rPr>
                <w:color w:val="000000"/>
                <w:kern w:val="0"/>
                <w:szCs w:val="21"/>
                <w:lang/>
              </w:rPr>
            </w:pPr>
            <w:r>
              <w:rPr>
                <w:color w:val="000000"/>
                <w:kern w:val="0"/>
                <w:szCs w:val="21"/>
                <w:lang/>
              </w:rPr>
              <w:t xml:space="preserve">3320 </w:t>
            </w:r>
          </w:p>
        </w:tc>
      </w:tr>
    </w:tbl>
    <w:p>
      <w:pPr>
        <w:ind w:firstLine="420" w:firstLineChars="200"/>
        <w:jc w:val="left"/>
        <w:rPr>
          <w:bCs/>
          <w:szCs w:val="21"/>
        </w:rPr>
      </w:pPr>
      <w:r>
        <w:rPr>
          <w:bCs/>
          <w:szCs w:val="21"/>
        </w:rPr>
        <w:t>备注：标准深度内其它主次干道的的商服用地路线价按对应的均质区域价格的15%计算其路线价。标准深度：主干道为25米，次干道为20米，支路为15米。</w:t>
      </w:r>
    </w:p>
    <w:p>
      <w:pPr>
        <w:ind w:firstLine="482" w:firstLineChars="200"/>
        <w:outlineLvl w:val="2"/>
        <w:rPr>
          <w:b/>
          <w:sz w:val="24"/>
          <w:szCs w:val="24"/>
        </w:rPr>
      </w:pPr>
      <w:bookmarkStart w:id="1154" w:name="_Toc466303333"/>
      <w:bookmarkStart w:id="1155" w:name="_Toc20996"/>
      <w:bookmarkStart w:id="1156" w:name="_Toc470719216"/>
      <w:bookmarkStart w:id="1157" w:name="_Toc8686"/>
      <w:bookmarkStart w:id="1158" w:name="_Toc468355132"/>
      <w:bookmarkStart w:id="1159" w:name="_Toc468969175"/>
      <w:r>
        <w:rPr>
          <w:b/>
          <w:sz w:val="24"/>
          <w:szCs w:val="24"/>
        </w:rPr>
        <w:br w:type="page"/>
      </w:r>
      <w:bookmarkStart w:id="1160" w:name="_Toc6508"/>
      <w:r>
        <w:rPr>
          <w:b/>
          <w:sz w:val="24"/>
          <w:szCs w:val="24"/>
        </w:rPr>
        <w:t>5、长沙县城区商服用地楼面基准地价表</w:t>
      </w:r>
      <w:bookmarkEnd w:id="1154"/>
      <w:bookmarkEnd w:id="1155"/>
      <w:bookmarkEnd w:id="1156"/>
      <w:bookmarkEnd w:id="1157"/>
      <w:bookmarkEnd w:id="1160"/>
    </w:p>
    <w:p>
      <w:pPr>
        <w:pStyle w:val="131"/>
        <w:spacing w:beforeLines="50" w:afterLines="50"/>
        <w:ind w:firstLine="0" w:firstLineChars="0"/>
        <w:rPr>
          <w:rFonts w:ascii="Times New Roman" w:hAnsi="Times New Roman"/>
          <w:sz w:val="24"/>
        </w:rPr>
      </w:pPr>
      <w:r>
        <w:rPr>
          <w:rFonts w:ascii="Times New Roman" w:hAnsi="Times New Roman"/>
          <w:sz w:val="24"/>
        </w:rPr>
        <w:t>表2-5 城区商服用地楼面基准地价表</w:t>
      </w:r>
    </w:p>
    <w:p>
      <w:pPr>
        <w:tabs>
          <w:tab w:val="right" w:pos="9298"/>
        </w:tabs>
        <w:spacing w:line="460" w:lineRule="exact"/>
        <w:ind w:right="600" w:firstLine="480" w:firstLineChars="200"/>
        <w:jc w:val="right"/>
        <w:rPr>
          <w:sz w:val="24"/>
        </w:rPr>
      </w:pPr>
      <w:r>
        <w:rPr>
          <w:sz w:val="24"/>
        </w:rPr>
        <w:t>单位：元/平方米建筑面积</w:t>
      </w:r>
    </w:p>
    <w:tbl>
      <w:tblPr>
        <w:tblW w:w="83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89"/>
        <w:gridCol w:w="1389"/>
        <w:gridCol w:w="1389"/>
        <w:gridCol w:w="1389"/>
        <w:gridCol w:w="1389"/>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blHeader/>
          <w:jc w:val="center"/>
        </w:trPr>
        <w:tc>
          <w:tcPr>
            <w:tcW w:w="1389" w:type="dxa"/>
            <w:shd w:val="clear" w:color="auto" w:fill="FFFFFF"/>
            <w:vAlign w:val="center"/>
          </w:tcPr>
          <w:p>
            <w:pPr>
              <w:widowControl/>
              <w:jc w:val="center"/>
              <w:textAlignment w:val="center"/>
              <w:rPr>
                <w:b/>
                <w:color w:val="000000"/>
                <w:szCs w:val="21"/>
              </w:rPr>
            </w:pPr>
            <w:r>
              <w:rPr>
                <w:b/>
                <w:color w:val="000000"/>
                <w:kern w:val="0"/>
                <w:szCs w:val="21"/>
                <w:lang/>
              </w:rPr>
              <w:t>容积率</w:t>
            </w:r>
          </w:p>
        </w:tc>
        <w:tc>
          <w:tcPr>
            <w:tcW w:w="1389" w:type="dxa"/>
            <w:shd w:val="clear" w:color="auto" w:fill="FFFFFF"/>
            <w:vAlign w:val="center"/>
          </w:tcPr>
          <w:p>
            <w:pPr>
              <w:widowControl/>
              <w:jc w:val="center"/>
              <w:textAlignment w:val="center"/>
              <w:rPr>
                <w:b/>
                <w:color w:val="000000"/>
                <w:szCs w:val="21"/>
              </w:rPr>
            </w:pPr>
            <w:r>
              <w:rPr>
                <w:b/>
                <w:color w:val="000000"/>
                <w:kern w:val="0"/>
                <w:szCs w:val="21"/>
                <w:lang/>
              </w:rPr>
              <w:t>商服Ⅰ级</w:t>
            </w:r>
          </w:p>
        </w:tc>
        <w:tc>
          <w:tcPr>
            <w:tcW w:w="1389" w:type="dxa"/>
            <w:shd w:val="clear" w:color="auto" w:fill="FFFFFF"/>
            <w:vAlign w:val="center"/>
          </w:tcPr>
          <w:p>
            <w:pPr>
              <w:widowControl/>
              <w:jc w:val="center"/>
              <w:textAlignment w:val="center"/>
              <w:rPr>
                <w:b/>
                <w:color w:val="000000"/>
                <w:szCs w:val="21"/>
              </w:rPr>
            </w:pPr>
            <w:r>
              <w:rPr>
                <w:b/>
                <w:color w:val="000000"/>
                <w:kern w:val="0"/>
                <w:szCs w:val="21"/>
                <w:lang/>
              </w:rPr>
              <w:t>商服Ⅱ级</w:t>
            </w:r>
          </w:p>
        </w:tc>
        <w:tc>
          <w:tcPr>
            <w:tcW w:w="1389" w:type="dxa"/>
            <w:shd w:val="clear" w:color="auto" w:fill="FFFFFF"/>
            <w:vAlign w:val="center"/>
          </w:tcPr>
          <w:p>
            <w:pPr>
              <w:widowControl/>
              <w:jc w:val="center"/>
              <w:textAlignment w:val="center"/>
              <w:rPr>
                <w:b/>
                <w:color w:val="000000"/>
                <w:szCs w:val="21"/>
              </w:rPr>
            </w:pPr>
            <w:r>
              <w:rPr>
                <w:b/>
                <w:color w:val="000000"/>
                <w:kern w:val="0"/>
                <w:szCs w:val="21"/>
                <w:lang/>
              </w:rPr>
              <w:t>商服Ⅲ级</w:t>
            </w:r>
          </w:p>
        </w:tc>
        <w:tc>
          <w:tcPr>
            <w:tcW w:w="1389" w:type="dxa"/>
            <w:shd w:val="clear" w:color="auto" w:fill="FFFFFF"/>
            <w:vAlign w:val="center"/>
          </w:tcPr>
          <w:p>
            <w:pPr>
              <w:widowControl/>
              <w:jc w:val="center"/>
              <w:textAlignment w:val="center"/>
              <w:rPr>
                <w:b/>
                <w:color w:val="000000"/>
                <w:szCs w:val="21"/>
              </w:rPr>
            </w:pPr>
            <w:r>
              <w:rPr>
                <w:b/>
                <w:color w:val="000000"/>
                <w:kern w:val="0"/>
                <w:szCs w:val="21"/>
                <w:lang/>
              </w:rPr>
              <w:t>商服Ⅳ级</w:t>
            </w:r>
          </w:p>
        </w:tc>
        <w:tc>
          <w:tcPr>
            <w:tcW w:w="1391" w:type="dxa"/>
            <w:shd w:val="clear" w:color="auto" w:fill="FFFFFF"/>
            <w:vAlign w:val="center"/>
          </w:tcPr>
          <w:p>
            <w:pPr>
              <w:widowControl/>
              <w:jc w:val="center"/>
              <w:textAlignment w:val="center"/>
              <w:rPr>
                <w:b/>
                <w:color w:val="000000"/>
                <w:szCs w:val="21"/>
              </w:rPr>
            </w:pPr>
            <w:r>
              <w:rPr>
                <w:b/>
                <w:color w:val="000000"/>
                <w:kern w:val="0"/>
                <w:szCs w:val="21"/>
                <w:lang/>
              </w:rPr>
              <w:t>商服Ⅴ级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2985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2340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1984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1236</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1.1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2776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2180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1822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1150</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1.2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2605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2076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1688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1073</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1.3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2450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1970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1574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1050</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1.4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2320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1860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1477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1027</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1.5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2212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1755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1393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1008</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1.6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2126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1660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1319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994</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1.7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2082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1575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1253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965</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1.8</w:t>
            </w:r>
          </w:p>
        </w:tc>
        <w:tc>
          <w:tcPr>
            <w:tcW w:w="1389" w:type="dxa"/>
            <w:shd w:val="clear" w:color="auto" w:fill="auto"/>
            <w:vAlign w:val="center"/>
          </w:tcPr>
          <w:p>
            <w:pPr>
              <w:widowControl/>
              <w:jc w:val="center"/>
              <w:textAlignment w:val="center"/>
              <w:rPr>
                <w:rFonts w:eastAsia="Tahoma"/>
                <w:color w:val="000000"/>
                <w:sz w:val="22"/>
                <w:szCs w:val="22"/>
              </w:rPr>
            </w:pPr>
            <w:r>
              <w:rPr>
                <w:rFonts w:eastAsia="Tahoma"/>
                <w:color w:val="000000"/>
                <w:kern w:val="0"/>
                <w:sz w:val="22"/>
                <w:szCs w:val="22"/>
                <w:lang/>
              </w:rPr>
              <w:t>2025</w:t>
            </w:r>
          </w:p>
        </w:tc>
        <w:tc>
          <w:tcPr>
            <w:tcW w:w="1389" w:type="dxa"/>
            <w:shd w:val="clear" w:color="auto" w:fill="auto"/>
            <w:vAlign w:val="center"/>
          </w:tcPr>
          <w:p>
            <w:pPr>
              <w:widowControl/>
              <w:jc w:val="center"/>
              <w:textAlignment w:val="center"/>
              <w:rPr>
                <w:rFonts w:eastAsia="Tahoma"/>
                <w:color w:val="000000"/>
                <w:sz w:val="22"/>
                <w:szCs w:val="22"/>
              </w:rPr>
            </w:pPr>
            <w:r>
              <w:rPr>
                <w:rFonts w:eastAsia="Tahoma"/>
                <w:color w:val="000000"/>
                <w:kern w:val="0"/>
                <w:sz w:val="22"/>
                <w:szCs w:val="22"/>
                <w:lang/>
              </w:rPr>
              <w:t>1520</w:t>
            </w:r>
          </w:p>
        </w:tc>
        <w:tc>
          <w:tcPr>
            <w:tcW w:w="1389" w:type="dxa"/>
            <w:shd w:val="clear" w:color="auto" w:fill="auto"/>
            <w:vAlign w:val="center"/>
          </w:tcPr>
          <w:p>
            <w:pPr>
              <w:widowControl/>
              <w:jc w:val="center"/>
              <w:textAlignment w:val="center"/>
              <w:rPr>
                <w:rFonts w:eastAsia="Tahoma"/>
                <w:color w:val="000000"/>
                <w:sz w:val="22"/>
                <w:szCs w:val="22"/>
              </w:rPr>
            </w:pPr>
            <w:r>
              <w:rPr>
                <w:rFonts w:eastAsia="Tahoma"/>
                <w:color w:val="000000"/>
                <w:kern w:val="0"/>
                <w:sz w:val="22"/>
                <w:szCs w:val="22"/>
                <w:lang/>
              </w:rPr>
              <w:t>1196</w:t>
            </w:r>
          </w:p>
        </w:tc>
        <w:tc>
          <w:tcPr>
            <w:tcW w:w="1389" w:type="dxa"/>
            <w:shd w:val="clear" w:color="auto" w:fill="auto"/>
            <w:vAlign w:val="center"/>
          </w:tcPr>
          <w:p>
            <w:pPr>
              <w:widowControl/>
              <w:jc w:val="center"/>
              <w:textAlignment w:val="center"/>
              <w:rPr>
                <w:rFonts w:eastAsia="Tahoma"/>
                <w:color w:val="000000"/>
                <w:sz w:val="22"/>
                <w:szCs w:val="22"/>
              </w:rPr>
            </w:pPr>
            <w:r>
              <w:rPr>
                <w:rFonts w:eastAsia="Tahoma"/>
                <w:color w:val="000000"/>
                <w:kern w:val="0"/>
                <w:sz w:val="22"/>
                <w:szCs w:val="22"/>
                <w:lang/>
              </w:rPr>
              <w:t>939</w:t>
            </w:r>
          </w:p>
        </w:tc>
        <w:tc>
          <w:tcPr>
            <w:tcW w:w="1391" w:type="dxa"/>
            <w:shd w:val="clear" w:color="auto" w:fill="92D050"/>
            <w:vAlign w:val="center"/>
          </w:tcPr>
          <w:p>
            <w:pPr>
              <w:widowControl/>
              <w:jc w:val="center"/>
              <w:textAlignment w:val="center"/>
              <w:rPr>
                <w:rFonts w:eastAsia="Tahoma"/>
                <w:color w:val="000000"/>
                <w:sz w:val="22"/>
                <w:szCs w:val="22"/>
              </w:rPr>
            </w:pPr>
            <w:r>
              <w:rPr>
                <w:rFonts w:eastAsia="Tahoma"/>
                <w:color w:val="000000"/>
                <w:kern w:val="0"/>
                <w:sz w:val="22"/>
                <w:szCs w:val="22"/>
                <w:lang/>
              </w:rPr>
              <w:t>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1.9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1968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1490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1182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917</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2</w:t>
            </w:r>
          </w:p>
        </w:tc>
        <w:tc>
          <w:tcPr>
            <w:tcW w:w="1389" w:type="dxa"/>
            <w:shd w:val="clear" w:color="auto" w:fill="auto"/>
            <w:vAlign w:val="center"/>
          </w:tcPr>
          <w:p>
            <w:pPr>
              <w:widowControl/>
              <w:jc w:val="center"/>
              <w:textAlignment w:val="center"/>
              <w:rPr>
                <w:rFonts w:eastAsia="Tahoma"/>
                <w:color w:val="000000"/>
                <w:sz w:val="22"/>
                <w:szCs w:val="22"/>
              </w:rPr>
            </w:pPr>
            <w:r>
              <w:rPr>
                <w:rFonts w:eastAsia="Tahoma"/>
                <w:color w:val="000000"/>
                <w:kern w:val="0"/>
                <w:sz w:val="22"/>
                <w:szCs w:val="22"/>
                <w:lang/>
              </w:rPr>
              <w:t>1903</w:t>
            </w:r>
          </w:p>
        </w:tc>
        <w:tc>
          <w:tcPr>
            <w:tcW w:w="1389" w:type="dxa"/>
            <w:shd w:val="clear" w:color="auto" w:fill="auto"/>
            <w:vAlign w:val="center"/>
          </w:tcPr>
          <w:p>
            <w:pPr>
              <w:widowControl/>
              <w:jc w:val="center"/>
              <w:textAlignment w:val="center"/>
              <w:rPr>
                <w:rFonts w:eastAsia="Tahoma"/>
                <w:color w:val="000000"/>
                <w:sz w:val="22"/>
                <w:szCs w:val="22"/>
              </w:rPr>
            </w:pPr>
            <w:r>
              <w:rPr>
                <w:rFonts w:eastAsia="Tahoma"/>
                <w:color w:val="000000"/>
                <w:kern w:val="0"/>
                <w:sz w:val="22"/>
                <w:szCs w:val="22"/>
                <w:lang/>
              </w:rPr>
              <w:t>1460</w:t>
            </w:r>
          </w:p>
        </w:tc>
        <w:tc>
          <w:tcPr>
            <w:tcW w:w="1389" w:type="dxa"/>
            <w:shd w:val="clear" w:color="auto" w:fill="auto"/>
            <w:vAlign w:val="center"/>
          </w:tcPr>
          <w:p>
            <w:pPr>
              <w:widowControl/>
              <w:jc w:val="center"/>
              <w:textAlignment w:val="center"/>
              <w:rPr>
                <w:rFonts w:eastAsia="Tahoma"/>
                <w:color w:val="000000"/>
                <w:sz w:val="22"/>
                <w:szCs w:val="22"/>
              </w:rPr>
            </w:pPr>
            <w:r>
              <w:rPr>
                <w:rFonts w:eastAsia="Tahoma"/>
                <w:color w:val="000000"/>
                <w:kern w:val="0"/>
                <w:sz w:val="22"/>
                <w:szCs w:val="22"/>
                <w:lang/>
              </w:rPr>
              <w:t>1170</w:t>
            </w:r>
          </w:p>
        </w:tc>
        <w:tc>
          <w:tcPr>
            <w:tcW w:w="1389" w:type="dxa"/>
            <w:shd w:val="clear" w:color="auto" w:fill="92D050"/>
            <w:vAlign w:val="center"/>
          </w:tcPr>
          <w:p>
            <w:pPr>
              <w:widowControl/>
              <w:jc w:val="center"/>
              <w:textAlignment w:val="center"/>
              <w:rPr>
                <w:rFonts w:eastAsia="Tahoma"/>
                <w:color w:val="000000"/>
                <w:sz w:val="22"/>
                <w:szCs w:val="22"/>
              </w:rPr>
            </w:pPr>
            <w:r>
              <w:rPr>
                <w:rFonts w:eastAsia="Tahoma"/>
                <w:color w:val="000000"/>
                <w:kern w:val="0"/>
                <w:sz w:val="22"/>
                <w:szCs w:val="22"/>
                <w:lang/>
              </w:rPr>
              <w:t>890</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2.1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1855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1435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1148</w:t>
            </w:r>
          </w:p>
        </w:tc>
        <w:tc>
          <w:tcPr>
            <w:tcW w:w="1389" w:type="dxa"/>
            <w:vAlign w:val="center"/>
          </w:tcPr>
          <w:p>
            <w:pPr>
              <w:widowControl/>
              <w:jc w:val="center"/>
              <w:textAlignment w:val="center"/>
              <w:rPr>
                <w:color w:val="000000"/>
                <w:sz w:val="22"/>
                <w:szCs w:val="22"/>
              </w:rPr>
            </w:pPr>
            <w:r>
              <w:rPr>
                <w:color w:val="000000"/>
                <w:sz w:val="22"/>
                <w:szCs w:val="22"/>
              </w:rPr>
              <w:t>883</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2.2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1801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1415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1123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874</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2.3</w:t>
            </w:r>
          </w:p>
        </w:tc>
        <w:tc>
          <w:tcPr>
            <w:tcW w:w="1389" w:type="dxa"/>
            <w:shd w:val="clear" w:color="auto" w:fill="auto"/>
            <w:vAlign w:val="center"/>
          </w:tcPr>
          <w:p>
            <w:pPr>
              <w:widowControl/>
              <w:jc w:val="center"/>
              <w:textAlignment w:val="center"/>
              <w:rPr>
                <w:rFonts w:eastAsia="Tahoma"/>
                <w:color w:val="000000"/>
                <w:sz w:val="22"/>
                <w:szCs w:val="22"/>
              </w:rPr>
            </w:pPr>
            <w:r>
              <w:rPr>
                <w:rFonts w:eastAsia="Tahoma"/>
                <w:color w:val="000000"/>
                <w:kern w:val="0"/>
                <w:sz w:val="22"/>
                <w:szCs w:val="22"/>
                <w:lang/>
              </w:rPr>
              <w:t>1762</w:t>
            </w:r>
          </w:p>
        </w:tc>
        <w:tc>
          <w:tcPr>
            <w:tcW w:w="1389" w:type="dxa"/>
            <w:shd w:val="clear" w:color="auto" w:fill="auto"/>
            <w:vAlign w:val="center"/>
          </w:tcPr>
          <w:p>
            <w:pPr>
              <w:widowControl/>
              <w:jc w:val="center"/>
              <w:textAlignment w:val="center"/>
              <w:rPr>
                <w:rFonts w:eastAsia="Tahoma"/>
                <w:color w:val="000000"/>
                <w:sz w:val="22"/>
                <w:szCs w:val="22"/>
              </w:rPr>
            </w:pPr>
            <w:r>
              <w:rPr>
                <w:rFonts w:eastAsia="Tahoma"/>
                <w:color w:val="000000"/>
                <w:kern w:val="0"/>
                <w:sz w:val="22"/>
                <w:szCs w:val="22"/>
                <w:lang/>
              </w:rPr>
              <w:t>1390</w:t>
            </w:r>
          </w:p>
        </w:tc>
        <w:tc>
          <w:tcPr>
            <w:tcW w:w="1389" w:type="dxa"/>
            <w:shd w:val="clear" w:color="auto" w:fill="92D050"/>
            <w:vAlign w:val="center"/>
          </w:tcPr>
          <w:p>
            <w:pPr>
              <w:widowControl/>
              <w:jc w:val="center"/>
              <w:textAlignment w:val="center"/>
              <w:rPr>
                <w:rFonts w:eastAsia="Tahoma"/>
                <w:color w:val="000000"/>
                <w:sz w:val="22"/>
                <w:szCs w:val="22"/>
              </w:rPr>
            </w:pPr>
            <w:r>
              <w:rPr>
                <w:rFonts w:eastAsia="Tahoma"/>
                <w:color w:val="000000"/>
                <w:kern w:val="0"/>
                <w:sz w:val="22"/>
                <w:szCs w:val="22"/>
                <w:lang/>
              </w:rPr>
              <w:t>1109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865</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2.4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1701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1365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1098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856</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2.5</w:t>
            </w:r>
          </w:p>
        </w:tc>
        <w:tc>
          <w:tcPr>
            <w:tcW w:w="1389" w:type="dxa"/>
            <w:shd w:val="clear" w:color="auto" w:fill="auto"/>
            <w:vAlign w:val="center"/>
          </w:tcPr>
          <w:p>
            <w:pPr>
              <w:widowControl/>
              <w:jc w:val="center"/>
              <w:textAlignment w:val="center"/>
              <w:rPr>
                <w:rFonts w:eastAsia="Tahoma"/>
                <w:color w:val="000000"/>
                <w:sz w:val="22"/>
                <w:szCs w:val="22"/>
              </w:rPr>
            </w:pPr>
            <w:r>
              <w:rPr>
                <w:rFonts w:eastAsia="Tahoma"/>
                <w:color w:val="000000"/>
                <w:kern w:val="0"/>
                <w:sz w:val="22"/>
                <w:szCs w:val="22"/>
                <w:lang/>
              </w:rPr>
              <w:t>1671</w:t>
            </w:r>
          </w:p>
        </w:tc>
        <w:tc>
          <w:tcPr>
            <w:tcW w:w="1389" w:type="dxa"/>
            <w:shd w:val="clear" w:color="auto" w:fill="92D050"/>
            <w:vAlign w:val="center"/>
          </w:tcPr>
          <w:p>
            <w:pPr>
              <w:widowControl/>
              <w:jc w:val="center"/>
              <w:textAlignment w:val="center"/>
              <w:rPr>
                <w:rFonts w:eastAsia="Tahoma"/>
                <w:color w:val="000000"/>
                <w:sz w:val="22"/>
                <w:szCs w:val="22"/>
              </w:rPr>
            </w:pPr>
            <w:r>
              <w:rPr>
                <w:rFonts w:eastAsia="Tahoma"/>
                <w:color w:val="000000"/>
                <w:kern w:val="0"/>
                <w:sz w:val="22"/>
                <w:szCs w:val="22"/>
                <w:lang/>
              </w:rPr>
              <w:t>1344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1092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850</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2.6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1660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1330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1085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845</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2.7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1652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1320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1080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840</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2.8</w:t>
            </w:r>
          </w:p>
        </w:tc>
        <w:tc>
          <w:tcPr>
            <w:tcW w:w="1389" w:type="dxa"/>
            <w:shd w:val="clear" w:color="auto" w:fill="92D050"/>
            <w:vAlign w:val="center"/>
          </w:tcPr>
          <w:p>
            <w:pPr>
              <w:widowControl/>
              <w:jc w:val="center"/>
              <w:textAlignment w:val="center"/>
              <w:rPr>
                <w:rFonts w:eastAsia="Tahoma"/>
                <w:color w:val="000000"/>
                <w:sz w:val="22"/>
                <w:szCs w:val="22"/>
              </w:rPr>
            </w:pPr>
            <w:r>
              <w:rPr>
                <w:rFonts w:eastAsia="Tahoma"/>
                <w:color w:val="000000"/>
                <w:kern w:val="0"/>
                <w:sz w:val="22"/>
                <w:szCs w:val="22"/>
                <w:lang/>
              </w:rPr>
              <w:t>1639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1309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1073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832</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2.9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1629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1298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1068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822</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1618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1286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1062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813</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3.1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1610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1274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1058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805</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3.2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1601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1263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1054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796</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3.3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1597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1253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1050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788</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3.4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1592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1243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1046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778</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3.5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1585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1234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1042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772</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3.6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1582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1224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1035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764</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3.7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1578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1216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1030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758</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3.8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1575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1207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1023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750</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3.9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1572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1200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1018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743</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1570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1192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1014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738</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4.1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1568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1184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1007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732</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4.2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1564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1177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1003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725</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4.3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1556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1171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998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720</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4.4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1550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1164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993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714</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4.5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1544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1158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986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708</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4.6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1540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1151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984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703</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4.7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1534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1145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979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697</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4.8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1528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1140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975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692</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4.9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1524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1134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970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687</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1518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1129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966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684</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5.1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1515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1123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962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678</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5.2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1510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1118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958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673</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5.3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1505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1113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955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669</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5.4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1499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1108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950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664</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5.5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1497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1103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948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660</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5.6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1492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1099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944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656</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5.7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1488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1094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940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650</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5.8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1483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1090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936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648</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5.9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1480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1086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933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642</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1475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1081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930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640</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6.1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1470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1077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926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636</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6.2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1468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1073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924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632</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6.3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1463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1069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920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628</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6.4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1460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1066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918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623</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6.5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1456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1062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914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622</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6.6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1452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1058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911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618</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6.7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1450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1055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909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616</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6.8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1446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1051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905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612</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6.9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1442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1048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902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607</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1440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1044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900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605</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7.1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1436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1041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898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601</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7.2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1432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1038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894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598</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7.3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1429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1035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893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595</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7.4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1427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1031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889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591</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7.5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1423</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1028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886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589</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7.6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1420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1025</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884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587</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7.7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1417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1022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881</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584</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7.8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1414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1020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880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582</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7.9</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1412</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1017</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876</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580</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center"/>
              <w:rPr>
                <w:rFonts w:eastAsia="Tahoma"/>
                <w:color w:val="000000"/>
                <w:sz w:val="24"/>
                <w:szCs w:val="24"/>
              </w:rPr>
            </w:pPr>
            <w:r>
              <w:rPr>
                <w:rFonts w:eastAsia="Tahoma"/>
                <w:color w:val="000000"/>
                <w:kern w:val="0"/>
                <w:sz w:val="24"/>
                <w:szCs w:val="24"/>
                <w:lang/>
              </w:rPr>
              <w:t>8</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1410</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1014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874</w:t>
            </w:r>
          </w:p>
        </w:tc>
        <w:tc>
          <w:tcPr>
            <w:tcW w:w="1389" w:type="dxa"/>
            <w:vAlign w:val="center"/>
          </w:tcPr>
          <w:p>
            <w:pPr>
              <w:widowControl/>
              <w:jc w:val="center"/>
              <w:textAlignment w:val="center"/>
              <w:rPr>
                <w:rFonts w:eastAsia="Tahoma"/>
                <w:color w:val="000000"/>
                <w:sz w:val="22"/>
                <w:szCs w:val="22"/>
              </w:rPr>
            </w:pPr>
            <w:r>
              <w:rPr>
                <w:rFonts w:eastAsia="Tahoma"/>
                <w:color w:val="000000"/>
                <w:kern w:val="0"/>
                <w:sz w:val="22"/>
                <w:szCs w:val="22"/>
                <w:lang/>
              </w:rPr>
              <w:t>577</w:t>
            </w:r>
          </w:p>
        </w:tc>
        <w:tc>
          <w:tcPr>
            <w:tcW w:w="1391" w:type="dxa"/>
            <w:vAlign w:val="center"/>
          </w:tcPr>
          <w:p>
            <w:pPr>
              <w:widowControl/>
              <w:jc w:val="center"/>
              <w:textAlignment w:val="center"/>
              <w:rPr>
                <w:rFonts w:eastAsia="Tahoma"/>
                <w:color w:val="000000"/>
                <w:sz w:val="22"/>
                <w:szCs w:val="22"/>
              </w:rPr>
            </w:pPr>
            <w:r>
              <w:rPr>
                <w:rFonts w:eastAsia="Tahoma"/>
                <w:color w:val="000000"/>
                <w:kern w:val="0"/>
                <w:sz w:val="22"/>
                <w:szCs w:val="22"/>
                <w:lang/>
              </w:rPr>
              <w:t>320</w:t>
            </w:r>
          </w:p>
        </w:tc>
      </w:tr>
    </w:tbl>
    <w:p>
      <w:pPr>
        <w:tabs>
          <w:tab w:val="left" w:pos="8306"/>
          <w:tab w:val="right" w:pos="9298"/>
        </w:tabs>
        <w:spacing w:line="460" w:lineRule="exact"/>
        <w:ind w:right="-58" w:firstLine="420" w:firstLineChars="200"/>
        <w:jc w:val="left"/>
        <w:rPr>
          <w:szCs w:val="21"/>
        </w:rPr>
      </w:pPr>
      <w:r>
        <w:rPr>
          <w:szCs w:val="21"/>
        </w:rPr>
        <w:t>备注：容积率小于时，按容积率为1时取对应楼面基准地价标准；容积率大于8时，按容积率为8时取对应的楼面基准地价标准。</w:t>
      </w:r>
    </w:p>
    <w:p>
      <w:pPr>
        <w:ind w:firstLine="482" w:firstLineChars="200"/>
        <w:outlineLvl w:val="2"/>
        <w:rPr>
          <w:b/>
          <w:sz w:val="24"/>
          <w:szCs w:val="24"/>
        </w:rPr>
      </w:pPr>
      <w:bookmarkStart w:id="1161" w:name="_Toc31766"/>
      <w:bookmarkStart w:id="1162" w:name="_Toc470719217"/>
      <w:bookmarkStart w:id="1163" w:name="_Toc28157"/>
      <w:r>
        <w:rPr>
          <w:b/>
          <w:sz w:val="24"/>
          <w:szCs w:val="24"/>
        </w:rPr>
        <w:br w:type="page"/>
      </w:r>
      <w:bookmarkStart w:id="1164" w:name="_Toc19942"/>
      <w:r>
        <w:rPr>
          <w:b/>
          <w:sz w:val="24"/>
          <w:szCs w:val="24"/>
        </w:rPr>
        <w:t>6、长沙县城区住宅用地楼面基准地价表</w:t>
      </w:r>
      <w:bookmarkEnd w:id="1161"/>
      <w:bookmarkEnd w:id="1162"/>
      <w:bookmarkEnd w:id="1163"/>
      <w:bookmarkEnd w:id="1164"/>
    </w:p>
    <w:p>
      <w:pPr>
        <w:pStyle w:val="131"/>
        <w:spacing w:beforeLines="50" w:afterLines="50"/>
        <w:ind w:firstLine="0" w:firstLineChars="0"/>
        <w:rPr>
          <w:rFonts w:ascii="Times New Roman" w:hAnsi="Times New Roman"/>
          <w:sz w:val="24"/>
        </w:rPr>
      </w:pPr>
      <w:r>
        <w:rPr>
          <w:rFonts w:ascii="Times New Roman" w:hAnsi="Times New Roman"/>
          <w:sz w:val="24"/>
        </w:rPr>
        <w:t>表2-6 城区住宅用地楼面基准地价表</w:t>
      </w:r>
    </w:p>
    <w:p>
      <w:pPr>
        <w:tabs>
          <w:tab w:val="right" w:pos="9298"/>
        </w:tabs>
        <w:spacing w:line="460" w:lineRule="exact"/>
        <w:ind w:right="600" w:firstLine="480" w:firstLineChars="200"/>
        <w:jc w:val="right"/>
        <w:rPr>
          <w:sz w:val="24"/>
        </w:rPr>
      </w:pPr>
      <w:r>
        <w:rPr>
          <w:sz w:val="24"/>
        </w:rPr>
        <w:t>单位：元/平方米</w:t>
      </w:r>
    </w:p>
    <w:tbl>
      <w:tblPr>
        <w:tblW w:w="83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89"/>
        <w:gridCol w:w="1390"/>
        <w:gridCol w:w="1389"/>
        <w:gridCol w:w="1389"/>
        <w:gridCol w:w="1390"/>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blHeader/>
          <w:jc w:val="center"/>
        </w:trPr>
        <w:tc>
          <w:tcPr>
            <w:tcW w:w="1389" w:type="dxa"/>
            <w:shd w:val="clear" w:color="auto" w:fill="FFFFFF"/>
            <w:vAlign w:val="center"/>
          </w:tcPr>
          <w:p>
            <w:pPr>
              <w:widowControl/>
              <w:jc w:val="center"/>
              <w:textAlignment w:val="bottom"/>
              <w:rPr>
                <w:b/>
                <w:color w:val="000000"/>
                <w:szCs w:val="21"/>
              </w:rPr>
            </w:pPr>
            <w:r>
              <w:rPr>
                <w:b/>
                <w:color w:val="000000"/>
                <w:kern w:val="0"/>
                <w:szCs w:val="21"/>
                <w:lang/>
              </w:rPr>
              <w:t>容积率</w:t>
            </w:r>
          </w:p>
        </w:tc>
        <w:tc>
          <w:tcPr>
            <w:tcW w:w="1390" w:type="dxa"/>
            <w:shd w:val="clear" w:color="auto" w:fill="FFFFFF"/>
            <w:vAlign w:val="center"/>
          </w:tcPr>
          <w:p>
            <w:pPr>
              <w:widowControl/>
              <w:jc w:val="center"/>
              <w:textAlignment w:val="bottom"/>
              <w:rPr>
                <w:b/>
                <w:color w:val="000000"/>
                <w:szCs w:val="21"/>
              </w:rPr>
            </w:pPr>
            <w:r>
              <w:rPr>
                <w:b/>
                <w:color w:val="000000"/>
                <w:kern w:val="0"/>
                <w:szCs w:val="21"/>
                <w:lang/>
              </w:rPr>
              <w:t>住宅Ⅰ级</w:t>
            </w:r>
          </w:p>
        </w:tc>
        <w:tc>
          <w:tcPr>
            <w:tcW w:w="1389" w:type="dxa"/>
            <w:shd w:val="clear" w:color="auto" w:fill="FFFFFF"/>
            <w:vAlign w:val="center"/>
          </w:tcPr>
          <w:p>
            <w:pPr>
              <w:widowControl/>
              <w:jc w:val="center"/>
              <w:textAlignment w:val="bottom"/>
              <w:rPr>
                <w:b/>
                <w:color w:val="000000"/>
                <w:szCs w:val="21"/>
              </w:rPr>
            </w:pPr>
            <w:r>
              <w:rPr>
                <w:b/>
                <w:color w:val="000000"/>
                <w:kern w:val="0"/>
                <w:szCs w:val="21"/>
                <w:lang/>
              </w:rPr>
              <w:t>住宅Ⅱ级</w:t>
            </w:r>
          </w:p>
        </w:tc>
        <w:tc>
          <w:tcPr>
            <w:tcW w:w="1389" w:type="dxa"/>
            <w:shd w:val="clear" w:color="auto" w:fill="FFFFFF"/>
            <w:vAlign w:val="center"/>
          </w:tcPr>
          <w:p>
            <w:pPr>
              <w:widowControl/>
              <w:jc w:val="center"/>
              <w:textAlignment w:val="bottom"/>
              <w:rPr>
                <w:b/>
                <w:color w:val="000000"/>
                <w:szCs w:val="21"/>
              </w:rPr>
            </w:pPr>
            <w:r>
              <w:rPr>
                <w:b/>
                <w:color w:val="000000"/>
                <w:kern w:val="0"/>
                <w:szCs w:val="21"/>
                <w:lang/>
              </w:rPr>
              <w:t>住宅Ⅲ级</w:t>
            </w:r>
          </w:p>
        </w:tc>
        <w:tc>
          <w:tcPr>
            <w:tcW w:w="1390" w:type="dxa"/>
            <w:shd w:val="clear" w:color="auto" w:fill="FFFFFF"/>
            <w:vAlign w:val="center"/>
          </w:tcPr>
          <w:p>
            <w:pPr>
              <w:widowControl/>
              <w:jc w:val="center"/>
              <w:textAlignment w:val="bottom"/>
              <w:rPr>
                <w:b/>
                <w:color w:val="000000"/>
                <w:szCs w:val="21"/>
              </w:rPr>
            </w:pPr>
            <w:r>
              <w:rPr>
                <w:b/>
                <w:color w:val="000000"/>
                <w:kern w:val="0"/>
                <w:szCs w:val="21"/>
                <w:lang/>
              </w:rPr>
              <w:t>住宅Ⅳ级</w:t>
            </w:r>
          </w:p>
        </w:tc>
        <w:tc>
          <w:tcPr>
            <w:tcW w:w="1389" w:type="dxa"/>
            <w:shd w:val="clear" w:color="auto" w:fill="FFFFFF"/>
            <w:vAlign w:val="center"/>
          </w:tcPr>
          <w:p>
            <w:pPr>
              <w:widowControl/>
              <w:jc w:val="center"/>
              <w:textAlignment w:val="bottom"/>
              <w:rPr>
                <w:b/>
                <w:color w:val="000000"/>
                <w:szCs w:val="21"/>
              </w:rPr>
            </w:pPr>
            <w:r>
              <w:rPr>
                <w:b/>
                <w:color w:val="000000"/>
                <w:kern w:val="0"/>
                <w:szCs w:val="21"/>
                <w:lang/>
              </w:rPr>
              <w:t>住宅Ⅴ级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1</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2560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2146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1750</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1357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1.1</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2386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1986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1607</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1256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1.2</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2243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1863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1490</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1163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1.3</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2121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1755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1390</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1091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1.4</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2016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1666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1306</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1015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1.5</w:t>
            </w:r>
          </w:p>
        </w:tc>
        <w:tc>
          <w:tcPr>
            <w:tcW w:w="1390" w:type="dxa"/>
            <w:shd w:val="clear" w:color="auto" w:fill="auto"/>
            <w:vAlign w:val="center"/>
          </w:tcPr>
          <w:p>
            <w:pPr>
              <w:widowControl/>
              <w:jc w:val="center"/>
              <w:textAlignment w:val="bottom"/>
              <w:rPr>
                <w:rFonts w:eastAsia="Tahoma"/>
                <w:color w:val="000000"/>
                <w:sz w:val="22"/>
                <w:szCs w:val="22"/>
              </w:rPr>
            </w:pPr>
            <w:r>
              <w:rPr>
                <w:rFonts w:eastAsia="Tahoma"/>
                <w:color w:val="000000"/>
                <w:kern w:val="0"/>
                <w:sz w:val="22"/>
                <w:szCs w:val="22"/>
                <w:lang/>
              </w:rPr>
              <w:t>1925</w:t>
            </w:r>
          </w:p>
        </w:tc>
        <w:tc>
          <w:tcPr>
            <w:tcW w:w="1389" w:type="dxa"/>
            <w:shd w:val="clear" w:color="auto" w:fill="auto"/>
            <w:vAlign w:val="center"/>
          </w:tcPr>
          <w:p>
            <w:pPr>
              <w:widowControl/>
              <w:jc w:val="center"/>
              <w:textAlignment w:val="bottom"/>
              <w:rPr>
                <w:rFonts w:eastAsia="Tahoma"/>
                <w:color w:val="000000"/>
                <w:sz w:val="22"/>
                <w:szCs w:val="22"/>
              </w:rPr>
            </w:pPr>
            <w:r>
              <w:rPr>
                <w:rFonts w:eastAsia="Tahoma"/>
                <w:color w:val="000000"/>
                <w:kern w:val="0"/>
                <w:sz w:val="22"/>
                <w:szCs w:val="22"/>
                <w:lang/>
              </w:rPr>
              <w:t>1589</w:t>
            </w:r>
          </w:p>
        </w:tc>
        <w:tc>
          <w:tcPr>
            <w:tcW w:w="1389" w:type="dxa"/>
            <w:shd w:val="clear" w:color="auto" w:fill="auto"/>
            <w:vAlign w:val="center"/>
          </w:tcPr>
          <w:p>
            <w:pPr>
              <w:widowControl/>
              <w:jc w:val="center"/>
              <w:textAlignment w:val="bottom"/>
              <w:rPr>
                <w:rFonts w:eastAsia="Tahoma"/>
                <w:color w:val="000000"/>
                <w:sz w:val="22"/>
                <w:szCs w:val="22"/>
              </w:rPr>
            </w:pPr>
            <w:r>
              <w:rPr>
                <w:rFonts w:eastAsia="Tahoma"/>
                <w:color w:val="000000"/>
                <w:kern w:val="0"/>
                <w:sz w:val="22"/>
                <w:szCs w:val="22"/>
                <w:lang/>
              </w:rPr>
              <w:t>1230</w:t>
            </w:r>
          </w:p>
        </w:tc>
        <w:tc>
          <w:tcPr>
            <w:tcW w:w="1390" w:type="dxa"/>
            <w:shd w:val="clear" w:color="auto" w:fill="auto"/>
            <w:vAlign w:val="center"/>
          </w:tcPr>
          <w:p>
            <w:pPr>
              <w:widowControl/>
              <w:jc w:val="center"/>
              <w:textAlignment w:val="bottom"/>
              <w:rPr>
                <w:rFonts w:eastAsia="Tahoma"/>
                <w:color w:val="000000"/>
                <w:sz w:val="22"/>
                <w:szCs w:val="22"/>
              </w:rPr>
            </w:pPr>
            <w:r>
              <w:rPr>
                <w:rFonts w:eastAsia="Tahoma"/>
                <w:color w:val="000000"/>
                <w:kern w:val="0"/>
                <w:sz w:val="22"/>
                <w:szCs w:val="22"/>
                <w:lang/>
              </w:rPr>
              <w:t>961</w:t>
            </w:r>
          </w:p>
        </w:tc>
        <w:tc>
          <w:tcPr>
            <w:tcW w:w="1389" w:type="dxa"/>
            <w:shd w:val="clear" w:color="auto" w:fill="92D050"/>
            <w:vAlign w:val="center"/>
          </w:tcPr>
          <w:p>
            <w:pPr>
              <w:widowControl/>
              <w:jc w:val="center"/>
              <w:textAlignment w:val="bottom"/>
              <w:rPr>
                <w:rFonts w:eastAsia="Tahoma"/>
                <w:color w:val="000000"/>
                <w:sz w:val="22"/>
                <w:szCs w:val="22"/>
              </w:rPr>
            </w:pPr>
            <w:r>
              <w:rPr>
                <w:rFonts w:eastAsia="Tahoma"/>
                <w:color w:val="000000"/>
                <w:kern w:val="0"/>
                <w:sz w:val="22"/>
                <w:szCs w:val="22"/>
                <w:lang/>
              </w:rPr>
              <w:t>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1.6</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1846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1517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1165</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926</w:t>
            </w:r>
          </w:p>
        </w:tc>
        <w:tc>
          <w:tcPr>
            <w:tcW w:w="1389" w:type="dxa"/>
            <w:vAlign w:val="center"/>
          </w:tcPr>
          <w:p>
            <w:pPr>
              <w:widowControl/>
              <w:jc w:val="center"/>
              <w:textAlignment w:val="bottom"/>
              <w:rPr>
                <w:color w:val="000000"/>
                <w:sz w:val="22"/>
                <w:szCs w:val="22"/>
              </w:rPr>
            </w:pPr>
            <w:r>
              <w:rPr>
                <w:color w:val="000000"/>
                <w:sz w:val="22"/>
                <w:szCs w:val="22"/>
              </w:rPr>
              <w:t>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1.7</w:t>
            </w:r>
          </w:p>
        </w:tc>
        <w:tc>
          <w:tcPr>
            <w:tcW w:w="1390" w:type="dxa"/>
            <w:shd w:val="clear" w:color="auto" w:fill="auto"/>
            <w:vAlign w:val="center"/>
          </w:tcPr>
          <w:p>
            <w:pPr>
              <w:widowControl/>
              <w:jc w:val="center"/>
              <w:textAlignment w:val="bottom"/>
              <w:rPr>
                <w:rFonts w:eastAsia="Tahoma"/>
                <w:color w:val="000000"/>
                <w:sz w:val="22"/>
                <w:szCs w:val="22"/>
              </w:rPr>
            </w:pPr>
            <w:r>
              <w:rPr>
                <w:rFonts w:eastAsia="Tahoma"/>
                <w:color w:val="000000"/>
                <w:kern w:val="0"/>
                <w:sz w:val="22"/>
                <w:szCs w:val="22"/>
                <w:lang/>
              </w:rPr>
              <w:t>1776</w:t>
            </w:r>
          </w:p>
        </w:tc>
        <w:tc>
          <w:tcPr>
            <w:tcW w:w="1389" w:type="dxa"/>
            <w:shd w:val="clear" w:color="auto" w:fill="auto"/>
            <w:vAlign w:val="center"/>
          </w:tcPr>
          <w:p>
            <w:pPr>
              <w:widowControl/>
              <w:jc w:val="center"/>
              <w:textAlignment w:val="bottom"/>
              <w:rPr>
                <w:rFonts w:eastAsia="Tahoma"/>
                <w:color w:val="000000"/>
                <w:sz w:val="22"/>
                <w:szCs w:val="22"/>
              </w:rPr>
            </w:pPr>
            <w:r>
              <w:rPr>
                <w:rFonts w:eastAsia="Tahoma"/>
                <w:color w:val="000000"/>
                <w:kern w:val="0"/>
                <w:sz w:val="22"/>
                <w:szCs w:val="22"/>
                <w:lang/>
              </w:rPr>
              <w:t>1453</w:t>
            </w:r>
          </w:p>
        </w:tc>
        <w:tc>
          <w:tcPr>
            <w:tcW w:w="1389" w:type="dxa"/>
            <w:shd w:val="clear" w:color="auto" w:fill="auto"/>
            <w:vAlign w:val="center"/>
          </w:tcPr>
          <w:p>
            <w:pPr>
              <w:widowControl/>
              <w:jc w:val="center"/>
              <w:textAlignment w:val="bottom"/>
              <w:rPr>
                <w:rFonts w:eastAsia="Tahoma"/>
                <w:color w:val="000000"/>
                <w:sz w:val="22"/>
                <w:szCs w:val="22"/>
              </w:rPr>
            </w:pPr>
            <w:r>
              <w:rPr>
                <w:rFonts w:eastAsia="Tahoma"/>
                <w:color w:val="000000"/>
                <w:kern w:val="0"/>
                <w:sz w:val="22"/>
                <w:szCs w:val="22"/>
                <w:lang/>
              </w:rPr>
              <w:t>1106</w:t>
            </w:r>
          </w:p>
        </w:tc>
        <w:tc>
          <w:tcPr>
            <w:tcW w:w="1390" w:type="dxa"/>
            <w:shd w:val="clear" w:color="auto" w:fill="92D050"/>
            <w:vAlign w:val="center"/>
          </w:tcPr>
          <w:p>
            <w:pPr>
              <w:widowControl/>
              <w:jc w:val="center"/>
              <w:textAlignment w:val="bottom"/>
              <w:rPr>
                <w:rFonts w:eastAsia="Tahoma"/>
                <w:color w:val="000000"/>
                <w:sz w:val="22"/>
                <w:szCs w:val="22"/>
              </w:rPr>
            </w:pPr>
            <w:r>
              <w:rPr>
                <w:rFonts w:eastAsia="Tahoma"/>
                <w:color w:val="000000"/>
                <w:kern w:val="0"/>
                <w:sz w:val="22"/>
                <w:szCs w:val="22"/>
                <w:lang/>
              </w:rPr>
              <w:t>871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1.8</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1714</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1378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1058</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850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1.9</w:t>
            </w:r>
          </w:p>
        </w:tc>
        <w:tc>
          <w:tcPr>
            <w:tcW w:w="1390" w:type="dxa"/>
            <w:shd w:val="clear" w:color="auto" w:fill="auto"/>
            <w:vAlign w:val="center"/>
          </w:tcPr>
          <w:p>
            <w:pPr>
              <w:widowControl/>
              <w:jc w:val="center"/>
              <w:textAlignment w:val="bottom"/>
              <w:rPr>
                <w:rFonts w:eastAsia="Tahoma"/>
                <w:color w:val="000000"/>
                <w:sz w:val="22"/>
                <w:szCs w:val="22"/>
              </w:rPr>
            </w:pPr>
            <w:r>
              <w:rPr>
                <w:rFonts w:eastAsia="Tahoma"/>
                <w:color w:val="000000"/>
                <w:kern w:val="0"/>
                <w:sz w:val="22"/>
                <w:szCs w:val="22"/>
                <w:lang/>
              </w:rPr>
              <w:t>1658</w:t>
            </w:r>
          </w:p>
        </w:tc>
        <w:tc>
          <w:tcPr>
            <w:tcW w:w="1389" w:type="dxa"/>
            <w:shd w:val="clear" w:color="auto" w:fill="auto"/>
            <w:vAlign w:val="center"/>
          </w:tcPr>
          <w:p>
            <w:pPr>
              <w:widowControl/>
              <w:jc w:val="center"/>
              <w:textAlignment w:val="bottom"/>
              <w:rPr>
                <w:rFonts w:eastAsia="Tahoma"/>
                <w:color w:val="000000"/>
                <w:sz w:val="22"/>
                <w:szCs w:val="22"/>
              </w:rPr>
            </w:pPr>
            <w:r>
              <w:rPr>
                <w:rFonts w:eastAsia="Tahoma"/>
                <w:color w:val="000000"/>
                <w:kern w:val="0"/>
                <w:sz w:val="22"/>
                <w:szCs w:val="22"/>
                <w:lang/>
              </w:rPr>
              <w:t>1321</w:t>
            </w:r>
          </w:p>
        </w:tc>
        <w:tc>
          <w:tcPr>
            <w:tcW w:w="1389" w:type="dxa"/>
            <w:shd w:val="clear" w:color="auto" w:fill="92D050"/>
            <w:vAlign w:val="center"/>
          </w:tcPr>
          <w:p>
            <w:pPr>
              <w:widowControl/>
              <w:jc w:val="center"/>
              <w:textAlignment w:val="bottom"/>
              <w:rPr>
                <w:rFonts w:eastAsia="Tahoma"/>
                <w:color w:val="000000"/>
                <w:sz w:val="22"/>
                <w:szCs w:val="22"/>
              </w:rPr>
            </w:pPr>
            <w:r>
              <w:rPr>
                <w:rFonts w:eastAsia="Tahoma"/>
                <w:color w:val="000000"/>
                <w:kern w:val="0"/>
                <w:sz w:val="22"/>
                <w:szCs w:val="22"/>
                <w:lang/>
              </w:rPr>
              <w:t>1011</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838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2</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1608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1260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962</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829</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2.1</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1563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1202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920</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823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2.2</w:t>
            </w:r>
          </w:p>
        </w:tc>
        <w:tc>
          <w:tcPr>
            <w:tcW w:w="1390" w:type="dxa"/>
            <w:shd w:val="clear" w:color="auto" w:fill="auto"/>
            <w:vAlign w:val="center"/>
          </w:tcPr>
          <w:p>
            <w:pPr>
              <w:widowControl/>
              <w:jc w:val="center"/>
              <w:textAlignment w:val="bottom"/>
              <w:rPr>
                <w:rFonts w:eastAsia="Tahoma"/>
                <w:color w:val="000000"/>
                <w:sz w:val="22"/>
                <w:szCs w:val="22"/>
              </w:rPr>
            </w:pPr>
            <w:r>
              <w:rPr>
                <w:rFonts w:eastAsia="Tahoma"/>
                <w:color w:val="000000"/>
                <w:kern w:val="0"/>
                <w:sz w:val="22"/>
                <w:szCs w:val="22"/>
                <w:lang/>
              </w:rPr>
              <w:t>1522</w:t>
            </w:r>
          </w:p>
        </w:tc>
        <w:tc>
          <w:tcPr>
            <w:tcW w:w="1389" w:type="dxa"/>
            <w:shd w:val="clear" w:color="auto" w:fill="92D050"/>
            <w:vAlign w:val="center"/>
          </w:tcPr>
          <w:p>
            <w:pPr>
              <w:widowControl/>
              <w:jc w:val="center"/>
              <w:textAlignment w:val="bottom"/>
              <w:rPr>
                <w:rFonts w:eastAsia="Tahoma"/>
                <w:color w:val="000000"/>
                <w:sz w:val="22"/>
                <w:szCs w:val="22"/>
              </w:rPr>
            </w:pPr>
            <w:r>
              <w:rPr>
                <w:rFonts w:eastAsia="Tahoma"/>
                <w:color w:val="000000"/>
                <w:kern w:val="0"/>
                <w:sz w:val="22"/>
                <w:szCs w:val="22"/>
                <w:lang/>
              </w:rPr>
              <w:t>1155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905</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818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2.3</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1484</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1135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899</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812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2.4</w:t>
            </w:r>
          </w:p>
        </w:tc>
        <w:tc>
          <w:tcPr>
            <w:tcW w:w="1390" w:type="dxa"/>
            <w:shd w:val="clear" w:color="auto" w:fill="92D050"/>
            <w:vAlign w:val="center"/>
          </w:tcPr>
          <w:p>
            <w:pPr>
              <w:widowControl/>
              <w:jc w:val="center"/>
              <w:textAlignment w:val="bottom"/>
              <w:rPr>
                <w:rFonts w:eastAsia="Tahoma"/>
                <w:color w:val="000000"/>
                <w:sz w:val="22"/>
                <w:szCs w:val="22"/>
              </w:rPr>
            </w:pPr>
            <w:r>
              <w:rPr>
                <w:rFonts w:eastAsia="Tahoma"/>
                <w:color w:val="000000"/>
                <w:kern w:val="0"/>
                <w:sz w:val="22"/>
                <w:szCs w:val="22"/>
                <w:lang/>
              </w:rPr>
              <w:t>1450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1125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890</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808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2.5</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1418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1117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883</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804</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2.6</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1407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1111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877</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797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2.7</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1397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1103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870</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793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2.8</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1387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1097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865</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789</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2.9</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1378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1090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859</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785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3</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1370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1085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852</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780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3.1</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1360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1078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847</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778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3.2</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1353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1073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842</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772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3.3</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1344</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1068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836</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768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3.4</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1337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1062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830</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766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3.5</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1329</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1057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826</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762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3.6</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1323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1051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821</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758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3.7</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1315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1046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816</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753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3.8</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1309</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1042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812</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752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3.9</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1302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1038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807</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748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4</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1296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1034</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802</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744</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4.1</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1289</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1028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799</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742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4.2</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1285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1024</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795</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739</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4.3</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1278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1020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790</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737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4.4</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1272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1016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788</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733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4.5</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1267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1012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784</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731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4.6</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1262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1008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780</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728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4.7</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1257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1004</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776</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725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4.8</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1251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1001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772</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722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4.9</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1247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997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769</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721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5</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1241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993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766</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717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5.1</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1237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990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762</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716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5.2</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1233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986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760</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712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5.3</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1228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983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756</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710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5.4</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1224</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980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754</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708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5.5</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1220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977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750</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706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5.6</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1215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974</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747</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705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5.7</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1211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970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744</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702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5.8</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1208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968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741</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700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5.9</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1204</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964</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739</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697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6</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1200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962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737</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696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6.1</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1196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959</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733</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695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6.2</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1192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956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730</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691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6.3</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1189</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953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728</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690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6.4</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1184</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951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726</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689</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6.5</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1182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948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723</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686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6.6</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1179</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945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721</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684</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6.7</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1175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943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718</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683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6.8</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1172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941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715</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681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6.9</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1169</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937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713</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679</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7</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1165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935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711</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678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7.1</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1163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933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709</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675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7.2</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1159</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930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707</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675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7.3</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1156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929</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705</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672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7.4</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1154</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926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703</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670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7.5</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1150</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924</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700</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665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7.6</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1148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921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697</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661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7.7</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1145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919</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694</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657</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7.8</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1142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916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693</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655</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7.9</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1139</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913</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690</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651</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jc w:val="center"/>
        </w:trPr>
        <w:tc>
          <w:tcPr>
            <w:tcW w:w="1389" w:type="dxa"/>
            <w:shd w:val="clear" w:color="auto" w:fill="FFFFFF"/>
            <w:vAlign w:val="center"/>
          </w:tcPr>
          <w:p>
            <w:pPr>
              <w:widowControl/>
              <w:jc w:val="center"/>
              <w:textAlignment w:val="bottom"/>
              <w:rPr>
                <w:rFonts w:eastAsia="Tahoma"/>
                <w:color w:val="000000"/>
                <w:sz w:val="24"/>
                <w:szCs w:val="24"/>
              </w:rPr>
            </w:pPr>
            <w:r>
              <w:rPr>
                <w:rFonts w:eastAsia="Tahoma"/>
                <w:color w:val="000000"/>
                <w:kern w:val="0"/>
                <w:sz w:val="24"/>
                <w:szCs w:val="24"/>
                <w:lang/>
              </w:rPr>
              <w:t>8</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1136</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912</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687</w:t>
            </w:r>
          </w:p>
        </w:tc>
        <w:tc>
          <w:tcPr>
            <w:tcW w:w="1390" w:type="dxa"/>
            <w:vAlign w:val="center"/>
          </w:tcPr>
          <w:p>
            <w:pPr>
              <w:widowControl/>
              <w:jc w:val="center"/>
              <w:textAlignment w:val="bottom"/>
              <w:rPr>
                <w:rFonts w:eastAsia="Tahoma"/>
                <w:color w:val="000000"/>
                <w:sz w:val="22"/>
                <w:szCs w:val="22"/>
              </w:rPr>
            </w:pPr>
            <w:r>
              <w:rPr>
                <w:rFonts w:eastAsia="Tahoma"/>
                <w:color w:val="000000"/>
                <w:kern w:val="0"/>
                <w:sz w:val="22"/>
                <w:szCs w:val="22"/>
                <w:lang/>
              </w:rPr>
              <w:t>648</w:t>
            </w:r>
          </w:p>
        </w:tc>
        <w:tc>
          <w:tcPr>
            <w:tcW w:w="1389" w:type="dxa"/>
            <w:vAlign w:val="center"/>
          </w:tcPr>
          <w:p>
            <w:pPr>
              <w:widowControl/>
              <w:jc w:val="center"/>
              <w:textAlignment w:val="bottom"/>
              <w:rPr>
                <w:rFonts w:eastAsia="Tahoma"/>
                <w:color w:val="000000"/>
                <w:sz w:val="22"/>
                <w:szCs w:val="22"/>
              </w:rPr>
            </w:pPr>
            <w:r>
              <w:rPr>
                <w:rFonts w:eastAsia="Tahoma"/>
                <w:color w:val="000000"/>
                <w:kern w:val="0"/>
                <w:sz w:val="22"/>
                <w:szCs w:val="22"/>
                <w:lang/>
              </w:rPr>
              <w:t>415</w:t>
            </w:r>
          </w:p>
        </w:tc>
      </w:tr>
    </w:tbl>
    <w:p>
      <w:pPr>
        <w:ind w:firstLine="420" w:firstLineChars="200"/>
        <w:jc w:val="left"/>
        <w:textAlignment w:val="baseline"/>
        <w:rPr>
          <w:szCs w:val="21"/>
        </w:rPr>
      </w:pPr>
      <w:r>
        <w:rPr>
          <w:szCs w:val="21"/>
        </w:rPr>
        <w:t>备注：容积率小于时，按容积率为1时取对应楼面基准地价标准；容积率大于8时，按容积率为8时取对应的楼面基准地价标准。</w:t>
      </w:r>
    </w:p>
    <w:p>
      <w:pPr>
        <w:widowControl/>
        <w:ind w:firstLine="482" w:firstLineChars="200"/>
        <w:jc w:val="left"/>
        <w:rPr>
          <w:b/>
          <w:sz w:val="24"/>
          <w:szCs w:val="24"/>
        </w:rPr>
      </w:pPr>
      <w:r>
        <w:rPr>
          <w:b/>
          <w:sz w:val="24"/>
          <w:szCs w:val="24"/>
        </w:rPr>
        <w:br w:type="page"/>
      </w:r>
    </w:p>
    <w:p>
      <w:pPr>
        <w:ind w:firstLine="482" w:firstLineChars="200"/>
        <w:outlineLvl w:val="2"/>
        <w:rPr>
          <w:b/>
          <w:sz w:val="24"/>
          <w:szCs w:val="24"/>
        </w:rPr>
      </w:pPr>
      <w:bookmarkStart w:id="1165" w:name="_Toc30618"/>
      <w:bookmarkStart w:id="1166" w:name="_Toc470719218"/>
      <w:bookmarkStart w:id="1167" w:name="_Toc9211"/>
      <w:bookmarkStart w:id="1168" w:name="_Toc5046"/>
      <w:r>
        <w:rPr>
          <w:b/>
          <w:sz w:val="24"/>
          <w:szCs w:val="24"/>
        </w:rPr>
        <w:t>7、长沙县城区商服用地地下空间土地使用权协议出让单价表</w:t>
      </w:r>
      <w:bookmarkEnd w:id="1158"/>
      <w:bookmarkEnd w:id="1159"/>
      <w:bookmarkEnd w:id="1165"/>
      <w:bookmarkEnd w:id="1166"/>
      <w:bookmarkEnd w:id="1167"/>
      <w:bookmarkEnd w:id="1168"/>
    </w:p>
    <w:p>
      <w:pPr>
        <w:pStyle w:val="131"/>
        <w:spacing w:beforeLines="50" w:afterLines="50"/>
        <w:ind w:firstLine="0" w:firstLineChars="0"/>
        <w:rPr>
          <w:rFonts w:ascii="Times New Roman" w:hAnsi="Times New Roman"/>
          <w:sz w:val="24"/>
        </w:rPr>
      </w:pPr>
      <w:r>
        <w:rPr>
          <w:rFonts w:ascii="Times New Roman" w:hAnsi="Times New Roman"/>
          <w:sz w:val="24"/>
        </w:rPr>
        <w:t>表2-7 商服用地地下空间土地使用权协议出让单价表</w:t>
      </w:r>
    </w:p>
    <w:tbl>
      <w:tblPr>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259"/>
        <w:gridCol w:w="1432"/>
        <w:gridCol w:w="1432"/>
        <w:gridCol w:w="1432"/>
        <w:gridCol w:w="1432"/>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901" w:type="dxa"/>
            <w:gridSpan w:val="2"/>
            <w:vAlign w:val="center"/>
          </w:tcPr>
          <w:p>
            <w:pPr>
              <w:widowControl/>
              <w:jc w:val="center"/>
              <w:rPr>
                <w:b/>
                <w:bCs/>
                <w:color w:val="000000"/>
                <w:kern w:val="0"/>
                <w:sz w:val="20"/>
              </w:rPr>
            </w:pPr>
            <w:r>
              <w:rPr>
                <w:b/>
                <w:bCs/>
                <w:color w:val="000000"/>
                <w:kern w:val="0"/>
                <w:sz w:val="20"/>
              </w:rPr>
              <w:t>级别及地下层数</w:t>
            </w:r>
          </w:p>
        </w:tc>
        <w:tc>
          <w:tcPr>
            <w:tcW w:w="1432" w:type="dxa"/>
            <w:vAlign w:val="center"/>
          </w:tcPr>
          <w:p>
            <w:pPr>
              <w:widowControl/>
              <w:jc w:val="center"/>
              <w:rPr>
                <w:b/>
                <w:bCs/>
                <w:color w:val="000000"/>
                <w:kern w:val="0"/>
                <w:sz w:val="20"/>
              </w:rPr>
            </w:pPr>
            <w:r>
              <w:rPr>
                <w:b/>
                <w:bCs/>
                <w:color w:val="000000"/>
                <w:kern w:val="0"/>
                <w:sz w:val="20"/>
              </w:rPr>
              <w:t>各级别地价</w:t>
            </w:r>
          </w:p>
        </w:tc>
        <w:tc>
          <w:tcPr>
            <w:tcW w:w="1432" w:type="dxa"/>
            <w:vAlign w:val="center"/>
          </w:tcPr>
          <w:p>
            <w:pPr>
              <w:widowControl/>
              <w:jc w:val="center"/>
              <w:rPr>
                <w:b/>
                <w:bCs/>
                <w:color w:val="000000"/>
                <w:kern w:val="0"/>
                <w:sz w:val="20"/>
              </w:rPr>
            </w:pPr>
            <w:r>
              <w:rPr>
                <w:b/>
                <w:bCs/>
                <w:color w:val="000000"/>
                <w:kern w:val="0"/>
                <w:sz w:val="20"/>
              </w:rPr>
              <w:t>地下建一层</w:t>
            </w:r>
          </w:p>
        </w:tc>
        <w:tc>
          <w:tcPr>
            <w:tcW w:w="1432" w:type="dxa"/>
            <w:vAlign w:val="center"/>
          </w:tcPr>
          <w:p>
            <w:pPr>
              <w:widowControl/>
              <w:jc w:val="center"/>
              <w:rPr>
                <w:b/>
                <w:bCs/>
                <w:color w:val="000000"/>
                <w:kern w:val="0"/>
                <w:sz w:val="20"/>
              </w:rPr>
            </w:pPr>
            <w:r>
              <w:rPr>
                <w:b/>
                <w:bCs/>
                <w:color w:val="000000"/>
                <w:kern w:val="0"/>
                <w:sz w:val="20"/>
              </w:rPr>
              <w:t>地下建二层</w:t>
            </w:r>
          </w:p>
        </w:tc>
        <w:tc>
          <w:tcPr>
            <w:tcW w:w="1432" w:type="dxa"/>
            <w:vAlign w:val="center"/>
          </w:tcPr>
          <w:p>
            <w:pPr>
              <w:widowControl/>
              <w:jc w:val="center"/>
              <w:rPr>
                <w:b/>
                <w:bCs/>
                <w:color w:val="000000"/>
                <w:kern w:val="0"/>
                <w:sz w:val="20"/>
              </w:rPr>
            </w:pPr>
            <w:r>
              <w:rPr>
                <w:b/>
                <w:bCs/>
                <w:color w:val="000000"/>
                <w:kern w:val="0"/>
                <w:sz w:val="20"/>
              </w:rPr>
              <w:t>地下建三层</w:t>
            </w:r>
          </w:p>
        </w:tc>
        <w:tc>
          <w:tcPr>
            <w:tcW w:w="1432" w:type="dxa"/>
            <w:vAlign w:val="center"/>
          </w:tcPr>
          <w:p>
            <w:pPr>
              <w:widowControl/>
              <w:jc w:val="center"/>
              <w:rPr>
                <w:b/>
                <w:bCs/>
                <w:color w:val="000000"/>
                <w:kern w:val="0"/>
                <w:sz w:val="20"/>
              </w:rPr>
            </w:pPr>
            <w:r>
              <w:rPr>
                <w:b/>
                <w:bCs/>
                <w:color w:val="000000"/>
                <w:kern w:val="0"/>
                <w:sz w:val="20"/>
              </w:rPr>
              <w:t>地下建四层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restart"/>
            <w:vAlign w:val="center"/>
          </w:tcPr>
          <w:p>
            <w:pPr>
              <w:widowControl/>
              <w:jc w:val="center"/>
              <w:rPr>
                <w:color w:val="000000"/>
                <w:kern w:val="0"/>
                <w:sz w:val="20"/>
              </w:rPr>
            </w:pPr>
            <w:r>
              <w:rPr>
                <w:color w:val="000000"/>
                <w:kern w:val="0"/>
                <w:sz w:val="20"/>
              </w:rPr>
              <w:t>Ⅰ</w:t>
            </w:r>
          </w:p>
        </w:tc>
        <w:tc>
          <w:tcPr>
            <w:tcW w:w="1259" w:type="dxa"/>
            <w:vAlign w:val="center"/>
          </w:tcPr>
          <w:p>
            <w:pPr>
              <w:widowControl/>
              <w:jc w:val="center"/>
              <w:rPr>
                <w:color w:val="000000"/>
                <w:kern w:val="0"/>
                <w:sz w:val="20"/>
              </w:rPr>
            </w:pPr>
            <w:r>
              <w:rPr>
                <w:color w:val="000000"/>
                <w:kern w:val="0"/>
                <w:sz w:val="20"/>
              </w:rPr>
              <w:t>负一层</w:t>
            </w:r>
          </w:p>
        </w:tc>
        <w:tc>
          <w:tcPr>
            <w:tcW w:w="1432" w:type="dxa"/>
            <w:vAlign w:val="bottom"/>
          </w:tcPr>
          <w:p>
            <w:pPr>
              <w:widowControl/>
              <w:jc w:val="center"/>
              <w:textAlignment w:val="bottom"/>
              <w:rPr>
                <w:color w:val="000000"/>
                <w:sz w:val="20"/>
              </w:rPr>
            </w:pPr>
            <w:r>
              <w:rPr>
                <w:rFonts w:eastAsia="Tahoma"/>
                <w:color w:val="000000"/>
                <w:kern w:val="0"/>
                <w:sz w:val="20"/>
                <w:lang/>
              </w:rPr>
              <w:t>4590</w:t>
            </w:r>
          </w:p>
        </w:tc>
        <w:tc>
          <w:tcPr>
            <w:tcW w:w="1432" w:type="dxa"/>
            <w:vAlign w:val="bottom"/>
          </w:tcPr>
          <w:p>
            <w:pPr>
              <w:widowControl/>
              <w:jc w:val="center"/>
              <w:textAlignment w:val="bottom"/>
              <w:rPr>
                <w:color w:val="000000"/>
                <w:sz w:val="20"/>
              </w:rPr>
            </w:pPr>
            <w:r>
              <w:rPr>
                <w:rFonts w:eastAsia="Tahoma"/>
                <w:color w:val="000000"/>
                <w:kern w:val="0"/>
                <w:sz w:val="20"/>
                <w:lang/>
              </w:rPr>
              <w:t xml:space="preserve">918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780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663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564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负二层</w:t>
            </w:r>
          </w:p>
        </w:tc>
        <w:tc>
          <w:tcPr>
            <w:tcW w:w="1432" w:type="dxa"/>
            <w:vAlign w:val="bottom"/>
          </w:tcPr>
          <w:p>
            <w:pPr>
              <w:widowControl/>
              <w:jc w:val="center"/>
              <w:textAlignment w:val="bottom"/>
              <w:rPr>
                <w:color w:val="000000"/>
                <w:sz w:val="20"/>
              </w:rPr>
            </w:pPr>
            <w:r>
              <w:rPr>
                <w:rFonts w:eastAsia="Tahoma"/>
                <w:color w:val="000000"/>
                <w:kern w:val="0"/>
                <w:sz w:val="20"/>
                <w:lang/>
              </w:rPr>
              <w:t>4590</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rFonts w:eastAsia="Tahoma"/>
                <w:color w:val="000000"/>
                <w:kern w:val="0"/>
                <w:sz w:val="20"/>
                <w:lang/>
              </w:rPr>
              <w:t xml:space="preserve">663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564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479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负三层</w:t>
            </w:r>
          </w:p>
        </w:tc>
        <w:tc>
          <w:tcPr>
            <w:tcW w:w="1432" w:type="dxa"/>
            <w:vAlign w:val="bottom"/>
          </w:tcPr>
          <w:p>
            <w:pPr>
              <w:widowControl/>
              <w:jc w:val="center"/>
              <w:textAlignment w:val="bottom"/>
              <w:rPr>
                <w:color w:val="000000"/>
                <w:sz w:val="20"/>
              </w:rPr>
            </w:pPr>
            <w:r>
              <w:rPr>
                <w:rFonts w:eastAsia="Tahoma"/>
                <w:color w:val="000000"/>
                <w:kern w:val="0"/>
                <w:sz w:val="20"/>
                <w:lang/>
              </w:rPr>
              <w:t>4590</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rFonts w:eastAsia="Tahoma"/>
                <w:color w:val="000000"/>
                <w:kern w:val="0"/>
                <w:sz w:val="20"/>
                <w:lang/>
              </w:rPr>
              <w:t xml:space="preserve">479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407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负四层</w:t>
            </w:r>
          </w:p>
        </w:tc>
        <w:tc>
          <w:tcPr>
            <w:tcW w:w="1432" w:type="dxa"/>
            <w:vAlign w:val="bottom"/>
          </w:tcPr>
          <w:p>
            <w:pPr>
              <w:widowControl/>
              <w:jc w:val="center"/>
              <w:textAlignment w:val="bottom"/>
              <w:rPr>
                <w:color w:val="000000"/>
                <w:sz w:val="20"/>
              </w:rPr>
            </w:pPr>
            <w:r>
              <w:rPr>
                <w:rFonts w:eastAsia="Tahoma"/>
                <w:color w:val="000000"/>
                <w:kern w:val="0"/>
                <w:sz w:val="20"/>
                <w:lang/>
              </w:rPr>
              <w:t>4590</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rFonts w:eastAsia="Tahoma"/>
                <w:color w:val="000000"/>
                <w:kern w:val="0"/>
                <w:sz w:val="20"/>
                <w:lang/>
              </w:rPr>
              <w:t xml:space="preserve">346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restart"/>
            <w:vAlign w:val="center"/>
          </w:tcPr>
          <w:p>
            <w:pPr>
              <w:widowControl/>
              <w:jc w:val="center"/>
              <w:rPr>
                <w:color w:val="000000"/>
                <w:kern w:val="0"/>
                <w:sz w:val="20"/>
              </w:rPr>
            </w:pPr>
            <w:r>
              <w:rPr>
                <w:color w:val="000000"/>
                <w:kern w:val="0"/>
                <w:sz w:val="20"/>
              </w:rPr>
              <w:t>Ⅱ</w:t>
            </w:r>
          </w:p>
        </w:tc>
        <w:tc>
          <w:tcPr>
            <w:tcW w:w="1259" w:type="dxa"/>
            <w:vAlign w:val="center"/>
          </w:tcPr>
          <w:p>
            <w:pPr>
              <w:widowControl/>
              <w:jc w:val="center"/>
              <w:rPr>
                <w:color w:val="000000"/>
                <w:kern w:val="0"/>
                <w:sz w:val="20"/>
              </w:rPr>
            </w:pPr>
            <w:r>
              <w:rPr>
                <w:color w:val="000000"/>
                <w:kern w:val="0"/>
                <w:sz w:val="20"/>
              </w:rPr>
              <w:t>负一层</w:t>
            </w:r>
          </w:p>
        </w:tc>
        <w:tc>
          <w:tcPr>
            <w:tcW w:w="1432" w:type="dxa"/>
            <w:vAlign w:val="bottom"/>
          </w:tcPr>
          <w:p>
            <w:pPr>
              <w:widowControl/>
              <w:jc w:val="center"/>
              <w:textAlignment w:val="bottom"/>
              <w:rPr>
                <w:color w:val="000000"/>
                <w:sz w:val="20"/>
              </w:rPr>
            </w:pPr>
            <w:r>
              <w:rPr>
                <w:rFonts w:eastAsia="Tahoma"/>
                <w:color w:val="000000"/>
                <w:kern w:val="0"/>
                <w:sz w:val="20"/>
                <w:lang/>
              </w:rPr>
              <w:t>3360</w:t>
            </w:r>
          </w:p>
        </w:tc>
        <w:tc>
          <w:tcPr>
            <w:tcW w:w="1432" w:type="dxa"/>
            <w:vAlign w:val="bottom"/>
          </w:tcPr>
          <w:p>
            <w:pPr>
              <w:widowControl/>
              <w:jc w:val="center"/>
              <w:textAlignment w:val="bottom"/>
              <w:rPr>
                <w:color w:val="000000"/>
                <w:sz w:val="20"/>
              </w:rPr>
            </w:pPr>
            <w:r>
              <w:rPr>
                <w:rFonts w:eastAsia="Tahoma"/>
                <w:color w:val="000000"/>
                <w:kern w:val="0"/>
                <w:sz w:val="20"/>
                <w:lang/>
              </w:rPr>
              <w:t xml:space="preserve">672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571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486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413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负二层</w:t>
            </w:r>
          </w:p>
        </w:tc>
        <w:tc>
          <w:tcPr>
            <w:tcW w:w="1432" w:type="dxa"/>
            <w:vAlign w:val="bottom"/>
          </w:tcPr>
          <w:p>
            <w:pPr>
              <w:widowControl/>
              <w:jc w:val="center"/>
              <w:textAlignment w:val="bottom"/>
              <w:rPr>
                <w:color w:val="000000"/>
                <w:sz w:val="20"/>
              </w:rPr>
            </w:pPr>
            <w:r>
              <w:rPr>
                <w:rFonts w:eastAsia="Tahoma"/>
                <w:color w:val="000000"/>
                <w:kern w:val="0"/>
                <w:sz w:val="20"/>
                <w:lang/>
              </w:rPr>
              <w:t>3360</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rFonts w:eastAsia="Tahoma"/>
                <w:color w:val="000000"/>
                <w:kern w:val="0"/>
                <w:sz w:val="20"/>
                <w:lang/>
              </w:rPr>
              <w:t xml:space="preserve">486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413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351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负三层</w:t>
            </w:r>
          </w:p>
        </w:tc>
        <w:tc>
          <w:tcPr>
            <w:tcW w:w="1432" w:type="dxa"/>
            <w:vAlign w:val="bottom"/>
          </w:tcPr>
          <w:p>
            <w:pPr>
              <w:widowControl/>
              <w:jc w:val="center"/>
              <w:textAlignment w:val="bottom"/>
              <w:rPr>
                <w:color w:val="000000"/>
                <w:sz w:val="20"/>
              </w:rPr>
            </w:pPr>
            <w:r>
              <w:rPr>
                <w:rFonts w:eastAsia="Tahoma"/>
                <w:color w:val="000000"/>
                <w:kern w:val="0"/>
                <w:sz w:val="20"/>
                <w:lang/>
              </w:rPr>
              <w:t>3360</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rFonts w:eastAsia="Tahoma"/>
                <w:color w:val="000000"/>
                <w:kern w:val="0"/>
                <w:sz w:val="20"/>
                <w:lang/>
              </w:rPr>
              <w:t xml:space="preserve">351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298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负四层</w:t>
            </w:r>
          </w:p>
        </w:tc>
        <w:tc>
          <w:tcPr>
            <w:tcW w:w="1432" w:type="dxa"/>
            <w:vAlign w:val="bottom"/>
          </w:tcPr>
          <w:p>
            <w:pPr>
              <w:widowControl/>
              <w:jc w:val="center"/>
              <w:textAlignment w:val="bottom"/>
              <w:rPr>
                <w:color w:val="000000"/>
                <w:sz w:val="20"/>
              </w:rPr>
            </w:pPr>
            <w:r>
              <w:rPr>
                <w:rFonts w:eastAsia="Tahoma"/>
                <w:color w:val="000000"/>
                <w:kern w:val="0"/>
                <w:sz w:val="20"/>
                <w:lang/>
              </w:rPr>
              <w:t>3360</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rFonts w:eastAsia="Tahoma"/>
                <w:color w:val="000000"/>
                <w:kern w:val="0"/>
                <w:sz w:val="20"/>
                <w:lang/>
              </w:rPr>
              <w:t xml:space="preserve">253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restart"/>
            <w:vAlign w:val="center"/>
          </w:tcPr>
          <w:p>
            <w:pPr>
              <w:widowControl/>
              <w:jc w:val="center"/>
              <w:rPr>
                <w:color w:val="000000"/>
                <w:kern w:val="0"/>
                <w:sz w:val="20"/>
              </w:rPr>
            </w:pPr>
            <w:r>
              <w:rPr>
                <w:color w:val="000000"/>
                <w:kern w:val="0"/>
                <w:sz w:val="20"/>
              </w:rPr>
              <w:t>Ⅲ</w:t>
            </w:r>
          </w:p>
        </w:tc>
        <w:tc>
          <w:tcPr>
            <w:tcW w:w="1259" w:type="dxa"/>
            <w:vAlign w:val="center"/>
          </w:tcPr>
          <w:p>
            <w:pPr>
              <w:widowControl/>
              <w:jc w:val="center"/>
              <w:rPr>
                <w:color w:val="000000"/>
                <w:kern w:val="0"/>
                <w:sz w:val="20"/>
              </w:rPr>
            </w:pPr>
            <w:r>
              <w:rPr>
                <w:color w:val="000000"/>
                <w:kern w:val="0"/>
                <w:sz w:val="20"/>
              </w:rPr>
              <w:t>负一层</w:t>
            </w:r>
          </w:p>
        </w:tc>
        <w:tc>
          <w:tcPr>
            <w:tcW w:w="1432" w:type="dxa"/>
            <w:vAlign w:val="bottom"/>
          </w:tcPr>
          <w:p>
            <w:pPr>
              <w:widowControl/>
              <w:jc w:val="center"/>
              <w:textAlignment w:val="bottom"/>
              <w:rPr>
                <w:color w:val="000000"/>
                <w:sz w:val="20"/>
              </w:rPr>
            </w:pPr>
            <w:r>
              <w:rPr>
                <w:rFonts w:eastAsia="Tahoma"/>
                <w:color w:val="000000"/>
                <w:kern w:val="0"/>
                <w:sz w:val="20"/>
                <w:lang/>
              </w:rPr>
              <w:t>2550</w:t>
            </w:r>
          </w:p>
        </w:tc>
        <w:tc>
          <w:tcPr>
            <w:tcW w:w="1432" w:type="dxa"/>
            <w:vAlign w:val="bottom"/>
          </w:tcPr>
          <w:p>
            <w:pPr>
              <w:widowControl/>
              <w:jc w:val="center"/>
              <w:textAlignment w:val="bottom"/>
              <w:rPr>
                <w:color w:val="000000"/>
                <w:sz w:val="20"/>
              </w:rPr>
            </w:pPr>
            <w:r>
              <w:rPr>
                <w:rFonts w:eastAsia="Tahoma"/>
                <w:color w:val="000000"/>
                <w:kern w:val="0"/>
                <w:sz w:val="20"/>
                <w:lang/>
              </w:rPr>
              <w:t xml:space="preserve">510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434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368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313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负二层</w:t>
            </w:r>
          </w:p>
        </w:tc>
        <w:tc>
          <w:tcPr>
            <w:tcW w:w="1432" w:type="dxa"/>
            <w:vAlign w:val="bottom"/>
          </w:tcPr>
          <w:p>
            <w:pPr>
              <w:widowControl/>
              <w:jc w:val="center"/>
              <w:textAlignment w:val="bottom"/>
              <w:rPr>
                <w:color w:val="000000"/>
                <w:sz w:val="20"/>
              </w:rPr>
            </w:pPr>
            <w:r>
              <w:rPr>
                <w:rFonts w:eastAsia="Tahoma"/>
                <w:color w:val="000000"/>
                <w:kern w:val="0"/>
                <w:sz w:val="20"/>
                <w:lang/>
              </w:rPr>
              <w:t>2550</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rFonts w:eastAsia="Tahoma"/>
                <w:color w:val="000000"/>
                <w:kern w:val="0"/>
                <w:sz w:val="20"/>
                <w:lang/>
              </w:rPr>
              <w:t xml:space="preserve">368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313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266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负三层</w:t>
            </w:r>
          </w:p>
        </w:tc>
        <w:tc>
          <w:tcPr>
            <w:tcW w:w="1432" w:type="dxa"/>
            <w:vAlign w:val="bottom"/>
          </w:tcPr>
          <w:p>
            <w:pPr>
              <w:widowControl/>
              <w:jc w:val="center"/>
              <w:textAlignment w:val="bottom"/>
              <w:rPr>
                <w:color w:val="000000"/>
                <w:sz w:val="20"/>
              </w:rPr>
            </w:pPr>
            <w:r>
              <w:rPr>
                <w:rFonts w:eastAsia="Tahoma"/>
                <w:color w:val="000000"/>
                <w:kern w:val="0"/>
                <w:sz w:val="20"/>
                <w:lang/>
              </w:rPr>
              <w:t>2550</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rFonts w:eastAsia="Tahoma"/>
                <w:color w:val="000000"/>
                <w:kern w:val="0"/>
                <w:sz w:val="20"/>
                <w:lang/>
              </w:rPr>
              <w:t xml:space="preserve">266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226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负四层</w:t>
            </w:r>
          </w:p>
        </w:tc>
        <w:tc>
          <w:tcPr>
            <w:tcW w:w="1432" w:type="dxa"/>
            <w:vAlign w:val="bottom"/>
          </w:tcPr>
          <w:p>
            <w:pPr>
              <w:widowControl/>
              <w:jc w:val="center"/>
              <w:textAlignment w:val="bottom"/>
              <w:rPr>
                <w:color w:val="000000"/>
                <w:sz w:val="20"/>
              </w:rPr>
            </w:pPr>
            <w:r>
              <w:rPr>
                <w:rFonts w:eastAsia="Tahoma"/>
                <w:color w:val="000000"/>
                <w:kern w:val="0"/>
                <w:sz w:val="20"/>
                <w:lang/>
              </w:rPr>
              <w:t>2550</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rFonts w:eastAsia="Tahoma"/>
                <w:color w:val="000000"/>
                <w:kern w:val="0"/>
                <w:sz w:val="20"/>
                <w:lang/>
              </w:rPr>
              <w:t xml:space="preserve">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restart"/>
            <w:vAlign w:val="center"/>
          </w:tcPr>
          <w:p>
            <w:pPr>
              <w:widowControl/>
              <w:jc w:val="center"/>
              <w:rPr>
                <w:color w:val="000000"/>
                <w:kern w:val="0"/>
                <w:sz w:val="20"/>
              </w:rPr>
            </w:pPr>
            <w:r>
              <w:rPr>
                <w:color w:val="000000"/>
                <w:kern w:val="0"/>
                <w:sz w:val="20"/>
              </w:rPr>
              <w:t>Ⅳ</w:t>
            </w:r>
          </w:p>
        </w:tc>
        <w:tc>
          <w:tcPr>
            <w:tcW w:w="1259" w:type="dxa"/>
            <w:vAlign w:val="center"/>
          </w:tcPr>
          <w:p>
            <w:pPr>
              <w:widowControl/>
              <w:jc w:val="center"/>
              <w:rPr>
                <w:color w:val="000000"/>
                <w:kern w:val="0"/>
                <w:sz w:val="20"/>
              </w:rPr>
            </w:pPr>
            <w:r>
              <w:rPr>
                <w:color w:val="000000"/>
                <w:kern w:val="0"/>
                <w:sz w:val="20"/>
              </w:rPr>
              <w:t>负一层</w:t>
            </w:r>
          </w:p>
        </w:tc>
        <w:tc>
          <w:tcPr>
            <w:tcW w:w="1432" w:type="dxa"/>
            <w:vAlign w:val="bottom"/>
          </w:tcPr>
          <w:p>
            <w:pPr>
              <w:widowControl/>
              <w:jc w:val="center"/>
              <w:textAlignment w:val="bottom"/>
              <w:rPr>
                <w:color w:val="000000"/>
                <w:sz w:val="20"/>
              </w:rPr>
            </w:pPr>
            <w:r>
              <w:rPr>
                <w:rFonts w:eastAsia="Tahoma"/>
                <w:color w:val="000000"/>
                <w:kern w:val="0"/>
                <w:sz w:val="20"/>
                <w:lang/>
              </w:rPr>
              <w:t>1780</w:t>
            </w:r>
          </w:p>
        </w:tc>
        <w:tc>
          <w:tcPr>
            <w:tcW w:w="1432" w:type="dxa"/>
            <w:vAlign w:val="bottom"/>
          </w:tcPr>
          <w:p>
            <w:pPr>
              <w:widowControl/>
              <w:jc w:val="center"/>
              <w:textAlignment w:val="bottom"/>
              <w:rPr>
                <w:color w:val="000000"/>
                <w:sz w:val="20"/>
              </w:rPr>
            </w:pPr>
            <w:r>
              <w:rPr>
                <w:rFonts w:eastAsia="Tahoma"/>
                <w:color w:val="000000"/>
                <w:kern w:val="0"/>
                <w:sz w:val="20"/>
                <w:lang/>
              </w:rPr>
              <w:t xml:space="preserve">356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303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257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219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负二层</w:t>
            </w:r>
          </w:p>
        </w:tc>
        <w:tc>
          <w:tcPr>
            <w:tcW w:w="1432" w:type="dxa"/>
            <w:vAlign w:val="bottom"/>
          </w:tcPr>
          <w:p>
            <w:pPr>
              <w:widowControl/>
              <w:jc w:val="center"/>
              <w:textAlignment w:val="bottom"/>
              <w:rPr>
                <w:color w:val="000000"/>
                <w:sz w:val="20"/>
              </w:rPr>
            </w:pPr>
            <w:r>
              <w:rPr>
                <w:rFonts w:eastAsia="Tahoma"/>
                <w:color w:val="000000"/>
                <w:kern w:val="0"/>
                <w:sz w:val="20"/>
                <w:lang/>
              </w:rPr>
              <w:t>1780</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rFonts w:eastAsia="Tahoma"/>
                <w:color w:val="000000"/>
                <w:kern w:val="0"/>
                <w:sz w:val="20"/>
                <w:lang/>
              </w:rPr>
              <w:t xml:space="preserve">257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219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186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负三层</w:t>
            </w:r>
          </w:p>
        </w:tc>
        <w:tc>
          <w:tcPr>
            <w:tcW w:w="1432" w:type="dxa"/>
            <w:vAlign w:val="bottom"/>
          </w:tcPr>
          <w:p>
            <w:pPr>
              <w:widowControl/>
              <w:jc w:val="center"/>
              <w:textAlignment w:val="bottom"/>
              <w:rPr>
                <w:color w:val="000000"/>
                <w:sz w:val="20"/>
              </w:rPr>
            </w:pPr>
            <w:r>
              <w:rPr>
                <w:rFonts w:eastAsia="Tahoma"/>
                <w:color w:val="000000"/>
                <w:kern w:val="0"/>
                <w:sz w:val="20"/>
                <w:lang/>
              </w:rPr>
              <w:t>1780</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rFonts w:eastAsia="Tahoma"/>
                <w:color w:val="000000"/>
                <w:kern w:val="0"/>
                <w:sz w:val="20"/>
                <w:lang/>
              </w:rPr>
              <w:t xml:space="preserve">186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158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负四层</w:t>
            </w:r>
          </w:p>
        </w:tc>
        <w:tc>
          <w:tcPr>
            <w:tcW w:w="1432" w:type="dxa"/>
            <w:vAlign w:val="bottom"/>
          </w:tcPr>
          <w:p>
            <w:pPr>
              <w:widowControl/>
              <w:jc w:val="center"/>
              <w:textAlignment w:val="bottom"/>
              <w:rPr>
                <w:color w:val="000000"/>
                <w:sz w:val="20"/>
              </w:rPr>
            </w:pPr>
            <w:r>
              <w:rPr>
                <w:rFonts w:eastAsia="Tahoma"/>
                <w:color w:val="000000"/>
                <w:kern w:val="0"/>
                <w:sz w:val="20"/>
                <w:lang/>
              </w:rPr>
              <w:t>1780</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rFonts w:eastAsia="Tahoma"/>
                <w:color w:val="000000"/>
                <w:kern w:val="0"/>
                <w:sz w:val="20"/>
                <w:lang/>
              </w:rPr>
              <w:t xml:space="preserve">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restart"/>
            <w:vAlign w:val="center"/>
          </w:tcPr>
          <w:p>
            <w:pPr>
              <w:widowControl/>
              <w:jc w:val="center"/>
              <w:rPr>
                <w:color w:val="000000"/>
                <w:kern w:val="0"/>
                <w:sz w:val="20"/>
              </w:rPr>
            </w:pPr>
            <w:r>
              <w:rPr>
                <w:color w:val="000000"/>
                <w:kern w:val="0"/>
                <w:sz w:val="20"/>
              </w:rPr>
              <w:t>Ⅴ</w:t>
            </w:r>
          </w:p>
        </w:tc>
        <w:tc>
          <w:tcPr>
            <w:tcW w:w="1259" w:type="dxa"/>
            <w:vAlign w:val="center"/>
          </w:tcPr>
          <w:p>
            <w:pPr>
              <w:widowControl/>
              <w:jc w:val="center"/>
              <w:rPr>
                <w:color w:val="000000"/>
                <w:kern w:val="0"/>
                <w:sz w:val="20"/>
              </w:rPr>
            </w:pPr>
            <w:r>
              <w:rPr>
                <w:color w:val="000000"/>
                <w:kern w:val="0"/>
                <w:sz w:val="20"/>
              </w:rPr>
              <w:t>负一层</w:t>
            </w:r>
          </w:p>
        </w:tc>
        <w:tc>
          <w:tcPr>
            <w:tcW w:w="1432" w:type="dxa"/>
            <w:vAlign w:val="bottom"/>
          </w:tcPr>
          <w:p>
            <w:pPr>
              <w:widowControl/>
              <w:jc w:val="center"/>
              <w:textAlignment w:val="bottom"/>
              <w:rPr>
                <w:color w:val="000000"/>
                <w:sz w:val="20"/>
              </w:rPr>
            </w:pPr>
            <w:r>
              <w:rPr>
                <w:rFonts w:eastAsia="Tahoma"/>
                <w:color w:val="000000"/>
                <w:kern w:val="0"/>
                <w:sz w:val="20"/>
                <w:lang/>
              </w:rPr>
              <w:t>1280</w:t>
            </w:r>
          </w:p>
        </w:tc>
        <w:tc>
          <w:tcPr>
            <w:tcW w:w="1432" w:type="dxa"/>
            <w:vAlign w:val="bottom"/>
          </w:tcPr>
          <w:p>
            <w:pPr>
              <w:widowControl/>
              <w:jc w:val="center"/>
              <w:textAlignment w:val="bottom"/>
              <w:rPr>
                <w:color w:val="000000"/>
                <w:sz w:val="20"/>
              </w:rPr>
            </w:pPr>
            <w:r>
              <w:rPr>
                <w:rFonts w:eastAsia="Tahoma"/>
                <w:color w:val="000000"/>
                <w:kern w:val="0"/>
                <w:sz w:val="20"/>
                <w:lang/>
              </w:rPr>
              <w:t xml:space="preserve">256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217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185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157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负二层</w:t>
            </w:r>
          </w:p>
        </w:tc>
        <w:tc>
          <w:tcPr>
            <w:tcW w:w="1432" w:type="dxa"/>
            <w:vAlign w:val="bottom"/>
          </w:tcPr>
          <w:p>
            <w:pPr>
              <w:widowControl/>
              <w:jc w:val="center"/>
              <w:textAlignment w:val="bottom"/>
              <w:rPr>
                <w:color w:val="000000"/>
                <w:sz w:val="20"/>
              </w:rPr>
            </w:pPr>
            <w:r>
              <w:rPr>
                <w:rFonts w:eastAsia="Tahoma"/>
                <w:color w:val="000000"/>
                <w:kern w:val="0"/>
                <w:sz w:val="20"/>
                <w:lang/>
              </w:rPr>
              <w:t>1280</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rFonts w:eastAsia="Tahoma"/>
                <w:color w:val="000000"/>
                <w:kern w:val="0"/>
                <w:sz w:val="20"/>
                <w:lang/>
              </w:rPr>
              <w:t xml:space="preserve">185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157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134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负三层</w:t>
            </w:r>
          </w:p>
        </w:tc>
        <w:tc>
          <w:tcPr>
            <w:tcW w:w="1432" w:type="dxa"/>
            <w:vAlign w:val="bottom"/>
          </w:tcPr>
          <w:p>
            <w:pPr>
              <w:widowControl/>
              <w:jc w:val="center"/>
              <w:textAlignment w:val="bottom"/>
              <w:rPr>
                <w:color w:val="000000"/>
                <w:sz w:val="20"/>
              </w:rPr>
            </w:pPr>
            <w:r>
              <w:rPr>
                <w:rFonts w:eastAsia="Tahoma"/>
                <w:color w:val="000000"/>
                <w:kern w:val="0"/>
                <w:sz w:val="20"/>
                <w:lang/>
              </w:rPr>
              <w:t>1280</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rFonts w:eastAsia="Tahoma"/>
                <w:color w:val="000000"/>
                <w:kern w:val="0"/>
                <w:sz w:val="20"/>
                <w:lang/>
              </w:rPr>
              <w:t xml:space="preserve">134 </w:t>
            </w:r>
          </w:p>
        </w:tc>
        <w:tc>
          <w:tcPr>
            <w:tcW w:w="1432" w:type="dxa"/>
            <w:vAlign w:val="bottom"/>
          </w:tcPr>
          <w:p>
            <w:pPr>
              <w:widowControl/>
              <w:jc w:val="center"/>
              <w:textAlignment w:val="bottom"/>
              <w:rPr>
                <w:color w:val="000000"/>
                <w:sz w:val="20"/>
              </w:rPr>
            </w:pPr>
            <w:r>
              <w:rPr>
                <w:rFonts w:eastAsia="Tahoma"/>
                <w:color w:val="000000"/>
                <w:kern w:val="0"/>
                <w:sz w:val="20"/>
                <w:lang/>
              </w:rPr>
              <w:t xml:space="preserve">114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负四层</w:t>
            </w:r>
          </w:p>
        </w:tc>
        <w:tc>
          <w:tcPr>
            <w:tcW w:w="1432" w:type="dxa"/>
            <w:vAlign w:val="bottom"/>
          </w:tcPr>
          <w:p>
            <w:pPr>
              <w:widowControl/>
              <w:jc w:val="center"/>
              <w:textAlignment w:val="bottom"/>
              <w:rPr>
                <w:color w:val="000000"/>
                <w:sz w:val="20"/>
              </w:rPr>
            </w:pPr>
            <w:r>
              <w:rPr>
                <w:rFonts w:eastAsia="Tahoma"/>
                <w:color w:val="000000"/>
                <w:kern w:val="0"/>
                <w:sz w:val="20"/>
                <w:lang/>
              </w:rPr>
              <w:t>1280</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color w:val="000000"/>
                <w:kern w:val="0"/>
                <w:sz w:val="20"/>
              </w:rPr>
              <w:t>—</w:t>
            </w:r>
          </w:p>
        </w:tc>
        <w:tc>
          <w:tcPr>
            <w:tcW w:w="1432" w:type="dxa"/>
            <w:vAlign w:val="bottom"/>
          </w:tcPr>
          <w:p>
            <w:pPr>
              <w:widowControl/>
              <w:jc w:val="center"/>
              <w:textAlignment w:val="bottom"/>
              <w:rPr>
                <w:color w:val="000000"/>
                <w:sz w:val="20"/>
              </w:rPr>
            </w:pPr>
            <w:r>
              <w:rPr>
                <w:rFonts w:eastAsia="Tahoma"/>
                <w:color w:val="000000"/>
                <w:kern w:val="0"/>
                <w:sz w:val="20"/>
                <w:lang/>
              </w:rPr>
              <w:t xml:space="preserve">97 </w:t>
            </w:r>
          </w:p>
        </w:tc>
      </w:tr>
    </w:tbl>
    <w:p>
      <w:pPr>
        <w:widowControl/>
        <w:ind w:firstLine="482" w:firstLineChars="200"/>
        <w:jc w:val="left"/>
        <w:rPr>
          <w:b/>
          <w:sz w:val="24"/>
          <w:szCs w:val="24"/>
        </w:rPr>
      </w:pPr>
      <w:bookmarkStart w:id="1169" w:name="_Toc466303336"/>
      <w:r>
        <w:rPr>
          <w:b/>
          <w:sz w:val="24"/>
          <w:szCs w:val="24"/>
        </w:rPr>
        <w:br w:type="page"/>
      </w:r>
    </w:p>
    <w:p>
      <w:pPr>
        <w:ind w:firstLine="482" w:firstLineChars="200"/>
        <w:outlineLvl w:val="2"/>
        <w:rPr>
          <w:b/>
          <w:sz w:val="24"/>
          <w:szCs w:val="24"/>
        </w:rPr>
      </w:pPr>
      <w:bookmarkStart w:id="1170" w:name="_Toc470719219"/>
      <w:bookmarkStart w:id="1171" w:name="_Toc20284"/>
      <w:bookmarkStart w:id="1172" w:name="_Toc25201"/>
      <w:bookmarkStart w:id="1173" w:name="_Toc18309"/>
      <w:bookmarkStart w:id="1174" w:name="_Toc468355133"/>
      <w:bookmarkStart w:id="1175" w:name="_Toc468969176"/>
      <w:r>
        <w:rPr>
          <w:b/>
          <w:sz w:val="24"/>
          <w:szCs w:val="24"/>
        </w:rPr>
        <w:t>8、长沙县城区住宅用地地下空间土地使用权协议出让单价表</w:t>
      </w:r>
      <w:bookmarkEnd w:id="1169"/>
      <w:bookmarkEnd w:id="1170"/>
      <w:bookmarkEnd w:id="1171"/>
      <w:bookmarkEnd w:id="1172"/>
      <w:bookmarkEnd w:id="1173"/>
      <w:bookmarkEnd w:id="1174"/>
      <w:bookmarkEnd w:id="1175"/>
    </w:p>
    <w:p>
      <w:pPr>
        <w:pStyle w:val="131"/>
        <w:spacing w:beforeLines="50" w:afterLines="50"/>
        <w:ind w:firstLine="0" w:firstLineChars="0"/>
        <w:rPr>
          <w:rFonts w:ascii="Times New Roman" w:hAnsi="Times New Roman"/>
          <w:sz w:val="24"/>
        </w:rPr>
      </w:pPr>
      <w:r>
        <w:rPr>
          <w:rFonts w:ascii="Times New Roman" w:hAnsi="Times New Roman"/>
          <w:sz w:val="24"/>
        </w:rPr>
        <w:t>表2-8 住宅用地及其他用途地下空间土地使用权协议出让单价表</w:t>
      </w:r>
    </w:p>
    <w:tbl>
      <w:tblPr>
        <w:tblW w:w="9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259"/>
        <w:gridCol w:w="1432"/>
        <w:gridCol w:w="1432"/>
        <w:gridCol w:w="1432"/>
        <w:gridCol w:w="1432"/>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01" w:type="dxa"/>
            <w:gridSpan w:val="2"/>
            <w:vAlign w:val="center"/>
          </w:tcPr>
          <w:p>
            <w:pPr>
              <w:widowControl/>
              <w:jc w:val="center"/>
              <w:rPr>
                <w:b/>
                <w:bCs/>
                <w:color w:val="000000"/>
                <w:kern w:val="0"/>
                <w:sz w:val="20"/>
              </w:rPr>
            </w:pPr>
            <w:r>
              <w:rPr>
                <w:b/>
                <w:bCs/>
                <w:color w:val="000000"/>
                <w:kern w:val="0"/>
                <w:sz w:val="20"/>
              </w:rPr>
              <w:t>级别及地下层数</w:t>
            </w:r>
          </w:p>
        </w:tc>
        <w:tc>
          <w:tcPr>
            <w:tcW w:w="1432" w:type="dxa"/>
            <w:vAlign w:val="center"/>
          </w:tcPr>
          <w:p>
            <w:pPr>
              <w:widowControl/>
              <w:jc w:val="center"/>
              <w:rPr>
                <w:b/>
                <w:bCs/>
                <w:color w:val="000000"/>
                <w:kern w:val="0"/>
                <w:sz w:val="20"/>
              </w:rPr>
            </w:pPr>
            <w:r>
              <w:rPr>
                <w:b/>
                <w:bCs/>
                <w:color w:val="000000"/>
                <w:kern w:val="0"/>
                <w:sz w:val="20"/>
              </w:rPr>
              <w:t>各级别地价</w:t>
            </w:r>
          </w:p>
        </w:tc>
        <w:tc>
          <w:tcPr>
            <w:tcW w:w="1432" w:type="dxa"/>
            <w:vAlign w:val="center"/>
          </w:tcPr>
          <w:p>
            <w:pPr>
              <w:widowControl/>
              <w:jc w:val="center"/>
              <w:rPr>
                <w:b/>
                <w:bCs/>
                <w:color w:val="000000"/>
                <w:kern w:val="0"/>
                <w:sz w:val="20"/>
              </w:rPr>
            </w:pPr>
            <w:r>
              <w:rPr>
                <w:b/>
                <w:bCs/>
                <w:color w:val="000000"/>
                <w:kern w:val="0"/>
                <w:sz w:val="20"/>
              </w:rPr>
              <w:t>地下建一层</w:t>
            </w:r>
          </w:p>
        </w:tc>
        <w:tc>
          <w:tcPr>
            <w:tcW w:w="1432" w:type="dxa"/>
            <w:vAlign w:val="center"/>
          </w:tcPr>
          <w:p>
            <w:pPr>
              <w:widowControl/>
              <w:jc w:val="center"/>
              <w:rPr>
                <w:b/>
                <w:bCs/>
                <w:color w:val="000000"/>
                <w:kern w:val="0"/>
                <w:sz w:val="20"/>
              </w:rPr>
            </w:pPr>
            <w:r>
              <w:rPr>
                <w:b/>
                <w:bCs/>
                <w:color w:val="000000"/>
                <w:kern w:val="0"/>
                <w:sz w:val="20"/>
              </w:rPr>
              <w:t>地下建二层</w:t>
            </w:r>
          </w:p>
        </w:tc>
        <w:tc>
          <w:tcPr>
            <w:tcW w:w="1432" w:type="dxa"/>
            <w:vAlign w:val="center"/>
          </w:tcPr>
          <w:p>
            <w:pPr>
              <w:widowControl/>
              <w:jc w:val="center"/>
              <w:rPr>
                <w:b/>
                <w:bCs/>
                <w:color w:val="000000"/>
                <w:kern w:val="0"/>
                <w:sz w:val="20"/>
              </w:rPr>
            </w:pPr>
            <w:r>
              <w:rPr>
                <w:b/>
                <w:bCs/>
                <w:color w:val="000000"/>
                <w:kern w:val="0"/>
                <w:sz w:val="20"/>
              </w:rPr>
              <w:t>地下建三层</w:t>
            </w:r>
          </w:p>
        </w:tc>
        <w:tc>
          <w:tcPr>
            <w:tcW w:w="1432" w:type="dxa"/>
            <w:vAlign w:val="center"/>
          </w:tcPr>
          <w:p>
            <w:pPr>
              <w:widowControl/>
              <w:jc w:val="center"/>
              <w:rPr>
                <w:b/>
                <w:bCs/>
                <w:color w:val="000000"/>
                <w:kern w:val="0"/>
                <w:sz w:val="20"/>
              </w:rPr>
            </w:pPr>
            <w:r>
              <w:rPr>
                <w:b/>
                <w:bCs/>
                <w:color w:val="000000"/>
                <w:kern w:val="0"/>
                <w:sz w:val="20"/>
              </w:rPr>
              <w:t>地下建四层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restart"/>
            <w:vAlign w:val="center"/>
          </w:tcPr>
          <w:p>
            <w:pPr>
              <w:widowControl/>
              <w:jc w:val="center"/>
              <w:rPr>
                <w:color w:val="000000"/>
                <w:kern w:val="0"/>
                <w:sz w:val="20"/>
              </w:rPr>
            </w:pPr>
            <w:r>
              <w:rPr>
                <w:color w:val="000000"/>
                <w:kern w:val="0"/>
                <w:sz w:val="20"/>
              </w:rPr>
              <w:t>Ⅰ</w:t>
            </w:r>
          </w:p>
        </w:tc>
        <w:tc>
          <w:tcPr>
            <w:tcW w:w="1259" w:type="dxa"/>
            <w:vAlign w:val="center"/>
          </w:tcPr>
          <w:p>
            <w:pPr>
              <w:widowControl/>
              <w:jc w:val="center"/>
              <w:rPr>
                <w:color w:val="000000"/>
                <w:kern w:val="0"/>
                <w:sz w:val="20"/>
              </w:rPr>
            </w:pPr>
            <w:r>
              <w:rPr>
                <w:color w:val="000000"/>
                <w:kern w:val="0"/>
                <w:sz w:val="20"/>
              </w:rPr>
              <w:t>负一层</w:t>
            </w:r>
          </w:p>
        </w:tc>
        <w:tc>
          <w:tcPr>
            <w:tcW w:w="1432" w:type="dxa"/>
            <w:vAlign w:val="bottom"/>
          </w:tcPr>
          <w:p>
            <w:pPr>
              <w:widowControl/>
              <w:jc w:val="center"/>
              <w:textAlignment w:val="bottom"/>
              <w:rPr>
                <w:color w:val="000000"/>
                <w:kern w:val="0"/>
                <w:sz w:val="20"/>
              </w:rPr>
            </w:pPr>
            <w:r>
              <w:rPr>
                <w:rFonts w:eastAsia="Tahoma"/>
                <w:color w:val="000000"/>
                <w:kern w:val="0"/>
                <w:sz w:val="20"/>
                <w:lang/>
              </w:rPr>
              <w:t>3480</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305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259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220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负二层</w:t>
            </w:r>
          </w:p>
        </w:tc>
        <w:tc>
          <w:tcPr>
            <w:tcW w:w="1432" w:type="dxa"/>
            <w:vAlign w:val="bottom"/>
          </w:tcPr>
          <w:p>
            <w:pPr>
              <w:widowControl/>
              <w:jc w:val="center"/>
              <w:textAlignment w:val="bottom"/>
              <w:rPr>
                <w:color w:val="000000"/>
                <w:kern w:val="0"/>
                <w:sz w:val="20"/>
              </w:rPr>
            </w:pPr>
            <w:r>
              <w:rPr>
                <w:rFonts w:eastAsia="Tahoma"/>
                <w:color w:val="000000"/>
                <w:kern w:val="0"/>
                <w:sz w:val="20"/>
                <w:lang/>
              </w:rPr>
              <w:t>3480</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220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187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负三层</w:t>
            </w:r>
          </w:p>
        </w:tc>
        <w:tc>
          <w:tcPr>
            <w:tcW w:w="1432" w:type="dxa"/>
            <w:vAlign w:val="bottom"/>
          </w:tcPr>
          <w:p>
            <w:pPr>
              <w:widowControl/>
              <w:jc w:val="center"/>
              <w:textAlignment w:val="bottom"/>
              <w:rPr>
                <w:color w:val="000000"/>
                <w:kern w:val="0"/>
                <w:sz w:val="20"/>
              </w:rPr>
            </w:pPr>
            <w:r>
              <w:rPr>
                <w:rFonts w:eastAsia="Tahoma"/>
                <w:color w:val="000000"/>
                <w:kern w:val="0"/>
                <w:sz w:val="20"/>
                <w:lang/>
              </w:rPr>
              <w:t>3480</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159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负四层</w:t>
            </w:r>
          </w:p>
        </w:tc>
        <w:tc>
          <w:tcPr>
            <w:tcW w:w="1432" w:type="dxa"/>
            <w:vAlign w:val="bottom"/>
          </w:tcPr>
          <w:p>
            <w:pPr>
              <w:widowControl/>
              <w:jc w:val="center"/>
              <w:textAlignment w:val="bottom"/>
              <w:rPr>
                <w:color w:val="000000"/>
                <w:kern w:val="0"/>
                <w:sz w:val="20"/>
              </w:rPr>
            </w:pPr>
            <w:r>
              <w:rPr>
                <w:rFonts w:eastAsia="Tahoma"/>
                <w:color w:val="000000"/>
                <w:kern w:val="0"/>
                <w:sz w:val="20"/>
                <w:lang/>
              </w:rPr>
              <w:t>3480</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restart"/>
            <w:vAlign w:val="center"/>
          </w:tcPr>
          <w:p>
            <w:pPr>
              <w:widowControl/>
              <w:jc w:val="center"/>
              <w:rPr>
                <w:color w:val="000000"/>
                <w:kern w:val="0"/>
                <w:sz w:val="20"/>
              </w:rPr>
            </w:pPr>
            <w:r>
              <w:rPr>
                <w:color w:val="000000"/>
                <w:kern w:val="0"/>
                <w:sz w:val="20"/>
              </w:rPr>
              <w:t>Ⅱ</w:t>
            </w:r>
          </w:p>
        </w:tc>
        <w:tc>
          <w:tcPr>
            <w:tcW w:w="1259" w:type="dxa"/>
            <w:vAlign w:val="center"/>
          </w:tcPr>
          <w:p>
            <w:pPr>
              <w:widowControl/>
              <w:jc w:val="center"/>
              <w:rPr>
                <w:color w:val="000000"/>
                <w:kern w:val="0"/>
                <w:sz w:val="20"/>
              </w:rPr>
            </w:pPr>
            <w:r>
              <w:rPr>
                <w:color w:val="000000"/>
                <w:kern w:val="0"/>
                <w:sz w:val="20"/>
              </w:rPr>
              <w:t>负一层</w:t>
            </w:r>
          </w:p>
        </w:tc>
        <w:tc>
          <w:tcPr>
            <w:tcW w:w="1432" w:type="dxa"/>
            <w:vAlign w:val="bottom"/>
          </w:tcPr>
          <w:p>
            <w:pPr>
              <w:widowControl/>
              <w:jc w:val="center"/>
              <w:textAlignment w:val="bottom"/>
              <w:rPr>
                <w:color w:val="000000"/>
                <w:kern w:val="0"/>
                <w:sz w:val="20"/>
              </w:rPr>
            </w:pPr>
            <w:r>
              <w:rPr>
                <w:rFonts w:eastAsia="Tahoma"/>
                <w:color w:val="000000"/>
                <w:kern w:val="0"/>
                <w:sz w:val="20"/>
                <w:lang/>
              </w:rPr>
              <w:t>2540</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222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189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161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负二层</w:t>
            </w:r>
          </w:p>
        </w:tc>
        <w:tc>
          <w:tcPr>
            <w:tcW w:w="1432" w:type="dxa"/>
            <w:vAlign w:val="bottom"/>
          </w:tcPr>
          <w:p>
            <w:pPr>
              <w:widowControl/>
              <w:jc w:val="center"/>
              <w:textAlignment w:val="bottom"/>
              <w:rPr>
                <w:color w:val="000000"/>
                <w:kern w:val="0"/>
                <w:sz w:val="20"/>
              </w:rPr>
            </w:pPr>
            <w:r>
              <w:rPr>
                <w:rFonts w:eastAsia="Tahoma"/>
                <w:color w:val="000000"/>
                <w:kern w:val="0"/>
                <w:sz w:val="20"/>
                <w:lang/>
              </w:rPr>
              <w:t>2540</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161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136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负三层</w:t>
            </w:r>
          </w:p>
        </w:tc>
        <w:tc>
          <w:tcPr>
            <w:tcW w:w="1432" w:type="dxa"/>
            <w:vAlign w:val="bottom"/>
          </w:tcPr>
          <w:p>
            <w:pPr>
              <w:widowControl/>
              <w:jc w:val="center"/>
              <w:textAlignment w:val="bottom"/>
              <w:rPr>
                <w:color w:val="000000"/>
                <w:kern w:val="0"/>
                <w:sz w:val="20"/>
              </w:rPr>
            </w:pPr>
            <w:r>
              <w:rPr>
                <w:rFonts w:eastAsia="Tahoma"/>
                <w:color w:val="000000"/>
                <w:kern w:val="0"/>
                <w:sz w:val="20"/>
                <w:lang/>
              </w:rPr>
              <w:t>2540</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116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负四层</w:t>
            </w:r>
          </w:p>
        </w:tc>
        <w:tc>
          <w:tcPr>
            <w:tcW w:w="1432" w:type="dxa"/>
            <w:vAlign w:val="bottom"/>
          </w:tcPr>
          <w:p>
            <w:pPr>
              <w:widowControl/>
              <w:jc w:val="center"/>
              <w:textAlignment w:val="bottom"/>
              <w:rPr>
                <w:color w:val="000000"/>
                <w:kern w:val="0"/>
                <w:sz w:val="20"/>
              </w:rPr>
            </w:pPr>
            <w:r>
              <w:rPr>
                <w:rFonts w:eastAsia="Tahoma"/>
                <w:color w:val="000000"/>
                <w:kern w:val="0"/>
                <w:sz w:val="20"/>
                <w:lang/>
              </w:rPr>
              <w:t>2540</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restart"/>
            <w:vAlign w:val="center"/>
          </w:tcPr>
          <w:p>
            <w:pPr>
              <w:widowControl/>
              <w:jc w:val="center"/>
              <w:rPr>
                <w:color w:val="000000"/>
                <w:kern w:val="0"/>
                <w:sz w:val="20"/>
              </w:rPr>
            </w:pPr>
            <w:r>
              <w:rPr>
                <w:color w:val="000000"/>
                <w:kern w:val="0"/>
                <w:sz w:val="20"/>
              </w:rPr>
              <w:t>Ⅲ</w:t>
            </w:r>
          </w:p>
        </w:tc>
        <w:tc>
          <w:tcPr>
            <w:tcW w:w="1259" w:type="dxa"/>
            <w:vAlign w:val="center"/>
          </w:tcPr>
          <w:p>
            <w:pPr>
              <w:widowControl/>
              <w:jc w:val="center"/>
              <w:rPr>
                <w:color w:val="000000"/>
                <w:kern w:val="0"/>
                <w:sz w:val="20"/>
              </w:rPr>
            </w:pPr>
            <w:r>
              <w:rPr>
                <w:color w:val="000000"/>
                <w:kern w:val="0"/>
                <w:sz w:val="20"/>
              </w:rPr>
              <w:t>负一层</w:t>
            </w:r>
          </w:p>
        </w:tc>
        <w:tc>
          <w:tcPr>
            <w:tcW w:w="1432" w:type="dxa"/>
            <w:vAlign w:val="bottom"/>
          </w:tcPr>
          <w:p>
            <w:pPr>
              <w:widowControl/>
              <w:jc w:val="center"/>
              <w:textAlignment w:val="bottom"/>
              <w:rPr>
                <w:color w:val="000000"/>
                <w:kern w:val="0"/>
                <w:sz w:val="20"/>
              </w:rPr>
            </w:pPr>
            <w:r>
              <w:rPr>
                <w:rFonts w:eastAsia="Tahoma"/>
                <w:color w:val="000000"/>
                <w:kern w:val="0"/>
                <w:sz w:val="20"/>
                <w:lang/>
              </w:rPr>
              <w:t>1920</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168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143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121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负二层</w:t>
            </w:r>
          </w:p>
        </w:tc>
        <w:tc>
          <w:tcPr>
            <w:tcW w:w="1432" w:type="dxa"/>
            <w:vAlign w:val="bottom"/>
          </w:tcPr>
          <w:p>
            <w:pPr>
              <w:widowControl/>
              <w:jc w:val="center"/>
              <w:textAlignment w:val="bottom"/>
              <w:rPr>
                <w:color w:val="000000"/>
                <w:kern w:val="0"/>
                <w:sz w:val="20"/>
              </w:rPr>
            </w:pPr>
            <w:r>
              <w:rPr>
                <w:rFonts w:eastAsia="Tahoma"/>
                <w:color w:val="000000"/>
                <w:kern w:val="0"/>
                <w:sz w:val="20"/>
                <w:lang/>
              </w:rPr>
              <w:t>1920</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121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103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负三层</w:t>
            </w:r>
          </w:p>
        </w:tc>
        <w:tc>
          <w:tcPr>
            <w:tcW w:w="1432" w:type="dxa"/>
            <w:vAlign w:val="bottom"/>
          </w:tcPr>
          <w:p>
            <w:pPr>
              <w:widowControl/>
              <w:jc w:val="center"/>
              <w:textAlignment w:val="bottom"/>
              <w:rPr>
                <w:color w:val="000000"/>
                <w:kern w:val="0"/>
                <w:sz w:val="20"/>
              </w:rPr>
            </w:pPr>
            <w:r>
              <w:rPr>
                <w:rFonts w:eastAsia="Tahoma"/>
                <w:color w:val="000000"/>
                <w:kern w:val="0"/>
                <w:sz w:val="20"/>
                <w:lang/>
              </w:rPr>
              <w:t>1920</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88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负四层</w:t>
            </w:r>
          </w:p>
        </w:tc>
        <w:tc>
          <w:tcPr>
            <w:tcW w:w="1432" w:type="dxa"/>
            <w:vAlign w:val="bottom"/>
          </w:tcPr>
          <w:p>
            <w:pPr>
              <w:widowControl/>
              <w:jc w:val="center"/>
              <w:textAlignment w:val="bottom"/>
              <w:rPr>
                <w:color w:val="000000"/>
                <w:kern w:val="0"/>
                <w:sz w:val="20"/>
              </w:rPr>
            </w:pPr>
            <w:r>
              <w:rPr>
                <w:rFonts w:eastAsia="Tahoma"/>
                <w:color w:val="000000"/>
                <w:kern w:val="0"/>
                <w:sz w:val="20"/>
                <w:lang/>
              </w:rPr>
              <w:t>1920</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restart"/>
            <w:vAlign w:val="center"/>
          </w:tcPr>
          <w:p>
            <w:pPr>
              <w:widowControl/>
              <w:jc w:val="center"/>
              <w:rPr>
                <w:color w:val="000000"/>
                <w:kern w:val="0"/>
                <w:sz w:val="20"/>
              </w:rPr>
            </w:pPr>
            <w:r>
              <w:rPr>
                <w:color w:val="000000"/>
                <w:kern w:val="0"/>
                <w:sz w:val="20"/>
              </w:rPr>
              <w:t>Ⅳ</w:t>
            </w:r>
          </w:p>
        </w:tc>
        <w:tc>
          <w:tcPr>
            <w:tcW w:w="1259" w:type="dxa"/>
            <w:vAlign w:val="center"/>
          </w:tcPr>
          <w:p>
            <w:pPr>
              <w:widowControl/>
              <w:jc w:val="center"/>
              <w:rPr>
                <w:color w:val="000000"/>
                <w:kern w:val="0"/>
                <w:sz w:val="20"/>
              </w:rPr>
            </w:pPr>
            <w:r>
              <w:rPr>
                <w:color w:val="000000"/>
                <w:kern w:val="0"/>
                <w:sz w:val="20"/>
              </w:rPr>
              <w:t>负一层</w:t>
            </w:r>
          </w:p>
        </w:tc>
        <w:tc>
          <w:tcPr>
            <w:tcW w:w="1432" w:type="dxa"/>
            <w:vAlign w:val="bottom"/>
          </w:tcPr>
          <w:p>
            <w:pPr>
              <w:widowControl/>
              <w:jc w:val="center"/>
              <w:textAlignment w:val="bottom"/>
              <w:rPr>
                <w:color w:val="000000"/>
                <w:kern w:val="0"/>
                <w:sz w:val="20"/>
              </w:rPr>
            </w:pPr>
            <w:r>
              <w:rPr>
                <w:rFonts w:hint="eastAsia" w:eastAsia="Tahoma"/>
                <w:color w:val="000000"/>
                <w:kern w:val="0"/>
                <w:sz w:val="20"/>
                <w:lang/>
              </w:rPr>
              <w:t>1480</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132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112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96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负二层</w:t>
            </w:r>
          </w:p>
        </w:tc>
        <w:tc>
          <w:tcPr>
            <w:tcW w:w="1432" w:type="dxa"/>
            <w:vAlign w:val="bottom"/>
          </w:tcPr>
          <w:p>
            <w:pPr>
              <w:widowControl/>
              <w:jc w:val="center"/>
              <w:textAlignment w:val="bottom"/>
              <w:rPr>
                <w:color w:val="000000"/>
                <w:kern w:val="0"/>
                <w:sz w:val="20"/>
              </w:rPr>
            </w:pPr>
            <w:r>
              <w:rPr>
                <w:rFonts w:hint="eastAsia" w:eastAsia="Tahoma"/>
                <w:color w:val="000000"/>
                <w:kern w:val="0"/>
                <w:sz w:val="20"/>
                <w:lang/>
              </w:rPr>
              <w:t>1480</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96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81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负三层</w:t>
            </w:r>
          </w:p>
        </w:tc>
        <w:tc>
          <w:tcPr>
            <w:tcW w:w="1432" w:type="dxa"/>
            <w:vAlign w:val="bottom"/>
          </w:tcPr>
          <w:p>
            <w:pPr>
              <w:widowControl/>
              <w:jc w:val="center"/>
              <w:textAlignment w:val="bottom"/>
              <w:rPr>
                <w:color w:val="000000"/>
                <w:kern w:val="0"/>
                <w:sz w:val="20"/>
              </w:rPr>
            </w:pPr>
            <w:r>
              <w:rPr>
                <w:rFonts w:hint="eastAsia" w:eastAsia="Tahoma"/>
                <w:color w:val="000000"/>
                <w:kern w:val="0"/>
                <w:sz w:val="20"/>
                <w:lang/>
              </w:rPr>
              <w:t>1480</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69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负四层</w:t>
            </w:r>
          </w:p>
        </w:tc>
        <w:tc>
          <w:tcPr>
            <w:tcW w:w="1432" w:type="dxa"/>
            <w:vAlign w:val="bottom"/>
          </w:tcPr>
          <w:p>
            <w:pPr>
              <w:widowControl/>
              <w:jc w:val="center"/>
              <w:textAlignment w:val="bottom"/>
              <w:rPr>
                <w:color w:val="000000"/>
                <w:kern w:val="0"/>
                <w:sz w:val="20"/>
              </w:rPr>
            </w:pPr>
            <w:r>
              <w:rPr>
                <w:rFonts w:hint="eastAsia" w:eastAsia="Tahoma"/>
                <w:color w:val="000000"/>
                <w:kern w:val="0"/>
                <w:sz w:val="20"/>
                <w:lang/>
              </w:rPr>
              <w:t>1480</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restart"/>
            <w:vAlign w:val="center"/>
          </w:tcPr>
          <w:p>
            <w:pPr>
              <w:widowControl/>
              <w:jc w:val="center"/>
              <w:rPr>
                <w:color w:val="000000"/>
                <w:kern w:val="0"/>
                <w:sz w:val="20"/>
              </w:rPr>
            </w:pPr>
            <w:r>
              <w:rPr>
                <w:color w:val="000000"/>
                <w:kern w:val="0"/>
                <w:sz w:val="20"/>
              </w:rPr>
              <w:t>Ⅴ</w:t>
            </w:r>
          </w:p>
        </w:tc>
        <w:tc>
          <w:tcPr>
            <w:tcW w:w="1259" w:type="dxa"/>
            <w:vAlign w:val="center"/>
          </w:tcPr>
          <w:p>
            <w:pPr>
              <w:widowControl/>
              <w:jc w:val="center"/>
              <w:rPr>
                <w:color w:val="000000"/>
                <w:kern w:val="0"/>
                <w:sz w:val="20"/>
              </w:rPr>
            </w:pPr>
            <w:r>
              <w:rPr>
                <w:color w:val="000000"/>
                <w:kern w:val="0"/>
                <w:sz w:val="20"/>
              </w:rPr>
              <w:t>负一层</w:t>
            </w:r>
          </w:p>
        </w:tc>
        <w:tc>
          <w:tcPr>
            <w:tcW w:w="1432" w:type="dxa"/>
            <w:vAlign w:val="bottom"/>
          </w:tcPr>
          <w:p>
            <w:pPr>
              <w:widowControl/>
              <w:jc w:val="center"/>
              <w:textAlignment w:val="bottom"/>
              <w:rPr>
                <w:color w:val="000000"/>
                <w:kern w:val="0"/>
                <w:sz w:val="20"/>
              </w:rPr>
            </w:pPr>
            <w:r>
              <w:rPr>
                <w:rFonts w:hint="eastAsia" w:eastAsia="Tahoma"/>
                <w:color w:val="000000"/>
                <w:kern w:val="0"/>
                <w:sz w:val="20"/>
                <w:lang/>
              </w:rPr>
              <w:t>1060</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98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83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71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负二层</w:t>
            </w:r>
          </w:p>
        </w:tc>
        <w:tc>
          <w:tcPr>
            <w:tcW w:w="1432" w:type="dxa"/>
            <w:vAlign w:val="bottom"/>
          </w:tcPr>
          <w:p>
            <w:pPr>
              <w:widowControl/>
              <w:jc w:val="center"/>
              <w:textAlignment w:val="bottom"/>
              <w:rPr>
                <w:color w:val="000000"/>
                <w:kern w:val="0"/>
                <w:sz w:val="20"/>
              </w:rPr>
            </w:pPr>
            <w:r>
              <w:rPr>
                <w:rFonts w:hint="eastAsia" w:eastAsia="Tahoma"/>
                <w:color w:val="000000"/>
                <w:kern w:val="0"/>
                <w:sz w:val="20"/>
                <w:lang/>
              </w:rPr>
              <w:t>1060</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71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60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负三层</w:t>
            </w:r>
          </w:p>
        </w:tc>
        <w:tc>
          <w:tcPr>
            <w:tcW w:w="1432" w:type="dxa"/>
            <w:vAlign w:val="bottom"/>
          </w:tcPr>
          <w:p>
            <w:pPr>
              <w:widowControl/>
              <w:jc w:val="center"/>
              <w:textAlignment w:val="bottom"/>
              <w:rPr>
                <w:color w:val="000000"/>
                <w:kern w:val="0"/>
                <w:sz w:val="20"/>
              </w:rPr>
            </w:pPr>
            <w:r>
              <w:rPr>
                <w:rFonts w:hint="eastAsia" w:eastAsia="Tahoma"/>
                <w:color w:val="000000"/>
                <w:kern w:val="0"/>
                <w:sz w:val="20"/>
                <w:lang/>
              </w:rPr>
              <w:t>1060</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51 </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2" w:type="dxa"/>
            <w:vMerge w:val="continue"/>
            <w:vAlign w:val="center"/>
          </w:tcPr>
          <w:p>
            <w:pPr>
              <w:widowControl/>
              <w:jc w:val="left"/>
              <w:rPr>
                <w:color w:val="000000"/>
                <w:kern w:val="0"/>
                <w:sz w:val="20"/>
              </w:rPr>
            </w:pPr>
          </w:p>
        </w:tc>
        <w:tc>
          <w:tcPr>
            <w:tcW w:w="1259" w:type="dxa"/>
            <w:vAlign w:val="center"/>
          </w:tcPr>
          <w:p>
            <w:pPr>
              <w:widowControl/>
              <w:jc w:val="center"/>
              <w:rPr>
                <w:color w:val="000000"/>
                <w:kern w:val="0"/>
                <w:sz w:val="20"/>
              </w:rPr>
            </w:pPr>
            <w:r>
              <w:rPr>
                <w:color w:val="000000"/>
                <w:kern w:val="0"/>
                <w:sz w:val="20"/>
              </w:rPr>
              <w:t>负四层</w:t>
            </w:r>
          </w:p>
        </w:tc>
        <w:tc>
          <w:tcPr>
            <w:tcW w:w="1432" w:type="dxa"/>
            <w:vAlign w:val="bottom"/>
          </w:tcPr>
          <w:p>
            <w:pPr>
              <w:widowControl/>
              <w:jc w:val="center"/>
              <w:textAlignment w:val="bottom"/>
              <w:rPr>
                <w:color w:val="000000"/>
                <w:kern w:val="0"/>
                <w:sz w:val="20"/>
              </w:rPr>
            </w:pPr>
            <w:r>
              <w:rPr>
                <w:rFonts w:hint="eastAsia" w:eastAsia="Tahoma"/>
                <w:color w:val="000000"/>
                <w:kern w:val="0"/>
                <w:sz w:val="20"/>
                <w:lang/>
              </w:rPr>
              <w:t>1060</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color w:val="000000"/>
                <w:kern w:val="0"/>
                <w:sz w:val="20"/>
              </w:rPr>
              <w:t>—</w:t>
            </w:r>
          </w:p>
        </w:tc>
        <w:tc>
          <w:tcPr>
            <w:tcW w:w="1432" w:type="dxa"/>
            <w:vAlign w:val="bottom"/>
          </w:tcPr>
          <w:p>
            <w:pPr>
              <w:widowControl/>
              <w:jc w:val="center"/>
              <w:textAlignment w:val="bottom"/>
              <w:rPr>
                <w:color w:val="000000"/>
                <w:kern w:val="0"/>
                <w:sz w:val="20"/>
              </w:rPr>
            </w:pPr>
            <w:r>
              <w:rPr>
                <w:rFonts w:eastAsia="Tahoma"/>
                <w:color w:val="000000"/>
                <w:kern w:val="0"/>
                <w:sz w:val="20"/>
                <w:lang/>
              </w:rPr>
              <w:t xml:space="preserve">37 </w:t>
            </w:r>
          </w:p>
        </w:tc>
      </w:tr>
    </w:tbl>
    <w:p>
      <w:pPr>
        <w:widowControl/>
        <w:ind w:firstLine="480" w:firstLineChars="200"/>
        <w:jc w:val="left"/>
        <w:rPr>
          <w:sz w:val="24"/>
        </w:rPr>
      </w:pPr>
    </w:p>
    <w:p>
      <w:pPr>
        <w:ind w:firstLine="482" w:firstLineChars="200"/>
        <w:outlineLvl w:val="2"/>
        <w:rPr>
          <w:b/>
          <w:sz w:val="24"/>
          <w:szCs w:val="24"/>
        </w:rPr>
      </w:pPr>
      <w:bookmarkStart w:id="1176" w:name="_Toc12046"/>
      <w:bookmarkStart w:id="1177" w:name="_Toc4534"/>
      <w:bookmarkStart w:id="1178" w:name="_Toc19240"/>
      <w:r>
        <w:rPr>
          <w:b/>
          <w:sz w:val="24"/>
          <w:szCs w:val="24"/>
        </w:rPr>
        <w:t>9、长沙县建制镇基准地价内涵表</w:t>
      </w:r>
      <w:bookmarkEnd w:id="1176"/>
      <w:bookmarkEnd w:id="1177"/>
      <w:bookmarkEnd w:id="1178"/>
    </w:p>
    <w:p>
      <w:pPr>
        <w:pStyle w:val="131"/>
        <w:spacing w:beforeLines="50" w:afterLines="50"/>
        <w:ind w:firstLine="0" w:firstLineChars="0"/>
        <w:rPr>
          <w:rFonts w:ascii="Times New Roman" w:hAnsi="Times New Roman"/>
          <w:sz w:val="24"/>
        </w:rPr>
      </w:pPr>
      <w:r>
        <w:rPr>
          <w:rFonts w:ascii="Times New Roman" w:hAnsi="Times New Roman"/>
          <w:sz w:val="24"/>
        </w:rPr>
        <w:t>表2-9-1 长沙县建制镇基准地价内涵表</w:t>
      </w:r>
    </w:p>
    <w:tbl>
      <w:tblPr>
        <w:tblW w:w="93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1"/>
        <w:gridCol w:w="1034"/>
        <w:gridCol w:w="950"/>
        <w:gridCol w:w="892"/>
        <w:gridCol w:w="893"/>
        <w:gridCol w:w="892"/>
        <w:gridCol w:w="893"/>
        <w:gridCol w:w="892"/>
        <w:gridCol w:w="897"/>
        <w:gridCol w:w="1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级 别</w:t>
            </w:r>
          </w:p>
        </w:tc>
        <w:tc>
          <w:tcPr>
            <w:tcW w:w="10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土地权利</w:t>
            </w:r>
          </w:p>
        </w:tc>
        <w:tc>
          <w:tcPr>
            <w:tcW w:w="950" w:type="dxa"/>
            <w:vMerge w:val="restart"/>
            <w:tcBorders>
              <w:top w:val="single" w:color="auto" w:sz="4" w:space="0"/>
              <w:left w:val="nil"/>
              <w:right w:val="nil"/>
            </w:tcBorders>
            <w:vAlign w:val="center"/>
          </w:tcPr>
          <w:p>
            <w:pPr>
              <w:widowControl/>
              <w:spacing w:line="240" w:lineRule="exact"/>
              <w:jc w:val="center"/>
              <w:rPr>
                <w:b/>
                <w:color w:val="000000"/>
                <w:kern w:val="0"/>
                <w:sz w:val="20"/>
              </w:rPr>
            </w:pPr>
            <w:r>
              <w:rPr>
                <w:b/>
                <w:color w:val="000000"/>
                <w:kern w:val="0"/>
                <w:sz w:val="20"/>
              </w:rPr>
              <w:t>开发程度</w:t>
            </w:r>
          </w:p>
        </w:tc>
        <w:tc>
          <w:tcPr>
            <w:tcW w:w="178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商服</w:t>
            </w:r>
          </w:p>
        </w:tc>
        <w:tc>
          <w:tcPr>
            <w:tcW w:w="1785"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住宅</w:t>
            </w:r>
          </w:p>
        </w:tc>
        <w:tc>
          <w:tcPr>
            <w:tcW w:w="17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工矿仓储</w:t>
            </w:r>
          </w:p>
        </w:tc>
        <w:tc>
          <w:tcPr>
            <w:tcW w:w="1302" w:type="dxa"/>
            <w:tcBorders>
              <w:top w:val="single" w:color="auto" w:sz="4" w:space="0"/>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p>
        </w:tc>
        <w:tc>
          <w:tcPr>
            <w:tcW w:w="10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p>
        </w:tc>
        <w:tc>
          <w:tcPr>
            <w:tcW w:w="950" w:type="dxa"/>
            <w:vMerge w:val="continue"/>
            <w:tcBorders>
              <w:left w:val="nil"/>
              <w:bottom w:val="single" w:color="auto" w:sz="4" w:space="0"/>
              <w:right w:val="nil"/>
            </w:tcBorders>
            <w:vAlign w:val="center"/>
          </w:tcPr>
          <w:p>
            <w:pPr>
              <w:widowControl/>
              <w:spacing w:line="240" w:lineRule="exact"/>
              <w:jc w:val="center"/>
              <w:rPr>
                <w:b/>
                <w:color w:val="000000"/>
                <w:kern w:val="0"/>
                <w:sz w:val="20"/>
              </w:rPr>
            </w:pPr>
          </w:p>
        </w:tc>
        <w:tc>
          <w:tcPr>
            <w:tcW w:w="892" w:type="dxa"/>
            <w:tcBorders>
              <w:top w:val="nil"/>
              <w:left w:val="single" w:color="auto" w:sz="4" w:space="0"/>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使用年期</w:t>
            </w:r>
          </w:p>
        </w:tc>
        <w:tc>
          <w:tcPr>
            <w:tcW w:w="893"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892" w:type="dxa"/>
            <w:tcBorders>
              <w:top w:val="nil"/>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使用年期</w:t>
            </w:r>
          </w:p>
        </w:tc>
        <w:tc>
          <w:tcPr>
            <w:tcW w:w="893" w:type="dxa"/>
            <w:tcBorders>
              <w:top w:val="nil"/>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容积率</w:t>
            </w:r>
          </w:p>
        </w:tc>
        <w:tc>
          <w:tcPr>
            <w:tcW w:w="892" w:type="dxa"/>
            <w:tcBorders>
              <w:top w:val="nil"/>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使用年期</w:t>
            </w:r>
          </w:p>
        </w:tc>
        <w:tc>
          <w:tcPr>
            <w:tcW w:w="897" w:type="dxa"/>
            <w:tcBorders>
              <w:top w:val="nil"/>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容积率</w:t>
            </w:r>
          </w:p>
        </w:tc>
        <w:tc>
          <w:tcPr>
            <w:tcW w:w="1302" w:type="dxa"/>
            <w:tcBorders>
              <w:top w:val="nil"/>
              <w:left w:val="nil"/>
              <w:bottom w:val="single" w:color="auto" w:sz="4" w:space="0"/>
              <w:right w:val="single" w:color="auto" w:sz="4" w:space="0"/>
            </w:tcBorders>
            <w:vAlign w:val="center"/>
          </w:tcPr>
          <w:p>
            <w:pPr>
              <w:widowControl/>
              <w:spacing w:line="240" w:lineRule="exact"/>
              <w:jc w:val="center"/>
              <w:rPr>
                <w:b/>
                <w:color w:val="000000"/>
                <w:kern w:val="0"/>
                <w:sz w:val="20"/>
              </w:rPr>
            </w:pPr>
            <w:r>
              <w:rPr>
                <w:b/>
                <w:color w:val="000000"/>
                <w:kern w:val="0"/>
                <w:sz w:val="20"/>
              </w:rPr>
              <w:t>期日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1" w:type="dxa"/>
            <w:tcBorders>
              <w:top w:val="nil"/>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一</w:t>
            </w:r>
          </w:p>
        </w:tc>
        <w:tc>
          <w:tcPr>
            <w:tcW w:w="1034"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出让土地</w:t>
            </w:r>
          </w:p>
          <w:p>
            <w:pPr>
              <w:widowControl/>
              <w:shd w:val="clear" w:color="auto" w:fill="FFFFFF"/>
              <w:jc w:val="center"/>
              <w:rPr>
                <w:bCs/>
                <w:kern w:val="0"/>
                <w:sz w:val="20"/>
              </w:rPr>
            </w:pPr>
            <w:r>
              <w:rPr>
                <w:bCs/>
                <w:kern w:val="0"/>
                <w:sz w:val="20"/>
              </w:rPr>
              <w:t>使用权</w:t>
            </w:r>
          </w:p>
        </w:tc>
        <w:tc>
          <w:tcPr>
            <w:tcW w:w="950" w:type="dxa"/>
            <w:tcBorders>
              <w:top w:val="single" w:color="auto" w:sz="4" w:space="0"/>
              <w:left w:val="nil"/>
              <w:bottom w:val="single" w:color="auto" w:sz="4" w:space="0"/>
              <w:right w:val="nil"/>
            </w:tcBorders>
            <w:vAlign w:val="center"/>
          </w:tcPr>
          <w:p>
            <w:pPr>
              <w:widowControl/>
              <w:shd w:val="clear" w:color="auto" w:fill="FFFFFF"/>
              <w:jc w:val="center"/>
              <w:rPr>
                <w:bCs/>
                <w:kern w:val="0"/>
                <w:sz w:val="20"/>
              </w:rPr>
            </w:pPr>
            <w:r>
              <w:rPr>
                <w:bCs/>
                <w:kern w:val="0"/>
                <w:sz w:val="20"/>
              </w:rPr>
              <w:t>五通一平</w:t>
            </w:r>
          </w:p>
        </w:tc>
        <w:tc>
          <w:tcPr>
            <w:tcW w:w="892" w:type="dxa"/>
            <w:tcBorders>
              <w:top w:val="nil"/>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40年</w:t>
            </w:r>
          </w:p>
        </w:tc>
        <w:tc>
          <w:tcPr>
            <w:tcW w:w="893"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1.9</w:t>
            </w:r>
          </w:p>
        </w:tc>
        <w:tc>
          <w:tcPr>
            <w:tcW w:w="892"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70年</w:t>
            </w:r>
          </w:p>
        </w:tc>
        <w:tc>
          <w:tcPr>
            <w:tcW w:w="893"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1.9</w:t>
            </w:r>
          </w:p>
        </w:tc>
        <w:tc>
          <w:tcPr>
            <w:tcW w:w="892"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50年</w:t>
            </w:r>
          </w:p>
        </w:tc>
        <w:tc>
          <w:tcPr>
            <w:tcW w:w="897"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w:t>
            </w:r>
          </w:p>
        </w:tc>
        <w:tc>
          <w:tcPr>
            <w:tcW w:w="1302"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二</w:t>
            </w:r>
          </w:p>
        </w:tc>
        <w:tc>
          <w:tcPr>
            <w:tcW w:w="1034" w:type="dxa"/>
            <w:tcBorders>
              <w:top w:val="single" w:color="auto" w:sz="4" w:space="0"/>
              <w:left w:val="nil"/>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出让土地</w:t>
            </w:r>
          </w:p>
          <w:p>
            <w:pPr>
              <w:widowControl/>
              <w:shd w:val="clear" w:color="auto" w:fill="FFFFFF"/>
              <w:spacing w:line="240" w:lineRule="exact"/>
              <w:jc w:val="center"/>
              <w:rPr>
                <w:bCs/>
                <w:kern w:val="0"/>
                <w:sz w:val="20"/>
              </w:rPr>
            </w:pPr>
            <w:r>
              <w:rPr>
                <w:bCs/>
                <w:kern w:val="0"/>
                <w:sz w:val="20"/>
              </w:rPr>
              <w:t>使用权</w:t>
            </w:r>
          </w:p>
        </w:tc>
        <w:tc>
          <w:tcPr>
            <w:tcW w:w="950" w:type="dxa"/>
            <w:tcBorders>
              <w:top w:val="single" w:color="auto" w:sz="4" w:space="0"/>
              <w:left w:val="nil"/>
              <w:bottom w:val="single" w:color="auto" w:sz="4" w:space="0"/>
              <w:right w:val="nil"/>
            </w:tcBorders>
            <w:vAlign w:val="center"/>
          </w:tcPr>
          <w:p>
            <w:pPr>
              <w:widowControl/>
              <w:shd w:val="clear" w:color="auto" w:fill="FFFFFF"/>
              <w:jc w:val="center"/>
              <w:rPr>
                <w:bCs/>
                <w:kern w:val="0"/>
                <w:sz w:val="20"/>
              </w:rPr>
            </w:pPr>
            <w:r>
              <w:rPr>
                <w:bCs/>
                <w:kern w:val="0"/>
                <w:sz w:val="20"/>
              </w:rPr>
              <w:t>五通一平</w:t>
            </w:r>
          </w:p>
        </w:tc>
        <w:tc>
          <w:tcPr>
            <w:tcW w:w="89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40年</w:t>
            </w:r>
          </w:p>
        </w:tc>
        <w:tc>
          <w:tcPr>
            <w:tcW w:w="893"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1.7</w:t>
            </w:r>
          </w:p>
        </w:tc>
        <w:tc>
          <w:tcPr>
            <w:tcW w:w="892"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70年</w:t>
            </w:r>
          </w:p>
        </w:tc>
        <w:tc>
          <w:tcPr>
            <w:tcW w:w="893"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1.7</w:t>
            </w:r>
          </w:p>
        </w:tc>
        <w:tc>
          <w:tcPr>
            <w:tcW w:w="892"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50年</w:t>
            </w:r>
          </w:p>
        </w:tc>
        <w:tc>
          <w:tcPr>
            <w:tcW w:w="897"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w:t>
            </w:r>
          </w:p>
        </w:tc>
        <w:tc>
          <w:tcPr>
            <w:tcW w:w="1302" w:type="dxa"/>
            <w:tcBorders>
              <w:top w:val="single" w:color="auto" w:sz="4" w:space="0"/>
              <w:left w:val="nil"/>
              <w:bottom w:val="single" w:color="auto" w:sz="4" w:space="0"/>
              <w:right w:val="single" w:color="auto" w:sz="4" w:space="0"/>
            </w:tcBorders>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00"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三</w:t>
            </w:r>
          </w:p>
        </w:tc>
        <w:tc>
          <w:tcPr>
            <w:tcW w:w="1034" w:type="dxa"/>
            <w:tcBorders>
              <w:top w:val="single" w:color="auto" w:sz="4" w:space="0"/>
              <w:left w:val="nil"/>
              <w:bottom w:val="single" w:color="auto" w:sz="4" w:space="0"/>
              <w:right w:val="single" w:color="auto" w:sz="4" w:space="0"/>
            </w:tcBorders>
            <w:vAlign w:val="center"/>
          </w:tcPr>
          <w:p>
            <w:pPr>
              <w:widowControl/>
              <w:shd w:val="clear" w:color="auto" w:fill="FFFFFF"/>
              <w:spacing w:line="240" w:lineRule="exact"/>
              <w:jc w:val="center"/>
              <w:rPr>
                <w:bCs/>
                <w:kern w:val="0"/>
                <w:sz w:val="20"/>
              </w:rPr>
            </w:pPr>
            <w:r>
              <w:rPr>
                <w:bCs/>
                <w:kern w:val="0"/>
                <w:sz w:val="20"/>
              </w:rPr>
              <w:t>出让土地使用权</w:t>
            </w:r>
          </w:p>
        </w:tc>
        <w:tc>
          <w:tcPr>
            <w:tcW w:w="950" w:type="dxa"/>
            <w:tcBorders>
              <w:top w:val="single" w:color="auto" w:sz="4" w:space="0"/>
              <w:left w:val="nil"/>
              <w:bottom w:val="single" w:color="auto" w:sz="4" w:space="0"/>
              <w:right w:val="nil"/>
            </w:tcBorders>
            <w:vAlign w:val="center"/>
          </w:tcPr>
          <w:p>
            <w:pPr>
              <w:widowControl/>
              <w:shd w:val="clear" w:color="auto" w:fill="FFFFFF"/>
              <w:jc w:val="center"/>
              <w:rPr>
                <w:bCs/>
                <w:kern w:val="0"/>
                <w:sz w:val="20"/>
              </w:rPr>
            </w:pPr>
            <w:r>
              <w:rPr>
                <w:bCs/>
                <w:kern w:val="0"/>
                <w:sz w:val="20"/>
              </w:rPr>
              <w:t>五通一平</w:t>
            </w:r>
          </w:p>
        </w:tc>
        <w:tc>
          <w:tcPr>
            <w:tcW w:w="89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40年</w:t>
            </w:r>
          </w:p>
        </w:tc>
        <w:tc>
          <w:tcPr>
            <w:tcW w:w="893"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1.5</w:t>
            </w:r>
          </w:p>
        </w:tc>
        <w:tc>
          <w:tcPr>
            <w:tcW w:w="892"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70年</w:t>
            </w:r>
          </w:p>
        </w:tc>
        <w:tc>
          <w:tcPr>
            <w:tcW w:w="893"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1.5</w:t>
            </w:r>
          </w:p>
        </w:tc>
        <w:tc>
          <w:tcPr>
            <w:tcW w:w="892"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50年</w:t>
            </w:r>
          </w:p>
        </w:tc>
        <w:tc>
          <w:tcPr>
            <w:tcW w:w="897"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w:t>
            </w:r>
          </w:p>
        </w:tc>
        <w:tc>
          <w:tcPr>
            <w:tcW w:w="1302" w:type="dxa"/>
            <w:tcBorders>
              <w:top w:val="single" w:color="auto" w:sz="4" w:space="0"/>
              <w:left w:val="nil"/>
              <w:bottom w:val="single" w:color="auto" w:sz="4" w:space="0"/>
              <w:right w:val="single" w:color="auto" w:sz="4" w:space="0"/>
            </w:tcBorders>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w:t>
      </w:r>
      <w:r>
        <w:rPr>
          <w:rFonts w:ascii="Times New Roman" w:hAnsi="Times New Roman"/>
          <w:sz w:val="24"/>
        </w:rPr>
        <w:t>2-9</w:t>
      </w:r>
      <w:r>
        <w:rPr>
          <w:rFonts w:ascii="Times New Roman" w:hAnsi="Times New Roman"/>
          <w:sz w:val="24"/>
          <w:szCs w:val="24"/>
        </w:rPr>
        <w:t>-2 一等建制镇（含街道）基准地价内涵</w:t>
      </w:r>
    </w:p>
    <w:tbl>
      <w:tblPr>
        <w:tblW w:w="928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2"/>
        <w:gridCol w:w="1018"/>
        <w:gridCol w:w="1000"/>
        <w:gridCol w:w="887"/>
        <w:gridCol w:w="887"/>
        <w:gridCol w:w="887"/>
        <w:gridCol w:w="887"/>
        <w:gridCol w:w="887"/>
        <w:gridCol w:w="889"/>
        <w:gridCol w:w="12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级 别</w:t>
            </w:r>
          </w:p>
        </w:tc>
        <w:tc>
          <w:tcPr>
            <w:tcW w:w="101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土地权利</w:t>
            </w:r>
          </w:p>
        </w:tc>
        <w:tc>
          <w:tcPr>
            <w:tcW w:w="1000" w:type="dxa"/>
            <w:vMerge w:val="restart"/>
            <w:tcBorders>
              <w:top w:val="single" w:color="auto" w:sz="4" w:space="0"/>
              <w:left w:val="nil"/>
              <w:right w:val="nil"/>
            </w:tcBorders>
            <w:vAlign w:val="center"/>
          </w:tcPr>
          <w:p>
            <w:pPr>
              <w:widowControl/>
              <w:jc w:val="center"/>
              <w:rPr>
                <w:b/>
                <w:color w:val="000000"/>
                <w:kern w:val="0"/>
                <w:sz w:val="20"/>
              </w:rPr>
            </w:pPr>
            <w:r>
              <w:rPr>
                <w:b/>
                <w:color w:val="000000"/>
                <w:kern w:val="0"/>
                <w:sz w:val="20"/>
              </w:rPr>
              <w:t>开发程度</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商服</w:t>
            </w:r>
          </w:p>
        </w:tc>
        <w:tc>
          <w:tcPr>
            <w:tcW w:w="1774" w:type="dxa"/>
            <w:gridSpan w:val="2"/>
            <w:tcBorders>
              <w:top w:val="single" w:color="auto" w:sz="4" w:space="0"/>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住宅</w:t>
            </w:r>
          </w:p>
        </w:tc>
        <w:tc>
          <w:tcPr>
            <w:tcW w:w="1776" w:type="dxa"/>
            <w:gridSpan w:val="2"/>
            <w:tcBorders>
              <w:top w:val="single" w:color="auto" w:sz="4" w:space="0"/>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工矿仓储</w:t>
            </w:r>
          </w:p>
        </w:tc>
        <w:tc>
          <w:tcPr>
            <w:tcW w:w="1285" w:type="dxa"/>
            <w:tcBorders>
              <w:top w:val="single" w:color="auto" w:sz="4" w:space="0"/>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p>
        </w:tc>
        <w:tc>
          <w:tcPr>
            <w:tcW w:w="10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p>
        </w:tc>
        <w:tc>
          <w:tcPr>
            <w:tcW w:w="1000" w:type="dxa"/>
            <w:vMerge w:val="continue"/>
            <w:tcBorders>
              <w:left w:val="nil"/>
              <w:bottom w:val="single" w:color="auto" w:sz="4" w:space="0"/>
              <w:right w:val="nil"/>
            </w:tcBorders>
            <w:vAlign w:val="center"/>
          </w:tcPr>
          <w:p>
            <w:pPr>
              <w:widowControl/>
              <w:jc w:val="center"/>
              <w:rPr>
                <w:b/>
                <w:color w:val="000000"/>
                <w:kern w:val="0"/>
                <w:sz w:val="20"/>
              </w:rPr>
            </w:pPr>
          </w:p>
        </w:tc>
        <w:tc>
          <w:tcPr>
            <w:tcW w:w="887" w:type="dxa"/>
            <w:tcBorders>
              <w:top w:val="nil"/>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使用年期</w:t>
            </w:r>
          </w:p>
        </w:tc>
        <w:tc>
          <w:tcPr>
            <w:tcW w:w="887"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887"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使用年期</w:t>
            </w:r>
          </w:p>
        </w:tc>
        <w:tc>
          <w:tcPr>
            <w:tcW w:w="887"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887"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使用年期</w:t>
            </w:r>
          </w:p>
        </w:tc>
        <w:tc>
          <w:tcPr>
            <w:tcW w:w="889"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1285"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期日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2" w:type="dxa"/>
            <w:tcBorders>
              <w:top w:val="nil"/>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一</w:t>
            </w:r>
          </w:p>
        </w:tc>
        <w:tc>
          <w:tcPr>
            <w:tcW w:w="1018"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出让土地</w:t>
            </w:r>
          </w:p>
          <w:p>
            <w:pPr>
              <w:widowControl/>
              <w:shd w:val="clear" w:color="auto" w:fill="FFFFFF"/>
              <w:jc w:val="center"/>
              <w:rPr>
                <w:bCs/>
                <w:kern w:val="0"/>
                <w:sz w:val="20"/>
              </w:rPr>
            </w:pPr>
            <w:r>
              <w:rPr>
                <w:bCs/>
                <w:kern w:val="0"/>
                <w:sz w:val="20"/>
              </w:rPr>
              <w:t>使用权</w:t>
            </w:r>
          </w:p>
        </w:tc>
        <w:tc>
          <w:tcPr>
            <w:tcW w:w="1000" w:type="dxa"/>
            <w:tcBorders>
              <w:top w:val="single" w:color="auto" w:sz="4" w:space="0"/>
              <w:left w:val="nil"/>
              <w:bottom w:val="single" w:color="auto" w:sz="4" w:space="0"/>
              <w:right w:val="nil"/>
            </w:tcBorders>
            <w:vAlign w:val="center"/>
          </w:tcPr>
          <w:p>
            <w:pPr>
              <w:widowControl/>
              <w:shd w:val="clear" w:color="auto" w:fill="FFFFFF"/>
              <w:jc w:val="center"/>
              <w:rPr>
                <w:bCs/>
                <w:kern w:val="0"/>
                <w:sz w:val="20"/>
              </w:rPr>
            </w:pPr>
            <w:r>
              <w:rPr>
                <w:bCs/>
                <w:kern w:val="0"/>
                <w:sz w:val="20"/>
              </w:rPr>
              <w:t>五通一平</w:t>
            </w:r>
          </w:p>
        </w:tc>
        <w:tc>
          <w:tcPr>
            <w:tcW w:w="887" w:type="dxa"/>
            <w:tcBorders>
              <w:top w:val="nil"/>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40年</w:t>
            </w:r>
          </w:p>
        </w:tc>
        <w:tc>
          <w:tcPr>
            <w:tcW w:w="887"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1.6</w:t>
            </w:r>
          </w:p>
        </w:tc>
        <w:tc>
          <w:tcPr>
            <w:tcW w:w="887"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70年</w:t>
            </w:r>
          </w:p>
        </w:tc>
        <w:tc>
          <w:tcPr>
            <w:tcW w:w="887"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1.6</w:t>
            </w:r>
          </w:p>
        </w:tc>
        <w:tc>
          <w:tcPr>
            <w:tcW w:w="887"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50年</w:t>
            </w:r>
          </w:p>
        </w:tc>
        <w:tc>
          <w:tcPr>
            <w:tcW w:w="889"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w:t>
            </w:r>
          </w:p>
        </w:tc>
        <w:tc>
          <w:tcPr>
            <w:tcW w:w="1285"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二</w:t>
            </w:r>
          </w:p>
        </w:tc>
        <w:tc>
          <w:tcPr>
            <w:tcW w:w="1018"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出让土地</w:t>
            </w:r>
          </w:p>
          <w:p>
            <w:pPr>
              <w:widowControl/>
              <w:shd w:val="clear" w:color="auto" w:fill="FFFFFF"/>
              <w:jc w:val="center"/>
              <w:rPr>
                <w:bCs/>
                <w:kern w:val="0"/>
                <w:sz w:val="20"/>
              </w:rPr>
            </w:pPr>
            <w:r>
              <w:rPr>
                <w:bCs/>
                <w:kern w:val="0"/>
                <w:sz w:val="20"/>
              </w:rPr>
              <w:t>使用权</w:t>
            </w:r>
          </w:p>
        </w:tc>
        <w:tc>
          <w:tcPr>
            <w:tcW w:w="1000" w:type="dxa"/>
            <w:tcBorders>
              <w:top w:val="single" w:color="auto" w:sz="4" w:space="0"/>
              <w:left w:val="nil"/>
              <w:bottom w:val="single" w:color="auto" w:sz="4" w:space="0"/>
              <w:right w:val="nil"/>
            </w:tcBorders>
            <w:vAlign w:val="center"/>
          </w:tcPr>
          <w:p>
            <w:pPr>
              <w:widowControl/>
              <w:shd w:val="clear" w:color="auto" w:fill="FFFFFF"/>
              <w:jc w:val="center"/>
              <w:rPr>
                <w:bCs/>
                <w:kern w:val="0"/>
                <w:sz w:val="20"/>
              </w:rPr>
            </w:pPr>
            <w:r>
              <w:rPr>
                <w:bCs/>
                <w:kern w:val="0"/>
                <w:sz w:val="20"/>
              </w:rPr>
              <w:t>五通一平</w:t>
            </w:r>
          </w:p>
        </w:tc>
        <w:tc>
          <w:tcPr>
            <w:tcW w:w="887"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40年</w:t>
            </w:r>
          </w:p>
        </w:tc>
        <w:tc>
          <w:tcPr>
            <w:tcW w:w="887"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1.4</w:t>
            </w:r>
          </w:p>
        </w:tc>
        <w:tc>
          <w:tcPr>
            <w:tcW w:w="887"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70年</w:t>
            </w:r>
          </w:p>
        </w:tc>
        <w:tc>
          <w:tcPr>
            <w:tcW w:w="887"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1.4</w:t>
            </w:r>
          </w:p>
        </w:tc>
        <w:tc>
          <w:tcPr>
            <w:tcW w:w="887"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50年</w:t>
            </w:r>
          </w:p>
        </w:tc>
        <w:tc>
          <w:tcPr>
            <w:tcW w:w="889"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w:t>
            </w:r>
          </w:p>
        </w:tc>
        <w:tc>
          <w:tcPr>
            <w:tcW w:w="1285" w:type="dxa"/>
            <w:tcBorders>
              <w:top w:val="single" w:color="auto" w:sz="4" w:space="0"/>
              <w:left w:val="nil"/>
              <w:bottom w:val="single" w:color="auto" w:sz="4" w:space="0"/>
              <w:right w:val="single" w:color="auto" w:sz="4" w:space="0"/>
            </w:tcBorders>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三</w:t>
            </w:r>
          </w:p>
        </w:tc>
        <w:tc>
          <w:tcPr>
            <w:tcW w:w="1018"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出让土地</w:t>
            </w:r>
          </w:p>
          <w:p>
            <w:pPr>
              <w:widowControl/>
              <w:shd w:val="clear" w:color="auto" w:fill="FFFFFF"/>
              <w:jc w:val="center"/>
              <w:rPr>
                <w:bCs/>
                <w:kern w:val="0"/>
                <w:sz w:val="20"/>
              </w:rPr>
            </w:pPr>
            <w:r>
              <w:rPr>
                <w:bCs/>
                <w:kern w:val="0"/>
                <w:sz w:val="20"/>
              </w:rPr>
              <w:t>使用权</w:t>
            </w:r>
          </w:p>
        </w:tc>
        <w:tc>
          <w:tcPr>
            <w:tcW w:w="1000" w:type="dxa"/>
            <w:tcBorders>
              <w:top w:val="single" w:color="auto" w:sz="4" w:space="0"/>
              <w:left w:val="nil"/>
              <w:bottom w:val="single" w:color="auto" w:sz="4" w:space="0"/>
              <w:right w:val="nil"/>
            </w:tcBorders>
            <w:vAlign w:val="center"/>
          </w:tcPr>
          <w:p>
            <w:pPr>
              <w:widowControl/>
              <w:shd w:val="clear" w:color="auto" w:fill="FFFFFF"/>
              <w:jc w:val="center"/>
              <w:rPr>
                <w:bCs/>
                <w:kern w:val="0"/>
                <w:sz w:val="20"/>
              </w:rPr>
            </w:pPr>
            <w:r>
              <w:rPr>
                <w:bCs/>
                <w:kern w:val="0"/>
                <w:sz w:val="20"/>
              </w:rPr>
              <w:t>五通一平</w:t>
            </w:r>
          </w:p>
        </w:tc>
        <w:tc>
          <w:tcPr>
            <w:tcW w:w="887"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40年</w:t>
            </w:r>
          </w:p>
        </w:tc>
        <w:tc>
          <w:tcPr>
            <w:tcW w:w="887"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1.2</w:t>
            </w:r>
          </w:p>
        </w:tc>
        <w:tc>
          <w:tcPr>
            <w:tcW w:w="887"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70年</w:t>
            </w:r>
          </w:p>
        </w:tc>
        <w:tc>
          <w:tcPr>
            <w:tcW w:w="887"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1.2</w:t>
            </w:r>
          </w:p>
        </w:tc>
        <w:tc>
          <w:tcPr>
            <w:tcW w:w="887"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50年</w:t>
            </w:r>
          </w:p>
        </w:tc>
        <w:tc>
          <w:tcPr>
            <w:tcW w:w="889"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w:t>
            </w:r>
          </w:p>
        </w:tc>
        <w:tc>
          <w:tcPr>
            <w:tcW w:w="1285" w:type="dxa"/>
            <w:tcBorders>
              <w:top w:val="single" w:color="auto" w:sz="4" w:space="0"/>
              <w:left w:val="nil"/>
              <w:bottom w:val="single" w:color="auto" w:sz="4" w:space="0"/>
              <w:right w:val="single" w:color="auto" w:sz="4" w:space="0"/>
            </w:tcBorders>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t>表</w:t>
      </w:r>
      <w:r>
        <w:rPr>
          <w:rFonts w:ascii="Times New Roman" w:hAnsi="Times New Roman"/>
          <w:sz w:val="24"/>
        </w:rPr>
        <w:t>2-9</w:t>
      </w:r>
      <w:r>
        <w:rPr>
          <w:rFonts w:ascii="Times New Roman" w:hAnsi="Times New Roman"/>
          <w:sz w:val="24"/>
          <w:szCs w:val="24"/>
        </w:rPr>
        <w:t>-3 二、三、四等建制镇基准地价内涵</w:t>
      </w:r>
    </w:p>
    <w:tbl>
      <w:tblPr>
        <w:tblW w:w="92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7"/>
        <w:gridCol w:w="1032"/>
        <w:gridCol w:w="1000"/>
        <w:gridCol w:w="899"/>
        <w:gridCol w:w="900"/>
        <w:gridCol w:w="899"/>
        <w:gridCol w:w="900"/>
        <w:gridCol w:w="899"/>
        <w:gridCol w:w="903"/>
        <w:gridCol w:w="12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7" w:hRule="atLeast"/>
          <w:jc w:val="center"/>
        </w:trPr>
        <w:tc>
          <w:tcPr>
            <w:tcW w:w="64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级 别</w:t>
            </w:r>
          </w:p>
        </w:tc>
        <w:tc>
          <w:tcPr>
            <w:tcW w:w="103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土地权利</w:t>
            </w:r>
          </w:p>
        </w:tc>
        <w:tc>
          <w:tcPr>
            <w:tcW w:w="1000" w:type="dxa"/>
            <w:vMerge w:val="restart"/>
            <w:tcBorders>
              <w:top w:val="single" w:color="auto" w:sz="4" w:space="0"/>
              <w:left w:val="nil"/>
              <w:right w:val="nil"/>
            </w:tcBorders>
            <w:vAlign w:val="center"/>
          </w:tcPr>
          <w:p>
            <w:pPr>
              <w:widowControl/>
              <w:jc w:val="center"/>
              <w:rPr>
                <w:b/>
                <w:color w:val="000000"/>
                <w:kern w:val="0"/>
                <w:sz w:val="20"/>
              </w:rPr>
            </w:pPr>
            <w:r>
              <w:rPr>
                <w:b/>
                <w:color w:val="000000"/>
                <w:kern w:val="0"/>
                <w:sz w:val="20"/>
              </w:rPr>
              <w:t>开发程度</w:t>
            </w:r>
          </w:p>
        </w:tc>
        <w:tc>
          <w:tcPr>
            <w:tcW w:w="179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商服</w:t>
            </w:r>
          </w:p>
        </w:tc>
        <w:tc>
          <w:tcPr>
            <w:tcW w:w="1799" w:type="dxa"/>
            <w:gridSpan w:val="2"/>
            <w:tcBorders>
              <w:top w:val="single" w:color="auto" w:sz="4" w:space="0"/>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住宅</w:t>
            </w:r>
          </w:p>
        </w:tc>
        <w:tc>
          <w:tcPr>
            <w:tcW w:w="1802" w:type="dxa"/>
            <w:gridSpan w:val="2"/>
            <w:tcBorders>
              <w:top w:val="single" w:color="auto" w:sz="4" w:space="0"/>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工矿仓储</w:t>
            </w:r>
          </w:p>
        </w:tc>
        <w:tc>
          <w:tcPr>
            <w:tcW w:w="1211" w:type="dxa"/>
            <w:tcBorders>
              <w:top w:val="single" w:color="auto" w:sz="4" w:space="0"/>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4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p>
        </w:tc>
        <w:tc>
          <w:tcPr>
            <w:tcW w:w="10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color w:val="000000"/>
                <w:kern w:val="0"/>
                <w:sz w:val="20"/>
              </w:rPr>
            </w:pPr>
          </w:p>
        </w:tc>
        <w:tc>
          <w:tcPr>
            <w:tcW w:w="1000" w:type="dxa"/>
            <w:vMerge w:val="continue"/>
            <w:tcBorders>
              <w:left w:val="nil"/>
              <w:bottom w:val="single" w:color="auto" w:sz="4" w:space="0"/>
              <w:right w:val="nil"/>
            </w:tcBorders>
            <w:vAlign w:val="center"/>
          </w:tcPr>
          <w:p>
            <w:pPr>
              <w:widowControl/>
              <w:jc w:val="center"/>
              <w:rPr>
                <w:b/>
                <w:color w:val="000000"/>
                <w:kern w:val="0"/>
                <w:sz w:val="20"/>
              </w:rPr>
            </w:pPr>
          </w:p>
        </w:tc>
        <w:tc>
          <w:tcPr>
            <w:tcW w:w="899" w:type="dxa"/>
            <w:tcBorders>
              <w:top w:val="nil"/>
              <w:left w:val="single" w:color="auto" w:sz="4" w:space="0"/>
              <w:bottom w:val="single" w:color="auto" w:sz="4" w:space="0"/>
              <w:right w:val="single" w:color="auto" w:sz="4" w:space="0"/>
            </w:tcBorders>
            <w:vAlign w:val="center"/>
          </w:tcPr>
          <w:p>
            <w:pPr>
              <w:widowControl/>
              <w:jc w:val="center"/>
              <w:rPr>
                <w:b/>
                <w:color w:val="000000"/>
                <w:kern w:val="0"/>
                <w:sz w:val="20"/>
              </w:rPr>
            </w:pPr>
            <w:r>
              <w:rPr>
                <w:b/>
                <w:color w:val="000000"/>
                <w:kern w:val="0"/>
                <w:sz w:val="20"/>
              </w:rPr>
              <w:t>使用年期</w:t>
            </w:r>
          </w:p>
        </w:tc>
        <w:tc>
          <w:tcPr>
            <w:tcW w:w="900"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899"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使用年期</w:t>
            </w:r>
          </w:p>
        </w:tc>
        <w:tc>
          <w:tcPr>
            <w:tcW w:w="900"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899"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使用年期</w:t>
            </w:r>
          </w:p>
        </w:tc>
        <w:tc>
          <w:tcPr>
            <w:tcW w:w="903"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容积率</w:t>
            </w:r>
          </w:p>
        </w:tc>
        <w:tc>
          <w:tcPr>
            <w:tcW w:w="1211" w:type="dxa"/>
            <w:tcBorders>
              <w:top w:val="nil"/>
              <w:left w:val="nil"/>
              <w:bottom w:val="single" w:color="auto" w:sz="4" w:space="0"/>
              <w:right w:val="single" w:color="auto" w:sz="4" w:space="0"/>
            </w:tcBorders>
            <w:vAlign w:val="center"/>
          </w:tcPr>
          <w:p>
            <w:pPr>
              <w:widowControl/>
              <w:jc w:val="center"/>
              <w:rPr>
                <w:b/>
                <w:color w:val="000000"/>
                <w:kern w:val="0"/>
                <w:sz w:val="20"/>
              </w:rPr>
            </w:pPr>
            <w:r>
              <w:rPr>
                <w:b/>
                <w:color w:val="000000"/>
                <w:kern w:val="0"/>
                <w:sz w:val="20"/>
              </w:rPr>
              <w:t>期日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47" w:type="dxa"/>
            <w:tcBorders>
              <w:top w:val="nil"/>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一</w:t>
            </w:r>
          </w:p>
        </w:tc>
        <w:tc>
          <w:tcPr>
            <w:tcW w:w="1032"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出让土地</w:t>
            </w:r>
          </w:p>
          <w:p>
            <w:pPr>
              <w:widowControl/>
              <w:shd w:val="clear" w:color="auto" w:fill="FFFFFF"/>
              <w:jc w:val="center"/>
              <w:rPr>
                <w:bCs/>
                <w:kern w:val="0"/>
                <w:sz w:val="20"/>
              </w:rPr>
            </w:pPr>
            <w:r>
              <w:rPr>
                <w:bCs/>
                <w:kern w:val="0"/>
                <w:sz w:val="20"/>
              </w:rPr>
              <w:t>使用权</w:t>
            </w:r>
          </w:p>
        </w:tc>
        <w:tc>
          <w:tcPr>
            <w:tcW w:w="1000" w:type="dxa"/>
            <w:tcBorders>
              <w:top w:val="single" w:color="auto" w:sz="4" w:space="0"/>
              <w:left w:val="nil"/>
              <w:bottom w:val="single" w:color="auto" w:sz="4" w:space="0"/>
              <w:right w:val="nil"/>
            </w:tcBorders>
            <w:vAlign w:val="center"/>
          </w:tcPr>
          <w:p>
            <w:pPr>
              <w:widowControl/>
              <w:shd w:val="clear" w:color="auto" w:fill="FFFFFF"/>
              <w:jc w:val="center"/>
              <w:rPr>
                <w:bCs/>
                <w:kern w:val="0"/>
                <w:sz w:val="20"/>
              </w:rPr>
            </w:pPr>
            <w:r>
              <w:rPr>
                <w:bCs/>
                <w:kern w:val="0"/>
                <w:sz w:val="20"/>
              </w:rPr>
              <w:t>五通一平</w:t>
            </w:r>
          </w:p>
        </w:tc>
        <w:tc>
          <w:tcPr>
            <w:tcW w:w="899" w:type="dxa"/>
            <w:tcBorders>
              <w:top w:val="nil"/>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40年</w:t>
            </w:r>
          </w:p>
        </w:tc>
        <w:tc>
          <w:tcPr>
            <w:tcW w:w="900"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1.5</w:t>
            </w:r>
          </w:p>
        </w:tc>
        <w:tc>
          <w:tcPr>
            <w:tcW w:w="899"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70年</w:t>
            </w:r>
          </w:p>
        </w:tc>
        <w:tc>
          <w:tcPr>
            <w:tcW w:w="900"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1.5</w:t>
            </w:r>
          </w:p>
        </w:tc>
        <w:tc>
          <w:tcPr>
            <w:tcW w:w="899"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50年</w:t>
            </w:r>
          </w:p>
        </w:tc>
        <w:tc>
          <w:tcPr>
            <w:tcW w:w="903" w:type="dxa"/>
            <w:tcBorders>
              <w:top w:val="nil"/>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w:t>
            </w:r>
          </w:p>
        </w:tc>
        <w:tc>
          <w:tcPr>
            <w:tcW w:w="1211" w:type="dxa"/>
            <w:tcBorders>
              <w:top w:val="nil"/>
              <w:left w:val="nil"/>
              <w:bottom w:val="single" w:color="auto" w:sz="4" w:space="0"/>
              <w:right w:val="single" w:color="auto" w:sz="4" w:space="0"/>
            </w:tcBorders>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647"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二</w:t>
            </w:r>
          </w:p>
        </w:tc>
        <w:tc>
          <w:tcPr>
            <w:tcW w:w="1032"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出让土地</w:t>
            </w:r>
          </w:p>
          <w:p>
            <w:pPr>
              <w:widowControl/>
              <w:shd w:val="clear" w:color="auto" w:fill="FFFFFF"/>
              <w:jc w:val="center"/>
              <w:rPr>
                <w:bCs/>
                <w:kern w:val="0"/>
                <w:sz w:val="20"/>
              </w:rPr>
            </w:pPr>
            <w:r>
              <w:rPr>
                <w:bCs/>
                <w:kern w:val="0"/>
                <w:sz w:val="20"/>
              </w:rPr>
              <w:t>使用权</w:t>
            </w:r>
          </w:p>
        </w:tc>
        <w:tc>
          <w:tcPr>
            <w:tcW w:w="1000" w:type="dxa"/>
            <w:tcBorders>
              <w:top w:val="single" w:color="auto" w:sz="4" w:space="0"/>
              <w:left w:val="nil"/>
              <w:bottom w:val="single" w:color="auto" w:sz="4" w:space="0"/>
              <w:right w:val="nil"/>
            </w:tcBorders>
            <w:vAlign w:val="center"/>
          </w:tcPr>
          <w:p>
            <w:pPr>
              <w:widowControl/>
              <w:shd w:val="clear" w:color="auto" w:fill="FFFFFF"/>
              <w:jc w:val="center"/>
              <w:rPr>
                <w:bCs/>
                <w:kern w:val="0"/>
                <w:sz w:val="20"/>
              </w:rPr>
            </w:pPr>
            <w:r>
              <w:rPr>
                <w:bCs/>
                <w:kern w:val="0"/>
                <w:sz w:val="20"/>
              </w:rPr>
              <w:t>五通一平</w:t>
            </w:r>
          </w:p>
        </w:tc>
        <w:tc>
          <w:tcPr>
            <w:tcW w:w="899"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40年</w:t>
            </w:r>
          </w:p>
        </w:tc>
        <w:tc>
          <w:tcPr>
            <w:tcW w:w="900"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1.2</w:t>
            </w:r>
          </w:p>
        </w:tc>
        <w:tc>
          <w:tcPr>
            <w:tcW w:w="899"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70年</w:t>
            </w:r>
          </w:p>
        </w:tc>
        <w:tc>
          <w:tcPr>
            <w:tcW w:w="900"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1.2</w:t>
            </w:r>
          </w:p>
        </w:tc>
        <w:tc>
          <w:tcPr>
            <w:tcW w:w="899"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50年</w:t>
            </w:r>
          </w:p>
        </w:tc>
        <w:tc>
          <w:tcPr>
            <w:tcW w:w="903" w:type="dxa"/>
            <w:tcBorders>
              <w:top w:val="single" w:color="auto" w:sz="4" w:space="0"/>
              <w:left w:val="nil"/>
              <w:bottom w:val="single" w:color="auto" w:sz="4" w:space="0"/>
              <w:right w:val="single" w:color="auto" w:sz="4" w:space="0"/>
            </w:tcBorders>
            <w:vAlign w:val="center"/>
          </w:tcPr>
          <w:p>
            <w:pPr>
              <w:widowControl/>
              <w:shd w:val="clear" w:color="auto" w:fill="FFFFFF"/>
              <w:jc w:val="center"/>
              <w:rPr>
                <w:bCs/>
                <w:kern w:val="0"/>
                <w:sz w:val="20"/>
              </w:rPr>
            </w:pPr>
            <w:r>
              <w:rPr>
                <w:bCs/>
                <w:kern w:val="0"/>
                <w:sz w:val="20"/>
              </w:rPr>
              <w:t>1</w:t>
            </w:r>
          </w:p>
        </w:tc>
        <w:tc>
          <w:tcPr>
            <w:tcW w:w="1211" w:type="dxa"/>
            <w:tcBorders>
              <w:top w:val="single" w:color="auto" w:sz="4" w:space="0"/>
              <w:left w:val="nil"/>
              <w:bottom w:val="single" w:color="auto" w:sz="4" w:space="0"/>
              <w:right w:val="single" w:color="auto" w:sz="4" w:space="0"/>
            </w:tcBorders>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bl>
    <w:p>
      <w:pPr>
        <w:pStyle w:val="131"/>
        <w:spacing w:beforeLines="50" w:afterLines="50"/>
        <w:ind w:firstLine="0" w:firstLineChars="0"/>
        <w:rPr>
          <w:rFonts w:ascii="Times New Roman" w:hAnsi="Times New Roman"/>
          <w:sz w:val="24"/>
          <w:szCs w:val="24"/>
        </w:rPr>
      </w:pPr>
      <w:r>
        <w:rPr>
          <w:rFonts w:ascii="Times New Roman" w:hAnsi="Times New Roman"/>
          <w:sz w:val="24"/>
          <w:szCs w:val="24"/>
        </w:rPr>
        <w:t>表</w:t>
      </w:r>
      <w:r>
        <w:rPr>
          <w:rFonts w:ascii="Times New Roman" w:hAnsi="Times New Roman"/>
          <w:sz w:val="24"/>
        </w:rPr>
        <w:t>2-9</w:t>
      </w:r>
      <w:r>
        <w:rPr>
          <w:rFonts w:ascii="Times New Roman" w:hAnsi="Times New Roman"/>
          <w:sz w:val="24"/>
          <w:szCs w:val="24"/>
        </w:rPr>
        <w:t>-4  乡镇公共管理与公共服务用地基准地价内涵</w:t>
      </w:r>
    </w:p>
    <w:tbl>
      <w:tblPr>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138"/>
        <w:gridCol w:w="1248"/>
        <w:gridCol w:w="974"/>
        <w:gridCol w:w="1006"/>
        <w:gridCol w:w="960"/>
        <w:gridCol w:w="906"/>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901" w:type="dxa"/>
            <w:vMerge w:val="restart"/>
            <w:vAlign w:val="center"/>
          </w:tcPr>
          <w:p>
            <w:pPr>
              <w:widowControl/>
              <w:jc w:val="center"/>
              <w:rPr>
                <w:b/>
                <w:color w:val="000000"/>
                <w:kern w:val="0"/>
                <w:sz w:val="20"/>
              </w:rPr>
            </w:pPr>
            <w:r>
              <w:rPr>
                <w:b/>
                <w:color w:val="000000"/>
                <w:kern w:val="0"/>
                <w:sz w:val="20"/>
              </w:rPr>
              <w:t>级别</w:t>
            </w:r>
          </w:p>
        </w:tc>
        <w:tc>
          <w:tcPr>
            <w:tcW w:w="1138" w:type="dxa"/>
            <w:vMerge w:val="restart"/>
            <w:vAlign w:val="center"/>
          </w:tcPr>
          <w:p>
            <w:pPr>
              <w:widowControl/>
              <w:jc w:val="center"/>
              <w:rPr>
                <w:b/>
                <w:color w:val="000000"/>
                <w:kern w:val="0"/>
                <w:sz w:val="20"/>
              </w:rPr>
            </w:pPr>
            <w:r>
              <w:rPr>
                <w:b/>
                <w:color w:val="000000"/>
                <w:kern w:val="0"/>
                <w:sz w:val="20"/>
              </w:rPr>
              <w:t>土地权利</w:t>
            </w:r>
          </w:p>
        </w:tc>
        <w:tc>
          <w:tcPr>
            <w:tcW w:w="1248" w:type="dxa"/>
            <w:vMerge w:val="restart"/>
            <w:vAlign w:val="center"/>
          </w:tcPr>
          <w:p>
            <w:pPr>
              <w:widowControl/>
              <w:jc w:val="center"/>
              <w:rPr>
                <w:b/>
                <w:color w:val="000000"/>
                <w:kern w:val="0"/>
                <w:sz w:val="20"/>
              </w:rPr>
            </w:pPr>
            <w:r>
              <w:rPr>
                <w:b/>
                <w:color w:val="000000"/>
                <w:kern w:val="0"/>
                <w:sz w:val="20"/>
              </w:rPr>
              <w:t>开发程度</w:t>
            </w:r>
          </w:p>
        </w:tc>
        <w:tc>
          <w:tcPr>
            <w:tcW w:w="1980" w:type="dxa"/>
            <w:gridSpan w:val="2"/>
            <w:vAlign w:val="center"/>
          </w:tcPr>
          <w:p>
            <w:pPr>
              <w:widowControl/>
              <w:jc w:val="center"/>
              <w:rPr>
                <w:b/>
                <w:color w:val="000000"/>
                <w:kern w:val="0"/>
                <w:sz w:val="20"/>
              </w:rPr>
            </w:pPr>
            <w:r>
              <w:rPr>
                <w:b/>
                <w:color w:val="000000"/>
                <w:kern w:val="0"/>
                <w:sz w:val="20"/>
              </w:rPr>
              <w:t>一类用地</w:t>
            </w:r>
          </w:p>
        </w:tc>
        <w:tc>
          <w:tcPr>
            <w:tcW w:w="1866" w:type="dxa"/>
            <w:gridSpan w:val="2"/>
            <w:vAlign w:val="center"/>
          </w:tcPr>
          <w:p>
            <w:pPr>
              <w:widowControl/>
              <w:jc w:val="center"/>
              <w:rPr>
                <w:b/>
                <w:color w:val="000000"/>
                <w:kern w:val="0"/>
                <w:sz w:val="20"/>
              </w:rPr>
            </w:pPr>
            <w:r>
              <w:rPr>
                <w:b/>
                <w:color w:val="000000"/>
                <w:kern w:val="0"/>
                <w:sz w:val="20"/>
              </w:rPr>
              <w:t>二类用地</w:t>
            </w:r>
          </w:p>
        </w:tc>
        <w:tc>
          <w:tcPr>
            <w:tcW w:w="1395" w:type="dxa"/>
            <w:vMerge w:val="restart"/>
            <w:vAlign w:val="center"/>
          </w:tcPr>
          <w:p>
            <w:pPr>
              <w:widowControl/>
              <w:spacing w:line="360" w:lineRule="exact"/>
              <w:jc w:val="center"/>
              <w:rPr>
                <w:bCs/>
                <w:kern w:val="0"/>
                <w:szCs w:val="21"/>
              </w:rPr>
            </w:pPr>
            <w:r>
              <w:rPr>
                <w:b/>
                <w:color w:val="000000"/>
                <w:kern w:val="0"/>
                <w:sz w:val="20"/>
              </w:rPr>
              <w:t>基准日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901" w:type="dxa"/>
            <w:vMerge w:val="continue"/>
            <w:vAlign w:val="center"/>
          </w:tcPr>
          <w:p>
            <w:pPr>
              <w:widowControl/>
              <w:jc w:val="center"/>
              <w:rPr>
                <w:b/>
                <w:color w:val="000000"/>
                <w:kern w:val="0"/>
                <w:sz w:val="20"/>
              </w:rPr>
            </w:pPr>
          </w:p>
        </w:tc>
        <w:tc>
          <w:tcPr>
            <w:tcW w:w="1138" w:type="dxa"/>
            <w:vMerge w:val="continue"/>
            <w:vAlign w:val="center"/>
          </w:tcPr>
          <w:p>
            <w:pPr>
              <w:widowControl/>
              <w:jc w:val="center"/>
              <w:rPr>
                <w:b/>
                <w:color w:val="000000"/>
                <w:kern w:val="0"/>
                <w:sz w:val="20"/>
              </w:rPr>
            </w:pPr>
          </w:p>
        </w:tc>
        <w:tc>
          <w:tcPr>
            <w:tcW w:w="1248" w:type="dxa"/>
            <w:vMerge w:val="continue"/>
            <w:vAlign w:val="center"/>
          </w:tcPr>
          <w:p>
            <w:pPr>
              <w:widowControl/>
              <w:jc w:val="center"/>
              <w:rPr>
                <w:b/>
                <w:color w:val="000000"/>
                <w:kern w:val="0"/>
                <w:sz w:val="20"/>
              </w:rPr>
            </w:pPr>
          </w:p>
        </w:tc>
        <w:tc>
          <w:tcPr>
            <w:tcW w:w="974" w:type="dxa"/>
            <w:vAlign w:val="center"/>
          </w:tcPr>
          <w:p>
            <w:pPr>
              <w:widowControl/>
              <w:jc w:val="center"/>
              <w:rPr>
                <w:b/>
                <w:color w:val="000000"/>
                <w:kern w:val="0"/>
                <w:sz w:val="20"/>
              </w:rPr>
            </w:pPr>
            <w:r>
              <w:rPr>
                <w:b/>
                <w:color w:val="000000"/>
                <w:kern w:val="0"/>
                <w:sz w:val="20"/>
              </w:rPr>
              <w:t>年期</w:t>
            </w:r>
          </w:p>
        </w:tc>
        <w:tc>
          <w:tcPr>
            <w:tcW w:w="1006" w:type="dxa"/>
            <w:vAlign w:val="center"/>
          </w:tcPr>
          <w:p>
            <w:pPr>
              <w:widowControl/>
              <w:jc w:val="center"/>
              <w:rPr>
                <w:b/>
                <w:color w:val="000000"/>
                <w:kern w:val="0"/>
                <w:sz w:val="20"/>
              </w:rPr>
            </w:pPr>
            <w:r>
              <w:rPr>
                <w:b/>
                <w:color w:val="000000"/>
                <w:kern w:val="0"/>
                <w:sz w:val="20"/>
              </w:rPr>
              <w:t>容积率</w:t>
            </w:r>
          </w:p>
        </w:tc>
        <w:tc>
          <w:tcPr>
            <w:tcW w:w="960" w:type="dxa"/>
            <w:vAlign w:val="center"/>
          </w:tcPr>
          <w:p>
            <w:pPr>
              <w:widowControl/>
              <w:jc w:val="center"/>
              <w:rPr>
                <w:b/>
                <w:color w:val="000000"/>
                <w:kern w:val="0"/>
                <w:sz w:val="20"/>
              </w:rPr>
            </w:pPr>
            <w:r>
              <w:rPr>
                <w:b/>
                <w:color w:val="000000"/>
                <w:kern w:val="0"/>
                <w:sz w:val="20"/>
              </w:rPr>
              <w:t>年期</w:t>
            </w:r>
          </w:p>
        </w:tc>
        <w:tc>
          <w:tcPr>
            <w:tcW w:w="906" w:type="dxa"/>
            <w:vAlign w:val="center"/>
          </w:tcPr>
          <w:p>
            <w:pPr>
              <w:widowControl/>
              <w:jc w:val="center"/>
              <w:rPr>
                <w:b/>
                <w:color w:val="000000"/>
                <w:kern w:val="0"/>
                <w:sz w:val="20"/>
              </w:rPr>
            </w:pPr>
            <w:r>
              <w:rPr>
                <w:b/>
                <w:color w:val="000000"/>
                <w:kern w:val="0"/>
                <w:sz w:val="20"/>
              </w:rPr>
              <w:t>容积率</w:t>
            </w:r>
          </w:p>
        </w:tc>
        <w:tc>
          <w:tcPr>
            <w:tcW w:w="1395" w:type="dxa"/>
            <w:vMerge w:val="continue"/>
            <w:vAlign w:val="center"/>
          </w:tcPr>
          <w:p>
            <w:pPr>
              <w:widowControl/>
              <w:spacing w:line="360" w:lineRule="exact"/>
              <w:jc w:val="center"/>
              <w:rPr>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1" w:type="dxa"/>
            <w:vAlign w:val="center"/>
          </w:tcPr>
          <w:p>
            <w:pPr>
              <w:widowControl/>
              <w:shd w:val="clear" w:color="auto" w:fill="FFFFFF"/>
              <w:jc w:val="center"/>
              <w:rPr>
                <w:bCs/>
                <w:kern w:val="0"/>
                <w:sz w:val="20"/>
              </w:rPr>
            </w:pPr>
            <w:r>
              <w:rPr>
                <w:bCs/>
                <w:kern w:val="0"/>
                <w:sz w:val="20"/>
              </w:rPr>
              <w:t>Ⅰ</w:t>
            </w:r>
          </w:p>
        </w:tc>
        <w:tc>
          <w:tcPr>
            <w:tcW w:w="1138" w:type="dxa"/>
            <w:vAlign w:val="center"/>
          </w:tcPr>
          <w:p>
            <w:pPr>
              <w:widowControl/>
              <w:shd w:val="clear" w:color="auto" w:fill="FFFFFF"/>
              <w:jc w:val="center"/>
              <w:rPr>
                <w:bCs/>
                <w:kern w:val="0"/>
                <w:sz w:val="20"/>
              </w:rPr>
            </w:pPr>
            <w:r>
              <w:rPr>
                <w:bCs/>
                <w:kern w:val="0"/>
                <w:sz w:val="20"/>
              </w:rPr>
              <w:t>出让土地使用权</w:t>
            </w:r>
          </w:p>
        </w:tc>
        <w:tc>
          <w:tcPr>
            <w:tcW w:w="1248" w:type="dxa"/>
            <w:vAlign w:val="center"/>
          </w:tcPr>
          <w:p>
            <w:pPr>
              <w:widowControl/>
              <w:shd w:val="clear" w:color="auto" w:fill="FFFFFF"/>
              <w:jc w:val="center"/>
              <w:rPr>
                <w:bCs/>
                <w:kern w:val="0"/>
                <w:sz w:val="20"/>
              </w:rPr>
            </w:pPr>
            <w:r>
              <w:rPr>
                <w:bCs/>
                <w:kern w:val="0"/>
                <w:sz w:val="20"/>
              </w:rPr>
              <w:t>五通一平</w:t>
            </w:r>
          </w:p>
        </w:tc>
        <w:tc>
          <w:tcPr>
            <w:tcW w:w="974" w:type="dxa"/>
            <w:vAlign w:val="center"/>
          </w:tcPr>
          <w:p>
            <w:pPr>
              <w:widowControl/>
              <w:shd w:val="clear" w:color="auto" w:fill="FFFFFF"/>
              <w:jc w:val="center"/>
              <w:rPr>
                <w:bCs/>
                <w:kern w:val="0"/>
                <w:sz w:val="20"/>
              </w:rPr>
            </w:pPr>
            <w:r>
              <w:rPr>
                <w:bCs/>
                <w:kern w:val="0"/>
                <w:sz w:val="20"/>
              </w:rPr>
              <w:t>50年</w:t>
            </w:r>
          </w:p>
        </w:tc>
        <w:tc>
          <w:tcPr>
            <w:tcW w:w="1006" w:type="dxa"/>
            <w:vAlign w:val="center"/>
          </w:tcPr>
          <w:p>
            <w:pPr>
              <w:widowControl/>
              <w:shd w:val="clear" w:color="auto" w:fill="FFFFFF"/>
              <w:jc w:val="center"/>
              <w:rPr>
                <w:bCs/>
                <w:kern w:val="0"/>
                <w:sz w:val="20"/>
              </w:rPr>
            </w:pPr>
            <w:r>
              <w:rPr>
                <w:bCs/>
                <w:kern w:val="0"/>
                <w:sz w:val="20"/>
              </w:rPr>
              <w:t>1.4</w:t>
            </w:r>
          </w:p>
        </w:tc>
        <w:tc>
          <w:tcPr>
            <w:tcW w:w="960" w:type="dxa"/>
            <w:vAlign w:val="center"/>
          </w:tcPr>
          <w:p>
            <w:pPr>
              <w:widowControl/>
              <w:shd w:val="clear" w:color="auto" w:fill="FFFFFF"/>
              <w:jc w:val="center"/>
              <w:rPr>
                <w:bCs/>
                <w:kern w:val="0"/>
                <w:sz w:val="20"/>
              </w:rPr>
            </w:pPr>
            <w:r>
              <w:rPr>
                <w:bCs/>
                <w:kern w:val="0"/>
                <w:sz w:val="20"/>
              </w:rPr>
              <w:t>50年</w:t>
            </w:r>
          </w:p>
        </w:tc>
        <w:tc>
          <w:tcPr>
            <w:tcW w:w="906" w:type="dxa"/>
            <w:vAlign w:val="center"/>
          </w:tcPr>
          <w:p>
            <w:pPr>
              <w:widowControl/>
              <w:shd w:val="clear" w:color="auto" w:fill="FFFFFF"/>
              <w:jc w:val="center"/>
              <w:rPr>
                <w:bCs/>
                <w:kern w:val="0"/>
                <w:sz w:val="20"/>
              </w:rPr>
            </w:pPr>
            <w:r>
              <w:rPr>
                <w:bCs/>
                <w:kern w:val="0"/>
                <w:sz w:val="20"/>
              </w:rPr>
              <w:t>1</w:t>
            </w:r>
          </w:p>
        </w:tc>
        <w:tc>
          <w:tcPr>
            <w:tcW w:w="1395" w:type="dxa"/>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1" w:type="dxa"/>
            <w:vAlign w:val="center"/>
          </w:tcPr>
          <w:p>
            <w:pPr>
              <w:widowControl/>
              <w:shd w:val="clear" w:color="auto" w:fill="FFFFFF"/>
              <w:jc w:val="center"/>
              <w:rPr>
                <w:bCs/>
                <w:kern w:val="0"/>
                <w:sz w:val="20"/>
              </w:rPr>
            </w:pPr>
            <w:r>
              <w:rPr>
                <w:bCs/>
                <w:kern w:val="0"/>
                <w:sz w:val="20"/>
              </w:rPr>
              <w:t>Ⅱ</w:t>
            </w:r>
          </w:p>
        </w:tc>
        <w:tc>
          <w:tcPr>
            <w:tcW w:w="1138" w:type="dxa"/>
            <w:vAlign w:val="center"/>
          </w:tcPr>
          <w:p>
            <w:pPr>
              <w:widowControl/>
              <w:shd w:val="clear" w:color="auto" w:fill="FFFFFF"/>
              <w:jc w:val="center"/>
              <w:rPr>
                <w:bCs/>
                <w:kern w:val="0"/>
                <w:sz w:val="20"/>
              </w:rPr>
            </w:pPr>
            <w:r>
              <w:rPr>
                <w:bCs/>
                <w:kern w:val="0"/>
                <w:sz w:val="20"/>
              </w:rPr>
              <w:t>出让土地使用权</w:t>
            </w:r>
          </w:p>
        </w:tc>
        <w:tc>
          <w:tcPr>
            <w:tcW w:w="1248" w:type="dxa"/>
            <w:vAlign w:val="center"/>
          </w:tcPr>
          <w:p>
            <w:pPr>
              <w:widowControl/>
              <w:shd w:val="clear" w:color="auto" w:fill="FFFFFF"/>
              <w:jc w:val="center"/>
              <w:rPr>
                <w:bCs/>
                <w:kern w:val="0"/>
                <w:sz w:val="20"/>
              </w:rPr>
            </w:pPr>
            <w:r>
              <w:rPr>
                <w:bCs/>
                <w:kern w:val="0"/>
                <w:sz w:val="20"/>
              </w:rPr>
              <w:t>五通一平</w:t>
            </w:r>
          </w:p>
        </w:tc>
        <w:tc>
          <w:tcPr>
            <w:tcW w:w="974" w:type="dxa"/>
            <w:vAlign w:val="center"/>
          </w:tcPr>
          <w:p>
            <w:pPr>
              <w:widowControl/>
              <w:shd w:val="clear" w:color="auto" w:fill="FFFFFF"/>
              <w:jc w:val="center"/>
              <w:rPr>
                <w:bCs/>
                <w:kern w:val="0"/>
                <w:sz w:val="20"/>
              </w:rPr>
            </w:pPr>
            <w:r>
              <w:rPr>
                <w:bCs/>
                <w:kern w:val="0"/>
                <w:sz w:val="20"/>
              </w:rPr>
              <w:t>50年</w:t>
            </w:r>
          </w:p>
        </w:tc>
        <w:tc>
          <w:tcPr>
            <w:tcW w:w="1006" w:type="dxa"/>
            <w:vAlign w:val="center"/>
          </w:tcPr>
          <w:p>
            <w:pPr>
              <w:widowControl/>
              <w:shd w:val="clear" w:color="auto" w:fill="FFFFFF"/>
              <w:jc w:val="center"/>
              <w:rPr>
                <w:bCs/>
                <w:kern w:val="0"/>
                <w:sz w:val="20"/>
              </w:rPr>
            </w:pPr>
            <w:r>
              <w:rPr>
                <w:bCs/>
                <w:kern w:val="0"/>
                <w:sz w:val="20"/>
              </w:rPr>
              <w:t>1.4</w:t>
            </w:r>
          </w:p>
        </w:tc>
        <w:tc>
          <w:tcPr>
            <w:tcW w:w="960" w:type="dxa"/>
            <w:vAlign w:val="center"/>
          </w:tcPr>
          <w:p>
            <w:pPr>
              <w:widowControl/>
              <w:shd w:val="clear" w:color="auto" w:fill="FFFFFF"/>
              <w:jc w:val="center"/>
              <w:rPr>
                <w:bCs/>
                <w:kern w:val="0"/>
                <w:sz w:val="20"/>
              </w:rPr>
            </w:pPr>
            <w:r>
              <w:rPr>
                <w:bCs/>
                <w:kern w:val="0"/>
                <w:sz w:val="20"/>
              </w:rPr>
              <w:t>50年</w:t>
            </w:r>
          </w:p>
        </w:tc>
        <w:tc>
          <w:tcPr>
            <w:tcW w:w="906" w:type="dxa"/>
            <w:vAlign w:val="center"/>
          </w:tcPr>
          <w:p>
            <w:pPr>
              <w:widowControl/>
              <w:shd w:val="clear" w:color="auto" w:fill="FFFFFF"/>
              <w:jc w:val="center"/>
              <w:rPr>
                <w:bCs/>
                <w:kern w:val="0"/>
                <w:sz w:val="20"/>
              </w:rPr>
            </w:pPr>
            <w:r>
              <w:rPr>
                <w:bCs/>
                <w:kern w:val="0"/>
                <w:sz w:val="20"/>
              </w:rPr>
              <w:t>1</w:t>
            </w:r>
          </w:p>
        </w:tc>
        <w:tc>
          <w:tcPr>
            <w:tcW w:w="1395" w:type="dxa"/>
            <w:vAlign w:val="center"/>
          </w:tcPr>
          <w:p>
            <w:pPr>
              <w:widowControl/>
              <w:shd w:val="clear" w:color="auto" w:fill="FFFFFF"/>
              <w:jc w:val="center"/>
              <w:rPr>
                <w:rFonts w:hint="eastAsia" w:eastAsia="宋体"/>
                <w:bCs/>
                <w:kern w:val="0"/>
                <w:sz w:val="20"/>
                <w:lang w:eastAsia="zh-CN"/>
              </w:rPr>
            </w:pPr>
            <w:r>
              <w:rPr>
                <w:rFonts w:hint="eastAsia"/>
                <w:bCs/>
                <w:kern w:val="0"/>
                <w:sz w:val="20"/>
                <w:lang w:eastAsia="zh-CN"/>
              </w:rPr>
              <w:t>2018.3.1</w:t>
            </w:r>
          </w:p>
        </w:tc>
      </w:tr>
    </w:tbl>
    <w:p>
      <w:pPr>
        <w:ind w:firstLine="482" w:firstLineChars="200"/>
        <w:outlineLvl w:val="2"/>
        <w:rPr>
          <w:b/>
          <w:sz w:val="24"/>
          <w:szCs w:val="24"/>
        </w:rPr>
      </w:pPr>
      <w:bookmarkStart w:id="1179" w:name="_Toc22154"/>
      <w:bookmarkStart w:id="1180" w:name="_Toc5228"/>
      <w:bookmarkStart w:id="1181" w:name="_Toc22352"/>
      <w:r>
        <w:rPr>
          <w:b/>
          <w:sz w:val="24"/>
          <w:szCs w:val="24"/>
        </w:rPr>
        <w:t>10、长沙县建制镇各级别基准地价表</w:t>
      </w:r>
      <w:bookmarkEnd w:id="1179"/>
      <w:bookmarkEnd w:id="1180"/>
      <w:bookmarkEnd w:id="1181"/>
    </w:p>
    <w:p>
      <w:pPr>
        <w:pStyle w:val="131"/>
        <w:spacing w:beforeLines="50" w:afterLines="50"/>
        <w:ind w:firstLine="0" w:firstLineChars="0"/>
        <w:rPr>
          <w:rFonts w:ascii="Times New Roman" w:hAnsi="Times New Roman"/>
          <w:sz w:val="24"/>
        </w:rPr>
      </w:pPr>
      <w:r>
        <w:rPr>
          <w:rFonts w:ascii="Times New Roman" w:hAnsi="Times New Roman"/>
          <w:sz w:val="24"/>
        </w:rPr>
        <w:t>表2-10  长沙县建制镇各级别基准地价表</w:t>
      </w:r>
    </w:p>
    <w:p>
      <w:pPr>
        <w:widowControl/>
        <w:ind w:firstLine="402" w:firstLineChars="200"/>
        <w:jc w:val="right"/>
        <w:rPr>
          <w:sz w:val="24"/>
        </w:rPr>
      </w:pPr>
      <w:r>
        <w:rPr>
          <w:b/>
          <w:sz w:val="20"/>
        </w:rPr>
        <w:t>单位：元/平方米</w:t>
      </w:r>
    </w:p>
    <w:tbl>
      <w:tblPr>
        <w:tblW w:w="90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16"/>
        <w:gridCol w:w="2553"/>
        <w:gridCol w:w="1135"/>
        <w:gridCol w:w="1275"/>
        <w:gridCol w:w="1277"/>
        <w:gridCol w:w="1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
                <w:color w:val="000000"/>
                <w:kern w:val="0"/>
                <w:szCs w:val="21"/>
              </w:rPr>
            </w:pPr>
            <w:r>
              <w:rPr>
                <w:b/>
                <w:color w:val="000000"/>
                <w:kern w:val="0"/>
                <w:szCs w:val="21"/>
              </w:rPr>
              <w:t>级别</w:t>
            </w:r>
          </w:p>
        </w:tc>
        <w:tc>
          <w:tcPr>
            <w:tcW w:w="2553" w:type="dxa"/>
            <w:tcBorders>
              <w:top w:val="single" w:color="auto" w:sz="4" w:space="0"/>
              <w:left w:val="nil"/>
              <w:bottom w:val="single" w:color="auto" w:sz="4" w:space="0"/>
              <w:right w:val="single" w:color="auto" w:sz="4" w:space="0"/>
            </w:tcBorders>
            <w:vAlign w:val="center"/>
          </w:tcPr>
          <w:p>
            <w:pPr>
              <w:widowControl/>
              <w:spacing w:line="240" w:lineRule="exact"/>
              <w:jc w:val="center"/>
              <w:rPr>
                <w:b/>
                <w:color w:val="000000"/>
                <w:kern w:val="0"/>
                <w:szCs w:val="21"/>
              </w:rPr>
            </w:pPr>
            <w:r>
              <w:rPr>
                <w:b/>
                <w:color w:val="000000"/>
                <w:kern w:val="0"/>
                <w:szCs w:val="21"/>
              </w:rPr>
              <w:t>乡镇名称</w:t>
            </w:r>
          </w:p>
        </w:tc>
        <w:tc>
          <w:tcPr>
            <w:tcW w:w="1135" w:type="dxa"/>
            <w:tcBorders>
              <w:top w:val="single" w:color="auto" w:sz="4" w:space="0"/>
              <w:left w:val="nil"/>
              <w:bottom w:val="single" w:color="auto" w:sz="4" w:space="0"/>
              <w:right w:val="single" w:color="auto" w:sz="4" w:space="0"/>
            </w:tcBorders>
            <w:vAlign w:val="center"/>
          </w:tcPr>
          <w:p>
            <w:pPr>
              <w:widowControl/>
              <w:spacing w:line="240" w:lineRule="exact"/>
              <w:jc w:val="center"/>
              <w:rPr>
                <w:b/>
                <w:color w:val="000000"/>
                <w:kern w:val="0"/>
                <w:szCs w:val="21"/>
              </w:rPr>
            </w:pPr>
            <w:r>
              <w:rPr>
                <w:b/>
                <w:color w:val="000000"/>
                <w:kern w:val="0"/>
                <w:szCs w:val="21"/>
              </w:rPr>
              <w:t>用途</w:t>
            </w:r>
          </w:p>
        </w:tc>
        <w:tc>
          <w:tcPr>
            <w:tcW w:w="1275" w:type="dxa"/>
            <w:tcBorders>
              <w:top w:val="single" w:color="auto" w:sz="4" w:space="0"/>
              <w:left w:val="nil"/>
              <w:bottom w:val="single" w:color="auto" w:sz="4" w:space="0"/>
              <w:right w:val="single" w:color="auto" w:sz="4" w:space="0"/>
            </w:tcBorders>
            <w:vAlign w:val="center"/>
          </w:tcPr>
          <w:p>
            <w:pPr>
              <w:widowControl/>
              <w:spacing w:line="240" w:lineRule="exact"/>
              <w:jc w:val="center"/>
              <w:rPr>
                <w:b/>
                <w:color w:val="000000"/>
                <w:kern w:val="0"/>
                <w:szCs w:val="21"/>
              </w:rPr>
            </w:pPr>
            <w:r>
              <w:rPr>
                <w:b/>
                <w:color w:val="000000"/>
                <w:kern w:val="0"/>
                <w:szCs w:val="21"/>
              </w:rPr>
              <w:t>一级</w:t>
            </w:r>
          </w:p>
        </w:tc>
        <w:tc>
          <w:tcPr>
            <w:tcW w:w="1277" w:type="dxa"/>
            <w:tcBorders>
              <w:top w:val="single" w:color="auto" w:sz="4" w:space="0"/>
              <w:left w:val="nil"/>
              <w:bottom w:val="single" w:color="auto" w:sz="4" w:space="0"/>
              <w:right w:val="single" w:color="auto" w:sz="4" w:space="0"/>
            </w:tcBorders>
            <w:vAlign w:val="center"/>
          </w:tcPr>
          <w:p>
            <w:pPr>
              <w:widowControl/>
              <w:spacing w:line="240" w:lineRule="exact"/>
              <w:jc w:val="center"/>
              <w:rPr>
                <w:b/>
                <w:color w:val="000000"/>
                <w:kern w:val="0"/>
                <w:szCs w:val="21"/>
              </w:rPr>
            </w:pPr>
            <w:r>
              <w:rPr>
                <w:b/>
                <w:color w:val="000000"/>
                <w:kern w:val="0"/>
                <w:szCs w:val="21"/>
              </w:rPr>
              <w:t>二级</w:t>
            </w:r>
          </w:p>
        </w:tc>
        <w:tc>
          <w:tcPr>
            <w:tcW w:w="1150" w:type="dxa"/>
            <w:tcBorders>
              <w:top w:val="single" w:color="auto" w:sz="4" w:space="0"/>
              <w:left w:val="nil"/>
              <w:bottom w:val="single" w:color="auto" w:sz="4" w:space="0"/>
              <w:right w:val="single" w:color="auto" w:sz="4" w:space="0"/>
            </w:tcBorders>
            <w:vAlign w:val="center"/>
          </w:tcPr>
          <w:p>
            <w:pPr>
              <w:widowControl/>
              <w:spacing w:line="240" w:lineRule="exact"/>
              <w:jc w:val="center"/>
              <w:rPr>
                <w:b/>
                <w:color w:val="000000"/>
                <w:kern w:val="0"/>
                <w:szCs w:val="21"/>
              </w:rPr>
            </w:pPr>
            <w:r>
              <w:rPr>
                <w:b/>
                <w:color w:val="000000"/>
                <w:kern w:val="0"/>
                <w:szCs w:val="21"/>
              </w:rPr>
              <w:t>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restart"/>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与市区对接的重点区域</w:t>
            </w:r>
          </w:p>
        </w:tc>
        <w:tc>
          <w:tcPr>
            <w:tcW w:w="2553" w:type="dxa"/>
            <w:vMerge w:val="restart"/>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榔梨街道、黄兴镇</w:t>
            </w:r>
          </w:p>
        </w:tc>
        <w:tc>
          <w:tcPr>
            <w:tcW w:w="1135" w:type="dxa"/>
            <w:tcBorders>
              <w:top w:val="single" w:color="auto" w:sz="4" w:space="0"/>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商服</w:t>
            </w:r>
          </w:p>
        </w:tc>
        <w:tc>
          <w:tcPr>
            <w:tcW w:w="1275" w:type="dxa"/>
            <w:tcBorders>
              <w:top w:val="single" w:color="auto" w:sz="4" w:space="0"/>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2350</w:t>
            </w:r>
          </w:p>
        </w:tc>
        <w:tc>
          <w:tcPr>
            <w:tcW w:w="1277" w:type="dxa"/>
            <w:tcBorders>
              <w:top w:val="single" w:color="auto" w:sz="4" w:space="0"/>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1690</w:t>
            </w:r>
          </w:p>
        </w:tc>
        <w:tc>
          <w:tcPr>
            <w:tcW w:w="1150" w:type="dxa"/>
            <w:tcBorders>
              <w:top w:val="single" w:color="auto" w:sz="4" w:space="0"/>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1160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2553"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Cs w:val="21"/>
              </w:rPr>
            </w:pPr>
          </w:p>
        </w:tc>
        <w:tc>
          <w:tcPr>
            <w:tcW w:w="1135" w:type="dxa"/>
            <w:tcBorders>
              <w:top w:val="single" w:color="auto" w:sz="4" w:space="0"/>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住宅</w:t>
            </w:r>
          </w:p>
        </w:tc>
        <w:tc>
          <w:tcPr>
            <w:tcW w:w="1275" w:type="dxa"/>
            <w:tcBorders>
              <w:top w:val="single" w:color="auto" w:sz="4" w:space="0"/>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2120</w:t>
            </w:r>
          </w:p>
        </w:tc>
        <w:tc>
          <w:tcPr>
            <w:tcW w:w="1277" w:type="dxa"/>
            <w:tcBorders>
              <w:top w:val="single" w:color="auto" w:sz="4" w:space="0"/>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1560</w:t>
            </w:r>
          </w:p>
        </w:tc>
        <w:tc>
          <w:tcPr>
            <w:tcW w:w="1150" w:type="dxa"/>
            <w:tcBorders>
              <w:top w:val="single" w:color="auto" w:sz="4" w:space="0"/>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2553" w:type="dxa"/>
            <w:vMerge w:val="continue"/>
            <w:tcBorders>
              <w:top w:val="nil"/>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Cs w:val="21"/>
              </w:rPr>
            </w:pPr>
          </w:p>
        </w:tc>
        <w:tc>
          <w:tcPr>
            <w:tcW w:w="113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工矿仓储</w:t>
            </w:r>
          </w:p>
        </w:tc>
        <w:tc>
          <w:tcPr>
            <w:tcW w:w="127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650</w:t>
            </w:r>
          </w:p>
        </w:tc>
        <w:tc>
          <w:tcPr>
            <w:tcW w:w="1277"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500</w:t>
            </w:r>
          </w:p>
        </w:tc>
        <w:tc>
          <w:tcPr>
            <w:tcW w:w="1150"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restart"/>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一等建制镇</w:t>
            </w:r>
          </w:p>
          <w:p>
            <w:pPr>
              <w:widowControl/>
              <w:shd w:val="clear" w:color="auto" w:fill="FFFFFF"/>
              <w:spacing w:line="240" w:lineRule="exact"/>
              <w:jc w:val="center"/>
              <w:rPr>
                <w:bCs/>
                <w:kern w:val="0"/>
                <w:szCs w:val="21"/>
              </w:rPr>
            </w:pPr>
            <w:r>
              <w:rPr>
                <w:bCs/>
                <w:kern w:val="0"/>
                <w:szCs w:val="21"/>
              </w:rPr>
              <w:t>（含街道）</w:t>
            </w:r>
          </w:p>
        </w:tc>
        <w:tc>
          <w:tcPr>
            <w:tcW w:w="2553" w:type="dxa"/>
            <w:vMerge w:val="restart"/>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长龙街道、黄花镇（含空港城片区）</w:t>
            </w:r>
          </w:p>
        </w:tc>
        <w:tc>
          <w:tcPr>
            <w:tcW w:w="113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商服</w:t>
            </w:r>
          </w:p>
        </w:tc>
        <w:tc>
          <w:tcPr>
            <w:tcW w:w="127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1650</w:t>
            </w:r>
          </w:p>
        </w:tc>
        <w:tc>
          <w:tcPr>
            <w:tcW w:w="1277"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1280</w:t>
            </w:r>
          </w:p>
        </w:tc>
        <w:tc>
          <w:tcPr>
            <w:tcW w:w="1150"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860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113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住宅</w:t>
            </w:r>
          </w:p>
        </w:tc>
        <w:tc>
          <w:tcPr>
            <w:tcW w:w="127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1550</w:t>
            </w:r>
          </w:p>
        </w:tc>
        <w:tc>
          <w:tcPr>
            <w:tcW w:w="1277"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1130</w:t>
            </w:r>
          </w:p>
        </w:tc>
        <w:tc>
          <w:tcPr>
            <w:tcW w:w="1150"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790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113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工矿仓储</w:t>
            </w:r>
          </w:p>
        </w:tc>
        <w:tc>
          <w:tcPr>
            <w:tcW w:w="127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650</w:t>
            </w:r>
          </w:p>
        </w:tc>
        <w:tc>
          <w:tcPr>
            <w:tcW w:w="1277"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500</w:t>
            </w:r>
          </w:p>
        </w:tc>
        <w:tc>
          <w:tcPr>
            <w:tcW w:w="1150"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restart"/>
            <w:tcBorders>
              <w:top w:val="nil"/>
              <w:left w:val="single" w:color="auto" w:sz="4" w:space="0"/>
              <w:bottom w:val="nil"/>
              <w:right w:val="single" w:color="auto" w:sz="4" w:space="0"/>
            </w:tcBorders>
            <w:vAlign w:val="center"/>
          </w:tcPr>
          <w:p>
            <w:pPr>
              <w:widowControl/>
              <w:shd w:val="clear" w:color="auto" w:fill="FFFFFF"/>
              <w:spacing w:line="240" w:lineRule="exact"/>
              <w:jc w:val="center"/>
              <w:rPr>
                <w:bCs/>
                <w:kern w:val="0"/>
                <w:szCs w:val="21"/>
              </w:rPr>
            </w:pPr>
            <w:r>
              <w:rPr>
                <w:bCs/>
                <w:kern w:val="0"/>
                <w:szCs w:val="21"/>
              </w:rPr>
              <w:t>二等建制镇镇</w:t>
            </w:r>
          </w:p>
        </w:tc>
        <w:tc>
          <w:tcPr>
            <w:tcW w:w="2553" w:type="dxa"/>
            <w:vMerge w:val="restart"/>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安沙镇、春华镇、江背镇</w:t>
            </w:r>
          </w:p>
        </w:tc>
        <w:tc>
          <w:tcPr>
            <w:tcW w:w="113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商服</w:t>
            </w:r>
          </w:p>
        </w:tc>
        <w:tc>
          <w:tcPr>
            <w:tcW w:w="127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1360</w:t>
            </w:r>
          </w:p>
        </w:tc>
        <w:tc>
          <w:tcPr>
            <w:tcW w:w="1277"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840</w:t>
            </w:r>
          </w:p>
        </w:tc>
        <w:tc>
          <w:tcPr>
            <w:tcW w:w="1150"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nil"/>
              <w:left w:val="single" w:color="auto" w:sz="4" w:space="0"/>
              <w:bottom w:val="nil"/>
              <w:right w:val="single" w:color="auto" w:sz="4" w:space="0"/>
            </w:tcBorders>
            <w:vAlign w:val="center"/>
          </w:tcPr>
          <w:p>
            <w:pPr>
              <w:widowControl/>
              <w:shd w:val="clear" w:color="auto" w:fill="FFFFFF"/>
              <w:spacing w:line="240" w:lineRule="exact"/>
              <w:jc w:val="center"/>
              <w:rPr>
                <w:bCs/>
                <w:kern w:val="0"/>
                <w:szCs w:val="21"/>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113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住宅</w:t>
            </w:r>
          </w:p>
        </w:tc>
        <w:tc>
          <w:tcPr>
            <w:tcW w:w="127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1150</w:t>
            </w:r>
          </w:p>
        </w:tc>
        <w:tc>
          <w:tcPr>
            <w:tcW w:w="1277"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770</w:t>
            </w:r>
          </w:p>
        </w:tc>
        <w:tc>
          <w:tcPr>
            <w:tcW w:w="1150"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nil"/>
              <w:left w:val="single" w:color="auto" w:sz="4" w:space="0"/>
              <w:bottom w:val="nil"/>
              <w:right w:val="single" w:color="auto" w:sz="4" w:space="0"/>
            </w:tcBorders>
            <w:vAlign w:val="center"/>
          </w:tcPr>
          <w:p>
            <w:pPr>
              <w:widowControl/>
              <w:shd w:val="clear" w:color="auto" w:fill="FFFFFF"/>
              <w:spacing w:line="240" w:lineRule="exact"/>
              <w:jc w:val="center"/>
              <w:rPr>
                <w:bCs/>
                <w:kern w:val="0"/>
                <w:szCs w:val="21"/>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113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工矿仓储</w:t>
            </w:r>
          </w:p>
        </w:tc>
        <w:tc>
          <w:tcPr>
            <w:tcW w:w="127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430</w:t>
            </w:r>
          </w:p>
        </w:tc>
        <w:tc>
          <w:tcPr>
            <w:tcW w:w="1277"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320</w:t>
            </w:r>
          </w:p>
        </w:tc>
        <w:tc>
          <w:tcPr>
            <w:tcW w:w="1150"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restart"/>
            <w:tcBorders>
              <w:top w:val="single" w:color="auto" w:sz="4" w:space="0"/>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三等建制镇</w:t>
            </w:r>
          </w:p>
        </w:tc>
        <w:tc>
          <w:tcPr>
            <w:tcW w:w="2553" w:type="dxa"/>
            <w:vMerge w:val="restart"/>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北山镇、果园镇、路口镇、青山铺镇、金井镇、开慧镇</w:t>
            </w:r>
          </w:p>
        </w:tc>
        <w:tc>
          <w:tcPr>
            <w:tcW w:w="113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商服</w:t>
            </w:r>
          </w:p>
        </w:tc>
        <w:tc>
          <w:tcPr>
            <w:tcW w:w="127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1210</w:t>
            </w:r>
          </w:p>
        </w:tc>
        <w:tc>
          <w:tcPr>
            <w:tcW w:w="1277"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750</w:t>
            </w:r>
          </w:p>
        </w:tc>
        <w:tc>
          <w:tcPr>
            <w:tcW w:w="1150"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113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住宅</w:t>
            </w:r>
          </w:p>
        </w:tc>
        <w:tc>
          <w:tcPr>
            <w:tcW w:w="127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1050</w:t>
            </w:r>
          </w:p>
        </w:tc>
        <w:tc>
          <w:tcPr>
            <w:tcW w:w="1277"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720</w:t>
            </w:r>
          </w:p>
        </w:tc>
        <w:tc>
          <w:tcPr>
            <w:tcW w:w="1150"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113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工矿仓储</w:t>
            </w:r>
          </w:p>
        </w:tc>
        <w:tc>
          <w:tcPr>
            <w:tcW w:w="127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400</w:t>
            </w:r>
          </w:p>
        </w:tc>
        <w:tc>
          <w:tcPr>
            <w:tcW w:w="1277"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280</w:t>
            </w:r>
          </w:p>
        </w:tc>
        <w:tc>
          <w:tcPr>
            <w:tcW w:w="1150"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2553" w:type="dxa"/>
            <w:vMerge w:val="restart"/>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金井镇双江片区、开慧镇白沙片区</w:t>
            </w:r>
          </w:p>
        </w:tc>
        <w:tc>
          <w:tcPr>
            <w:tcW w:w="113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商服</w:t>
            </w:r>
          </w:p>
        </w:tc>
        <w:tc>
          <w:tcPr>
            <w:tcW w:w="127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1100</w:t>
            </w:r>
          </w:p>
        </w:tc>
        <w:tc>
          <w:tcPr>
            <w:tcW w:w="1277"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740</w:t>
            </w:r>
          </w:p>
        </w:tc>
        <w:tc>
          <w:tcPr>
            <w:tcW w:w="1150"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113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住宅</w:t>
            </w:r>
          </w:p>
        </w:tc>
        <w:tc>
          <w:tcPr>
            <w:tcW w:w="127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850</w:t>
            </w:r>
          </w:p>
        </w:tc>
        <w:tc>
          <w:tcPr>
            <w:tcW w:w="1277"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670</w:t>
            </w:r>
          </w:p>
        </w:tc>
        <w:tc>
          <w:tcPr>
            <w:tcW w:w="1150"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113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工矿仓储</w:t>
            </w:r>
          </w:p>
        </w:tc>
        <w:tc>
          <w:tcPr>
            <w:tcW w:w="127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380</w:t>
            </w:r>
          </w:p>
        </w:tc>
        <w:tc>
          <w:tcPr>
            <w:tcW w:w="1277"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260</w:t>
            </w:r>
          </w:p>
        </w:tc>
        <w:tc>
          <w:tcPr>
            <w:tcW w:w="1150"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restart"/>
            <w:tcBorders>
              <w:top w:val="nil"/>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四等建制镇</w:t>
            </w:r>
          </w:p>
        </w:tc>
        <w:tc>
          <w:tcPr>
            <w:tcW w:w="2553" w:type="dxa"/>
            <w:vMerge w:val="restart"/>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福临镇、高桥镇</w:t>
            </w:r>
          </w:p>
        </w:tc>
        <w:tc>
          <w:tcPr>
            <w:tcW w:w="113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商服</w:t>
            </w:r>
          </w:p>
        </w:tc>
        <w:tc>
          <w:tcPr>
            <w:tcW w:w="127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1130</w:t>
            </w:r>
          </w:p>
        </w:tc>
        <w:tc>
          <w:tcPr>
            <w:tcW w:w="1277"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730</w:t>
            </w:r>
          </w:p>
        </w:tc>
        <w:tc>
          <w:tcPr>
            <w:tcW w:w="1150"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nil"/>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Cs w:val="21"/>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113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住宅</w:t>
            </w:r>
          </w:p>
        </w:tc>
        <w:tc>
          <w:tcPr>
            <w:tcW w:w="127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870</w:t>
            </w:r>
          </w:p>
        </w:tc>
        <w:tc>
          <w:tcPr>
            <w:tcW w:w="1277"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650</w:t>
            </w:r>
          </w:p>
        </w:tc>
        <w:tc>
          <w:tcPr>
            <w:tcW w:w="1150"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jc w:val="center"/>
        </w:trPr>
        <w:tc>
          <w:tcPr>
            <w:tcW w:w="1616" w:type="dxa"/>
            <w:vMerge w:val="continue"/>
            <w:tcBorders>
              <w:top w:val="nil"/>
              <w:left w:val="single" w:color="auto" w:sz="4" w:space="0"/>
              <w:bottom w:val="single" w:color="auto" w:sz="4" w:space="0"/>
              <w:right w:val="single" w:color="auto" w:sz="4" w:space="0"/>
            </w:tcBorders>
            <w:vAlign w:val="center"/>
          </w:tcPr>
          <w:p>
            <w:pPr>
              <w:widowControl/>
              <w:shd w:val="clear" w:color="auto" w:fill="FFFFFF"/>
              <w:spacing w:line="240" w:lineRule="exact"/>
              <w:jc w:val="center"/>
              <w:rPr>
                <w:bCs/>
                <w:kern w:val="0"/>
                <w:szCs w:val="21"/>
              </w:rPr>
            </w:pPr>
          </w:p>
        </w:tc>
        <w:tc>
          <w:tcPr>
            <w:tcW w:w="2553" w:type="dxa"/>
            <w:vMerge w:val="continue"/>
            <w:tcBorders>
              <w:top w:val="nil"/>
              <w:left w:val="single" w:color="auto" w:sz="4" w:space="0"/>
              <w:bottom w:val="single" w:color="000000" w:sz="4" w:space="0"/>
              <w:right w:val="single" w:color="auto" w:sz="4" w:space="0"/>
            </w:tcBorders>
            <w:vAlign w:val="center"/>
          </w:tcPr>
          <w:p>
            <w:pPr>
              <w:widowControl/>
              <w:shd w:val="clear" w:color="auto" w:fill="FFFFFF"/>
              <w:spacing w:line="240" w:lineRule="exact"/>
              <w:jc w:val="center"/>
              <w:rPr>
                <w:bCs/>
                <w:kern w:val="0"/>
                <w:szCs w:val="21"/>
              </w:rPr>
            </w:pPr>
          </w:p>
        </w:tc>
        <w:tc>
          <w:tcPr>
            <w:tcW w:w="113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工矿仓储</w:t>
            </w:r>
          </w:p>
        </w:tc>
        <w:tc>
          <w:tcPr>
            <w:tcW w:w="1275"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370</w:t>
            </w:r>
          </w:p>
        </w:tc>
        <w:tc>
          <w:tcPr>
            <w:tcW w:w="1277"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r>
              <w:rPr>
                <w:bCs/>
                <w:kern w:val="0"/>
                <w:szCs w:val="21"/>
              </w:rPr>
              <w:t>260</w:t>
            </w:r>
          </w:p>
        </w:tc>
        <w:tc>
          <w:tcPr>
            <w:tcW w:w="1150" w:type="dxa"/>
            <w:tcBorders>
              <w:top w:val="nil"/>
              <w:left w:val="nil"/>
              <w:bottom w:val="single" w:color="auto" w:sz="4" w:space="0"/>
              <w:right w:val="single" w:color="auto" w:sz="4" w:space="0"/>
            </w:tcBorders>
            <w:vAlign w:val="center"/>
          </w:tcPr>
          <w:p>
            <w:pPr>
              <w:widowControl/>
              <w:shd w:val="clear" w:color="auto" w:fill="FFFFFF"/>
              <w:spacing w:line="240" w:lineRule="exact"/>
              <w:jc w:val="center"/>
              <w:rPr>
                <w:bCs/>
                <w:kern w:val="0"/>
                <w:szCs w:val="21"/>
              </w:rPr>
            </w:pPr>
          </w:p>
        </w:tc>
      </w:tr>
    </w:tbl>
    <w:p>
      <w:pPr>
        <w:widowControl/>
        <w:ind w:firstLine="420" w:firstLineChars="200"/>
        <w:jc w:val="left"/>
        <w:rPr>
          <w:kern w:val="0"/>
          <w:szCs w:val="21"/>
        </w:rPr>
      </w:pPr>
      <w:r>
        <w:rPr>
          <w:kern w:val="0"/>
          <w:szCs w:val="21"/>
        </w:rPr>
        <w:t>备注：各乡镇基准地价更新覆盖范围外的基准地价水平参照该乡镇各用途末级基准地价</w:t>
      </w:r>
      <w:r>
        <w:rPr>
          <w:rFonts w:hint="eastAsia"/>
          <w:kern w:val="0"/>
          <w:szCs w:val="21"/>
          <w:lang w:val="en-US" w:eastAsia="zh-CN"/>
        </w:rPr>
        <w:t>90</w:t>
      </w:r>
      <w:r>
        <w:rPr>
          <w:kern w:val="0"/>
          <w:szCs w:val="21"/>
        </w:rPr>
        <w:t>%实施，基准地价内涵和修正体系参照该乡镇末级标准。</w:t>
      </w:r>
    </w:p>
    <w:p>
      <w:pPr>
        <w:widowControl/>
        <w:ind w:firstLine="420" w:firstLineChars="200"/>
        <w:jc w:val="left"/>
        <w:rPr>
          <w:kern w:val="0"/>
          <w:szCs w:val="21"/>
        </w:rPr>
      </w:pPr>
      <w:r>
        <w:rPr>
          <w:kern w:val="0"/>
          <w:szCs w:val="21"/>
        </w:rPr>
        <w:br w:type="page"/>
      </w:r>
    </w:p>
    <w:p>
      <w:pPr>
        <w:pStyle w:val="26"/>
        <w:tabs>
          <w:tab w:val="right" w:leader="dot" w:pos="8845"/>
        </w:tabs>
        <w:jc w:val="center"/>
        <w:outlineLvl w:val="0"/>
        <w:rPr>
          <w:b w:val="0"/>
          <w:sz w:val="40"/>
        </w:rPr>
      </w:pPr>
      <w:bookmarkStart w:id="1182" w:name="_Toc524956875"/>
      <w:bookmarkStart w:id="1183" w:name="_Toc3613"/>
      <w:bookmarkStart w:id="1184" w:name="_Toc12559"/>
      <w:bookmarkStart w:id="1185" w:name="_Toc23258"/>
      <w:bookmarkStart w:id="1186" w:name="_Toc526952215"/>
      <w:r>
        <w:rPr>
          <w:rFonts w:hint="eastAsia"/>
          <w:sz w:val="40"/>
        </w:rPr>
        <w:t>长沙县</w:t>
      </w:r>
      <w:r>
        <w:rPr>
          <w:sz w:val="40"/>
        </w:rPr>
        <w:t>城区基准地价更新成果图件</w:t>
      </w:r>
      <w:bookmarkEnd w:id="1182"/>
      <w:bookmarkEnd w:id="1183"/>
      <w:bookmarkEnd w:id="1184"/>
      <w:bookmarkEnd w:id="1185"/>
      <w:bookmarkEnd w:id="1186"/>
    </w:p>
    <w:p>
      <w:pPr>
        <w:pStyle w:val="26"/>
        <w:tabs>
          <w:tab w:val="right" w:leader="dot" w:pos="8845"/>
        </w:tabs>
        <w:jc w:val="center"/>
        <w:rPr>
          <w:b w:val="0"/>
          <w:sz w:val="40"/>
        </w:rPr>
      </w:pPr>
      <w:r>
        <w:rPr>
          <w:b w:val="0"/>
          <w:sz w:val="40"/>
        </w:rPr>
        <w:t>目  录</w:t>
      </w:r>
    </w:p>
    <w:p>
      <w:pPr>
        <w:pStyle w:val="18"/>
        <w:tabs>
          <w:tab w:val="right" w:leader="dot" w:pos="8296"/>
        </w:tabs>
        <w:spacing w:line="360" w:lineRule="auto"/>
        <w:rPr>
          <w:rStyle w:val="46"/>
          <w:rFonts w:ascii="宋体" w:hAnsi="宋体"/>
          <w:i w:val="0"/>
          <w:color w:val="000000"/>
          <w:sz w:val="28"/>
          <w:szCs w:val="28"/>
          <w:u w:val="none"/>
        </w:rPr>
      </w:pPr>
      <w:r>
        <w:rPr>
          <w:rStyle w:val="46"/>
          <w:rFonts w:ascii="宋体" w:hAnsi="宋体"/>
          <w:i w:val="0"/>
          <w:color w:val="000000"/>
          <w:sz w:val="28"/>
          <w:szCs w:val="28"/>
          <w:u w:val="none"/>
        </w:rPr>
        <w:t>1、</w:t>
      </w:r>
      <w:r>
        <w:rPr>
          <w:rStyle w:val="46"/>
          <w:rFonts w:hint="eastAsia" w:ascii="宋体" w:hAnsi="宋体"/>
          <w:i w:val="0"/>
          <w:color w:val="000000"/>
          <w:sz w:val="28"/>
          <w:szCs w:val="28"/>
          <w:u w:val="none"/>
        </w:rPr>
        <w:t>长沙县</w:t>
      </w:r>
      <w:r>
        <w:rPr>
          <w:rStyle w:val="46"/>
          <w:rFonts w:ascii="宋体" w:hAnsi="宋体"/>
          <w:i w:val="0"/>
          <w:color w:val="000000"/>
          <w:sz w:val="28"/>
          <w:szCs w:val="28"/>
          <w:u w:val="none"/>
        </w:rPr>
        <w:t>城区商服用地、住宅用地</w:t>
      </w:r>
      <w:r>
        <w:rPr>
          <w:rStyle w:val="46"/>
          <w:rFonts w:hint="eastAsia" w:ascii="宋体" w:hAnsi="宋体"/>
          <w:i w:val="0"/>
          <w:color w:val="000000"/>
          <w:sz w:val="28"/>
          <w:szCs w:val="28"/>
          <w:u w:val="none"/>
        </w:rPr>
        <w:t>、公共管理与公共服务用</w:t>
      </w:r>
      <w:r>
        <w:rPr>
          <w:rStyle w:val="46"/>
          <w:rFonts w:ascii="宋体" w:hAnsi="宋体"/>
          <w:i w:val="0"/>
          <w:color w:val="000000"/>
          <w:sz w:val="28"/>
          <w:szCs w:val="28"/>
          <w:u w:val="none"/>
        </w:rPr>
        <w:t>土地级别与基准地价图</w:t>
      </w:r>
    </w:p>
    <w:p>
      <w:pPr>
        <w:pStyle w:val="18"/>
        <w:tabs>
          <w:tab w:val="right" w:leader="dot" w:pos="8296"/>
        </w:tabs>
        <w:adjustRightInd w:val="0"/>
        <w:snapToGrid w:val="0"/>
        <w:spacing w:line="360" w:lineRule="auto"/>
        <w:rPr>
          <w:rStyle w:val="46"/>
          <w:rFonts w:ascii="宋体" w:hAnsi="宋体"/>
          <w:i w:val="0"/>
          <w:color w:val="000000"/>
          <w:sz w:val="28"/>
          <w:szCs w:val="28"/>
          <w:u w:val="none"/>
        </w:rPr>
      </w:pPr>
      <w:r>
        <w:rPr>
          <w:rStyle w:val="46"/>
          <w:rFonts w:ascii="宋体" w:hAnsi="宋体"/>
          <w:i w:val="0"/>
          <w:color w:val="000000"/>
          <w:sz w:val="28"/>
          <w:szCs w:val="28"/>
          <w:u w:val="none"/>
        </w:rPr>
        <w:t>2、</w:t>
      </w:r>
      <w:r>
        <w:rPr>
          <w:rStyle w:val="46"/>
          <w:rFonts w:hint="eastAsia" w:ascii="宋体" w:hAnsi="宋体"/>
          <w:i w:val="0"/>
          <w:color w:val="000000"/>
          <w:sz w:val="28"/>
          <w:szCs w:val="28"/>
          <w:u w:val="none"/>
        </w:rPr>
        <w:t>长沙县</w:t>
      </w:r>
      <w:r>
        <w:rPr>
          <w:rStyle w:val="46"/>
          <w:rFonts w:ascii="宋体" w:hAnsi="宋体"/>
          <w:i w:val="0"/>
          <w:color w:val="000000"/>
          <w:sz w:val="28"/>
          <w:szCs w:val="28"/>
          <w:u w:val="none"/>
        </w:rPr>
        <w:t>城区工矿仓储用地土地级别与基准地价图</w:t>
      </w:r>
    </w:p>
    <w:p>
      <w:pPr>
        <w:pStyle w:val="18"/>
        <w:tabs>
          <w:tab w:val="right" w:leader="dot" w:pos="8296"/>
        </w:tabs>
        <w:adjustRightInd w:val="0"/>
        <w:snapToGrid w:val="0"/>
        <w:spacing w:line="360" w:lineRule="auto"/>
        <w:rPr>
          <w:rStyle w:val="46"/>
          <w:rFonts w:ascii="宋体" w:hAnsi="宋体"/>
          <w:i w:val="0"/>
          <w:color w:val="000000"/>
          <w:sz w:val="28"/>
          <w:szCs w:val="28"/>
          <w:u w:val="none"/>
        </w:rPr>
      </w:pPr>
      <w:r>
        <w:rPr>
          <w:rStyle w:val="46"/>
          <w:rFonts w:ascii="宋体" w:hAnsi="宋体"/>
          <w:i w:val="0"/>
          <w:color w:val="000000"/>
          <w:sz w:val="28"/>
          <w:szCs w:val="28"/>
          <w:u w:val="none"/>
        </w:rPr>
        <w:t>3、</w:t>
      </w:r>
      <w:r>
        <w:rPr>
          <w:rStyle w:val="46"/>
          <w:rFonts w:hint="eastAsia" w:ascii="宋体" w:hAnsi="宋体"/>
          <w:i w:val="0"/>
          <w:color w:val="000000"/>
          <w:sz w:val="28"/>
          <w:szCs w:val="28"/>
          <w:u w:val="none"/>
        </w:rPr>
        <w:t>长沙县</w:t>
      </w:r>
      <w:r>
        <w:rPr>
          <w:rStyle w:val="46"/>
          <w:rFonts w:ascii="宋体" w:hAnsi="宋体"/>
          <w:i w:val="0"/>
          <w:color w:val="000000"/>
          <w:sz w:val="28"/>
          <w:szCs w:val="28"/>
          <w:u w:val="none"/>
        </w:rPr>
        <w:t>城区商服用地</w:t>
      </w:r>
      <w:r>
        <w:rPr>
          <w:rStyle w:val="46"/>
          <w:rFonts w:hint="eastAsia" w:ascii="宋体" w:hAnsi="宋体"/>
          <w:i w:val="0"/>
          <w:color w:val="000000"/>
          <w:sz w:val="28"/>
          <w:szCs w:val="28"/>
          <w:u w:val="none"/>
        </w:rPr>
        <w:t>、住宅</w:t>
      </w:r>
      <w:r>
        <w:rPr>
          <w:rStyle w:val="46"/>
          <w:rFonts w:hint="eastAsia" w:ascii="宋体" w:hAnsi="宋体"/>
          <w:i w:val="0"/>
          <w:color w:val="000000"/>
          <w:sz w:val="28"/>
          <w:szCs w:val="28"/>
          <w:u w:val="none"/>
          <w:lang w:eastAsia="zh-CN"/>
        </w:rPr>
        <w:t>和公共管理与公共服务</w:t>
      </w:r>
      <w:r>
        <w:rPr>
          <w:rStyle w:val="46"/>
          <w:rFonts w:hint="eastAsia" w:ascii="宋体" w:hAnsi="宋体"/>
          <w:i w:val="0"/>
          <w:color w:val="000000"/>
          <w:sz w:val="28"/>
          <w:szCs w:val="28"/>
          <w:u w:val="none"/>
        </w:rPr>
        <w:t>用地</w:t>
      </w:r>
      <w:r>
        <w:rPr>
          <w:rStyle w:val="46"/>
          <w:rFonts w:ascii="宋体" w:hAnsi="宋体"/>
          <w:i w:val="0"/>
          <w:color w:val="000000"/>
          <w:sz w:val="28"/>
          <w:szCs w:val="28"/>
          <w:u w:val="none"/>
        </w:rPr>
        <w:t>均质区域基准地价图</w:t>
      </w:r>
    </w:p>
    <w:p>
      <w:pPr>
        <w:pStyle w:val="18"/>
        <w:tabs>
          <w:tab w:val="right" w:leader="dot" w:pos="8296"/>
        </w:tabs>
        <w:adjustRightInd w:val="0"/>
        <w:snapToGrid w:val="0"/>
        <w:spacing w:line="360" w:lineRule="auto"/>
        <w:rPr>
          <w:rStyle w:val="46"/>
          <w:rFonts w:hint="eastAsia" w:ascii="宋体" w:hAnsi="宋体" w:eastAsia="宋体"/>
          <w:i w:val="0"/>
          <w:color w:val="000000"/>
          <w:sz w:val="28"/>
          <w:szCs w:val="28"/>
          <w:u w:val="none"/>
          <w:lang w:val="en-US" w:eastAsia="zh-CN"/>
        </w:rPr>
      </w:pPr>
      <w:r>
        <w:rPr>
          <w:rStyle w:val="46"/>
          <w:rFonts w:hint="eastAsia" w:ascii="宋体" w:hAnsi="宋体"/>
          <w:i w:val="0"/>
          <w:color w:val="000000"/>
          <w:sz w:val="28"/>
          <w:szCs w:val="28"/>
          <w:u w:val="none"/>
          <w:lang w:val="en-US" w:eastAsia="zh-CN"/>
        </w:rPr>
        <w:t>4、长沙县城区工矿仓储用地均质区域基准地价图</w:t>
      </w:r>
    </w:p>
    <w:p>
      <w:pPr>
        <w:pStyle w:val="18"/>
        <w:tabs>
          <w:tab w:val="right" w:leader="dot" w:pos="8296"/>
        </w:tabs>
        <w:adjustRightInd w:val="0"/>
        <w:snapToGrid w:val="0"/>
        <w:spacing w:line="360" w:lineRule="auto"/>
        <w:rPr>
          <w:rStyle w:val="46"/>
          <w:rFonts w:ascii="宋体" w:hAnsi="宋体"/>
          <w:i w:val="0"/>
          <w:color w:val="000000"/>
          <w:sz w:val="28"/>
          <w:szCs w:val="28"/>
          <w:u w:val="none"/>
        </w:rPr>
      </w:pPr>
      <w:r>
        <w:rPr>
          <w:rStyle w:val="46"/>
          <w:rFonts w:hint="eastAsia" w:ascii="宋体" w:hAnsi="宋体"/>
          <w:i w:val="0"/>
          <w:color w:val="000000"/>
          <w:sz w:val="28"/>
          <w:szCs w:val="28"/>
          <w:u w:val="none"/>
          <w:lang w:val="en-US" w:eastAsia="zh-CN"/>
        </w:rPr>
        <w:t>5</w:t>
      </w:r>
      <w:r>
        <w:rPr>
          <w:rStyle w:val="46"/>
          <w:rFonts w:ascii="宋体" w:hAnsi="宋体"/>
          <w:i w:val="0"/>
          <w:color w:val="000000"/>
          <w:sz w:val="28"/>
          <w:szCs w:val="28"/>
          <w:u w:val="none"/>
        </w:rPr>
        <w:t>、</w:t>
      </w:r>
      <w:r>
        <w:rPr>
          <w:rStyle w:val="46"/>
          <w:rFonts w:hint="eastAsia" w:ascii="宋体" w:hAnsi="宋体"/>
          <w:i w:val="0"/>
          <w:color w:val="000000"/>
          <w:sz w:val="28"/>
          <w:szCs w:val="28"/>
          <w:u w:val="none"/>
        </w:rPr>
        <w:t>长沙县</w:t>
      </w:r>
      <w:r>
        <w:rPr>
          <w:rStyle w:val="46"/>
          <w:rFonts w:ascii="宋体" w:hAnsi="宋体"/>
          <w:i w:val="0"/>
          <w:color w:val="000000"/>
          <w:sz w:val="28"/>
          <w:szCs w:val="28"/>
          <w:u w:val="none"/>
        </w:rPr>
        <w:t>城区商服用地路线价图</w:t>
      </w:r>
    </w:p>
    <w:sectPr>
      <w:footerReference r:id="rId14" w:type="default"/>
      <w:pgSz w:w="11907" w:h="16840"/>
      <w:pgMar w:top="1361" w:right="1531" w:bottom="1361" w:left="1531"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Tahoma">
    <w:panose1 w:val="020B0604030504040204"/>
    <w:charset w:val="00"/>
    <w:family w:val="auto"/>
    <w:pitch w:val="default"/>
    <w:sig w:usb0="61007A87" w:usb1="80000000" w:usb2="00000008"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0F3C52" w:usb2="00000016" w:usb3="00000000" w:csb0="0004001F" w:csb1="00000000"/>
  </w:font>
  <w:font w:name="Calibri">
    <w:altName w:val="微软雅黑"/>
    <w:panose1 w:val="020F0502020204030204"/>
    <w:charset w:val="00"/>
    <w:family w:val="auto"/>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mbria">
    <w:altName w:val="Palatino Linotype"/>
    <w:panose1 w:val="02040503050406030204"/>
    <w:charset w:val="00"/>
    <w:family w:val="auto"/>
    <w:pitch w:val="default"/>
    <w:sig w:usb0="E00002FF" w:usb1="400004FF" w:usb2="00000000" w:usb3="00000000" w:csb0="2000019F" w:csb1="00000000"/>
  </w:font>
  <w:font w:name="Calibri Light">
    <w:altName w:val="MV Boli"/>
    <w:panose1 w:val="020F0302020204030204"/>
    <w:charset w:val="00"/>
    <w:family w:val="auto"/>
    <w:pitch w:val="default"/>
    <w:sig w:usb0="A00002EF" w:usb1="4000207B" w:usb2="00000000" w:usb3="00000000" w:csb0="2000019F" w:csb1="00000000"/>
  </w:font>
  <w:font w:name="PMingLiU">
    <w:panose1 w:val="02020300000000000000"/>
    <w:charset w:val="88"/>
    <w:family w:val="auto"/>
    <w:pitch w:val="default"/>
    <w:sig w:usb0="00000003" w:usb1="082E0000" w:usb2="00000016" w:usb3="00000000" w:csb0="00100001" w:csb1="00000000"/>
  </w:font>
  <w:font w:name="华文新魏">
    <w:panose1 w:val="02010800040101010101"/>
    <w:charset w:val="86"/>
    <w:family w:val="auto"/>
    <w:pitch w:val="default"/>
    <w:sig w:usb0="00000001" w:usb1="080F0000" w:usb2="00000000" w:usb3="00000000" w:csb0="00040000" w:csb1="00000000"/>
  </w:font>
  <w:font w:name="文鼎粗钢笔行楷">
    <w:altName w:val="宋体"/>
    <w:panose1 w:val="00000000000000000000"/>
    <w:charset w:val="86"/>
    <w:family w:val="auto"/>
    <w:pitch w:val="default"/>
    <w:sig w:usb0="00000000" w:usb1="00000000" w:usb2="00000010" w:usb3="00000000" w:csb0="00040000" w:csb1="00000000"/>
  </w:font>
  <w:font w:name="仿宋">
    <w:altName w:val="仿宋_GB2312"/>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楷体">
    <w:altName w:val="楷体_GB2312"/>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rFonts w:ascii="Times New Roman" w:hAnsi="Times New Roman" w:eastAsia="宋体" w:cs="Times New Roman"/>
        <w:kern w:val="2"/>
        <w:sz w:val="21"/>
        <w:lang w:val="en-US" w:eastAsia="zh-CN" w:bidi="ar-SA"/>
      </w:rPr>
      <w:pict>
        <v:rect id="文本框 137" o:spid="_x0000_s1025" style="position:absolute;left:0;margin-top:0pt;height:144pt;width:144pt;mso-position-horizontal:center;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r>
                  <w:fldChar w:fldCharType="begin"/>
                </w:r>
                <w:r>
                  <w:instrText xml:space="preserve"> PAGE  </w:instrText>
                </w:r>
                <w:r>
                  <w:fldChar w:fldCharType="separate"/>
                </w:r>
                <w:r>
                  <w:t>2</w:t>
                </w:r>
                <w:r>
                  <w:fldChar w:fldCharType="end"/>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4"/>
      <w:framePr w:wrap="around" w:hAnchor="margin" w:vAnchor="text" w:xAlign="center" w:y="1"/>
      <w:rPr>
        <w:rStyle w:val="43"/>
      </w:rPr>
    </w:pPr>
    <w:r>
      <w:fldChar w:fldCharType="begin"/>
    </w:r>
    <w:r>
      <w:rPr>
        <w:rStyle w:val="43"/>
      </w:rPr>
      <w:instrText xml:space="preserve">PAGE  </w:instrText>
    </w:r>
    <w:r>
      <w:fldChar w:fldCharType="separate"/>
    </w:r>
    <w:r>
      <w:fldChar w:fldCharType="end"/>
    </w:r>
  </w:p>
  <w:p>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4"/>
    </w:pPr>
    <w:r>
      <w:rPr>
        <w:rFonts w:ascii="Times New Roman" w:hAnsi="Times New Roman" w:eastAsia="宋体" w:cs="Times New Roman"/>
        <w:kern w:val="2"/>
        <w:sz w:val="18"/>
        <w:lang w:val="en-US" w:eastAsia="zh-CN" w:bidi="ar-SA"/>
      </w:rPr>
      <w:pict>
        <v:rect id="文本框 144" o:spid="_x0000_s1026" style="position:absolute;left:0;margin-top:0pt;height:144pt;width:144pt;mso-position-horizontal:center;mso-position-horizontal-relative:margin;mso-wrap-style:none;rotation:0f;z-index:2516623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4"/>
                </w:pPr>
              </w:p>
            </w:txbxContent>
          </v:textbox>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4"/>
      <w:jc w:val="center"/>
    </w:pPr>
    <w:r>
      <w:rPr>
        <w:rFonts w:ascii="Times New Roman" w:hAnsi="Times New Roman" w:eastAsia="宋体" w:cs="Times New Roman"/>
        <w:kern w:val="2"/>
        <w:sz w:val="18"/>
        <w:lang w:val="en-US" w:eastAsia="zh-CN" w:bidi="ar-SA"/>
      </w:rPr>
      <w:pict>
        <v:rect id="文本框 138" o:spid="_x0000_s1027" style="position:absolute;left:0;margin-top:0pt;height:144pt;width:144pt;mso-position-horizontal:center;mso-position-horizontal-relative:margin;mso-wrap-style:none;rotation:0f;z-index:2516592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4"/>
                  <w:rPr>
                    <w:rStyle w:val="43"/>
                  </w:rPr>
                </w:pPr>
                <w:r>
                  <w:fldChar w:fldCharType="begin"/>
                </w:r>
                <w:r>
                  <w:rPr>
                    <w:rStyle w:val="43"/>
                  </w:rPr>
                  <w:instrText xml:space="preserve">PAGE  </w:instrText>
                </w:r>
                <w:r>
                  <w:fldChar w:fldCharType="separate"/>
                </w:r>
                <w:r>
                  <w:rPr>
                    <w:rStyle w:val="43"/>
                  </w:rPr>
                  <w:t>4</w:t>
                </w:r>
                <w:r>
                  <w:fldChar w:fldCharType="end"/>
                </w:r>
              </w:p>
            </w:txbxContent>
          </v:textbox>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4"/>
      <w:framePr w:wrap="around" w:hAnchor="margin" w:vAnchor="text" w:xAlign="center" w:y="1"/>
      <w:rPr>
        <w:rStyle w:val="43"/>
      </w:rPr>
    </w:pPr>
    <w:r>
      <w:fldChar w:fldCharType="begin"/>
    </w:r>
    <w:r>
      <w:rPr>
        <w:rStyle w:val="43"/>
      </w:rPr>
      <w:instrText xml:space="preserve">PAGE  </w:instrText>
    </w:r>
    <w:r>
      <w:fldChar w:fldCharType="separate"/>
    </w:r>
    <w:r>
      <w:fldChar w:fldCharType="end"/>
    </w:r>
  </w:p>
  <w:p>
    <w:pPr>
      <w:pStyle w:val="24"/>
      <w:ind w:right="360"/>
      <w:jc w:val="center"/>
    </w:pPr>
    <w:r>
      <w:rPr>
        <w:rFonts w:hint="eastAsia"/>
        <w:kern w:val="0"/>
      </w:rPr>
      <w:t xml:space="preserve">第  页 共 </w:t>
    </w:r>
    <w:r>
      <w:rPr>
        <w:kern w:val="0"/>
      </w:rPr>
      <w:fldChar w:fldCharType="begin"/>
    </w:r>
    <w:r>
      <w:rPr>
        <w:kern w:val="0"/>
      </w:rPr>
      <w:instrText xml:space="preserve"> NUMPAGES </w:instrText>
    </w:r>
    <w:r>
      <w:rPr>
        <w:kern w:val="0"/>
      </w:rPr>
      <w:fldChar w:fldCharType="separate"/>
    </w:r>
    <w:r>
      <w:rPr>
        <w:kern w:val="0"/>
      </w:rPr>
      <w:t>255</w:t>
    </w:r>
    <w:r>
      <w:rPr>
        <w:kern w:val="0"/>
      </w:rPr>
      <w:fldChar w:fldCharType="end"/>
    </w:r>
    <w:r>
      <w:rPr>
        <w:rFonts w:hint="eastAsia"/>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4"/>
    </w:pPr>
  </w:p>
  <w:p>
    <w:pPr>
      <w:pStyle w:val="24"/>
    </w:pPr>
    <w:r>
      <w:rPr>
        <w:rFonts w:ascii="Times New Roman" w:hAnsi="Times New Roman" w:eastAsia="宋体" w:cs="Times New Roman"/>
        <w:kern w:val="2"/>
        <w:sz w:val="18"/>
        <w:lang w:val="en-US" w:eastAsia="zh-CN" w:bidi="ar-SA"/>
      </w:rPr>
      <w:pict>
        <v:rect id="文本框 139" o:spid="_x0000_s1028" style="position:absolute;left:0;margin-top:0pt;height:144pt;width:144pt;mso-position-horizontal:center;mso-position-horizontal-relative:margin;mso-wrap-style:none;rotation:0f;z-index:2516602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4"/>
                </w:pPr>
                <w:r>
                  <w:fldChar w:fldCharType="begin"/>
                </w:r>
                <w:r>
                  <w:instrText xml:space="preserve">PAGE   \* MERGEFORMAT</w:instrText>
                </w:r>
                <w:r>
                  <w:fldChar w:fldCharType="separate"/>
                </w:r>
                <w:r>
                  <w:rPr>
                    <w:lang w:val="zh-CN"/>
                  </w:rPr>
                  <w:t>74</w:t>
                </w:r>
                <w:r>
                  <w:fldChar w:fldCharType="end"/>
                </w:r>
              </w:p>
            </w:txbxContent>
          </v:textbox>
        </v:rect>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4"/>
      <w:ind w:right="360"/>
      <w:jc w:val="center"/>
    </w:pPr>
  </w:p>
  <w:p>
    <w:pPr>
      <w:pStyle w:val="24"/>
      <w:ind w:right="360"/>
      <w:jc w:val="center"/>
    </w:pPr>
    <w:r>
      <w:rPr>
        <w:rFonts w:ascii="Times New Roman" w:hAnsi="Times New Roman" w:eastAsia="宋体" w:cs="Times New Roman"/>
        <w:kern w:val="2"/>
        <w:sz w:val="18"/>
        <w:lang w:val="en-US" w:eastAsia="zh-CN" w:bidi="ar-SA"/>
      </w:rPr>
      <w:pict>
        <v:rect id="文本框 140" o:spid="_x0000_s1029" style="position:absolute;left:0;margin-top:0pt;height:144pt;width:144pt;mso-position-horizontal:center;mso-position-horizontal-relative:margin;mso-wrap-style:none;rotation:0f;z-index:2516613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4"/>
                  <w:rPr>
                    <w:rStyle w:val="43"/>
                  </w:rPr>
                </w:pPr>
                <w:r>
                  <w:fldChar w:fldCharType="begin"/>
                </w:r>
                <w:r>
                  <w:rPr>
                    <w:rStyle w:val="43"/>
                  </w:rPr>
                  <w:instrText xml:space="preserve">PAGE  </w:instrText>
                </w:r>
                <w:r>
                  <w:fldChar w:fldCharType="separate"/>
                </w:r>
                <w:r>
                  <w:rPr>
                    <w:rStyle w:val="43"/>
                  </w:rPr>
                  <w:t>277</w:t>
                </w:r>
                <w:r>
                  <w:fldChar w:fldCharType="end"/>
                </w:r>
              </w:p>
            </w:txbxContent>
          </v:textbox>
        </v:rect>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4"/>
      <w:ind w:right="360"/>
      <w:jc w:val="center"/>
    </w:pPr>
    <w:r>
      <w:rPr>
        <w:rFonts w:ascii="Times New Roman" w:hAnsi="Times New Roman" w:eastAsia="宋体" w:cs="Times New Roman"/>
        <w:kern w:val="2"/>
        <w:sz w:val="18"/>
        <w:lang w:val="en-US" w:eastAsia="zh-CN" w:bidi="ar-SA"/>
      </w:rPr>
      <w:pict>
        <v:rect id="文本框 151" o:spid="_x0000_s1030" style="position:absolute;left:0;margin-top:0pt;height:144pt;width:144pt;mso-position-horizontal:center;mso-position-horizontal-relative:margin;mso-wrap-style:none;rotation:0f;z-index:2516633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4"/>
                </w:pPr>
                <w:r>
                  <w:rPr>
                    <w:rFonts w:hint="eastAsia"/>
                  </w:rPr>
                  <w:fldChar w:fldCharType="begin"/>
                </w:r>
                <w:r>
                  <w:rPr>
                    <w:rFonts w:hint="eastAsia"/>
                  </w:rPr>
                  <w:instrText xml:space="preserve"> PAGE  \* MERGEFORMAT </w:instrText>
                </w:r>
                <w:r>
                  <w:rPr>
                    <w:rFonts w:hint="eastAsia"/>
                  </w:rPr>
                  <w:fldChar w:fldCharType="separate"/>
                </w:r>
                <w:r>
                  <w:t>302</w:t>
                </w:r>
                <w:r>
                  <w:rPr>
                    <w:rFonts w:hint="eastAsia"/>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5"/>
      <w:jc w:val="both"/>
    </w:pPr>
    <w:r>
      <w:rPr>
        <w:rFonts w:hint="eastAsia"/>
      </w:rPr>
      <w:t>湘潭市地价动态监测项目                                                              技术报告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5"/>
    </w:pPr>
    <w:r>
      <w:rPr>
        <w:rFonts w:hint="eastAsia"/>
      </w:rPr>
      <w:t>长沙县城镇基准地价更新技术报告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5"/>
    </w:pPr>
    <w:r>
      <w:rPr>
        <w:rFonts w:hint="eastAsia"/>
      </w:rPr>
      <w:t>长沙县城镇基准地价更新技术报告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810377087">
    <w:nsid w:val="E31DBD7F"/>
    <w:multiLevelType w:val="singleLevel"/>
    <w:tmpl w:val="E31DBD7F"/>
    <w:lvl w:ilvl="0" w:tentative="1">
      <w:start w:val="8"/>
      <w:numFmt w:val="decimal"/>
      <w:suff w:val="nothing"/>
      <w:lvlText w:val="（%1）"/>
      <w:lvlJc w:val="left"/>
    </w:lvl>
  </w:abstractNum>
  <w:abstractNum w:abstractNumId="4025992454">
    <w:nsid w:val="EFF7C506"/>
    <w:multiLevelType w:val="singleLevel"/>
    <w:tmpl w:val="EFF7C506"/>
    <w:lvl w:ilvl="0" w:tentative="1">
      <w:start w:val="7"/>
      <w:numFmt w:val="decimal"/>
      <w:suff w:val="nothing"/>
      <w:lvlText w:val="%1、"/>
      <w:lvlJc w:val="left"/>
    </w:lvl>
  </w:abstractNum>
  <w:abstractNum w:abstractNumId="274849954">
    <w:nsid w:val="1061E0A2"/>
    <w:multiLevelType w:val="singleLevel"/>
    <w:tmpl w:val="1061E0A2"/>
    <w:lvl w:ilvl="0" w:tentative="1">
      <w:start w:val="6"/>
      <w:numFmt w:val="decimal"/>
      <w:suff w:val="nothing"/>
      <w:lvlText w:val="%1、"/>
      <w:lvlJc w:val="left"/>
    </w:lvl>
  </w:abstractNum>
  <w:abstractNum w:abstractNumId="336716009">
    <w:nsid w:val="1411E0E9"/>
    <w:multiLevelType w:val="singleLevel"/>
    <w:tmpl w:val="1411E0E9"/>
    <w:lvl w:ilvl="0" w:tentative="1">
      <w:start w:val="2"/>
      <w:numFmt w:val="decimal"/>
      <w:suff w:val="nothing"/>
      <w:lvlText w:val="%1、"/>
      <w:lvlJc w:val="left"/>
    </w:lvl>
  </w:abstractNum>
  <w:abstractNum w:abstractNumId="381262676">
    <w:nsid w:val="16B99B54"/>
    <w:multiLevelType w:val="singleLevel"/>
    <w:tmpl w:val="16B99B54"/>
    <w:lvl w:ilvl="0" w:tentative="1">
      <w:start w:val="3"/>
      <w:numFmt w:val="decimal"/>
      <w:suff w:val="nothing"/>
      <w:lvlText w:val="（%1）"/>
      <w:lvlJc w:val="left"/>
    </w:lvl>
  </w:abstractNum>
  <w:abstractNum w:abstractNumId="867820067">
    <w:nsid w:val="33B9E223"/>
    <w:multiLevelType w:val="singleLevel"/>
    <w:tmpl w:val="33B9E223"/>
    <w:lvl w:ilvl="0" w:tentative="1">
      <w:start w:val="2"/>
      <w:numFmt w:val="decimal"/>
      <w:suff w:val="nothing"/>
      <w:lvlText w:val="%1、"/>
      <w:lvlJc w:val="left"/>
    </w:lvl>
  </w:abstractNum>
  <w:abstractNum w:abstractNumId="1373548716">
    <w:nsid w:val="51DEB0AC"/>
    <w:multiLevelType w:val="singleLevel"/>
    <w:tmpl w:val="51DEB0AC"/>
    <w:lvl w:ilvl="0" w:tentative="1">
      <w:start w:val="1"/>
      <w:numFmt w:val="decimalEnclosedCircleChinese"/>
      <w:suff w:val="space"/>
      <w:lvlText w:val="%1"/>
      <w:lvlJc w:val="left"/>
      <w:rPr>
        <w:rFonts w:hint="eastAsia"/>
      </w:rPr>
    </w:lvl>
  </w:abstractNum>
  <w:num w:numId="1">
    <w:abstractNumId w:val="274849954"/>
  </w:num>
  <w:num w:numId="2">
    <w:abstractNumId w:val="336716009"/>
  </w:num>
  <w:num w:numId="3">
    <w:abstractNumId w:val="4025992454"/>
  </w:num>
  <w:num w:numId="4">
    <w:abstractNumId w:val="3810377087"/>
  </w:num>
  <w:num w:numId="5">
    <w:abstractNumId w:val="867820067"/>
  </w:num>
  <w:num w:numId="6">
    <w:abstractNumId w:val="1373548716"/>
  </w:num>
  <w:num w:numId="7">
    <w:abstractNumId w:val="3812626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compat>
    <w:spaceForUL/>
    <w:balanceSingleByteDoubleByteWidth/>
    <w:doNotLeaveBackslashAlone/>
    <w:ulTrailSpace/>
    <w:doNotExpandShiftReturn/>
    <w:doNotWrapTextWithPunct/>
    <w:doNotUseEastAsianBreakRules/>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annotation subject"/>
    <w:lsdException w:qFormat="1" w:unhideWhenUsed="0" w:uiPriority="99" w:semiHidden="0" w:name="Balloon Text"/>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53"/>
    <w:qFormat/>
    <w:uiPriority w:val="99"/>
    <w:pPr>
      <w:keepNext/>
      <w:adjustRightInd w:val="0"/>
      <w:spacing w:line="560" w:lineRule="exact"/>
      <w:ind w:firstLine="640" w:firstLineChars="200"/>
      <w:outlineLvl w:val="0"/>
    </w:pPr>
    <w:rPr>
      <w:rFonts w:ascii="仿宋_GB2312" w:eastAsia="仿宋_GB2312"/>
      <w:sz w:val="32"/>
    </w:rPr>
  </w:style>
  <w:style w:type="paragraph" w:styleId="3">
    <w:name w:val="heading 2"/>
    <w:basedOn w:val="1"/>
    <w:next w:val="1"/>
    <w:link w:val="156"/>
    <w:qFormat/>
    <w:uiPriority w:val="99"/>
    <w:pPr>
      <w:keepNext/>
      <w:outlineLvl w:val="1"/>
    </w:pPr>
    <w:rPr>
      <w:b/>
      <w:sz w:val="24"/>
    </w:rPr>
  </w:style>
  <w:style w:type="paragraph" w:styleId="4">
    <w:name w:val="heading 3"/>
    <w:basedOn w:val="1"/>
    <w:next w:val="1"/>
    <w:link w:val="155"/>
    <w:qFormat/>
    <w:uiPriority w:val="99"/>
    <w:pPr>
      <w:keepNext/>
      <w:keepLines/>
      <w:spacing w:before="260" w:after="260" w:line="413" w:lineRule="auto"/>
      <w:outlineLvl w:val="2"/>
    </w:pPr>
    <w:rPr>
      <w:b/>
      <w:sz w:val="32"/>
    </w:rPr>
  </w:style>
  <w:style w:type="paragraph" w:styleId="5">
    <w:name w:val="heading 4"/>
    <w:basedOn w:val="1"/>
    <w:next w:val="1"/>
    <w:link w:val="173"/>
    <w:qFormat/>
    <w:uiPriority w:val="99"/>
    <w:pPr>
      <w:keepNext/>
      <w:keepLines/>
      <w:spacing w:before="280" w:after="290" w:line="376" w:lineRule="auto"/>
      <w:outlineLvl w:val="3"/>
    </w:pPr>
    <w:rPr>
      <w:rFonts w:ascii="Cambria" w:hAnsi="Cambria"/>
      <w:b/>
      <w:bCs/>
      <w:sz w:val="28"/>
      <w:szCs w:val="28"/>
    </w:rPr>
  </w:style>
  <w:style w:type="character" w:default="1" w:styleId="41">
    <w:name w:val="Default Paragraph Font"/>
    <w:semiHidden/>
    <w:unhideWhenUsed/>
    <w:qFormat/>
    <w:uiPriority w:val="1"/>
  </w:style>
  <w:style w:type="paragraph" w:styleId="6">
    <w:name w:val="annotation subject"/>
    <w:basedOn w:val="7"/>
    <w:next w:val="7"/>
    <w:link w:val="180"/>
    <w:qFormat/>
    <w:uiPriority w:val="99"/>
    <w:rPr>
      <w:b/>
    </w:rPr>
  </w:style>
  <w:style w:type="paragraph" w:styleId="7">
    <w:name w:val="annotation text"/>
    <w:basedOn w:val="1"/>
    <w:link w:val="174"/>
    <w:qFormat/>
    <w:uiPriority w:val="99"/>
    <w:pPr>
      <w:jc w:val="left"/>
    </w:pPr>
  </w:style>
  <w:style w:type="paragraph" w:styleId="8">
    <w:name w:val="toc 7"/>
    <w:basedOn w:val="1"/>
    <w:next w:val="1"/>
    <w:qFormat/>
    <w:uiPriority w:val="39"/>
    <w:pPr>
      <w:ind w:left="1260"/>
      <w:jc w:val="left"/>
    </w:pPr>
    <w:rPr>
      <w:sz w:val="18"/>
      <w:szCs w:val="18"/>
    </w:rPr>
  </w:style>
  <w:style w:type="paragraph" w:styleId="9">
    <w:name w:val="table of authorities"/>
    <w:basedOn w:val="1"/>
    <w:next w:val="1"/>
    <w:qFormat/>
    <w:uiPriority w:val="99"/>
    <w:pPr>
      <w:ind w:left="420" w:leftChars="200"/>
    </w:pPr>
  </w:style>
  <w:style w:type="paragraph" w:styleId="10">
    <w:name w:val="Normal Indent"/>
    <w:basedOn w:val="1"/>
    <w:link w:val="169"/>
    <w:qFormat/>
    <w:uiPriority w:val="0"/>
    <w:pPr>
      <w:ind w:firstLine="420"/>
    </w:pPr>
  </w:style>
  <w:style w:type="paragraph" w:styleId="11">
    <w:name w:val="caption"/>
    <w:basedOn w:val="1"/>
    <w:next w:val="1"/>
    <w:qFormat/>
    <w:uiPriority w:val="0"/>
    <w:rPr>
      <w:rFonts w:ascii="Calibri Light" w:hAnsi="Calibri Light" w:eastAsia="黑体"/>
      <w:sz w:val="20"/>
    </w:rPr>
  </w:style>
  <w:style w:type="paragraph" w:styleId="12">
    <w:name w:val="Document Map"/>
    <w:basedOn w:val="1"/>
    <w:link w:val="175"/>
    <w:qFormat/>
    <w:uiPriority w:val="99"/>
    <w:pPr>
      <w:shd w:val="clear" w:color="auto" w:fill="000080"/>
    </w:pPr>
  </w:style>
  <w:style w:type="paragraph" w:styleId="13">
    <w:name w:val="toa heading"/>
    <w:basedOn w:val="1"/>
    <w:next w:val="1"/>
    <w:qFormat/>
    <w:uiPriority w:val="99"/>
    <w:pPr>
      <w:spacing w:before="120"/>
    </w:pPr>
    <w:rPr>
      <w:rFonts w:ascii="Arial" w:hAnsi="Arial"/>
      <w:b/>
    </w:rPr>
  </w:style>
  <w:style w:type="paragraph" w:styleId="14">
    <w:name w:val="Body Text 3"/>
    <w:basedOn w:val="1"/>
    <w:link w:val="172"/>
    <w:qFormat/>
    <w:uiPriority w:val="99"/>
    <w:rPr>
      <w:sz w:val="24"/>
    </w:rPr>
  </w:style>
  <w:style w:type="paragraph" w:styleId="15">
    <w:name w:val="Body Text"/>
    <w:basedOn w:val="1"/>
    <w:link w:val="176"/>
    <w:qFormat/>
    <w:uiPriority w:val="0"/>
    <w:rPr>
      <w:sz w:val="28"/>
    </w:rPr>
  </w:style>
  <w:style w:type="paragraph" w:styleId="16">
    <w:name w:val="Body Text Indent"/>
    <w:basedOn w:val="1"/>
    <w:link w:val="193"/>
    <w:qFormat/>
    <w:uiPriority w:val="99"/>
    <w:pPr>
      <w:adjustRightInd w:val="0"/>
      <w:spacing w:line="560" w:lineRule="exact"/>
      <w:ind w:firstLine="640" w:firstLineChars="200"/>
    </w:pPr>
    <w:rPr>
      <w:rFonts w:eastAsia="仿宋_GB2312"/>
      <w:sz w:val="32"/>
    </w:rPr>
  </w:style>
  <w:style w:type="paragraph" w:styleId="17">
    <w:name w:val="toc 5"/>
    <w:basedOn w:val="1"/>
    <w:next w:val="1"/>
    <w:qFormat/>
    <w:uiPriority w:val="39"/>
    <w:pPr>
      <w:ind w:left="840"/>
      <w:jc w:val="left"/>
    </w:pPr>
    <w:rPr>
      <w:sz w:val="18"/>
      <w:szCs w:val="18"/>
    </w:rPr>
  </w:style>
  <w:style w:type="paragraph" w:styleId="18">
    <w:name w:val="toc 3"/>
    <w:basedOn w:val="1"/>
    <w:next w:val="1"/>
    <w:qFormat/>
    <w:uiPriority w:val="39"/>
    <w:pPr>
      <w:ind w:left="420"/>
      <w:jc w:val="left"/>
    </w:pPr>
    <w:rPr>
      <w:i/>
      <w:iCs/>
      <w:sz w:val="20"/>
    </w:rPr>
  </w:style>
  <w:style w:type="paragraph" w:styleId="19">
    <w:name w:val="Plain Text"/>
    <w:basedOn w:val="1"/>
    <w:link w:val="189"/>
    <w:qFormat/>
    <w:uiPriority w:val="99"/>
    <w:rPr>
      <w:rFonts w:ascii="宋体" w:hAnsi="Courier New"/>
    </w:rPr>
  </w:style>
  <w:style w:type="paragraph" w:styleId="20">
    <w:name w:val="toc 8"/>
    <w:basedOn w:val="1"/>
    <w:next w:val="1"/>
    <w:qFormat/>
    <w:uiPriority w:val="39"/>
    <w:pPr>
      <w:ind w:left="1470"/>
      <w:jc w:val="left"/>
    </w:pPr>
    <w:rPr>
      <w:sz w:val="18"/>
      <w:szCs w:val="18"/>
    </w:rPr>
  </w:style>
  <w:style w:type="paragraph" w:styleId="21">
    <w:name w:val="Date"/>
    <w:basedOn w:val="1"/>
    <w:next w:val="1"/>
    <w:link w:val="158"/>
    <w:qFormat/>
    <w:uiPriority w:val="99"/>
    <w:pPr>
      <w:ind w:left="100" w:leftChars="2500"/>
    </w:pPr>
    <w:rPr>
      <w:rFonts w:ascii="宋体" w:hAnsi="宋体"/>
      <w:sz w:val="28"/>
    </w:rPr>
  </w:style>
  <w:style w:type="paragraph" w:styleId="22">
    <w:name w:val="Body Text Indent 2"/>
    <w:basedOn w:val="1"/>
    <w:link w:val="159"/>
    <w:qFormat/>
    <w:uiPriority w:val="0"/>
    <w:pPr>
      <w:spacing w:line="360" w:lineRule="auto"/>
      <w:ind w:firstLine="514"/>
    </w:pPr>
    <w:rPr>
      <w:rFonts w:ascii="宋体" w:hAnsi="宋体"/>
      <w:sz w:val="24"/>
    </w:rPr>
  </w:style>
  <w:style w:type="paragraph" w:styleId="23">
    <w:name w:val="Balloon Text"/>
    <w:basedOn w:val="1"/>
    <w:link w:val="191"/>
    <w:qFormat/>
    <w:uiPriority w:val="99"/>
    <w:rPr>
      <w:sz w:val="18"/>
    </w:rPr>
  </w:style>
  <w:style w:type="paragraph" w:styleId="24">
    <w:name w:val="footer"/>
    <w:basedOn w:val="1"/>
    <w:link w:val="192"/>
    <w:qFormat/>
    <w:uiPriority w:val="99"/>
    <w:pPr>
      <w:tabs>
        <w:tab w:val="center" w:pos="4153"/>
        <w:tab w:val="right" w:pos="8306"/>
      </w:tabs>
      <w:snapToGrid w:val="0"/>
      <w:jc w:val="left"/>
    </w:pPr>
    <w:rPr>
      <w:sz w:val="18"/>
    </w:rPr>
  </w:style>
  <w:style w:type="paragraph" w:styleId="25">
    <w:name w:val="header"/>
    <w:basedOn w:val="1"/>
    <w:link w:val="178"/>
    <w:qFormat/>
    <w:uiPriority w:val="99"/>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before="120" w:after="120"/>
      <w:jc w:val="left"/>
    </w:pPr>
    <w:rPr>
      <w:b/>
      <w:bCs/>
      <w:caps/>
      <w:sz w:val="20"/>
    </w:rPr>
  </w:style>
  <w:style w:type="paragraph" w:styleId="27">
    <w:name w:val="toc 4"/>
    <w:basedOn w:val="1"/>
    <w:next w:val="1"/>
    <w:qFormat/>
    <w:uiPriority w:val="39"/>
    <w:pPr>
      <w:ind w:left="630"/>
      <w:jc w:val="left"/>
    </w:pPr>
    <w:rPr>
      <w:sz w:val="18"/>
      <w:szCs w:val="18"/>
    </w:rPr>
  </w:style>
  <w:style w:type="paragraph" w:styleId="28">
    <w:name w:val="Subtitle"/>
    <w:basedOn w:val="29"/>
    <w:next w:val="1"/>
    <w:link w:val="177"/>
    <w:qFormat/>
    <w:uiPriority w:val="0"/>
    <w:pPr>
      <w:ind w:left="562" w:firstLine="0" w:firstLineChars="0"/>
    </w:pPr>
    <w:rPr>
      <w:rFonts w:eastAsia="黑体"/>
      <w:sz w:val="28"/>
      <w:szCs w:val="28"/>
    </w:rPr>
  </w:style>
  <w:style w:type="paragraph" w:customStyle="1" w:styleId="29">
    <w:name w:val="List Paragraph"/>
    <w:basedOn w:val="1"/>
    <w:qFormat/>
    <w:uiPriority w:val="99"/>
    <w:pPr>
      <w:ind w:firstLine="420" w:firstLineChars="200"/>
    </w:pPr>
    <w:rPr>
      <w:szCs w:val="24"/>
    </w:rPr>
  </w:style>
  <w:style w:type="paragraph" w:styleId="30">
    <w:name w:val="List"/>
    <w:basedOn w:val="1"/>
    <w:qFormat/>
    <w:uiPriority w:val="0"/>
    <w:pPr>
      <w:jc w:val="left"/>
    </w:pPr>
    <w:rPr>
      <w:sz w:val="18"/>
    </w:rPr>
  </w:style>
  <w:style w:type="paragraph" w:styleId="31">
    <w:name w:val="footnote text"/>
    <w:basedOn w:val="1"/>
    <w:link w:val="144"/>
    <w:qFormat/>
    <w:uiPriority w:val="0"/>
    <w:pPr>
      <w:snapToGrid w:val="0"/>
      <w:jc w:val="left"/>
    </w:pPr>
    <w:rPr>
      <w:rFonts w:eastAsia="仿宋_GB2312"/>
      <w:sz w:val="18"/>
      <w:szCs w:val="18"/>
    </w:rPr>
  </w:style>
  <w:style w:type="paragraph" w:styleId="32">
    <w:name w:val="toc 6"/>
    <w:basedOn w:val="1"/>
    <w:next w:val="1"/>
    <w:qFormat/>
    <w:uiPriority w:val="39"/>
    <w:pPr>
      <w:ind w:left="1050"/>
      <w:jc w:val="left"/>
    </w:pPr>
    <w:rPr>
      <w:sz w:val="18"/>
      <w:szCs w:val="18"/>
    </w:rPr>
  </w:style>
  <w:style w:type="paragraph" w:styleId="33">
    <w:name w:val="Body Text Indent 3"/>
    <w:basedOn w:val="1"/>
    <w:link w:val="171"/>
    <w:qFormat/>
    <w:uiPriority w:val="99"/>
    <w:pPr>
      <w:ind w:firstLine="420"/>
    </w:pPr>
    <w:rPr>
      <w:rFonts w:hint="eastAsia" w:ascii="仿宋_GB2312" w:hAnsi="宋体" w:eastAsia="仿宋_GB2312"/>
      <w:sz w:val="28"/>
    </w:rPr>
  </w:style>
  <w:style w:type="paragraph" w:styleId="34">
    <w:name w:val="table of figures"/>
    <w:basedOn w:val="1"/>
    <w:next w:val="1"/>
    <w:qFormat/>
    <w:uiPriority w:val="0"/>
    <w:pPr>
      <w:spacing w:before="120" w:after="120"/>
      <w:ind w:left="840" w:hanging="420"/>
      <w:jc w:val="center"/>
    </w:pPr>
    <w:rPr>
      <w:rFonts w:eastAsia="黑体"/>
    </w:rPr>
  </w:style>
  <w:style w:type="paragraph" w:styleId="35">
    <w:name w:val="toc 2"/>
    <w:basedOn w:val="1"/>
    <w:next w:val="1"/>
    <w:qFormat/>
    <w:uiPriority w:val="39"/>
    <w:pPr>
      <w:ind w:left="210"/>
      <w:jc w:val="left"/>
    </w:pPr>
    <w:rPr>
      <w:smallCaps/>
      <w:sz w:val="20"/>
    </w:rPr>
  </w:style>
  <w:style w:type="paragraph" w:styleId="36">
    <w:name w:val="toc 9"/>
    <w:basedOn w:val="1"/>
    <w:next w:val="1"/>
    <w:qFormat/>
    <w:uiPriority w:val="39"/>
    <w:pPr>
      <w:ind w:left="1680"/>
      <w:jc w:val="left"/>
    </w:pPr>
    <w:rPr>
      <w:sz w:val="18"/>
      <w:szCs w:val="18"/>
    </w:rPr>
  </w:style>
  <w:style w:type="paragraph" w:styleId="37">
    <w:name w:val="Body Text 2"/>
    <w:basedOn w:val="1"/>
    <w:link w:val="154"/>
    <w:qFormat/>
    <w:uiPriority w:val="99"/>
    <w:pPr>
      <w:spacing w:line="360" w:lineRule="exact"/>
    </w:pPr>
    <w:rPr>
      <w:rFonts w:ascii="宋体" w:hAnsi="宋体"/>
      <w:sz w:val="24"/>
    </w:rPr>
  </w:style>
  <w:style w:type="paragraph" w:styleId="38">
    <w:name w:val="HTML Preformatted"/>
    <w:basedOn w:val="1"/>
    <w:link w:val="1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9">
    <w:name w:val="Normal (Web)"/>
    <w:basedOn w:val="1"/>
    <w:qFormat/>
    <w:uiPriority w:val="99"/>
    <w:pPr>
      <w:widowControl/>
      <w:spacing w:before="100" w:beforeAutospacing="1" w:after="100" w:afterAutospacing="1"/>
      <w:jc w:val="left"/>
    </w:pPr>
    <w:rPr>
      <w:rFonts w:ascii="宋体" w:hAnsi="宋体"/>
      <w:kern w:val="0"/>
      <w:sz w:val="24"/>
    </w:rPr>
  </w:style>
  <w:style w:type="paragraph" w:styleId="40">
    <w:name w:val="Title"/>
    <w:basedOn w:val="1"/>
    <w:next w:val="1"/>
    <w:link w:val="168"/>
    <w:qFormat/>
    <w:uiPriority w:val="0"/>
    <w:pPr>
      <w:spacing w:before="240" w:after="60"/>
      <w:jc w:val="center"/>
      <w:outlineLvl w:val="0"/>
    </w:pPr>
    <w:rPr>
      <w:rFonts w:ascii="Cambria" w:hAnsi="Cambria"/>
      <w:b/>
      <w:bCs/>
      <w:sz w:val="32"/>
      <w:szCs w:val="32"/>
    </w:rPr>
  </w:style>
  <w:style w:type="character" w:styleId="42">
    <w:name w:val="Strong"/>
    <w:qFormat/>
    <w:uiPriority w:val="99"/>
    <w:rPr>
      <w:b/>
    </w:rPr>
  </w:style>
  <w:style w:type="character" w:styleId="43">
    <w:name w:val="page number"/>
    <w:basedOn w:val="41"/>
    <w:qFormat/>
    <w:uiPriority w:val="99"/>
    <w:rPr/>
  </w:style>
  <w:style w:type="character" w:styleId="44">
    <w:name w:val="FollowedHyperlink"/>
    <w:qFormat/>
    <w:uiPriority w:val="99"/>
    <w:rPr>
      <w:color w:val="800080"/>
      <w:u w:val="single"/>
    </w:rPr>
  </w:style>
  <w:style w:type="character" w:styleId="45">
    <w:name w:val="Emphasis"/>
    <w:qFormat/>
    <w:uiPriority w:val="99"/>
  </w:style>
  <w:style w:type="character" w:styleId="46">
    <w:name w:val="Hyperlink"/>
    <w:qFormat/>
    <w:uiPriority w:val="99"/>
    <w:rPr>
      <w:color w:val="0000FF"/>
      <w:u w:val="single"/>
    </w:rPr>
  </w:style>
  <w:style w:type="character" w:styleId="47">
    <w:name w:val="annotation reference"/>
    <w:qFormat/>
    <w:uiPriority w:val="99"/>
    <w:rPr>
      <w:sz w:val="21"/>
    </w:rPr>
  </w:style>
  <w:style w:type="character" w:styleId="48">
    <w:name w:val="footnote reference"/>
    <w:qFormat/>
    <w:uiPriority w:val="0"/>
    <w:rPr>
      <w:vertAlign w:val="superscript"/>
    </w:rPr>
  </w:style>
  <w:style w:type="paragraph" w:customStyle="1" w:styleId="49">
    <w:name w:val="正文1"/>
    <w:basedOn w:val="1"/>
    <w:link w:val="183"/>
    <w:qFormat/>
    <w:uiPriority w:val="0"/>
    <w:pPr>
      <w:ind w:firstLine="480" w:firstLineChars="200"/>
    </w:pPr>
    <w:rPr>
      <w:sz w:val="24"/>
    </w:rPr>
  </w:style>
  <w:style w:type="paragraph" w:customStyle="1" w:styleId="50">
    <w:name w:val="我的正文"/>
    <w:basedOn w:val="1"/>
    <w:qFormat/>
    <w:uiPriority w:val="0"/>
    <w:pPr>
      <w:spacing w:line="460" w:lineRule="exact"/>
      <w:ind w:firstLine="562" w:firstLineChars="200"/>
      <w:jc w:val="center"/>
    </w:pPr>
    <w:rPr>
      <w:rFonts w:ascii="仿宋_GB2312" w:hAnsi="宋体" w:eastAsia="仿宋_GB2312" w:cs="宋体"/>
      <w:b/>
      <w:sz w:val="28"/>
    </w:rPr>
  </w:style>
  <w:style w:type="paragraph" w:customStyle="1" w:styleId="5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
    <w:name w:val="xl77"/>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53">
    <w:name w:val="Char Char Char1 Char Char Char Char"/>
    <w:basedOn w:val="1"/>
    <w:qFormat/>
    <w:uiPriority w:val="0"/>
    <w:rPr>
      <w:rFonts w:ascii="宋体" w:hAnsi="宋体" w:cs="Courier New"/>
      <w:sz w:val="32"/>
      <w:szCs w:val="32"/>
    </w:rPr>
  </w:style>
  <w:style w:type="paragraph" w:customStyle="1" w:styleId="54">
    <w:name w:val="xl70"/>
    <w:basedOn w:val="1"/>
    <w:qFormat/>
    <w:uiPriority w:val="99"/>
    <w:pPr>
      <w:widowControl/>
      <w:pBdr>
        <w:top w:val="single" w:color="000000" w:sz="4" w:space="0"/>
      </w:pBdr>
      <w:spacing w:before="100" w:beforeAutospacing="1" w:after="100" w:afterAutospacing="1"/>
      <w:jc w:val="center"/>
    </w:pPr>
    <w:rPr>
      <w:rFonts w:ascii="宋体" w:hAnsi="宋体"/>
      <w:kern w:val="0"/>
    </w:rPr>
  </w:style>
  <w:style w:type="paragraph" w:customStyle="1" w:styleId="55">
    <w:name w:val="xl53"/>
    <w:basedOn w:val="1"/>
    <w:qFormat/>
    <w:uiPriority w:val="99"/>
    <w:pPr>
      <w:widowControl/>
      <w:pBdr>
        <w:left w:val="single" w:color="auto" w:sz="4" w:space="0"/>
        <w:bottom w:val="single" w:color="auto" w:sz="4" w:space="0"/>
      </w:pBdr>
      <w:spacing w:before="100" w:beforeAutospacing="1" w:after="100" w:afterAutospacing="1"/>
      <w:jc w:val="center"/>
    </w:pPr>
    <w:rPr>
      <w:kern w:val="0"/>
    </w:rPr>
  </w:style>
  <w:style w:type="paragraph" w:customStyle="1" w:styleId="56">
    <w:name w:val="_Style 12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7">
    <w:name w:val="Char12"/>
    <w:basedOn w:val="1"/>
    <w:qFormat/>
    <w:uiPriority w:val="0"/>
    <w:pPr>
      <w:spacing w:line="360" w:lineRule="auto"/>
      <w:ind w:firstLine="551" w:firstLineChars="196"/>
    </w:pPr>
    <w:rPr>
      <w:b/>
      <w:sz w:val="28"/>
      <w:szCs w:val="28"/>
    </w:rPr>
  </w:style>
  <w:style w:type="paragraph" w:customStyle="1" w:styleId="58">
    <w:name w:val="Char4"/>
    <w:basedOn w:val="1"/>
    <w:qFormat/>
    <w:uiPriority w:val="0"/>
    <w:rPr>
      <w:rFonts w:ascii="黑体" w:hAnsi="宋体" w:eastAsia="黑体"/>
      <w:kern w:val="44"/>
      <w:sz w:val="30"/>
      <w:szCs w:val="30"/>
    </w:rPr>
  </w:style>
  <w:style w:type="paragraph" w:customStyle="1" w:styleId="59">
    <w:name w:val="xl58"/>
    <w:basedOn w:val="1"/>
    <w:qFormat/>
    <w:uiPriority w:val="99"/>
    <w:pPr>
      <w:widowControl/>
      <w:pBdr>
        <w:top w:val="single" w:color="000000" w:sz="4" w:space="0"/>
        <w:bottom w:val="single" w:color="auto" w:sz="4" w:space="0"/>
      </w:pBdr>
      <w:spacing w:before="100" w:beforeAutospacing="1" w:after="100" w:afterAutospacing="1"/>
      <w:jc w:val="center"/>
    </w:pPr>
    <w:rPr>
      <w:rFonts w:ascii="宋体" w:hAnsi="宋体"/>
      <w:kern w:val="0"/>
    </w:rPr>
  </w:style>
  <w:style w:type="paragraph" w:customStyle="1" w:styleId="60">
    <w:name w:val="Table Paragraph"/>
    <w:basedOn w:val="1"/>
    <w:qFormat/>
    <w:uiPriority w:val="1"/>
    <w:pPr>
      <w:autoSpaceDE w:val="0"/>
      <w:autoSpaceDN w:val="0"/>
      <w:jc w:val="center"/>
    </w:pPr>
    <w:rPr>
      <w:rFonts w:ascii="PMingLiU" w:hAnsi="PMingLiU" w:eastAsia="PMingLiU" w:cs="PMingLiU"/>
      <w:kern w:val="0"/>
      <w:sz w:val="22"/>
      <w:szCs w:val="22"/>
      <w:lang w:eastAsia="en-US"/>
    </w:rPr>
  </w:style>
  <w:style w:type="paragraph" w:customStyle="1" w:styleId="61">
    <w:name w:val="样式7"/>
    <w:basedOn w:val="1"/>
    <w:qFormat/>
    <w:uiPriority w:val="0"/>
    <w:pPr>
      <w:spacing w:line="360" w:lineRule="auto"/>
      <w:ind w:firstLine="567"/>
    </w:pPr>
    <w:rPr>
      <w:rFonts w:ascii="仿宋_GB2312" w:eastAsia="仿宋_GB2312"/>
      <w:sz w:val="28"/>
    </w:rPr>
  </w:style>
  <w:style w:type="paragraph" w:customStyle="1" w:styleId="62">
    <w:name w:val="xl51"/>
    <w:basedOn w:val="1"/>
    <w:qFormat/>
    <w:uiPriority w:val="99"/>
    <w:pPr>
      <w:widowControl/>
      <w:pBdr>
        <w:top w:val="single" w:color="000000" w:sz="4" w:space="0"/>
      </w:pBdr>
      <w:spacing w:before="100" w:beforeAutospacing="1" w:after="100" w:afterAutospacing="1"/>
      <w:jc w:val="center"/>
    </w:pPr>
    <w:rPr>
      <w:kern w:val="0"/>
    </w:rPr>
  </w:style>
  <w:style w:type="paragraph" w:customStyle="1" w:styleId="63">
    <w:name w:val="xl29"/>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kern w:val="0"/>
      <w:sz w:val="24"/>
    </w:rPr>
  </w:style>
  <w:style w:type="paragraph" w:customStyle="1" w:styleId="64">
    <w:name w:val="列出段落2"/>
    <w:basedOn w:val="1"/>
    <w:qFormat/>
    <w:uiPriority w:val="0"/>
    <w:pPr>
      <w:ind w:firstLine="420" w:firstLineChars="200"/>
    </w:pPr>
  </w:style>
  <w:style w:type="paragraph" w:customStyle="1" w:styleId="65">
    <w:name w:val="xl48"/>
    <w:basedOn w:val="1"/>
    <w:qFormat/>
    <w:uiPriority w:val="99"/>
    <w:pPr>
      <w:widowControl/>
      <w:pBdr>
        <w:top w:val="single" w:color="000000" w:sz="4" w:space="0"/>
        <w:bottom w:val="single" w:color="auto" w:sz="4" w:space="0"/>
        <w:right w:val="single" w:color="auto" w:sz="4" w:space="0"/>
      </w:pBdr>
      <w:spacing w:before="100" w:beforeAutospacing="1" w:after="100" w:afterAutospacing="1"/>
      <w:jc w:val="center"/>
    </w:pPr>
    <w:rPr>
      <w:kern w:val="0"/>
    </w:rPr>
  </w:style>
  <w:style w:type="paragraph" w:customStyle="1" w:styleId="66">
    <w:name w:val="列出段落1"/>
    <w:basedOn w:val="1"/>
    <w:qFormat/>
    <w:uiPriority w:val="0"/>
    <w:pPr>
      <w:ind w:firstLine="420" w:firstLineChars="200"/>
    </w:pPr>
  </w:style>
  <w:style w:type="paragraph" w:customStyle="1" w:styleId="67">
    <w:name w:val="报告正文"/>
    <w:basedOn w:val="1"/>
    <w:qFormat/>
    <w:uiPriority w:val="99"/>
    <w:pPr>
      <w:spacing w:line="500" w:lineRule="exact"/>
      <w:ind w:firstLine="567"/>
    </w:pPr>
    <w:rPr>
      <w:rFonts w:ascii="仿宋_GB2312" w:hAnsi="Courier New" w:eastAsia="仿宋_GB2312"/>
      <w:sz w:val="28"/>
    </w:rPr>
  </w:style>
  <w:style w:type="paragraph" w:customStyle="1" w:styleId="68">
    <w:name w:val="xl41"/>
    <w:basedOn w:val="1"/>
    <w:qFormat/>
    <w:uiPriority w:val="99"/>
    <w:pPr>
      <w:widowControl/>
      <w:pBdr>
        <w:left w:val="single" w:color="auto" w:sz="4" w:space="0"/>
        <w:bottom w:val="single" w:color="000000" w:sz="4" w:space="0"/>
        <w:right w:val="single" w:color="auto" w:sz="4" w:space="0"/>
      </w:pBdr>
      <w:spacing w:before="100" w:beforeAutospacing="1" w:after="100" w:afterAutospacing="1"/>
      <w:jc w:val="center"/>
    </w:pPr>
    <w:rPr>
      <w:rFonts w:ascii="宋体" w:hAnsi="宋体"/>
      <w:kern w:val="0"/>
    </w:rPr>
  </w:style>
  <w:style w:type="paragraph" w:customStyle="1" w:styleId="69">
    <w:name w:val="公式编号"/>
    <w:basedOn w:val="10"/>
    <w:qFormat/>
    <w:uiPriority w:val="0"/>
    <w:rPr>
      <w:sz w:val="18"/>
      <w:lang w:val="zh-CN"/>
    </w:rPr>
  </w:style>
  <w:style w:type="paragraph" w:customStyle="1" w:styleId="70">
    <w:name w:val="xl71"/>
    <w:basedOn w:val="1"/>
    <w:qFormat/>
    <w:uiPriority w:val="0"/>
    <w:pPr>
      <w:widowControl/>
      <w:pBdr>
        <w:top w:val="single" w:color="000000" w:sz="4" w:space="0"/>
        <w:right w:val="single" w:color="auto" w:sz="4" w:space="0"/>
      </w:pBdr>
      <w:spacing w:before="100" w:beforeAutospacing="1" w:after="100" w:afterAutospacing="1"/>
      <w:jc w:val="center"/>
    </w:pPr>
    <w:rPr>
      <w:rFonts w:ascii="宋体" w:hAnsi="宋体"/>
      <w:kern w:val="0"/>
    </w:rPr>
  </w:style>
  <w:style w:type="paragraph" w:customStyle="1" w:styleId="71">
    <w:name w:val="xl22"/>
    <w:basedOn w:val="1"/>
    <w:qFormat/>
    <w:uiPriority w:val="99"/>
    <w:pPr>
      <w:widowControl/>
      <w:pBdr>
        <w:bottom w:val="single" w:color="auto" w:sz="4" w:space="0"/>
      </w:pBdr>
      <w:spacing w:before="100" w:beforeAutospacing="1" w:after="100" w:afterAutospacing="1"/>
    </w:pPr>
    <w:rPr>
      <w:rFonts w:ascii="宋体" w:hAnsi="宋体"/>
      <w:kern w:val="0"/>
    </w:rPr>
  </w:style>
  <w:style w:type="paragraph" w:customStyle="1" w:styleId="72">
    <w:name w:val="xl57"/>
    <w:basedOn w:val="1"/>
    <w:qFormat/>
    <w:uiPriority w:val="99"/>
    <w:pPr>
      <w:widowControl/>
      <w:pBdr>
        <w:top w:val="single" w:color="000000" w:sz="4" w:space="0"/>
        <w:left w:val="single" w:color="auto" w:sz="4" w:space="0"/>
        <w:bottom w:val="single" w:color="auto" w:sz="4" w:space="0"/>
      </w:pBdr>
      <w:spacing w:before="100" w:beforeAutospacing="1" w:after="100" w:afterAutospacing="1"/>
      <w:jc w:val="center"/>
    </w:pPr>
    <w:rPr>
      <w:rFonts w:ascii="宋体" w:hAnsi="宋体"/>
      <w:kern w:val="0"/>
    </w:rPr>
  </w:style>
  <w:style w:type="paragraph" w:customStyle="1" w:styleId="73">
    <w:name w:val="xl56"/>
    <w:basedOn w:val="1"/>
    <w:qFormat/>
    <w:uiPriority w:val="99"/>
    <w:pPr>
      <w:widowControl/>
      <w:pBdr>
        <w:bottom w:val="single" w:color="000000" w:sz="4" w:space="0"/>
        <w:right w:val="single" w:color="auto" w:sz="4" w:space="0"/>
      </w:pBdr>
      <w:spacing w:before="100" w:beforeAutospacing="1" w:after="100" w:afterAutospacing="1"/>
      <w:jc w:val="center"/>
    </w:pPr>
    <w:rPr>
      <w:rFonts w:ascii="宋体" w:hAnsi="宋体"/>
      <w:kern w:val="0"/>
    </w:rPr>
  </w:style>
  <w:style w:type="paragraph" w:customStyle="1" w:styleId="74">
    <w:name w:val="xl74"/>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75">
    <w:name w:val="xl27"/>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kern w:val="0"/>
      <w:sz w:val="24"/>
    </w:rPr>
  </w:style>
  <w:style w:type="paragraph" w:customStyle="1" w:styleId="76">
    <w:name w:val="xl34"/>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pPr>
    <w:rPr>
      <w:kern w:val="0"/>
    </w:rPr>
  </w:style>
  <w:style w:type="paragraph" w:customStyle="1" w:styleId="77">
    <w:name w:val="xl7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78">
    <w:name w:val="xl30"/>
    <w:basedOn w:val="1"/>
    <w:qFormat/>
    <w:uiPriority w:val="99"/>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宋体" w:hAnsi="宋体"/>
      <w:kern w:val="0"/>
      <w:sz w:val="24"/>
    </w:rPr>
  </w:style>
  <w:style w:type="paragraph" w:customStyle="1" w:styleId="79">
    <w:name w:val="Char15"/>
    <w:basedOn w:val="1"/>
    <w:qFormat/>
    <w:uiPriority w:val="0"/>
    <w:pPr>
      <w:spacing w:line="360" w:lineRule="auto"/>
      <w:ind w:firstLine="551" w:firstLineChars="196"/>
    </w:pPr>
    <w:rPr>
      <w:b/>
      <w:sz w:val="28"/>
      <w:szCs w:val="28"/>
    </w:rPr>
  </w:style>
  <w:style w:type="paragraph" w:customStyle="1" w:styleId="80">
    <w:name w:val="xl62"/>
    <w:basedOn w:val="1"/>
    <w:qFormat/>
    <w:uiPriority w:val="99"/>
    <w:pPr>
      <w:widowControl/>
      <w:pBdr>
        <w:top w:val="single" w:color="auto" w:sz="4" w:space="0"/>
        <w:bottom w:val="single" w:color="000000" w:sz="4" w:space="0"/>
        <w:right w:val="single" w:color="auto" w:sz="4" w:space="0"/>
      </w:pBdr>
      <w:spacing w:before="100" w:beforeAutospacing="1" w:after="100" w:afterAutospacing="1"/>
      <w:jc w:val="center"/>
    </w:pPr>
    <w:rPr>
      <w:rFonts w:ascii="宋体" w:hAnsi="宋体"/>
      <w:kern w:val="0"/>
    </w:rPr>
  </w:style>
  <w:style w:type="paragraph" w:customStyle="1" w:styleId="81">
    <w:name w:val="xl73"/>
    <w:basedOn w:val="1"/>
    <w:qFormat/>
    <w:uiPriority w:val="0"/>
    <w:pPr>
      <w:widowControl/>
      <w:pBdr>
        <w:top w:val="single" w:color="000000" w:sz="4" w:space="0"/>
        <w:bottom w:val="single" w:color="000000" w:sz="4" w:space="0"/>
      </w:pBdr>
      <w:spacing w:before="100" w:beforeAutospacing="1" w:after="100" w:afterAutospacing="1"/>
      <w:jc w:val="center"/>
    </w:pPr>
    <w:rPr>
      <w:kern w:val="0"/>
    </w:rPr>
  </w:style>
  <w:style w:type="paragraph" w:customStyle="1" w:styleId="82">
    <w:name w:val="font6"/>
    <w:basedOn w:val="1"/>
    <w:qFormat/>
    <w:uiPriority w:val="99"/>
    <w:pPr>
      <w:widowControl/>
      <w:spacing w:before="100" w:beforeAutospacing="1" w:after="100" w:afterAutospacing="1"/>
      <w:jc w:val="left"/>
    </w:pPr>
    <w:rPr>
      <w:rFonts w:hint="eastAsia" w:ascii="宋体" w:hAnsi="宋体"/>
      <w:kern w:val="0"/>
      <w:sz w:val="18"/>
    </w:rPr>
  </w:style>
  <w:style w:type="paragraph" w:customStyle="1" w:styleId="83">
    <w:name w:val="xl38"/>
    <w:basedOn w:val="1"/>
    <w:qFormat/>
    <w:uiPriority w:val="99"/>
    <w:pPr>
      <w:widowControl/>
      <w:pBdr>
        <w:left w:val="single" w:color="auto" w:sz="4" w:space="0"/>
      </w:pBdr>
      <w:spacing w:before="100" w:beforeAutospacing="1" w:after="100" w:afterAutospacing="1"/>
      <w:jc w:val="center"/>
    </w:pPr>
    <w:rPr>
      <w:kern w:val="0"/>
    </w:rPr>
  </w:style>
  <w:style w:type="paragraph" w:customStyle="1" w:styleId="84">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85">
    <w:name w:val="xl45"/>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rPr>
  </w:style>
  <w:style w:type="paragraph" w:customStyle="1" w:styleId="86">
    <w:name w:val="xl47"/>
    <w:basedOn w:val="1"/>
    <w:qFormat/>
    <w:uiPriority w:val="99"/>
    <w:pPr>
      <w:widowControl/>
      <w:pBdr>
        <w:top w:val="single" w:color="000000" w:sz="4" w:space="0"/>
        <w:bottom w:val="single" w:color="auto" w:sz="4" w:space="0"/>
      </w:pBdr>
      <w:spacing w:before="100" w:beforeAutospacing="1" w:after="100" w:afterAutospacing="1"/>
      <w:jc w:val="center"/>
    </w:pPr>
    <w:rPr>
      <w:kern w:val="0"/>
    </w:rPr>
  </w:style>
  <w:style w:type="paragraph" w:customStyle="1" w:styleId="87">
    <w:name w:val="xl55"/>
    <w:basedOn w:val="1"/>
    <w:qFormat/>
    <w:uiPriority w:val="99"/>
    <w:pPr>
      <w:widowControl/>
      <w:pBdr>
        <w:bottom w:val="single" w:color="auto" w:sz="4" w:space="0"/>
        <w:right w:val="single" w:color="auto" w:sz="4" w:space="0"/>
      </w:pBdr>
      <w:spacing w:before="100" w:beforeAutospacing="1" w:after="100" w:afterAutospacing="1"/>
      <w:jc w:val="center"/>
    </w:pPr>
    <w:rPr>
      <w:kern w:val="0"/>
    </w:rPr>
  </w:style>
  <w:style w:type="paragraph" w:customStyle="1" w:styleId="88">
    <w:name w:val="Char5"/>
    <w:basedOn w:val="1"/>
    <w:qFormat/>
    <w:uiPriority w:val="0"/>
    <w:rPr>
      <w:rFonts w:ascii="黑体" w:hAnsi="宋体" w:eastAsia="黑体"/>
      <w:kern w:val="44"/>
      <w:sz w:val="30"/>
      <w:szCs w:val="30"/>
    </w:rPr>
  </w:style>
  <w:style w:type="paragraph" w:customStyle="1" w:styleId="89">
    <w:name w:val="xl54"/>
    <w:basedOn w:val="1"/>
    <w:qFormat/>
    <w:uiPriority w:val="99"/>
    <w:pPr>
      <w:widowControl/>
      <w:pBdr>
        <w:bottom w:val="single" w:color="auto" w:sz="4" w:space="0"/>
      </w:pBdr>
      <w:spacing w:before="100" w:beforeAutospacing="1" w:after="100" w:afterAutospacing="1"/>
      <w:jc w:val="center"/>
    </w:pPr>
    <w:rPr>
      <w:kern w:val="0"/>
    </w:rPr>
  </w:style>
  <w:style w:type="paragraph" w:customStyle="1" w:styleId="90">
    <w:name w:val="_Style 14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1">
    <w:name w:val="xl63"/>
    <w:basedOn w:val="1"/>
    <w:qFormat/>
    <w:uiPriority w:val="99"/>
    <w:pPr>
      <w:widowControl/>
      <w:pBdr>
        <w:top w:val="single" w:color="auto" w:sz="4" w:space="0"/>
        <w:left w:val="single" w:color="auto" w:sz="4" w:space="0"/>
        <w:bottom w:val="single" w:color="000000" w:sz="4" w:space="0"/>
      </w:pBdr>
      <w:spacing w:before="100" w:beforeAutospacing="1" w:after="100" w:afterAutospacing="1"/>
      <w:jc w:val="center"/>
    </w:pPr>
    <w:rPr>
      <w:kern w:val="0"/>
    </w:rPr>
  </w:style>
  <w:style w:type="paragraph" w:customStyle="1" w:styleId="92">
    <w:name w:val="xl60"/>
    <w:basedOn w:val="1"/>
    <w:qFormat/>
    <w:uiPriority w:val="99"/>
    <w:pPr>
      <w:widowControl/>
      <w:pBdr>
        <w:top w:val="single" w:color="auto" w:sz="4" w:space="0"/>
        <w:left w:val="single" w:color="auto" w:sz="4" w:space="0"/>
        <w:bottom w:val="single" w:color="000000" w:sz="4" w:space="0"/>
      </w:pBdr>
      <w:spacing w:before="100" w:beforeAutospacing="1" w:after="100" w:afterAutospacing="1"/>
      <w:jc w:val="center"/>
    </w:pPr>
    <w:rPr>
      <w:rFonts w:ascii="宋体" w:hAnsi="宋体"/>
      <w:kern w:val="0"/>
    </w:rPr>
  </w:style>
  <w:style w:type="paragraph" w:customStyle="1" w:styleId="93">
    <w:name w:val="Char Char1 Char Char Char Char Char Char Char Char Char Char"/>
    <w:basedOn w:val="1"/>
    <w:qFormat/>
    <w:uiPriority w:val="0"/>
    <w:rPr>
      <w:rFonts w:ascii="Tahoma" w:hAnsi="Tahoma"/>
      <w:sz w:val="24"/>
    </w:rPr>
  </w:style>
  <w:style w:type="paragraph" w:customStyle="1" w:styleId="94">
    <w:name w:val="xl28"/>
    <w:basedOn w:val="1"/>
    <w:qFormat/>
    <w:uiPriority w:val="99"/>
    <w:pPr>
      <w:widowControl/>
      <w:pBdr>
        <w:top w:val="single" w:color="auto" w:sz="8" w:space="0"/>
        <w:left w:val="single" w:color="auto" w:sz="4" w:space="0"/>
        <w:bottom w:val="single" w:color="auto" w:sz="4" w:space="0"/>
        <w:right w:val="single" w:color="auto" w:sz="8" w:space="0"/>
      </w:pBdr>
      <w:spacing w:before="100" w:beforeAutospacing="1" w:after="100" w:afterAutospacing="1"/>
      <w:jc w:val="left"/>
    </w:pPr>
    <w:rPr>
      <w:rFonts w:ascii="宋体" w:hAnsi="宋体"/>
      <w:kern w:val="0"/>
      <w:sz w:val="24"/>
    </w:rPr>
  </w:style>
  <w:style w:type="paragraph" w:customStyle="1" w:styleId="95">
    <w:name w:val="xl40"/>
    <w:basedOn w:val="1"/>
    <w:qFormat/>
    <w:uiPriority w:val="99"/>
    <w:pPr>
      <w:widowControl/>
      <w:pBdr>
        <w:right w:val="single" w:color="auto" w:sz="4" w:space="0"/>
      </w:pBdr>
      <w:spacing w:before="100" w:beforeAutospacing="1" w:after="100" w:afterAutospacing="1"/>
      <w:jc w:val="center"/>
    </w:pPr>
    <w:rPr>
      <w:kern w:val="0"/>
    </w:rPr>
  </w:style>
  <w:style w:type="paragraph" w:customStyle="1" w:styleId="96">
    <w:name w:val="xl67"/>
    <w:basedOn w:val="1"/>
    <w:qFormat/>
    <w:uiPriority w:val="99"/>
    <w:pPr>
      <w:widowControl/>
      <w:pBdr>
        <w:top w:val="single" w:color="000000" w:sz="4" w:space="0"/>
        <w:bottom w:val="single" w:color="000000" w:sz="4" w:space="0"/>
      </w:pBdr>
      <w:spacing w:before="100" w:beforeAutospacing="1" w:after="100" w:afterAutospacing="1"/>
      <w:jc w:val="center"/>
    </w:pPr>
    <w:rPr>
      <w:rFonts w:ascii="宋体" w:hAnsi="宋体"/>
      <w:kern w:val="0"/>
    </w:rPr>
  </w:style>
  <w:style w:type="paragraph" w:customStyle="1" w:styleId="97">
    <w:name w:val="xl24"/>
    <w:basedOn w:val="1"/>
    <w:qFormat/>
    <w:uiPriority w:val="99"/>
    <w:pPr>
      <w:widowControl/>
      <w:pBdr>
        <w:top w:val="single" w:color="auto" w:sz="8" w:space="0"/>
        <w:left w:val="single" w:color="auto" w:sz="8"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8">
    <w:name w:val="xl33"/>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kern w:val="0"/>
    </w:rPr>
  </w:style>
  <w:style w:type="paragraph" w:customStyle="1" w:styleId="99">
    <w:name w:val="xl43"/>
    <w:basedOn w:val="1"/>
    <w:qFormat/>
    <w:uiPriority w:val="99"/>
    <w:pPr>
      <w:widowControl/>
      <w:pBdr>
        <w:bottom w:val="single" w:color="000000" w:sz="4" w:space="0"/>
      </w:pBdr>
      <w:spacing w:before="100" w:beforeAutospacing="1" w:after="100" w:afterAutospacing="1"/>
      <w:jc w:val="center"/>
    </w:pPr>
    <w:rPr>
      <w:kern w:val="0"/>
    </w:rPr>
  </w:style>
  <w:style w:type="paragraph" w:customStyle="1" w:styleId="100">
    <w:name w:val="xl72"/>
    <w:basedOn w:val="1"/>
    <w:qFormat/>
    <w:uiPriority w:val="0"/>
    <w:pPr>
      <w:widowControl/>
      <w:pBdr>
        <w:top w:val="single" w:color="000000" w:sz="4" w:space="0"/>
        <w:left w:val="single" w:color="auto" w:sz="4" w:space="0"/>
        <w:bottom w:val="single" w:color="000000" w:sz="4" w:space="0"/>
      </w:pBdr>
      <w:spacing w:before="100" w:beforeAutospacing="1" w:after="100" w:afterAutospacing="1"/>
      <w:jc w:val="center"/>
    </w:pPr>
    <w:rPr>
      <w:kern w:val="0"/>
    </w:rPr>
  </w:style>
  <w:style w:type="paragraph" w:customStyle="1" w:styleId="101">
    <w:name w:val="正文2 Char"/>
    <w:basedOn w:val="1"/>
    <w:qFormat/>
    <w:uiPriority w:val="99"/>
    <w:pPr>
      <w:spacing w:line="360" w:lineRule="auto"/>
      <w:ind w:firstLine="520" w:firstLineChars="200"/>
    </w:pPr>
    <w:rPr>
      <w:rFonts w:ascii="宋体" w:hAnsi="宋体"/>
      <w:sz w:val="26"/>
      <w:szCs w:val="26"/>
    </w:rPr>
  </w:style>
  <w:style w:type="paragraph" w:customStyle="1" w:styleId="102">
    <w:name w:val="xl25"/>
    <w:basedOn w:val="1"/>
    <w:qFormat/>
    <w:uiPriority w:val="99"/>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03">
    <w:name w:val="xl76"/>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04">
    <w:name w:val="xl50"/>
    <w:basedOn w:val="1"/>
    <w:qFormat/>
    <w:uiPriority w:val="99"/>
    <w:pPr>
      <w:widowControl/>
      <w:pBdr>
        <w:top w:val="single" w:color="000000" w:sz="4" w:space="0"/>
        <w:left w:val="single" w:color="auto" w:sz="4" w:space="0"/>
      </w:pBdr>
      <w:spacing w:before="100" w:beforeAutospacing="1" w:after="100" w:afterAutospacing="1"/>
      <w:jc w:val="center"/>
    </w:pPr>
    <w:rPr>
      <w:kern w:val="0"/>
    </w:rPr>
  </w:style>
  <w:style w:type="paragraph" w:customStyle="1" w:styleId="105">
    <w:name w:val="xl42"/>
    <w:basedOn w:val="1"/>
    <w:qFormat/>
    <w:uiPriority w:val="99"/>
    <w:pPr>
      <w:widowControl/>
      <w:pBdr>
        <w:left w:val="single" w:color="auto" w:sz="4" w:space="0"/>
        <w:bottom w:val="single" w:color="000000" w:sz="4" w:space="0"/>
      </w:pBdr>
      <w:spacing w:before="100" w:beforeAutospacing="1" w:after="100" w:afterAutospacing="1"/>
      <w:jc w:val="center"/>
    </w:pPr>
    <w:rPr>
      <w:kern w:val="0"/>
    </w:rPr>
  </w:style>
  <w:style w:type="paragraph" w:customStyle="1" w:styleId="106">
    <w:name w:val="xl65"/>
    <w:basedOn w:val="1"/>
    <w:qFormat/>
    <w:uiPriority w:val="99"/>
    <w:pPr>
      <w:widowControl/>
      <w:pBdr>
        <w:top w:val="single" w:color="auto" w:sz="4" w:space="0"/>
        <w:bottom w:val="single" w:color="000000" w:sz="4" w:space="0"/>
        <w:right w:val="single" w:color="auto" w:sz="4" w:space="0"/>
      </w:pBdr>
      <w:spacing w:before="100" w:beforeAutospacing="1" w:after="100" w:afterAutospacing="1"/>
      <w:jc w:val="center"/>
    </w:pPr>
    <w:rPr>
      <w:kern w:val="0"/>
    </w:rPr>
  </w:style>
  <w:style w:type="paragraph" w:customStyle="1" w:styleId="107">
    <w:name w:val="五级标题"/>
    <w:basedOn w:val="1"/>
    <w:qFormat/>
    <w:uiPriority w:val="0"/>
    <w:pPr>
      <w:ind w:firstLine="200" w:firstLineChars="200"/>
      <w:jc w:val="left"/>
    </w:pPr>
    <w:rPr>
      <w:rFonts w:ascii="黑体" w:eastAsia="仿宋_GB2312"/>
      <w:sz w:val="28"/>
      <w:szCs w:val="44"/>
    </w:rPr>
  </w:style>
  <w:style w:type="paragraph" w:customStyle="1" w:styleId="108">
    <w:name w:val="xl59"/>
    <w:basedOn w:val="1"/>
    <w:qFormat/>
    <w:uiPriority w:val="99"/>
    <w:pPr>
      <w:widowControl/>
      <w:pBdr>
        <w:top w:val="single" w:color="000000" w:sz="4" w:space="0"/>
        <w:bottom w:val="single" w:color="auto" w:sz="4" w:space="0"/>
        <w:right w:val="single" w:color="auto" w:sz="4" w:space="0"/>
      </w:pBdr>
      <w:spacing w:before="100" w:beforeAutospacing="1" w:after="100" w:afterAutospacing="1"/>
      <w:jc w:val="center"/>
    </w:pPr>
    <w:rPr>
      <w:rFonts w:ascii="宋体" w:hAnsi="宋体"/>
      <w:kern w:val="0"/>
    </w:rPr>
  </w:style>
  <w:style w:type="paragraph" w:customStyle="1" w:styleId="109">
    <w:name w:val="Char2"/>
    <w:basedOn w:val="1"/>
    <w:qFormat/>
    <w:uiPriority w:val="0"/>
    <w:rPr>
      <w:rFonts w:ascii="黑体" w:hAnsi="宋体" w:eastAsia="黑体"/>
      <w:kern w:val="44"/>
      <w:sz w:val="30"/>
      <w:szCs w:val="30"/>
    </w:rPr>
  </w:style>
  <w:style w:type="paragraph" w:customStyle="1" w:styleId="110">
    <w:name w:val="xl32"/>
    <w:basedOn w:val="1"/>
    <w:qFormat/>
    <w:uiPriority w:val="99"/>
    <w:pPr>
      <w:widowControl/>
      <w:pBdr>
        <w:top w:val="single" w:color="auto" w:sz="4" w:space="0"/>
        <w:bottom w:val="single" w:color="auto" w:sz="4" w:space="0"/>
      </w:pBdr>
      <w:spacing w:before="100" w:beforeAutospacing="1" w:after="100" w:afterAutospacing="1"/>
      <w:jc w:val="center"/>
    </w:pPr>
    <w:rPr>
      <w:rFonts w:ascii="宋体" w:hAnsi="宋体"/>
      <w:kern w:val="0"/>
    </w:rPr>
  </w:style>
  <w:style w:type="paragraph" w:customStyle="1" w:styleId="111">
    <w:name w:val="pic-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2">
    <w:name w:val="xl39"/>
    <w:basedOn w:val="1"/>
    <w:qFormat/>
    <w:uiPriority w:val="99"/>
    <w:pPr>
      <w:widowControl/>
      <w:spacing w:before="100" w:beforeAutospacing="1" w:after="100" w:afterAutospacing="1"/>
      <w:jc w:val="center"/>
    </w:pPr>
    <w:rPr>
      <w:kern w:val="0"/>
    </w:rPr>
  </w:style>
  <w:style w:type="paragraph" w:customStyle="1" w:styleId="113">
    <w:name w:val="xl69"/>
    <w:basedOn w:val="1"/>
    <w:qFormat/>
    <w:uiPriority w:val="99"/>
    <w:pPr>
      <w:widowControl/>
      <w:pBdr>
        <w:top w:val="single" w:color="000000" w:sz="4" w:space="0"/>
        <w:left w:val="single" w:color="auto" w:sz="4" w:space="0"/>
      </w:pBdr>
      <w:spacing w:before="100" w:beforeAutospacing="1" w:after="100" w:afterAutospacing="1"/>
      <w:jc w:val="center"/>
    </w:pPr>
    <w:rPr>
      <w:rFonts w:ascii="宋体" w:hAnsi="宋体"/>
      <w:kern w:val="0"/>
    </w:rPr>
  </w:style>
  <w:style w:type="paragraph" w:customStyle="1" w:styleId="114">
    <w:name w:val="TOC 标题2"/>
    <w:basedOn w:val="2"/>
    <w:next w:val="1"/>
    <w:unhideWhenUsed/>
    <w:qFormat/>
    <w:uiPriority w:val="39"/>
    <w:pPr>
      <w:keepLines/>
      <w:widowControl/>
      <w:adjustRightInd/>
      <w:spacing w:before="480" w:line="276" w:lineRule="auto"/>
      <w:ind w:firstLine="0" w:firstLineChars="0"/>
      <w:jc w:val="left"/>
      <w:outlineLvl w:val="9"/>
    </w:pPr>
    <w:rPr>
      <w:rFonts w:ascii="Cambria" w:hAnsi="Cambria" w:eastAsia="宋体"/>
      <w:b/>
      <w:bCs/>
      <w:color w:val="365F91"/>
      <w:kern w:val="0"/>
      <w:sz w:val="28"/>
      <w:szCs w:val="28"/>
    </w:rPr>
  </w:style>
  <w:style w:type="paragraph" w:customStyle="1" w:styleId="115">
    <w:name w:val="poititlew"/>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16">
    <w:name w:val="xl64"/>
    <w:basedOn w:val="1"/>
    <w:qFormat/>
    <w:uiPriority w:val="99"/>
    <w:pPr>
      <w:widowControl/>
      <w:pBdr>
        <w:top w:val="single" w:color="auto" w:sz="4" w:space="0"/>
        <w:bottom w:val="single" w:color="000000" w:sz="4" w:space="0"/>
      </w:pBdr>
      <w:spacing w:before="100" w:beforeAutospacing="1" w:after="100" w:afterAutospacing="1"/>
      <w:jc w:val="center"/>
    </w:pPr>
    <w:rPr>
      <w:kern w:val="0"/>
    </w:rPr>
  </w:style>
  <w:style w:type="paragraph" w:customStyle="1" w:styleId="117">
    <w:name w:val="Char13"/>
    <w:basedOn w:val="1"/>
    <w:qFormat/>
    <w:uiPriority w:val="0"/>
    <w:pPr>
      <w:spacing w:line="360" w:lineRule="auto"/>
      <w:ind w:firstLine="551" w:firstLineChars="196"/>
    </w:pPr>
    <w:rPr>
      <w:b/>
      <w:sz w:val="28"/>
      <w:szCs w:val="28"/>
    </w:rPr>
  </w:style>
  <w:style w:type="paragraph" w:customStyle="1" w:styleId="118">
    <w:name w:val="xl23"/>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b/>
      <w:kern w:val="0"/>
    </w:rPr>
  </w:style>
  <w:style w:type="paragraph" w:customStyle="1" w:styleId="119">
    <w:name w:val="Char14"/>
    <w:basedOn w:val="1"/>
    <w:qFormat/>
    <w:uiPriority w:val="0"/>
    <w:pPr>
      <w:spacing w:line="360" w:lineRule="auto"/>
      <w:ind w:firstLine="551" w:firstLineChars="196"/>
    </w:pPr>
    <w:rPr>
      <w:b/>
      <w:sz w:val="28"/>
      <w:szCs w:val="28"/>
    </w:rPr>
  </w:style>
  <w:style w:type="paragraph" w:customStyle="1" w:styleId="120">
    <w:name w:val="Char11"/>
    <w:basedOn w:val="1"/>
    <w:qFormat/>
    <w:uiPriority w:val="0"/>
    <w:rPr>
      <w:rFonts w:ascii="黑体" w:hAnsi="宋体" w:eastAsia="黑体"/>
      <w:kern w:val="44"/>
      <w:sz w:val="30"/>
      <w:szCs w:val="30"/>
    </w:rPr>
  </w:style>
  <w:style w:type="paragraph" w:customStyle="1" w:styleId="121">
    <w:name w:val="xl68"/>
    <w:basedOn w:val="1"/>
    <w:qFormat/>
    <w:uiPriority w:val="99"/>
    <w:pPr>
      <w:widowControl/>
      <w:pBdr>
        <w:top w:val="single" w:color="000000" w:sz="4" w:space="0"/>
        <w:bottom w:val="single" w:color="000000" w:sz="4" w:space="0"/>
        <w:right w:val="single" w:color="auto" w:sz="4" w:space="0"/>
      </w:pBdr>
      <w:spacing w:before="100" w:beforeAutospacing="1" w:after="100" w:afterAutospacing="1"/>
      <w:jc w:val="center"/>
    </w:pPr>
    <w:rPr>
      <w:rFonts w:ascii="宋体" w:hAnsi="宋体"/>
      <w:kern w:val="0"/>
    </w:rPr>
  </w:style>
  <w:style w:type="paragraph" w:customStyle="1" w:styleId="122">
    <w:name w:val="xl46"/>
    <w:basedOn w:val="1"/>
    <w:qFormat/>
    <w:uiPriority w:val="99"/>
    <w:pPr>
      <w:widowControl/>
      <w:pBdr>
        <w:top w:val="single" w:color="000000" w:sz="4" w:space="0"/>
        <w:left w:val="single" w:color="auto" w:sz="4" w:space="0"/>
        <w:bottom w:val="single" w:color="auto" w:sz="4" w:space="0"/>
      </w:pBdr>
      <w:spacing w:before="100" w:beforeAutospacing="1" w:after="100" w:afterAutospacing="1"/>
      <w:jc w:val="center"/>
    </w:pPr>
    <w:rPr>
      <w:kern w:val="0"/>
    </w:rPr>
  </w:style>
  <w:style w:type="paragraph" w:customStyle="1" w:styleId="123">
    <w:name w:val="Char1"/>
    <w:basedOn w:val="1"/>
    <w:qFormat/>
    <w:uiPriority w:val="99"/>
    <w:pPr>
      <w:spacing w:line="360" w:lineRule="auto"/>
      <w:ind w:firstLine="551" w:firstLineChars="196"/>
    </w:pPr>
    <w:rPr>
      <w:b/>
      <w:sz w:val="28"/>
      <w:szCs w:val="28"/>
    </w:rPr>
  </w:style>
  <w:style w:type="paragraph" w:customStyle="1" w:styleId="124">
    <w:name w:val="xl3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rPr>
  </w:style>
  <w:style w:type="paragraph" w:customStyle="1" w:styleId="125">
    <w:name w:val="xl52"/>
    <w:basedOn w:val="1"/>
    <w:qFormat/>
    <w:uiPriority w:val="99"/>
    <w:pPr>
      <w:widowControl/>
      <w:pBdr>
        <w:top w:val="single" w:color="000000" w:sz="4" w:space="0"/>
        <w:right w:val="single" w:color="auto" w:sz="4" w:space="0"/>
      </w:pBdr>
      <w:spacing w:before="100" w:beforeAutospacing="1" w:after="100" w:afterAutospacing="1"/>
      <w:jc w:val="center"/>
    </w:pPr>
    <w:rPr>
      <w:kern w:val="0"/>
    </w:rPr>
  </w:style>
  <w:style w:type="paragraph" w:customStyle="1" w:styleId="126">
    <w:name w:val="xl44"/>
    <w:basedOn w:val="1"/>
    <w:qFormat/>
    <w:uiPriority w:val="99"/>
    <w:pPr>
      <w:widowControl/>
      <w:pBdr>
        <w:bottom w:val="single" w:color="000000" w:sz="4" w:space="0"/>
        <w:right w:val="single" w:color="auto" w:sz="4" w:space="0"/>
      </w:pBdr>
      <w:spacing w:before="100" w:beforeAutospacing="1" w:after="100" w:afterAutospacing="1"/>
      <w:jc w:val="center"/>
    </w:pPr>
    <w:rPr>
      <w:kern w:val="0"/>
    </w:rPr>
  </w:style>
  <w:style w:type="paragraph" w:customStyle="1" w:styleId="127">
    <w:name w:val="xl49"/>
    <w:basedOn w:val="1"/>
    <w:qFormat/>
    <w:uiPriority w:val="99"/>
    <w:pPr>
      <w:widowControl/>
      <w:pBdr>
        <w:top w:val="single" w:color="000000" w:sz="4" w:space="0"/>
        <w:left w:val="single" w:color="auto" w:sz="4" w:space="0"/>
        <w:right w:val="single" w:color="auto" w:sz="4" w:space="0"/>
      </w:pBdr>
      <w:spacing w:before="100" w:beforeAutospacing="1" w:after="100" w:afterAutospacing="1"/>
      <w:jc w:val="center"/>
    </w:pPr>
    <w:rPr>
      <w:rFonts w:ascii="宋体" w:hAnsi="宋体"/>
      <w:kern w:val="0"/>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18"/>
    </w:rPr>
  </w:style>
  <w:style w:type="paragraph" w:customStyle="1" w:styleId="129">
    <w:name w:val="xl36"/>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kern w:val="0"/>
    </w:rPr>
  </w:style>
  <w:style w:type="paragraph" w:customStyle="1" w:styleId="130">
    <w:name w:val="TOC 标题1"/>
    <w:basedOn w:val="2"/>
    <w:next w:val="1"/>
    <w:unhideWhenUsed/>
    <w:qFormat/>
    <w:uiPriority w:val="39"/>
    <w:pPr>
      <w:keepLines/>
      <w:widowControl/>
      <w:adjustRightInd/>
      <w:spacing w:before="480" w:line="276" w:lineRule="auto"/>
      <w:ind w:firstLine="0" w:firstLineChars="0"/>
      <w:jc w:val="left"/>
      <w:outlineLvl w:val="9"/>
    </w:pPr>
    <w:rPr>
      <w:rFonts w:ascii="Cambria" w:hAnsi="Cambria" w:eastAsia="宋体"/>
      <w:b/>
      <w:bCs/>
      <w:color w:val="366091"/>
      <w:kern w:val="0"/>
      <w:sz w:val="28"/>
      <w:szCs w:val="28"/>
    </w:rPr>
  </w:style>
  <w:style w:type="paragraph" w:customStyle="1" w:styleId="131">
    <w:name w:val="图表名"/>
    <w:basedOn w:val="49"/>
    <w:qFormat/>
    <w:uiPriority w:val="99"/>
    <w:pPr>
      <w:ind w:firstLine="422"/>
      <w:jc w:val="center"/>
    </w:pPr>
    <w:rPr>
      <w:rFonts w:ascii="宋体" w:hAnsi="宋体"/>
      <w:b/>
      <w:bCs/>
      <w:sz w:val="21"/>
    </w:rPr>
  </w:style>
  <w:style w:type="paragraph" w:customStyle="1" w:styleId="132">
    <w:name w:val="Char"/>
    <w:basedOn w:val="1"/>
    <w:qFormat/>
    <w:uiPriority w:val="99"/>
    <w:rPr>
      <w:rFonts w:ascii="黑体" w:hAnsi="宋体" w:eastAsia="黑体"/>
      <w:kern w:val="44"/>
      <w:sz w:val="30"/>
      <w:szCs w:val="30"/>
    </w:rPr>
  </w:style>
  <w:style w:type="paragraph" w:customStyle="1" w:styleId="133">
    <w:name w:val="xl61"/>
    <w:basedOn w:val="1"/>
    <w:qFormat/>
    <w:uiPriority w:val="99"/>
    <w:pPr>
      <w:widowControl/>
      <w:pBdr>
        <w:top w:val="single" w:color="auto" w:sz="4" w:space="0"/>
        <w:bottom w:val="single" w:color="000000" w:sz="4" w:space="0"/>
      </w:pBdr>
      <w:spacing w:before="100" w:beforeAutospacing="1" w:after="100" w:afterAutospacing="1"/>
      <w:jc w:val="center"/>
    </w:pPr>
    <w:rPr>
      <w:rFonts w:ascii="宋体" w:hAnsi="宋体"/>
      <w:kern w:val="0"/>
    </w:rPr>
  </w:style>
  <w:style w:type="paragraph" w:customStyle="1" w:styleId="134">
    <w:name w:val="标题4"/>
    <w:basedOn w:val="1"/>
    <w:qFormat/>
    <w:uiPriority w:val="0"/>
    <w:pPr>
      <w:spacing w:before="240" w:after="240"/>
    </w:pPr>
    <w:rPr>
      <w:sz w:val="24"/>
      <w:szCs w:val="24"/>
    </w:rPr>
  </w:style>
  <w:style w:type="paragraph" w:customStyle="1" w:styleId="135">
    <w:name w:val="xl26"/>
    <w:basedOn w:val="1"/>
    <w:qFormat/>
    <w:uiPriority w:val="99"/>
    <w:pPr>
      <w:widowControl/>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ascii="宋体" w:hAnsi="宋体"/>
      <w:kern w:val="0"/>
      <w:sz w:val="24"/>
    </w:rPr>
  </w:style>
  <w:style w:type="paragraph" w:customStyle="1" w:styleId="136">
    <w:name w:val="xl31"/>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kern w:val="0"/>
    </w:rPr>
  </w:style>
  <w:style w:type="paragraph" w:customStyle="1" w:styleId="137">
    <w:name w:val="xl66"/>
    <w:basedOn w:val="1"/>
    <w:qFormat/>
    <w:uiPriority w:val="99"/>
    <w:pPr>
      <w:widowControl/>
      <w:pBdr>
        <w:top w:val="single" w:color="000000" w:sz="4" w:space="0"/>
        <w:left w:val="single" w:color="auto" w:sz="4" w:space="0"/>
        <w:bottom w:val="single" w:color="000000" w:sz="4" w:space="0"/>
      </w:pBdr>
      <w:spacing w:before="100" w:beforeAutospacing="1" w:after="100" w:afterAutospacing="1"/>
      <w:jc w:val="center"/>
    </w:pPr>
    <w:rPr>
      <w:rFonts w:ascii="宋体" w:hAnsi="宋体"/>
      <w:kern w:val="0"/>
    </w:rPr>
  </w:style>
  <w:style w:type="paragraph" w:customStyle="1" w:styleId="138">
    <w:name w:val="msonormalcxspmiddl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9">
    <w:name w:val="_Style 13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0">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1">
    <w:name w:val="Char3"/>
    <w:basedOn w:val="1"/>
    <w:qFormat/>
    <w:uiPriority w:val="0"/>
    <w:rPr>
      <w:rFonts w:ascii="黑体" w:hAnsi="宋体" w:eastAsia="黑体"/>
      <w:kern w:val="44"/>
      <w:sz w:val="30"/>
      <w:szCs w:val="30"/>
    </w:rPr>
  </w:style>
  <w:style w:type="paragraph" w:customStyle="1" w:styleId="142">
    <w:name w:val="xl35"/>
    <w:basedOn w:val="1"/>
    <w:qFormat/>
    <w:uiPriority w:val="99"/>
    <w:pPr>
      <w:widowControl/>
      <w:pBdr>
        <w:top w:val="single" w:color="auto" w:sz="4" w:space="0"/>
        <w:bottom w:val="single" w:color="auto" w:sz="4" w:space="0"/>
      </w:pBdr>
      <w:spacing w:before="100" w:beforeAutospacing="1" w:after="100" w:afterAutospacing="1"/>
      <w:jc w:val="center"/>
    </w:pPr>
    <w:rPr>
      <w:kern w:val="0"/>
    </w:rPr>
  </w:style>
  <w:style w:type="paragraph" w:customStyle="1" w:styleId="143">
    <w:name w:val="TOC 标题11"/>
    <w:basedOn w:val="2"/>
    <w:next w:val="1"/>
    <w:unhideWhenUsed/>
    <w:qFormat/>
    <w:uiPriority w:val="39"/>
    <w:pPr>
      <w:keepLines/>
      <w:widowControl/>
      <w:adjustRightInd/>
      <w:spacing w:before="480" w:line="276" w:lineRule="auto"/>
      <w:ind w:firstLine="0" w:firstLineChars="0"/>
      <w:jc w:val="left"/>
      <w:outlineLvl w:val="9"/>
    </w:pPr>
    <w:rPr>
      <w:rFonts w:ascii="Cambria" w:hAnsi="Cambria" w:eastAsia="宋体"/>
      <w:b/>
      <w:bCs/>
      <w:color w:val="365F91"/>
      <w:kern w:val="0"/>
      <w:sz w:val="28"/>
      <w:szCs w:val="28"/>
    </w:rPr>
  </w:style>
  <w:style w:type="character" w:customStyle="1" w:styleId="144">
    <w:name w:val="脚注文本 Char"/>
    <w:basedOn w:val="41"/>
    <w:link w:val="31"/>
    <w:qFormat/>
    <w:uiPriority w:val="0"/>
    <w:rPr>
      <w:rFonts w:eastAsia="仿宋_GB2312"/>
      <w:kern w:val="2"/>
      <w:sz w:val="18"/>
      <w:szCs w:val="18"/>
    </w:rPr>
  </w:style>
  <w:style w:type="character" w:customStyle="1" w:styleId="145">
    <w:name w:val="deptpubitem"/>
    <w:qFormat/>
    <w:uiPriority w:val="99"/>
  </w:style>
  <w:style w:type="character" w:customStyle="1" w:styleId="146">
    <w:name w:val="正文1 Char Char"/>
    <w:qFormat/>
    <w:uiPriority w:val="0"/>
    <w:rPr>
      <w:rFonts w:eastAsia="宋体" w:cs="宋体"/>
      <w:kern w:val="2"/>
      <w:sz w:val="24"/>
      <w:lang w:val="en-US" w:eastAsia="zh-CN" w:bidi="ar-SA"/>
    </w:rPr>
  </w:style>
  <w:style w:type="character" w:customStyle="1" w:styleId="147">
    <w:name w:val="正文文本 Char1"/>
    <w:qFormat/>
    <w:uiPriority w:val="99"/>
    <w:rPr>
      <w:rFonts w:eastAsia="仿宋_GB2312"/>
      <w:kern w:val="2"/>
      <w:sz w:val="32"/>
      <w:szCs w:val="24"/>
    </w:rPr>
  </w:style>
  <w:style w:type="character" w:customStyle="1" w:styleId="148">
    <w:name w:val="apple-style-span"/>
    <w:basedOn w:val="41"/>
    <w:qFormat/>
    <w:uiPriority w:val="99"/>
    <w:rPr/>
  </w:style>
  <w:style w:type="character" w:customStyle="1" w:styleId="149">
    <w:name w:val="font11"/>
    <w:qFormat/>
    <w:uiPriority w:val="0"/>
    <w:rPr>
      <w:rFonts w:hint="eastAsia" w:ascii="宋体" w:hAnsi="宋体" w:eastAsia="宋体" w:cs="宋体"/>
      <w:color w:val="000000"/>
      <w:sz w:val="21"/>
      <w:szCs w:val="21"/>
      <w:u w:val="none"/>
    </w:rPr>
  </w:style>
  <w:style w:type="character" w:customStyle="1" w:styleId="150">
    <w:name w:val="font51"/>
    <w:basedOn w:val="41"/>
    <w:qFormat/>
    <w:uiPriority w:val="0"/>
    <w:rPr>
      <w:rFonts w:hint="default" w:ascii="Times New Roman" w:hAnsi="Times New Roman" w:cs="Times New Roman"/>
      <w:b/>
      <w:color w:val="000000"/>
      <w:sz w:val="21"/>
      <w:szCs w:val="21"/>
      <w:u w:val="none"/>
      <w:vertAlign w:val="superscript"/>
    </w:rPr>
  </w:style>
  <w:style w:type="character" w:customStyle="1" w:styleId="151">
    <w:name w:val="apple-converted-space"/>
    <w:qFormat/>
    <w:uiPriority w:val="99"/>
  </w:style>
  <w:style w:type="character" w:customStyle="1" w:styleId="152">
    <w:name w:val="访问过的超链接1"/>
    <w:qFormat/>
    <w:uiPriority w:val="99"/>
    <w:rPr>
      <w:color w:val="800080"/>
      <w:u w:val="single"/>
    </w:rPr>
  </w:style>
  <w:style w:type="character" w:customStyle="1" w:styleId="153">
    <w:name w:val="标题 1 Char"/>
    <w:link w:val="2"/>
    <w:qFormat/>
    <w:uiPriority w:val="99"/>
    <w:rPr>
      <w:rFonts w:ascii="仿宋_GB2312" w:eastAsia="仿宋_GB2312"/>
      <w:kern w:val="2"/>
      <w:sz w:val="32"/>
    </w:rPr>
  </w:style>
  <w:style w:type="character" w:customStyle="1" w:styleId="154">
    <w:name w:val="正文文本 2 Char"/>
    <w:link w:val="37"/>
    <w:qFormat/>
    <w:uiPriority w:val="99"/>
    <w:rPr>
      <w:rFonts w:ascii="宋体" w:hAnsi="宋体"/>
      <w:kern w:val="2"/>
      <w:sz w:val="24"/>
    </w:rPr>
  </w:style>
  <w:style w:type="character" w:customStyle="1" w:styleId="155">
    <w:name w:val="标题 3 Char"/>
    <w:link w:val="4"/>
    <w:qFormat/>
    <w:uiPriority w:val="99"/>
    <w:rPr>
      <w:b/>
      <w:kern w:val="2"/>
      <w:sz w:val="32"/>
    </w:rPr>
  </w:style>
  <w:style w:type="character" w:customStyle="1" w:styleId="156">
    <w:name w:val="标题 2 Char"/>
    <w:link w:val="3"/>
    <w:qFormat/>
    <w:uiPriority w:val="99"/>
    <w:rPr>
      <w:rFonts w:eastAsia="宋体"/>
      <w:b/>
      <w:kern w:val="2"/>
      <w:sz w:val="24"/>
      <w:lang w:val="en-US" w:eastAsia="zh-CN" w:bidi="ar-SA"/>
    </w:rPr>
  </w:style>
  <w:style w:type="character" w:customStyle="1" w:styleId="157">
    <w:name w:val="font61"/>
    <w:basedOn w:val="41"/>
    <w:qFormat/>
    <w:uiPriority w:val="0"/>
    <w:rPr>
      <w:rFonts w:hint="eastAsia" w:ascii="宋体" w:hAnsi="宋体" w:eastAsia="宋体" w:cs="宋体"/>
      <w:b/>
      <w:color w:val="000000"/>
      <w:sz w:val="20"/>
      <w:szCs w:val="20"/>
      <w:u w:val="none"/>
    </w:rPr>
  </w:style>
  <w:style w:type="character" w:customStyle="1" w:styleId="158">
    <w:name w:val="日期 Char"/>
    <w:link w:val="21"/>
    <w:qFormat/>
    <w:uiPriority w:val="99"/>
    <w:rPr>
      <w:rFonts w:ascii="宋体" w:hAnsi="宋体"/>
      <w:kern w:val="2"/>
      <w:sz w:val="28"/>
    </w:rPr>
  </w:style>
  <w:style w:type="character" w:customStyle="1" w:styleId="159">
    <w:name w:val="正文文本缩进 2 Char"/>
    <w:link w:val="22"/>
    <w:qFormat/>
    <w:uiPriority w:val="0"/>
    <w:rPr>
      <w:rFonts w:ascii="宋体" w:hAnsi="宋体"/>
      <w:kern w:val="2"/>
      <w:sz w:val="24"/>
    </w:rPr>
  </w:style>
  <w:style w:type="character" w:customStyle="1" w:styleId="160">
    <w:name w:val="纯文本 Char1"/>
    <w:qFormat/>
    <w:uiPriority w:val="99"/>
    <w:rPr>
      <w:rFonts w:ascii="宋体" w:hAnsi="Courier New" w:cs="Courier New"/>
      <w:kern w:val="2"/>
      <w:sz w:val="21"/>
      <w:szCs w:val="21"/>
    </w:rPr>
  </w:style>
  <w:style w:type="character" w:customStyle="1" w:styleId="161">
    <w:name w:val="正文文本缩进 Char1"/>
    <w:qFormat/>
    <w:uiPriority w:val="99"/>
    <w:rPr>
      <w:rFonts w:eastAsia="仿宋_GB2312"/>
      <w:kern w:val="2"/>
      <w:sz w:val="32"/>
      <w:szCs w:val="24"/>
    </w:rPr>
  </w:style>
  <w:style w:type="character" w:customStyle="1" w:styleId="162">
    <w:name w:val="日期 Char1"/>
    <w:qFormat/>
    <w:uiPriority w:val="99"/>
    <w:rPr>
      <w:rFonts w:eastAsia="仿宋_GB2312"/>
      <w:kern w:val="2"/>
      <w:sz w:val="32"/>
      <w:szCs w:val="24"/>
    </w:rPr>
  </w:style>
  <w:style w:type="character" w:customStyle="1" w:styleId="163">
    <w:name w:val="font21"/>
    <w:basedOn w:val="41"/>
    <w:qFormat/>
    <w:uiPriority w:val="0"/>
    <w:rPr>
      <w:rFonts w:hint="default" w:ascii="Times New Roman" w:hAnsi="Times New Roman" w:cs="Times New Roman"/>
      <w:color w:val="000000"/>
      <w:sz w:val="21"/>
      <w:szCs w:val="21"/>
      <w:u w:val="none"/>
    </w:rPr>
  </w:style>
  <w:style w:type="character" w:customStyle="1" w:styleId="164">
    <w:name w:val="HTML 预设格式 Char1"/>
    <w:qFormat/>
    <w:uiPriority w:val="99"/>
    <w:rPr>
      <w:rFonts w:ascii="Courier New" w:hAnsi="Courier New" w:eastAsia="仿宋_GB2312" w:cs="Courier New"/>
      <w:kern w:val="2"/>
    </w:rPr>
  </w:style>
  <w:style w:type="character" w:customStyle="1" w:styleId="165">
    <w:name w:val="font01"/>
    <w:basedOn w:val="41"/>
    <w:qFormat/>
    <w:uiPriority w:val="0"/>
    <w:rPr>
      <w:rFonts w:hint="default" w:ascii="Times New Roman" w:hAnsi="Times New Roman" w:cs="Times New Roman"/>
      <w:color w:val="000000"/>
      <w:sz w:val="21"/>
      <w:szCs w:val="21"/>
      <w:u w:val="none"/>
    </w:rPr>
  </w:style>
  <w:style w:type="character" w:customStyle="1" w:styleId="166">
    <w:name w:val="Char Char4"/>
    <w:qFormat/>
    <w:uiPriority w:val="0"/>
    <w:rPr>
      <w:rFonts w:hint="default" w:ascii="Calibri" w:hAnsi="Calibri" w:eastAsia="宋体" w:cs="Calibri"/>
      <w:b/>
      <w:bCs/>
      <w:kern w:val="2"/>
      <w:sz w:val="32"/>
      <w:szCs w:val="32"/>
      <w:lang w:val="en-US" w:eastAsia="zh-CN" w:bidi="ar-SA"/>
    </w:rPr>
  </w:style>
  <w:style w:type="character" w:customStyle="1" w:styleId="167">
    <w:name w:val="标题 1 Char1"/>
    <w:qFormat/>
    <w:locked/>
    <w:uiPriority w:val="99"/>
    <w:rPr>
      <w:rFonts w:cs="Times New Roman"/>
      <w:b/>
      <w:bCs/>
      <w:kern w:val="44"/>
      <w:sz w:val="44"/>
      <w:szCs w:val="44"/>
    </w:rPr>
  </w:style>
  <w:style w:type="character" w:customStyle="1" w:styleId="168">
    <w:name w:val="标题 Char"/>
    <w:basedOn w:val="41"/>
    <w:link w:val="40"/>
    <w:qFormat/>
    <w:uiPriority w:val="0"/>
    <w:rPr>
      <w:rFonts w:ascii="Cambria" w:hAnsi="Cambria"/>
      <w:b/>
      <w:bCs/>
      <w:kern w:val="2"/>
      <w:sz w:val="32"/>
      <w:szCs w:val="32"/>
    </w:rPr>
  </w:style>
  <w:style w:type="character" w:customStyle="1" w:styleId="169">
    <w:name w:val="正文缩进 Char"/>
    <w:link w:val="10"/>
    <w:qFormat/>
    <w:uiPriority w:val="0"/>
    <w:rPr>
      <w:kern w:val="2"/>
      <w:sz w:val="21"/>
    </w:rPr>
  </w:style>
  <w:style w:type="character" w:customStyle="1" w:styleId="170">
    <w:name w:val="占位符文本1"/>
    <w:semiHidden/>
    <w:qFormat/>
    <w:uiPriority w:val="99"/>
    <w:rPr>
      <w:color w:val="808080"/>
    </w:rPr>
  </w:style>
  <w:style w:type="character" w:customStyle="1" w:styleId="171">
    <w:name w:val="正文文本缩进 3 Char"/>
    <w:link w:val="33"/>
    <w:qFormat/>
    <w:uiPriority w:val="99"/>
    <w:rPr>
      <w:rFonts w:ascii="仿宋_GB2312" w:hAnsi="宋体" w:eastAsia="仿宋_GB2312"/>
      <w:kern w:val="2"/>
      <w:sz w:val="28"/>
    </w:rPr>
  </w:style>
  <w:style w:type="character" w:customStyle="1" w:styleId="172">
    <w:name w:val="正文文本 3 Char"/>
    <w:link w:val="14"/>
    <w:qFormat/>
    <w:uiPriority w:val="99"/>
    <w:rPr>
      <w:kern w:val="2"/>
      <w:sz w:val="24"/>
    </w:rPr>
  </w:style>
  <w:style w:type="character" w:customStyle="1" w:styleId="173">
    <w:name w:val="标题 4 Char"/>
    <w:link w:val="5"/>
    <w:qFormat/>
    <w:uiPriority w:val="99"/>
    <w:rPr>
      <w:rFonts w:ascii="Cambria" w:hAnsi="Cambria"/>
      <w:b/>
      <w:bCs/>
      <w:kern w:val="2"/>
      <w:sz w:val="28"/>
      <w:szCs w:val="28"/>
    </w:rPr>
  </w:style>
  <w:style w:type="character" w:customStyle="1" w:styleId="174">
    <w:name w:val="批注文字 Char"/>
    <w:link w:val="7"/>
    <w:qFormat/>
    <w:uiPriority w:val="99"/>
    <w:rPr>
      <w:kern w:val="2"/>
      <w:sz w:val="21"/>
    </w:rPr>
  </w:style>
  <w:style w:type="character" w:customStyle="1" w:styleId="175">
    <w:name w:val="文档结构图 Char"/>
    <w:link w:val="12"/>
    <w:qFormat/>
    <w:uiPriority w:val="99"/>
    <w:rPr>
      <w:rFonts w:eastAsia="宋体"/>
      <w:kern w:val="2"/>
      <w:sz w:val="21"/>
      <w:lang w:val="en-US" w:eastAsia="zh-CN"/>
    </w:rPr>
  </w:style>
  <w:style w:type="character" w:customStyle="1" w:styleId="176">
    <w:name w:val="正文文本 Char"/>
    <w:link w:val="15"/>
    <w:qFormat/>
    <w:uiPriority w:val="0"/>
    <w:rPr>
      <w:kern w:val="2"/>
      <w:sz w:val="28"/>
    </w:rPr>
  </w:style>
  <w:style w:type="character" w:customStyle="1" w:styleId="177">
    <w:name w:val="副标题 Char"/>
    <w:basedOn w:val="41"/>
    <w:link w:val="28"/>
    <w:qFormat/>
    <w:uiPriority w:val="0"/>
    <w:rPr>
      <w:rFonts w:eastAsia="黑体"/>
      <w:kern w:val="2"/>
      <w:sz w:val="28"/>
      <w:szCs w:val="28"/>
    </w:rPr>
  </w:style>
  <w:style w:type="character" w:customStyle="1" w:styleId="178">
    <w:name w:val="页眉 Char"/>
    <w:link w:val="25"/>
    <w:qFormat/>
    <w:uiPriority w:val="99"/>
    <w:rPr>
      <w:kern w:val="2"/>
      <w:sz w:val="18"/>
    </w:rPr>
  </w:style>
  <w:style w:type="character" w:customStyle="1" w:styleId="179">
    <w:name w:val="正文文本 2 Char1"/>
    <w:qFormat/>
    <w:uiPriority w:val="99"/>
    <w:rPr>
      <w:rFonts w:eastAsia="仿宋_GB2312"/>
      <w:kern w:val="2"/>
      <w:sz w:val="32"/>
      <w:szCs w:val="24"/>
    </w:rPr>
  </w:style>
  <w:style w:type="character" w:customStyle="1" w:styleId="180">
    <w:name w:val="批注主题 Char"/>
    <w:link w:val="6"/>
    <w:qFormat/>
    <w:uiPriority w:val="99"/>
    <w:rPr>
      <w:b/>
      <w:kern w:val="2"/>
      <w:sz w:val="21"/>
    </w:rPr>
  </w:style>
  <w:style w:type="character" w:customStyle="1" w:styleId="181">
    <w:name w:val="hei141"/>
    <w:qFormat/>
    <w:uiPriority w:val="99"/>
    <w:rPr>
      <w:rFonts w:ascii="宋体" w:hAnsi="宋体" w:eastAsia="宋体"/>
      <w:color w:val="000000"/>
      <w:sz w:val="23"/>
      <w:u w:val="none"/>
    </w:rPr>
  </w:style>
  <w:style w:type="character" w:customStyle="1" w:styleId="182">
    <w:name w:val="font41"/>
    <w:basedOn w:val="41"/>
    <w:qFormat/>
    <w:uiPriority w:val="0"/>
    <w:rPr>
      <w:rFonts w:hint="default" w:ascii="Times New Roman" w:hAnsi="Times New Roman" w:cs="Times New Roman"/>
      <w:color w:val="000000"/>
      <w:sz w:val="21"/>
      <w:szCs w:val="21"/>
      <w:u w:val="none"/>
      <w:vertAlign w:val="superscript"/>
    </w:rPr>
  </w:style>
  <w:style w:type="character" w:customStyle="1" w:styleId="183">
    <w:name w:val="正文1 Char"/>
    <w:link w:val="49"/>
    <w:qFormat/>
    <w:locked/>
    <w:uiPriority w:val="0"/>
    <w:rPr>
      <w:kern w:val="2"/>
      <w:sz w:val="24"/>
    </w:rPr>
  </w:style>
  <w:style w:type="character" w:customStyle="1" w:styleId="184">
    <w:name w:val="font112"/>
    <w:basedOn w:val="41"/>
    <w:qFormat/>
    <w:uiPriority w:val="0"/>
    <w:rPr>
      <w:rFonts w:hint="eastAsia" w:ascii="宋体" w:hAnsi="宋体" w:eastAsia="宋体" w:cs="宋体"/>
      <w:color w:val="000000"/>
      <w:sz w:val="20"/>
      <w:szCs w:val="20"/>
      <w:u w:val="none"/>
    </w:rPr>
  </w:style>
  <w:style w:type="character" w:customStyle="1" w:styleId="185">
    <w:name w:val="headline-content2"/>
    <w:basedOn w:val="41"/>
    <w:qFormat/>
    <w:uiPriority w:val="0"/>
    <w:rPr/>
  </w:style>
  <w:style w:type="character" w:customStyle="1" w:styleId="186">
    <w:name w:val="p141"/>
    <w:qFormat/>
    <w:uiPriority w:val="99"/>
    <w:rPr>
      <w:sz w:val="25"/>
    </w:rPr>
  </w:style>
  <w:style w:type="character" w:customStyle="1" w:styleId="187">
    <w:name w:val="font31"/>
    <w:qFormat/>
    <w:uiPriority w:val="0"/>
    <w:rPr>
      <w:rFonts w:hint="eastAsia" w:ascii="宋体" w:hAnsi="宋体" w:eastAsia="宋体" w:cs="宋体"/>
      <w:color w:val="000000"/>
      <w:sz w:val="21"/>
      <w:szCs w:val="21"/>
      <w:u w:val="none"/>
    </w:rPr>
  </w:style>
  <w:style w:type="character" w:customStyle="1" w:styleId="188">
    <w:name w:val="HTML 预设格式 Char"/>
    <w:link w:val="38"/>
    <w:qFormat/>
    <w:uiPriority w:val="99"/>
    <w:rPr>
      <w:rFonts w:ascii="宋体" w:hAnsi="宋体"/>
      <w:sz w:val="24"/>
    </w:rPr>
  </w:style>
  <w:style w:type="character" w:customStyle="1" w:styleId="189">
    <w:name w:val="纯文本 Char"/>
    <w:link w:val="19"/>
    <w:qFormat/>
    <w:uiPriority w:val="99"/>
    <w:rPr>
      <w:rFonts w:ascii="宋体" w:hAnsi="Courier New"/>
      <w:kern w:val="2"/>
      <w:sz w:val="21"/>
    </w:rPr>
  </w:style>
  <w:style w:type="character" w:customStyle="1" w:styleId="190">
    <w:name w:val="正文文本 3 Char1"/>
    <w:qFormat/>
    <w:uiPriority w:val="99"/>
    <w:rPr>
      <w:rFonts w:eastAsia="仿宋_GB2312"/>
      <w:kern w:val="2"/>
      <w:sz w:val="16"/>
      <w:szCs w:val="16"/>
    </w:rPr>
  </w:style>
  <w:style w:type="character" w:customStyle="1" w:styleId="191">
    <w:name w:val="批注框文本 Char"/>
    <w:link w:val="23"/>
    <w:qFormat/>
    <w:uiPriority w:val="99"/>
    <w:rPr>
      <w:kern w:val="2"/>
      <w:sz w:val="18"/>
    </w:rPr>
  </w:style>
  <w:style w:type="character" w:customStyle="1" w:styleId="192">
    <w:name w:val="页脚 Char"/>
    <w:link w:val="24"/>
    <w:qFormat/>
    <w:uiPriority w:val="99"/>
    <w:rPr>
      <w:kern w:val="2"/>
      <w:sz w:val="18"/>
    </w:rPr>
  </w:style>
  <w:style w:type="character" w:customStyle="1" w:styleId="193">
    <w:name w:val="正文文本缩进 Char"/>
    <w:link w:val="16"/>
    <w:qFormat/>
    <w:uiPriority w:val="99"/>
    <w:rPr>
      <w:rFonts w:eastAsia="仿宋_GB2312"/>
      <w:kern w:val="2"/>
      <w:sz w:val="32"/>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footer" Target="footer5.xml"/><Relationship Id="rId100" Type="http://schemas.openxmlformats.org/officeDocument/2006/relationships/oleObject" Target="embeddings/oleObject19.bin"/><Relationship Id="rId101" Type="http://schemas.openxmlformats.org/officeDocument/2006/relationships/image" Target="media/image67.wmf"/><Relationship Id="rId102" Type="http://schemas.openxmlformats.org/officeDocument/2006/relationships/oleObject" Target="embeddings/oleObject20.bin"/><Relationship Id="rId103" Type="http://schemas.openxmlformats.org/officeDocument/2006/relationships/image" Target="media/image68.wmf"/><Relationship Id="rId104" Type="http://schemas.openxmlformats.org/officeDocument/2006/relationships/oleObject" Target="embeddings/oleObject21.bin"/><Relationship Id="rId105" Type="http://schemas.openxmlformats.org/officeDocument/2006/relationships/image" Target="media/image69.wmf"/><Relationship Id="rId106" Type="http://schemas.openxmlformats.org/officeDocument/2006/relationships/oleObject" Target="embeddings/oleObject22.bin"/><Relationship Id="rId107" Type="http://schemas.openxmlformats.org/officeDocument/2006/relationships/image" Target="media/image70.wmf"/><Relationship Id="rId108" Type="http://schemas.openxmlformats.org/officeDocument/2006/relationships/oleObject" Target="embeddings/oleObject23.bin"/><Relationship Id="rId109" Type="http://schemas.openxmlformats.org/officeDocument/2006/relationships/image" Target="media/image71.wmf"/><Relationship Id="rId11" Type="http://schemas.openxmlformats.org/officeDocument/2006/relationships/footer" Target="footer6.xml"/><Relationship Id="rId110" Type="http://schemas.openxmlformats.org/officeDocument/2006/relationships/oleObject" Target="embeddings/oleObject24.bin"/><Relationship Id="rId111" Type="http://schemas.openxmlformats.org/officeDocument/2006/relationships/image" Target="media/image72.wmf"/><Relationship Id="rId112" Type="http://schemas.openxmlformats.org/officeDocument/2006/relationships/oleObject" Target="embeddings/oleObject25.bin"/><Relationship Id="rId113" Type="http://schemas.openxmlformats.org/officeDocument/2006/relationships/image" Target="media/image73.wmf"/><Relationship Id="rId114" Type="http://schemas.openxmlformats.org/officeDocument/2006/relationships/oleObject" Target="embeddings/oleObject26.bin"/><Relationship Id="rId115" Type="http://schemas.openxmlformats.org/officeDocument/2006/relationships/image" Target="media/image74.wmf"/><Relationship Id="rId116" Type="http://schemas.openxmlformats.org/officeDocument/2006/relationships/oleObject" Target="embeddings/oleObject27.bin"/><Relationship Id="rId117" Type="http://schemas.openxmlformats.org/officeDocument/2006/relationships/image" Target="media/image75.wmf"/><Relationship Id="rId118" Type="http://schemas.openxmlformats.org/officeDocument/2006/relationships/oleObject" Target="embeddings/oleObject28.bin"/><Relationship Id="rId119" Type="http://schemas.openxmlformats.org/officeDocument/2006/relationships/image" Target="media/image76.wmf"/><Relationship Id="rId12" Type="http://schemas.openxmlformats.org/officeDocument/2006/relationships/footer" Target="footer7.xml"/><Relationship Id="rId120" Type="http://schemas.openxmlformats.org/officeDocument/2006/relationships/oleObject" Target="embeddings/oleObject29.bin"/><Relationship Id="rId121" Type="http://schemas.openxmlformats.org/officeDocument/2006/relationships/image" Target="media/image77.wmf"/><Relationship Id="rId122" Type="http://schemas.openxmlformats.org/officeDocument/2006/relationships/oleObject" Target="embeddings/oleObject30.bin"/><Relationship Id="rId123" Type="http://schemas.openxmlformats.org/officeDocument/2006/relationships/image" Target="media/image78.wmf"/><Relationship Id="rId124" Type="http://schemas.openxmlformats.org/officeDocument/2006/relationships/image" Target="media/image79.png"/><Relationship Id="rId125" Type="http://schemas.openxmlformats.org/officeDocument/2006/relationships/image" Target="media/image80.png"/><Relationship Id="rId126" Type="http://schemas.openxmlformats.org/officeDocument/2006/relationships/image" Target="media/image81.png"/><Relationship Id="rId127" Type="http://schemas.openxmlformats.org/officeDocument/2006/relationships/image" Target="media/image82.png"/><Relationship Id="rId128" Type="http://schemas.openxmlformats.org/officeDocument/2006/relationships/image" Target="media/image83.jpeg"/><Relationship Id="rId129" Type="http://schemas.openxmlformats.org/officeDocument/2006/relationships/image" Target="media/image84.jpeg"/><Relationship Id="rId13" Type="http://schemas.openxmlformats.org/officeDocument/2006/relationships/header" Target="header3.xml"/><Relationship Id="rId130" Type="http://schemas.openxmlformats.org/officeDocument/2006/relationships/oleObject" Target="embeddings/oleObject31.bin"/><Relationship Id="rId131" Type="http://schemas.openxmlformats.org/officeDocument/2006/relationships/image" Target="media/image85.wmf"/><Relationship Id="rId132" Type="http://schemas.openxmlformats.org/officeDocument/2006/relationships/image" Target="media/image86.png"/><Relationship Id="rId133" Type="http://schemas.openxmlformats.org/officeDocument/2006/relationships/image" Target="media/image87.png"/><Relationship Id="rId134" Type="http://schemas.openxmlformats.org/officeDocument/2006/relationships/oleObject" Target="embeddings/oleObject32.bin"/><Relationship Id="rId135" Type="http://schemas.openxmlformats.org/officeDocument/2006/relationships/image" Target="media/image88.wmf"/><Relationship Id="rId136" Type="http://schemas.openxmlformats.org/officeDocument/2006/relationships/oleObject" Target="embeddings/oleObject33.bin"/><Relationship Id="rId137" Type="http://schemas.openxmlformats.org/officeDocument/2006/relationships/image" Target="media/image89.wmf"/><Relationship Id="rId138" Type="http://schemas.openxmlformats.org/officeDocument/2006/relationships/oleObject" Target="embeddings/oleObject34.bin"/><Relationship Id="rId139" Type="http://schemas.openxmlformats.org/officeDocument/2006/relationships/image" Target="media/image90.wmf"/><Relationship Id="rId14" Type="http://schemas.openxmlformats.org/officeDocument/2006/relationships/footer" Target="footer8.xml"/><Relationship Id="rId140" Type="http://schemas.openxmlformats.org/officeDocument/2006/relationships/oleObject" Target="embeddings/oleObject35.bin"/><Relationship Id="rId141" Type="http://schemas.openxmlformats.org/officeDocument/2006/relationships/image" Target="media/image91.wmf"/><Relationship Id="rId142" Type="http://schemas.openxmlformats.org/officeDocument/2006/relationships/oleObject" Target="embeddings/oleObject36.bin"/><Relationship Id="rId143" Type="http://schemas.openxmlformats.org/officeDocument/2006/relationships/image" Target="media/image92.wmf"/><Relationship Id="rId144" Type="http://schemas.openxmlformats.org/officeDocument/2006/relationships/oleObject" Target="embeddings/oleObject37.bin"/><Relationship Id="rId145" Type="http://schemas.openxmlformats.org/officeDocument/2006/relationships/image" Target="media/image93.wmf"/><Relationship Id="rId146" Type="http://schemas.openxmlformats.org/officeDocument/2006/relationships/oleObject" Target="embeddings/oleObject38.bin"/><Relationship Id="rId147" Type="http://schemas.openxmlformats.org/officeDocument/2006/relationships/image" Target="media/image94.wmf"/><Relationship Id="rId148" Type="http://schemas.openxmlformats.org/officeDocument/2006/relationships/oleObject" Target="embeddings/oleObject39.bin"/><Relationship Id="rId149" Type="http://schemas.openxmlformats.org/officeDocument/2006/relationships/image" Target="media/image95.wmf"/><Relationship Id="rId15" Type="http://schemas.openxmlformats.org/officeDocument/2006/relationships/theme" Target="theme/theme1.xml"/><Relationship Id="rId150" Type="http://schemas.openxmlformats.org/officeDocument/2006/relationships/oleObject" Target="embeddings/oleObject40.bin"/><Relationship Id="rId151" Type="http://schemas.openxmlformats.org/officeDocument/2006/relationships/image" Target="media/image96.wmf"/><Relationship Id="rId152" Type="http://schemas.openxmlformats.org/officeDocument/2006/relationships/oleObject" Target="embeddings/oleObject41.bin"/><Relationship Id="rId153" Type="http://schemas.openxmlformats.org/officeDocument/2006/relationships/image" Target="media/image97.wmf"/><Relationship Id="rId154" Type="http://schemas.openxmlformats.org/officeDocument/2006/relationships/oleObject" Target="embeddings/oleObject42.bin"/><Relationship Id="rId155" Type="http://schemas.openxmlformats.org/officeDocument/2006/relationships/image" Target="media/image98.wmf"/><Relationship Id="rId156" Type="http://schemas.openxmlformats.org/officeDocument/2006/relationships/oleObject" Target="embeddings/oleObject43.bin"/><Relationship Id="rId157" Type="http://schemas.openxmlformats.org/officeDocument/2006/relationships/oleObject" Target="embeddings/oleObject44.bin"/><Relationship Id="rId158" Type="http://schemas.openxmlformats.org/officeDocument/2006/relationships/image" Target="media/image99.wmf"/><Relationship Id="rId159" Type="http://schemas.openxmlformats.org/officeDocument/2006/relationships/image" Target="media/image100.wmf"/><Relationship Id="rId16" Type="http://schemas.openxmlformats.org/officeDocument/2006/relationships/image" Target="media/image1.jpeg"/><Relationship Id="rId160" Type="http://schemas.openxmlformats.org/officeDocument/2006/relationships/oleObject" Target="embeddings/oleObject45.bin"/><Relationship Id="rId161" Type="http://schemas.openxmlformats.org/officeDocument/2006/relationships/image" Target="media/image101.wmf"/><Relationship Id="rId162" Type="http://schemas.openxmlformats.org/officeDocument/2006/relationships/oleObject" Target="embeddings/oleObject46.bin"/><Relationship Id="rId163" Type="http://schemas.openxmlformats.org/officeDocument/2006/relationships/image" Target="media/image102.wmf"/><Relationship Id="rId164" Type="http://schemas.openxmlformats.org/officeDocument/2006/relationships/oleObject" Target="embeddings/oleObject47.bin"/><Relationship Id="rId165" Type="http://schemas.openxmlformats.org/officeDocument/2006/relationships/image" Target="media/image103.wmf"/><Relationship Id="rId166" Type="http://schemas.openxmlformats.org/officeDocument/2006/relationships/oleObject" Target="embeddings/oleObject48.bin"/><Relationship Id="rId167" Type="http://schemas.openxmlformats.org/officeDocument/2006/relationships/image" Target="media/image104.wmf"/><Relationship Id="rId168" Type="http://schemas.openxmlformats.org/officeDocument/2006/relationships/oleObject" Target="embeddings/oleObject49.bin"/><Relationship Id="rId169" Type="http://schemas.openxmlformats.org/officeDocument/2006/relationships/image" Target="media/image105.wmf"/><Relationship Id="rId17" Type="http://schemas.openxmlformats.org/officeDocument/2006/relationships/image" Target="media/image2.jpeg"/><Relationship Id="rId170" Type="http://schemas.openxmlformats.org/officeDocument/2006/relationships/oleObject" Target="embeddings/oleObject50.bin"/><Relationship Id="rId171" Type="http://schemas.openxmlformats.org/officeDocument/2006/relationships/image" Target="media/image106.wmf"/><Relationship Id="rId172" Type="http://schemas.openxmlformats.org/officeDocument/2006/relationships/oleObject" Target="embeddings/oleObject51.bin"/><Relationship Id="rId173" Type="http://schemas.openxmlformats.org/officeDocument/2006/relationships/image" Target="media/image107.wmf"/><Relationship Id="rId174" Type="http://schemas.openxmlformats.org/officeDocument/2006/relationships/oleObject" Target="embeddings/oleObject52.bin"/><Relationship Id="rId175" Type="http://schemas.openxmlformats.org/officeDocument/2006/relationships/image" Target="media/image108.wmf"/><Relationship Id="rId176" Type="http://schemas.openxmlformats.org/officeDocument/2006/relationships/oleObject" Target="embeddings/oleObject53.bin"/><Relationship Id="rId177" Type="http://schemas.openxmlformats.org/officeDocument/2006/relationships/image" Target="media/image109.wmf"/><Relationship Id="rId178" Type="http://schemas.openxmlformats.org/officeDocument/2006/relationships/oleObject" Target="embeddings/oleObject54.bin"/><Relationship Id="rId179" Type="http://schemas.openxmlformats.org/officeDocument/2006/relationships/image" Target="media/image110.wmf"/><Relationship Id="rId18" Type="http://schemas.openxmlformats.org/officeDocument/2006/relationships/image" Target="media/image3.jpeg"/><Relationship Id="rId180" Type="http://schemas.openxmlformats.org/officeDocument/2006/relationships/oleObject" Target="embeddings/oleObject55.bin"/><Relationship Id="rId181" Type="http://schemas.openxmlformats.org/officeDocument/2006/relationships/image" Target="media/image111.wmf"/><Relationship Id="rId182" Type="http://schemas.openxmlformats.org/officeDocument/2006/relationships/oleObject" Target="embeddings/oleObject56.bin"/><Relationship Id="rId183" Type="http://schemas.openxmlformats.org/officeDocument/2006/relationships/image" Target="media/image112.wmf"/><Relationship Id="rId184" Type="http://schemas.openxmlformats.org/officeDocument/2006/relationships/oleObject" Target="embeddings/oleObject57.bin"/><Relationship Id="rId185" Type="http://schemas.openxmlformats.org/officeDocument/2006/relationships/image" Target="media/image113.wmf"/><Relationship Id="rId186" Type="http://schemas.openxmlformats.org/officeDocument/2006/relationships/image" Target="media/image114.jpeg"/><Relationship Id="rId187" Type="http://schemas.openxmlformats.org/officeDocument/2006/relationships/image" Target="media/image115.jpeg"/><Relationship Id="rId188" Type="http://schemas.openxmlformats.org/officeDocument/2006/relationships/customXml" Target="../customXml/item1.xml"/><Relationship Id="rId189" Type="http://schemas.openxmlformats.org/officeDocument/2006/relationships/numbering" Target="numbering.xml"/><Relationship Id="rId19" Type="http://schemas.openxmlformats.org/officeDocument/2006/relationships/image" Target="media/image4.jpeg"/><Relationship Id="rId2" Type="http://schemas.openxmlformats.org/officeDocument/2006/relationships/styles" Target="styles.xml"/><Relationship Id="rId20" Type="http://schemas.openxmlformats.org/officeDocument/2006/relationships/image" Target="media/image5.pn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jpeg"/><Relationship Id="rId26" Type="http://schemas.openxmlformats.org/officeDocument/2006/relationships/image" Target="media/image11.pn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png"/><Relationship Id="rId3" Type="http://schemas.openxmlformats.org/officeDocument/2006/relationships/settings" Target="settings.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oleObject" Target="embeddings/oleObject1.bin"/><Relationship Id="rId36" Type="http://schemas.openxmlformats.org/officeDocument/2006/relationships/image" Target="media/image20.wmf"/><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oleObject" Target="embeddings/oleObject2.bin"/><Relationship Id="rId4" Type="http://schemas.openxmlformats.org/officeDocument/2006/relationships/header" Target="header1.xml"/><Relationship Id="rId40" Type="http://schemas.openxmlformats.org/officeDocument/2006/relationships/image" Target="media/image23.wmf"/><Relationship Id="rId41" Type="http://schemas.openxmlformats.org/officeDocument/2006/relationships/image" Target="media/image24.jpeg"/><Relationship Id="rId42" Type="http://schemas.openxmlformats.org/officeDocument/2006/relationships/image" Target="media/image25.jpeg"/><Relationship Id="rId43" Type="http://schemas.openxmlformats.org/officeDocument/2006/relationships/oleObject" Target="embeddings/oleObject3.bin"/><Relationship Id="rId44" Type="http://schemas.openxmlformats.org/officeDocument/2006/relationships/image" Target="media/image26.wmf"/><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image" Target="media/image31.jpeg"/><Relationship Id="rId5" Type="http://schemas.openxmlformats.org/officeDocument/2006/relationships/footer" Target="footer1.xml"/><Relationship Id="rId50" Type="http://schemas.openxmlformats.org/officeDocument/2006/relationships/image" Target="media/image32.jpeg"/><Relationship Id="rId51" Type="http://schemas.openxmlformats.org/officeDocument/2006/relationships/oleObject" Target="embeddings/oleObject4.bin"/><Relationship Id="rId52" Type="http://schemas.openxmlformats.org/officeDocument/2006/relationships/image" Target="media/image33.wmf"/><Relationship Id="rId53" Type="http://schemas.openxmlformats.org/officeDocument/2006/relationships/image" Target="media/image34.jpeg"/><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png"/><Relationship Id="rId57" Type="http://schemas.openxmlformats.org/officeDocument/2006/relationships/image" Target="media/image38.jpeg"/><Relationship Id="rId58" Type="http://schemas.openxmlformats.org/officeDocument/2006/relationships/image" Target="media/image39.jpeg"/><Relationship Id="rId59" Type="http://schemas.openxmlformats.org/officeDocument/2006/relationships/image" Target="media/image40.jpeg"/><Relationship Id="rId6" Type="http://schemas.openxmlformats.org/officeDocument/2006/relationships/footer" Target="footer2.xml"/><Relationship Id="rId60" Type="http://schemas.openxmlformats.org/officeDocument/2006/relationships/image" Target="media/image41.jpeg"/><Relationship Id="rId61" Type="http://schemas.openxmlformats.org/officeDocument/2006/relationships/image" Target="media/image42.jpeg"/><Relationship Id="rId62" Type="http://schemas.openxmlformats.org/officeDocument/2006/relationships/image" Target="media/image43.png"/><Relationship Id="rId63" Type="http://schemas.openxmlformats.org/officeDocument/2006/relationships/oleObject" Target="embeddings/oleObject5.bin"/><Relationship Id="rId64" Type="http://schemas.openxmlformats.org/officeDocument/2006/relationships/image" Target="media/image44.wmf"/><Relationship Id="rId65" Type="http://schemas.openxmlformats.org/officeDocument/2006/relationships/image" Target="media/image45.wmf"/><Relationship Id="rId66" Type="http://schemas.openxmlformats.org/officeDocument/2006/relationships/image" Target="media/image46.wmf"/><Relationship Id="rId67" Type="http://schemas.openxmlformats.org/officeDocument/2006/relationships/image" Target="media/image47.wmf"/><Relationship Id="rId68" Type="http://schemas.openxmlformats.org/officeDocument/2006/relationships/image" Target="media/image48.wmf"/><Relationship Id="rId69" Type="http://schemas.openxmlformats.org/officeDocument/2006/relationships/image" Target="media/image49.wmf"/><Relationship Id="rId7" Type="http://schemas.openxmlformats.org/officeDocument/2006/relationships/footer" Target="footer3.xml"/><Relationship Id="rId70" Type="http://schemas.openxmlformats.org/officeDocument/2006/relationships/image" Target="media/image50.wmf"/><Relationship Id="rId71" Type="http://schemas.openxmlformats.org/officeDocument/2006/relationships/image" Target="media/image51.wmf"/><Relationship Id="rId72" Type="http://schemas.openxmlformats.org/officeDocument/2006/relationships/image" Target="media/image52.wmf"/><Relationship Id="rId73" Type="http://schemas.openxmlformats.org/officeDocument/2006/relationships/image" Target="media/image53.wmf"/><Relationship Id="rId74" Type="http://schemas.openxmlformats.org/officeDocument/2006/relationships/image" Target="media/image54.wmf"/><Relationship Id="rId75" Type="http://schemas.openxmlformats.org/officeDocument/2006/relationships/oleObject" Target="embeddings/oleObject6.bin"/><Relationship Id="rId76" Type="http://schemas.openxmlformats.org/officeDocument/2006/relationships/image" Target="media/image55.wmf"/><Relationship Id="rId77" Type="http://schemas.openxmlformats.org/officeDocument/2006/relationships/oleObject" Target="embeddings/oleObject7.bin"/><Relationship Id="rId78" Type="http://schemas.openxmlformats.org/officeDocument/2006/relationships/image" Target="media/image56.wmf"/><Relationship Id="rId79" Type="http://schemas.openxmlformats.org/officeDocument/2006/relationships/oleObject" Target="embeddings/oleObject8.bin"/><Relationship Id="rId8" Type="http://schemas.openxmlformats.org/officeDocument/2006/relationships/header" Target="header2.xml"/><Relationship Id="rId80" Type="http://schemas.openxmlformats.org/officeDocument/2006/relationships/image" Target="media/image57.wmf"/><Relationship Id="rId81" Type="http://schemas.openxmlformats.org/officeDocument/2006/relationships/oleObject" Target="embeddings/oleObject9.bin"/><Relationship Id="rId82" Type="http://schemas.openxmlformats.org/officeDocument/2006/relationships/image" Target="media/image58.wmf"/><Relationship Id="rId83" Type="http://schemas.openxmlformats.org/officeDocument/2006/relationships/oleObject" Target="embeddings/oleObject10.bin"/><Relationship Id="rId84" Type="http://schemas.openxmlformats.org/officeDocument/2006/relationships/image" Target="media/image59.wmf"/><Relationship Id="rId85" Type="http://schemas.openxmlformats.org/officeDocument/2006/relationships/oleObject" Target="embeddings/oleObject11.bin"/><Relationship Id="rId86" Type="http://schemas.openxmlformats.org/officeDocument/2006/relationships/image" Target="media/image60.wmf"/><Relationship Id="rId87" Type="http://schemas.openxmlformats.org/officeDocument/2006/relationships/oleObject" Target="embeddings/oleObject12.bin"/><Relationship Id="rId88" Type="http://schemas.openxmlformats.org/officeDocument/2006/relationships/image" Target="media/image61.wmf"/><Relationship Id="rId89" Type="http://schemas.openxmlformats.org/officeDocument/2006/relationships/oleObject" Target="embeddings/oleObject13.bin"/><Relationship Id="rId9" Type="http://schemas.openxmlformats.org/officeDocument/2006/relationships/footer" Target="footer4.xml"/><Relationship Id="rId90" Type="http://schemas.openxmlformats.org/officeDocument/2006/relationships/image" Target="media/image62.wmf"/><Relationship Id="rId91" Type="http://schemas.openxmlformats.org/officeDocument/2006/relationships/oleObject" Target="embeddings/oleObject14.bin"/><Relationship Id="rId92" Type="http://schemas.openxmlformats.org/officeDocument/2006/relationships/image" Target="media/image63.wmf"/><Relationship Id="rId93" Type="http://schemas.openxmlformats.org/officeDocument/2006/relationships/oleObject" Target="embeddings/oleObject15.bin"/><Relationship Id="rId94" Type="http://schemas.openxmlformats.org/officeDocument/2006/relationships/oleObject" Target="embeddings/oleObject16.bin"/><Relationship Id="rId95" Type="http://schemas.openxmlformats.org/officeDocument/2006/relationships/image" Target="media/image64.wmf"/><Relationship Id="rId96" Type="http://schemas.openxmlformats.org/officeDocument/2006/relationships/oleObject" Target="embeddings/oleObject17.bin"/><Relationship Id="rId97" Type="http://schemas.openxmlformats.org/officeDocument/2006/relationships/image" Target="media/image65.wmf"/><Relationship Id="rId98" Type="http://schemas.openxmlformats.org/officeDocument/2006/relationships/oleObject" Target="embeddings/oleObject18.bin"/><Relationship Id="rId99" Type="http://schemas.openxmlformats.org/officeDocument/2006/relationships/image" Target="media/image6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5" textRotate="1"/>
    <customShpInfo spid="_x0000_s1026" textRotate="1"/>
    <customShpInfo spid="_x0000_s1027" textRotate="1"/>
    <customShpInfo spid="_x0000_s1028" textRotate="1"/>
    <customShpInfo spid="_x0000_s1029" textRotate="1"/>
    <customShpInfo spid="_x0000_s1030" textRotate="1"/>
    <customShpInfo spid="_x0000_s1048" textRotate="1"/>
    <customShpInfo spid="_x0000_s1049" textRotate="1"/>
    <customShpInfo spid="_x0000_s1050" textRotate="1"/>
    <customShpInfo spid="_x0000_s1051" textRotate="1"/>
    <customShpInfo spid="_x0000_s1052" textRotate="1"/>
    <customShpInfo spid="_x0000_s1053" textRotate="1"/>
    <customShpInfo spid="_x0000_s1054" textRotate="1"/>
    <customShpInfo spid="_x0000_s1055" textRotate="1"/>
    <customShpInfo spid="_x0000_s1056" textRotate="1"/>
    <customShpInfo spid="_x0000_s1057" textRotate="1"/>
    <customShpInfo spid="_x0000_s1070" textRotate="1"/>
    <customShpInfo spid="_x0000_s1071" textRotate="1"/>
    <customShpInfo spid="_x0000_s1072" textRotate="1"/>
    <customShpInfo spid="_x0000_s1073" textRotate="1"/>
    <customShpInfo spid="_x0000_s1074" textRotate="1"/>
    <customShpInfo spid="_x0000_s1078" textRotate="1"/>
    <customShpInfo spid="_x0000_s1082" textRotate="1"/>
    <customShpInfo spid="_x0000_s1083" textRotate="1"/>
    <customShpInfo spid="_x0000_s1084" textRotate="1"/>
    <customShpInfo spid="_x0000_s1085" textRotate="1"/>
    <customShpInfo spid="_x0000_s1086" textRotate="1"/>
    <customShpInfo spid="_x0000_s1087" textRotate="1"/>
    <customShpInfo spid="_x0000_s1090" textRotate="1"/>
    <customShpInfo spid="_x0000_s1091" textRotate="1"/>
    <customShpInfo spid="_x0000_s1092" textRotate="1"/>
    <customShpInfo spid="_x0000_s1094" textRotate="1"/>
    <customShpInfo spid="_x0000_s1098" textRotate="1"/>
    <customShpInfo spid="_x0000_s1102" textRotate="1"/>
    <customShpInfo spid="_x0000_s1104" textRotate="1"/>
    <customShpInfo spid="_x0000_s1106" textRotate="1"/>
    <customShpInfo spid="_x0000_s1109" textRotate="1"/>
    <customShpInfo spid="_x0000_s1111" textRotate="1"/>
    <customShpInfo spid="_x0000_s1114" textRotate="1"/>
    <customShpInfo spid="_x0000_s1115" textRotate="1"/>
    <customShpInfo spid="_x0000_s1148" textRotate="1"/>
    <customShpInfo spid="_x0000_s1149" textRotate="1"/>
    <customShpInfo spid="_x0000_s1151" textRotate="1"/>
    <customShpInfo spid="_x0000_s1153" textRotate="1"/>
    <customShpInfo spid="_x0000_s1154" textRotate="1"/>
    <customShpInfo spid="_x0000_s1165" textRotate="1"/>
    <customShpInfo spid="_x0000_s1166" textRotate="1"/>
    <customShpInfo spid="_x0000_s1167" textRotate="1"/>
    <customShpInfo spid="_x0000_s1169" textRotate="1"/>
    <customShpInfo spid="_x0000_s1170" textRotate="1"/>
    <customShpInfo spid="_x0000_s1171" textRotate="1"/>
    <customShpInfo spid="_x0000_s1172" textRotate="1"/>
    <customShpInfo spid="_x0000_s1175" textRotate="1"/>
    <customShpInfo spid="_x0000_s1176" textRotate="1"/>
    <customShpInfo spid="_x0000_s1177" textRotate="1"/>
    <customShpInfo spid="_x0000_s1183" textRotate="1"/>
    <customShpInfo spid="_x0000_s1184" textRotate="1"/>
    <customShpInfo spid="_x0000_s1185" textRotate="1"/>
    <customShpInfo spid="_x0000_s1186" textRotate="1"/>
    <customShpInfo spid="_x0000_s1187" textRotate="1"/>
    <customShpInfo spid="_x0000_s1188" textRotate="1"/>
    <customShpInfo spid="_x0000_s1189" textRotate="1"/>
    <customShpInfo spid="_x0000_s1190" textRotate="1"/>
    <customShpInfo spid="_x0000_s1191" textRotate="1"/>
    <customShpInfo spid="_x0000_s1192" textRotate="1"/>
    <customShpInfo spid="_x0000_s1193" textRotate="1"/>
    <customShpInfo spid="_x0000_s1194" textRotate="1"/>
    <customShpInfo spid="_x0000_s1197" textRotate="1"/>
    <customShpInfo spid="_x0000_s1198" textRotate="1"/>
    <customShpInfo spid="_x0000_s1199" textRotate="1"/>
    <customShpInfo spid="_x0000_s1200" textRotate="1"/>
    <customShpInfo spid="_x0000_s1203" textRotate="1"/>
    <customShpInfo spid="_x0000_s1204" textRotate="1"/>
    <customShpInfo spid="_x0000_s1205" textRotate="1"/>
    <customShpInfo spid="_x0000_s1206" textRotate="1"/>
    <customShpInfo spid="_x0000_s1208" textRotate="1"/>
    <customShpInfo spid="_x0000_s1209" textRotate="1"/>
    <customShpInfo spid="_x0000_s1210" textRotate="1"/>
    <customShpInfo spid="_x0000_s1211" textRotate="1"/>
    <customShpInfo spid="_x0000_s1212" textRotate="1"/>
    <customShpInfo spid="_x0000_s1214" textRotate="1"/>
    <customShpInfo spid="_x0000_s1215" textRotate="1"/>
    <customShpInfo spid="_x0000_s1216" textRotate="1"/>
    <customShpInfo spid="_x0000_s1217" textRotate="1"/>
    <customShpInfo spid="_x0000_s1218" textRotate="1"/>
    <customShpInfo spid="_x0000_s1219" textRotate="1"/>
    <customShpInfo spid="_x0000_s1220" textRotate="1"/>
    <customShpInfo spid="_x0000_s1221" textRotate="1"/>
    <customShpInfo spid="_x0000_s1222" textRotate="1"/>
    <customShpInfo spid="_x0000_s1223" textRotate="1"/>
    <customShpInfo spid="_x0000_s1224" textRotate="1"/>
    <customShpInfo spid="_x0000_s1225" textRotate="1"/>
    <customShpInfo spid="_x0000_s1231" textRotate="1"/>
    <customShpInfo spid="_x0000_s1234" textRotate="1"/>
    <customShpInfo spid="_x0000_s1235" textRotate="1"/>
    <customShpInfo spid="_x0000_s1262" textRotate="1"/>
    <customShpInfo spid="_x0000_s1307" textRotate="1"/>
    <customShpInfo spid="_x0000_s1308" textRotate="1"/>
    <customShpInfo spid="_x0000_s1309" textRotate="1"/>
    <customShpInfo spid="_x0000_s1310" textRotate="1"/>
    <customShpInfo spid="_x0000_s1311" textRotate="1"/>
    <customShpInfo spid="_x0000_s1312" textRotate="1"/>
    <customShpInfo spid="_x0000_s1313" textRotate="1"/>
    <customShpInfo spid="_x0000_s1314" textRotate="1"/>
    <customShpInfo spid="_x0000_s1315" textRotate="1"/>
    <customShpInfo spid="_x0000_s1327" textRotate="1"/>
    <customShpInfo spid="_x0000_s1328" textRotate="1"/>
    <customShpInfo spid="_x0000_s1329" textRotate="1"/>
    <customShpInfo spid="_x0000_s1332" textRotate="1"/>
    <customShpInfo spid="_x0000_s1346" textRotate="1"/>
    <customShpInfo spid="_x0000_s1347" textRotate="1"/>
    <customShpInfo spid="_x0000_s1348" textRotate="1"/>
    <customShpInfo spid="_x0000_s1349" textRotate="1"/>
    <customShpInfo spid="_x0000_s1350" textRotate="1"/>
    <customShpInfo spid="_x0000_s1351" textRotate="1"/>
    <customShpInfo spid="_x0000_s135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310</Pages>
  <Words>166783</Words>
  <Characters>215129</Characters>
  <Lines>1823</Lines>
  <Paragraphs>513</Paragraphs>
  <TotalTime>0</TotalTime>
  <ScaleCrop>false</ScaleCrop>
  <LinksUpToDate>false</LinksUpToDate>
  <CharactersWithSpaces>0</CharactersWithSpaces>
  <Application>WPS Office 个人版_9.1.0.4619_{F1E327BC-269C-435d-A152-05C5408002CA}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2017-01-03T02:41:00Z</dcterms:created>
  <dc:creator>User</dc:creator>
  <cp:lastModifiedBy>丸子小姐。</cp:lastModifiedBy>
  <cp:lastPrinted>2018-11-26T06:16:00Z</cp:lastPrinted>
  <dcterms:modified xsi:type="dcterms:W3CDTF">2021-07-23T06:29:47Z</dcterms:modified>
  <dc:title>原基准地价成果简介</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2052-9.1.0.4619</vt:lpwstr>
  </property>
</Properties>
</file>